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26CC8" w14:textId="77777777" w:rsidR="00C654B9" w:rsidRPr="00AA55C6" w:rsidRDefault="00C654B9" w:rsidP="00C654B9">
      <w:pPr>
        <w:spacing w:afterLines="160" w:after="384"/>
        <w:rPr>
          <w:rFonts w:cstheme="minorHAnsi"/>
          <w:color w:val="000000"/>
        </w:rPr>
      </w:pPr>
      <w:r w:rsidRPr="00AA55C6">
        <w:rPr>
          <w:rFonts w:cstheme="minorHAnsi"/>
          <w:color w:val="000000"/>
        </w:rPr>
        <w:t xml:space="preserve">Qualification: </w:t>
      </w:r>
      <w:r w:rsidRPr="00AA55C6">
        <w:rPr>
          <w:rFonts w:cstheme="minorHAnsi"/>
          <w:color w:val="000000"/>
        </w:rPr>
        <w:tab/>
      </w:r>
      <w:r w:rsidRPr="00AA55C6">
        <w:rPr>
          <w:rFonts w:cstheme="minorHAnsi"/>
          <w:color w:val="000000"/>
        </w:rPr>
        <w:tab/>
        <w:t xml:space="preserve">Master of Arts, Professional Practice (Level 7) </w:t>
      </w:r>
    </w:p>
    <w:p w14:paraId="61542F16" w14:textId="77777777" w:rsidR="00C654B9" w:rsidRPr="00AA55C6" w:rsidRDefault="00C654B9" w:rsidP="00C654B9">
      <w:pPr>
        <w:spacing w:afterLines="160" w:after="384"/>
        <w:rPr>
          <w:rFonts w:cstheme="minorHAnsi"/>
          <w:color w:val="000000"/>
        </w:rPr>
      </w:pPr>
      <w:r w:rsidRPr="00AA55C6">
        <w:rPr>
          <w:rFonts w:cstheme="minorHAnsi"/>
          <w:color w:val="000000"/>
        </w:rPr>
        <w:t>Module:                </w:t>
      </w:r>
      <w:r w:rsidRPr="00AA55C6">
        <w:rPr>
          <w:rFonts w:cstheme="minorHAnsi"/>
          <w:color w:val="000000"/>
        </w:rPr>
        <w:tab/>
        <w:t>Recognition and Accreditation of (Prior) Learning (BMPF7000)</w:t>
      </w:r>
    </w:p>
    <w:p w14:paraId="759F57B3" w14:textId="77777777" w:rsidR="00C654B9" w:rsidRPr="00AA55C6" w:rsidRDefault="00C654B9" w:rsidP="00C654B9">
      <w:pPr>
        <w:spacing w:afterLines="160" w:after="384"/>
        <w:rPr>
          <w:rFonts w:cstheme="minorHAnsi"/>
          <w:color w:val="000000"/>
        </w:rPr>
      </w:pPr>
      <w:r w:rsidRPr="00AA55C6">
        <w:rPr>
          <w:rFonts w:cstheme="minorHAnsi"/>
          <w:color w:val="000000"/>
        </w:rPr>
        <w:t>Assignment:               </w:t>
      </w:r>
      <w:r w:rsidRPr="00AA55C6">
        <w:rPr>
          <w:rFonts w:cstheme="minorHAnsi"/>
          <w:color w:val="000000"/>
        </w:rPr>
        <w:tab/>
        <w:t>Reflective Essay</w:t>
      </w:r>
    </w:p>
    <w:p w14:paraId="7CF45FC4" w14:textId="77777777" w:rsidR="00C654B9" w:rsidRPr="00AA55C6" w:rsidRDefault="00C654B9" w:rsidP="00C654B9">
      <w:pPr>
        <w:spacing w:afterLines="160" w:after="384"/>
        <w:rPr>
          <w:rFonts w:cstheme="minorHAnsi"/>
          <w:color w:val="000000"/>
        </w:rPr>
      </w:pPr>
      <w:r w:rsidRPr="00AA55C6">
        <w:rPr>
          <w:rFonts w:cstheme="minorHAnsi"/>
          <w:color w:val="000000"/>
        </w:rPr>
        <w:t>Name:                        </w:t>
      </w:r>
      <w:r w:rsidRPr="00AA55C6">
        <w:rPr>
          <w:rFonts w:cstheme="minorHAnsi"/>
          <w:color w:val="000000"/>
        </w:rPr>
        <w:tab/>
        <w:t>Shelley Dony</w:t>
      </w:r>
    </w:p>
    <w:p w14:paraId="460AD837" w14:textId="77777777" w:rsidR="00C654B9" w:rsidRDefault="00C654B9" w:rsidP="00C654B9">
      <w:pPr>
        <w:spacing w:afterLines="160" w:after="384"/>
        <w:rPr>
          <w:rFonts w:cstheme="minorHAnsi"/>
          <w:color w:val="000000"/>
        </w:rPr>
      </w:pPr>
      <w:r w:rsidRPr="00AA55C6">
        <w:rPr>
          <w:rFonts w:cstheme="minorHAnsi"/>
          <w:color w:val="000000"/>
        </w:rPr>
        <w:t>Student Number:        </w:t>
      </w:r>
      <w:r w:rsidRPr="00AA55C6">
        <w:rPr>
          <w:rFonts w:cstheme="minorHAnsi"/>
          <w:color w:val="000000"/>
        </w:rPr>
        <w:tab/>
        <w:t xml:space="preserve">1810449 </w:t>
      </w:r>
    </w:p>
    <w:p w14:paraId="2915931E" w14:textId="77777777" w:rsidR="00C654B9" w:rsidRPr="00AA55C6" w:rsidRDefault="00C654B9" w:rsidP="00C654B9">
      <w:pPr>
        <w:spacing w:afterLines="160" w:after="384"/>
        <w:rPr>
          <w:rFonts w:cstheme="minorHAnsi"/>
        </w:rPr>
      </w:pPr>
      <w:r>
        <w:rPr>
          <w:rFonts w:cstheme="minorHAnsi"/>
        </w:rPr>
        <w:t xml:space="preserve">Word Count: </w:t>
      </w:r>
      <w:r>
        <w:rPr>
          <w:rFonts w:cstheme="minorHAnsi"/>
        </w:rPr>
        <w:tab/>
      </w:r>
      <w:r>
        <w:rPr>
          <w:rFonts w:cstheme="minorHAnsi"/>
        </w:rPr>
        <w:tab/>
        <w:t>5404</w:t>
      </w:r>
    </w:p>
    <w:p w14:paraId="3BB9B745" w14:textId="77777777" w:rsidR="00C654B9" w:rsidRPr="00AA55C6" w:rsidRDefault="00C654B9" w:rsidP="00C654B9">
      <w:pPr>
        <w:spacing w:afterLines="160" w:after="384"/>
        <w:rPr>
          <w:rFonts w:cstheme="minorHAnsi"/>
          <w:color w:val="000000"/>
        </w:rPr>
      </w:pPr>
    </w:p>
    <w:p w14:paraId="5EB8B5F2" w14:textId="77777777" w:rsidR="00C654B9" w:rsidRPr="00AA55C6" w:rsidRDefault="00C654B9" w:rsidP="00C654B9">
      <w:pPr>
        <w:spacing w:afterLines="160" w:after="384"/>
        <w:rPr>
          <w:rFonts w:cstheme="minorHAnsi"/>
          <w:color w:val="000000"/>
        </w:rPr>
      </w:pPr>
      <w:r w:rsidRPr="00AA55C6">
        <w:rPr>
          <w:rFonts w:cstheme="minorHAnsi"/>
          <w:color w:val="000000"/>
        </w:rPr>
        <w:t>By signing below, I confirm that the work/evidence presented is my own, unaided work.  I understand the regulations pertaining to candidate malpractice and the action that may be taken as a result.</w:t>
      </w:r>
    </w:p>
    <w:p w14:paraId="6F28E39F" w14:textId="77777777" w:rsidR="00C654B9" w:rsidRPr="00AA55C6" w:rsidRDefault="00C654B9" w:rsidP="00C654B9">
      <w:pPr>
        <w:spacing w:afterLines="160" w:after="384"/>
        <w:rPr>
          <w:rFonts w:cstheme="minorHAnsi"/>
          <w:color w:val="000000"/>
        </w:rPr>
      </w:pPr>
    </w:p>
    <w:p w14:paraId="0EB13B62" w14:textId="77777777" w:rsidR="00C654B9" w:rsidRPr="00AA55C6" w:rsidRDefault="00C654B9" w:rsidP="00C654B9">
      <w:pPr>
        <w:spacing w:afterLines="160" w:after="384"/>
        <w:rPr>
          <w:rFonts w:cstheme="minorHAnsi"/>
        </w:rPr>
      </w:pPr>
      <w:r w:rsidRPr="00AA55C6">
        <w:rPr>
          <w:rFonts w:cstheme="minorHAnsi"/>
          <w:color w:val="000000"/>
        </w:rPr>
        <w:t xml:space="preserve">Signed:   </w:t>
      </w:r>
      <w:r w:rsidRPr="00AA55C6">
        <w:rPr>
          <w:rFonts w:cstheme="minorHAnsi"/>
          <w:noProof/>
          <w:color w:val="000000"/>
        </w:rPr>
        <w:drawing>
          <wp:inline distT="0" distB="0" distL="0" distR="0" wp14:anchorId="739BE009" wp14:editId="3DEEB042">
            <wp:extent cx="520174" cy="693298"/>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0174" cy="693298"/>
                    </a:xfrm>
                    <a:prstGeom prst="rect">
                      <a:avLst/>
                    </a:prstGeom>
                    <a:noFill/>
                    <a:ln>
                      <a:noFill/>
                      <a:prstDash/>
                    </a:ln>
                  </pic:spPr>
                </pic:pic>
              </a:graphicData>
            </a:graphic>
          </wp:inline>
        </w:drawing>
      </w:r>
    </w:p>
    <w:p w14:paraId="403FD261" w14:textId="77777777" w:rsidR="00C654B9" w:rsidRPr="00AA55C6" w:rsidRDefault="00C654B9" w:rsidP="00C654B9">
      <w:pPr>
        <w:spacing w:afterLines="160" w:after="384"/>
        <w:rPr>
          <w:rFonts w:cstheme="minorHAnsi"/>
          <w:b/>
        </w:rPr>
      </w:pPr>
    </w:p>
    <w:p w14:paraId="6B769A6B" w14:textId="77777777" w:rsidR="00C654B9" w:rsidRDefault="00C654B9" w:rsidP="00C654B9">
      <w:pPr>
        <w:spacing w:afterLines="160" w:after="384"/>
        <w:rPr>
          <w:rFonts w:cstheme="minorHAnsi"/>
          <w:b/>
        </w:rPr>
      </w:pPr>
    </w:p>
    <w:p w14:paraId="400EEA24" w14:textId="77777777" w:rsidR="00C654B9" w:rsidRDefault="00C654B9" w:rsidP="00C654B9">
      <w:pPr>
        <w:spacing w:afterLines="160" w:after="384"/>
        <w:rPr>
          <w:rFonts w:cstheme="minorHAnsi"/>
          <w:b/>
        </w:rPr>
      </w:pPr>
    </w:p>
    <w:p w14:paraId="173936E1" w14:textId="77777777" w:rsidR="00C654B9" w:rsidRDefault="00C654B9" w:rsidP="00C654B9">
      <w:pPr>
        <w:spacing w:afterLines="160" w:after="384"/>
        <w:rPr>
          <w:rFonts w:cstheme="minorHAnsi"/>
          <w:b/>
        </w:rPr>
      </w:pPr>
    </w:p>
    <w:p w14:paraId="08FB1A60" w14:textId="77777777" w:rsidR="00C654B9" w:rsidRDefault="00C654B9" w:rsidP="00C654B9">
      <w:pPr>
        <w:spacing w:afterLines="160" w:after="384"/>
        <w:rPr>
          <w:rFonts w:cstheme="minorHAnsi"/>
          <w:b/>
        </w:rPr>
      </w:pPr>
    </w:p>
    <w:p w14:paraId="242F970A" w14:textId="77777777" w:rsidR="00C654B9" w:rsidRPr="00AA55C6" w:rsidRDefault="00C654B9" w:rsidP="00C654B9">
      <w:pPr>
        <w:spacing w:afterLines="160" w:after="384"/>
        <w:rPr>
          <w:rFonts w:cstheme="minorHAnsi"/>
          <w:b/>
        </w:rPr>
      </w:pPr>
    </w:p>
    <w:p w14:paraId="50C21D05" w14:textId="77777777" w:rsidR="00C654B9" w:rsidRPr="00AA55C6" w:rsidRDefault="00C654B9" w:rsidP="00C654B9">
      <w:pPr>
        <w:spacing w:afterLines="160" w:after="384"/>
        <w:rPr>
          <w:rFonts w:cstheme="minorHAnsi"/>
          <w:u w:val="single"/>
        </w:rPr>
      </w:pPr>
    </w:p>
    <w:p w14:paraId="41E0201C" w14:textId="77777777" w:rsidR="00C654B9" w:rsidRPr="00AA55C6" w:rsidRDefault="00C654B9" w:rsidP="00C654B9">
      <w:pPr>
        <w:spacing w:afterLines="160" w:after="384"/>
        <w:rPr>
          <w:rFonts w:cstheme="minorHAnsi"/>
          <w:u w:val="single"/>
        </w:rPr>
      </w:pPr>
    </w:p>
    <w:p w14:paraId="4E3C9D1A" w14:textId="77777777" w:rsidR="00C654B9" w:rsidRPr="00AA55C6" w:rsidRDefault="00C654B9" w:rsidP="00C654B9">
      <w:pPr>
        <w:spacing w:afterLines="160" w:after="384"/>
        <w:rPr>
          <w:rFonts w:cstheme="minorHAnsi"/>
          <w:u w:val="single"/>
        </w:rPr>
      </w:pPr>
    </w:p>
    <w:p w14:paraId="0663BA80" w14:textId="77777777" w:rsidR="00C654B9" w:rsidRPr="00AA55C6" w:rsidRDefault="00C654B9" w:rsidP="00C654B9">
      <w:pPr>
        <w:spacing w:afterLines="160" w:after="384" w:line="360" w:lineRule="auto"/>
        <w:rPr>
          <w:rFonts w:cstheme="minorHAnsi"/>
        </w:rPr>
      </w:pPr>
      <w:r w:rsidRPr="00AA55C6">
        <w:rPr>
          <w:rFonts w:cstheme="minorHAnsi"/>
          <w:u w:val="single"/>
        </w:rPr>
        <w:lastRenderedPageBreak/>
        <w:t>Introduction</w:t>
      </w:r>
      <w:r w:rsidRPr="00AA55C6">
        <w:rPr>
          <w:rFonts w:cstheme="minorHAnsi"/>
        </w:rPr>
        <w:t xml:space="preserve"> </w:t>
      </w:r>
    </w:p>
    <w:p w14:paraId="3AF681FD" w14:textId="77777777" w:rsidR="00C654B9" w:rsidRPr="005B749A" w:rsidRDefault="00C654B9" w:rsidP="00C654B9">
      <w:pPr>
        <w:spacing w:afterLines="160" w:after="384" w:line="360" w:lineRule="auto"/>
        <w:rPr>
          <w:rFonts w:cstheme="minorHAnsi"/>
        </w:rPr>
      </w:pPr>
      <w:r w:rsidRPr="00AA55C6">
        <w:rPr>
          <w:rFonts w:cstheme="minorHAnsi"/>
        </w:rPr>
        <w:t xml:space="preserve">Goleman (1995) suggested that reflection is where the mind examines itself.  It is a practice that can be undertaken by learners and professionals as a means of learning from their own practice, where unanticipated discoveries of self could be realised (Schwind et al., 2011).  </w:t>
      </w:r>
      <w:r>
        <w:rPr>
          <w:rFonts w:cstheme="minorHAnsi"/>
        </w:rPr>
        <w:t>Kolb (1984) and Knowles (1980), likewise, suggested that learning can only be achieved when knowledge is gained through experience.</w:t>
      </w:r>
      <w:r w:rsidRPr="00AA55C6">
        <w:rPr>
          <w:rFonts w:cstheme="minorHAnsi"/>
        </w:rPr>
        <w:t xml:space="preserve"> </w:t>
      </w:r>
      <w:r>
        <w:rPr>
          <w:rFonts w:cstheme="minorHAnsi"/>
        </w:rPr>
        <w:t>Using my experience and the learning gained from the time in my role as a Workforce Planning Project Manager, t</w:t>
      </w:r>
      <w:r w:rsidRPr="00AA55C6">
        <w:rPr>
          <w:rFonts w:cstheme="minorHAnsi"/>
        </w:rPr>
        <w:t xml:space="preserve">his essay will </w:t>
      </w:r>
      <w:r>
        <w:rPr>
          <w:rFonts w:cstheme="minorHAnsi"/>
        </w:rPr>
        <w:t>focus on</w:t>
      </w:r>
      <w:r w:rsidRPr="00AA55C6">
        <w:rPr>
          <w:rFonts w:cstheme="minorHAnsi"/>
        </w:rPr>
        <w:t xml:space="preserve"> </w:t>
      </w:r>
      <w:r>
        <w:rPr>
          <w:rFonts w:cstheme="minorHAnsi"/>
        </w:rPr>
        <w:t>my personal</w:t>
      </w:r>
      <w:r w:rsidRPr="00AA55C6">
        <w:rPr>
          <w:rFonts w:cstheme="minorHAnsi"/>
        </w:rPr>
        <w:t xml:space="preserve"> reflections </w:t>
      </w:r>
      <w:r>
        <w:rPr>
          <w:rFonts w:cstheme="minorHAnsi"/>
        </w:rPr>
        <w:t>through</w:t>
      </w:r>
      <w:r w:rsidRPr="00AA55C6">
        <w:rPr>
          <w:rFonts w:cstheme="minorHAnsi"/>
        </w:rPr>
        <w:t xml:space="preserve"> </w:t>
      </w:r>
      <w:r>
        <w:rPr>
          <w:rFonts w:cstheme="minorHAnsi"/>
        </w:rPr>
        <w:t>my journey on</w:t>
      </w:r>
      <w:r w:rsidRPr="00AA55C6">
        <w:rPr>
          <w:rFonts w:cstheme="minorHAnsi"/>
        </w:rPr>
        <w:t xml:space="preserve"> the Recognition </w:t>
      </w:r>
      <w:r>
        <w:rPr>
          <w:rFonts w:cstheme="minorHAnsi"/>
        </w:rPr>
        <w:t>and</w:t>
      </w:r>
      <w:r w:rsidRPr="00AA55C6">
        <w:rPr>
          <w:rFonts w:cstheme="minorHAnsi"/>
        </w:rPr>
        <w:t xml:space="preserve"> Accredit</w:t>
      </w:r>
      <w:r>
        <w:rPr>
          <w:rFonts w:cstheme="minorHAnsi"/>
        </w:rPr>
        <w:t>ation of</w:t>
      </w:r>
      <w:r w:rsidRPr="00AA55C6">
        <w:rPr>
          <w:rFonts w:cstheme="minorHAnsi"/>
        </w:rPr>
        <w:t xml:space="preserve"> Learning module</w:t>
      </w:r>
      <w:r>
        <w:rPr>
          <w:rFonts w:cstheme="minorHAnsi"/>
        </w:rPr>
        <w:t>.  This will</w:t>
      </w:r>
      <w:r w:rsidRPr="00AA55C6">
        <w:rPr>
          <w:rFonts w:cstheme="minorHAnsi"/>
        </w:rPr>
        <w:t xml:space="preserve"> includ</w:t>
      </w:r>
      <w:r>
        <w:rPr>
          <w:rFonts w:cstheme="minorHAnsi"/>
        </w:rPr>
        <w:t>e</w:t>
      </w:r>
      <w:r w:rsidRPr="00AA55C6">
        <w:rPr>
          <w:rFonts w:cstheme="minorHAnsi"/>
        </w:rPr>
        <w:t xml:space="preserve"> </w:t>
      </w:r>
      <w:r>
        <w:rPr>
          <w:rFonts w:cstheme="minorHAnsi"/>
        </w:rPr>
        <w:t xml:space="preserve">my thoughts and doubts at </w:t>
      </w:r>
      <w:r w:rsidRPr="00AA55C6">
        <w:rPr>
          <w:rFonts w:cstheme="minorHAnsi"/>
        </w:rPr>
        <w:t xml:space="preserve">the onset of the module, </w:t>
      </w:r>
      <w:r>
        <w:rPr>
          <w:rFonts w:cstheme="minorHAnsi"/>
        </w:rPr>
        <w:t xml:space="preserve">my experience with </w:t>
      </w:r>
      <w:r w:rsidRPr="00AA55C6">
        <w:rPr>
          <w:rFonts w:cstheme="minorHAnsi"/>
        </w:rPr>
        <w:t xml:space="preserve">the process of constructing the module, my learning from undertaking the module itself, </w:t>
      </w:r>
      <w:r>
        <w:rPr>
          <w:rFonts w:cstheme="minorHAnsi"/>
        </w:rPr>
        <w:t xml:space="preserve">what I consider as </w:t>
      </w:r>
      <w:r w:rsidRPr="00AA55C6">
        <w:rPr>
          <w:rFonts w:cstheme="minorHAnsi"/>
        </w:rPr>
        <w:t>the next steps in my development, before providing a conclusion</w:t>
      </w:r>
      <w:r>
        <w:rPr>
          <w:rFonts w:cstheme="minorHAnsi"/>
        </w:rPr>
        <w:t>.</w:t>
      </w:r>
      <w:r w:rsidRPr="00AA55C6">
        <w:rPr>
          <w:rFonts w:cstheme="minorHAnsi"/>
          <w:color w:val="FF0000"/>
        </w:rPr>
        <w:t xml:space="preserve"> </w:t>
      </w:r>
      <w:r>
        <w:rPr>
          <w:rFonts w:cstheme="minorHAnsi"/>
          <w:color w:val="FF0000"/>
        </w:rPr>
        <w:t xml:space="preserve"> </w:t>
      </w:r>
      <w:r>
        <w:rPr>
          <w:rFonts w:cstheme="minorHAnsi"/>
        </w:rPr>
        <w:t xml:space="preserve">The format of this essay allows for Jasper’s Experience, Reflection, Action (ERA) cycle </w:t>
      </w:r>
      <w:r w:rsidRPr="00AA55C6">
        <w:rPr>
          <w:rFonts w:cstheme="minorHAnsi"/>
          <w:noProof/>
        </w:rPr>
        <w:t>(</w:t>
      </w:r>
      <w:r>
        <w:rPr>
          <w:rFonts w:cstheme="minorHAnsi"/>
          <w:noProof/>
        </w:rPr>
        <w:t xml:space="preserve">Hull University </w:t>
      </w:r>
      <w:r w:rsidRPr="00AA55C6">
        <w:rPr>
          <w:rFonts w:cstheme="minorHAnsi"/>
          <w:noProof/>
        </w:rPr>
        <w:t xml:space="preserve">Library, 2022; </w:t>
      </w:r>
      <w:r>
        <w:rPr>
          <w:rFonts w:cstheme="minorHAnsi"/>
          <w:noProof/>
        </w:rPr>
        <w:t xml:space="preserve">Cambridge Library Study </w:t>
      </w:r>
      <w:r w:rsidRPr="00AA55C6">
        <w:rPr>
          <w:rFonts w:cstheme="minorHAnsi"/>
          <w:noProof/>
        </w:rPr>
        <w:t>Skills, n.d.)</w:t>
      </w:r>
      <w:r w:rsidRPr="00AA55C6">
        <w:rPr>
          <w:rFonts w:cstheme="minorHAnsi"/>
        </w:rPr>
        <w:t xml:space="preserve"> </w:t>
      </w:r>
      <w:r>
        <w:rPr>
          <w:rFonts w:cstheme="minorHAnsi"/>
        </w:rPr>
        <w:t>to be followed, whereby the experience gained, and the reflection undertaken from the learning and completion of the module, has allowed me to consider a pathway going forward.</w:t>
      </w:r>
    </w:p>
    <w:p w14:paraId="1DE59750" w14:textId="77777777" w:rsidR="00C654B9" w:rsidRPr="00AA55C6" w:rsidRDefault="00C654B9" w:rsidP="00C654B9">
      <w:pPr>
        <w:spacing w:afterLines="160" w:after="384" w:line="360" w:lineRule="auto"/>
        <w:rPr>
          <w:rFonts w:cstheme="minorHAnsi"/>
          <w:u w:val="single"/>
        </w:rPr>
      </w:pPr>
      <w:r w:rsidRPr="00AA55C6">
        <w:rPr>
          <w:rFonts w:cstheme="minorHAnsi"/>
          <w:u w:val="single"/>
        </w:rPr>
        <w:t>Onset of module</w:t>
      </w:r>
      <w:r w:rsidRPr="00AA55C6">
        <w:rPr>
          <w:rFonts w:cstheme="minorHAnsi"/>
        </w:rPr>
        <w:t xml:space="preserve"> </w:t>
      </w:r>
    </w:p>
    <w:p w14:paraId="0BEA87B8" w14:textId="7C5AFF1E" w:rsidR="00C654B9" w:rsidRPr="00AA55C6" w:rsidRDefault="00C654B9" w:rsidP="00C654B9">
      <w:pPr>
        <w:spacing w:afterLines="160" w:after="384" w:line="360" w:lineRule="auto"/>
        <w:rPr>
          <w:rFonts w:cstheme="minorHAnsi"/>
        </w:rPr>
      </w:pPr>
      <w:r w:rsidRPr="00AA55C6">
        <w:rPr>
          <w:rFonts w:cstheme="minorHAnsi"/>
        </w:rPr>
        <w:t>At the commencement of my development journey in my current role</w:t>
      </w:r>
      <w:r>
        <w:rPr>
          <w:rFonts w:cstheme="minorHAnsi"/>
        </w:rPr>
        <w:t xml:space="preserve"> as</w:t>
      </w:r>
      <w:r w:rsidRPr="00AA55C6">
        <w:rPr>
          <w:rFonts w:cstheme="minorHAnsi"/>
        </w:rPr>
        <w:t xml:space="preserve"> Workforce Planning Project Manager, </w:t>
      </w:r>
      <w:r>
        <w:rPr>
          <w:rFonts w:cstheme="minorHAnsi"/>
        </w:rPr>
        <w:t xml:space="preserve">it was required that I undertake a Level 7 / post-graduate qualification that aligns with the level </w:t>
      </w:r>
      <w:r w:rsidR="00F87388">
        <w:rPr>
          <w:rFonts w:cstheme="minorHAnsi"/>
        </w:rPr>
        <w:t xml:space="preserve">and band </w:t>
      </w:r>
      <w:r>
        <w:rPr>
          <w:rFonts w:cstheme="minorHAnsi"/>
        </w:rPr>
        <w:t xml:space="preserve">I was working at.  To meet that requirement, </w:t>
      </w:r>
      <w:r w:rsidRPr="00AA55C6">
        <w:rPr>
          <w:rFonts w:cstheme="minorHAnsi"/>
        </w:rPr>
        <w:t>I enrolled on to the Master of Arts, Professional Practice Level 7 qualification in agreement with my line manager.  The reason for undertaking the Recognition and Accreditation of Prior Learning module</w:t>
      </w:r>
      <w:r>
        <w:rPr>
          <w:rFonts w:cstheme="minorHAnsi"/>
        </w:rPr>
        <w:t xml:space="preserve"> as part of that qualification</w:t>
      </w:r>
      <w:r w:rsidRPr="00AA55C6">
        <w:rPr>
          <w:rFonts w:cstheme="minorHAnsi"/>
        </w:rPr>
        <w:t xml:space="preserve"> was partly to evidence and </w:t>
      </w:r>
      <w:r>
        <w:rPr>
          <w:rFonts w:cstheme="minorHAnsi"/>
        </w:rPr>
        <w:t>gain academic accreditation for t</w:t>
      </w:r>
      <w:r w:rsidRPr="00AA55C6">
        <w:rPr>
          <w:rFonts w:cstheme="minorHAnsi"/>
        </w:rPr>
        <w:t>he level of work</w:t>
      </w:r>
      <w:r>
        <w:rPr>
          <w:rFonts w:cstheme="minorHAnsi"/>
        </w:rPr>
        <w:t xml:space="preserve"> that</w:t>
      </w:r>
      <w:r w:rsidRPr="00AA55C6">
        <w:rPr>
          <w:rFonts w:cstheme="minorHAnsi"/>
        </w:rPr>
        <w:t xml:space="preserve"> I had been undertaking, but I was also hoping that it would help to build my confidence within my new role.  As a way of proving that I was capable</w:t>
      </w:r>
      <w:r>
        <w:rPr>
          <w:rFonts w:cstheme="minorHAnsi"/>
        </w:rPr>
        <w:t xml:space="preserve"> and competent</w:t>
      </w:r>
      <w:r w:rsidRPr="00AA55C6">
        <w:rPr>
          <w:rFonts w:cstheme="minorHAnsi"/>
        </w:rPr>
        <w:t xml:space="preserve"> of working at this level and was competent at my role.  </w:t>
      </w:r>
    </w:p>
    <w:p w14:paraId="3F656567" w14:textId="77777777" w:rsidR="00C654B9" w:rsidRPr="00AA55C6" w:rsidRDefault="00C654B9" w:rsidP="00C654B9">
      <w:pPr>
        <w:spacing w:afterLines="160" w:after="384" w:line="360" w:lineRule="auto"/>
        <w:rPr>
          <w:rFonts w:cstheme="minorHAnsi"/>
        </w:rPr>
      </w:pPr>
      <w:r w:rsidRPr="00AA55C6">
        <w:rPr>
          <w:rFonts w:cstheme="minorHAnsi"/>
        </w:rPr>
        <w:t xml:space="preserve">When I started the module, I did experience </w:t>
      </w:r>
      <w:r>
        <w:rPr>
          <w:rFonts w:cstheme="minorHAnsi"/>
        </w:rPr>
        <w:t>a number of</w:t>
      </w:r>
      <w:r w:rsidRPr="00AA55C6">
        <w:rPr>
          <w:rFonts w:cstheme="minorHAnsi"/>
        </w:rPr>
        <w:t xml:space="preserve"> concerns.  One</w:t>
      </w:r>
      <w:r>
        <w:rPr>
          <w:rFonts w:cstheme="minorHAnsi"/>
        </w:rPr>
        <w:t xml:space="preserve"> key</w:t>
      </w:r>
      <w:r w:rsidRPr="00AA55C6">
        <w:rPr>
          <w:rFonts w:cstheme="minorHAnsi"/>
        </w:rPr>
        <w:t xml:space="preserve"> concern was around the</w:t>
      </w:r>
      <w:r>
        <w:rPr>
          <w:rFonts w:cstheme="minorHAnsi"/>
        </w:rPr>
        <w:t xml:space="preserve"> condition,</w:t>
      </w:r>
      <w:r w:rsidRPr="00AA55C6">
        <w:rPr>
          <w:rFonts w:cstheme="minorHAnsi"/>
        </w:rPr>
        <w:t xml:space="preserve"> Imposter Syndrome</w:t>
      </w:r>
      <w:r>
        <w:rPr>
          <w:rFonts w:cstheme="minorHAnsi"/>
        </w:rPr>
        <w:t>,</w:t>
      </w:r>
      <w:r w:rsidRPr="00AA55C6">
        <w:rPr>
          <w:rFonts w:cstheme="minorHAnsi"/>
        </w:rPr>
        <w:t xml:space="preserve"> I had been suffering from</w:t>
      </w:r>
      <w:r>
        <w:rPr>
          <w:rFonts w:cstheme="minorHAnsi"/>
        </w:rPr>
        <w:t xml:space="preserve">. </w:t>
      </w:r>
      <w:r>
        <w:rPr>
          <w:rFonts w:cstheme="minorHAnsi"/>
          <w:noProof/>
        </w:rPr>
        <w:t xml:space="preserve">Imposter Syndrome is where, despite an individual achieving qualifications and accomplishments, there remains self-doubt and a belief of imcompetence without reason </w:t>
      </w:r>
      <w:sdt>
        <w:sdtPr>
          <w:rPr>
            <w:rFonts w:cstheme="minorHAnsi"/>
            <w:noProof/>
          </w:rPr>
          <w:id w:val="764426750"/>
          <w:citation/>
        </w:sdtPr>
        <w:sdtEndPr/>
        <w:sdtContent>
          <w:r>
            <w:rPr>
              <w:rFonts w:cstheme="minorHAnsi"/>
              <w:noProof/>
            </w:rPr>
            <w:fldChar w:fldCharType="begin"/>
          </w:r>
          <w:r>
            <w:rPr>
              <w:rFonts w:cstheme="minorHAnsi"/>
              <w:noProof/>
            </w:rPr>
            <w:instrText xml:space="preserve"> CITATION Cry21 \l 2057 </w:instrText>
          </w:r>
          <w:r>
            <w:rPr>
              <w:rFonts w:cstheme="minorHAnsi"/>
              <w:noProof/>
            </w:rPr>
            <w:fldChar w:fldCharType="separate"/>
          </w:r>
          <w:r w:rsidRPr="00051446">
            <w:rPr>
              <w:rFonts w:cstheme="minorHAnsi"/>
              <w:noProof/>
            </w:rPr>
            <w:t>(Raypole, 2021)</w:t>
          </w:r>
          <w:r>
            <w:rPr>
              <w:rFonts w:cstheme="minorHAnsi"/>
              <w:noProof/>
            </w:rPr>
            <w:fldChar w:fldCharType="end"/>
          </w:r>
        </w:sdtContent>
      </w:sdt>
      <w:r>
        <w:rPr>
          <w:rFonts w:cstheme="minorHAnsi"/>
          <w:noProof/>
        </w:rPr>
        <w:t xml:space="preserve">. </w:t>
      </w:r>
      <w:r w:rsidRPr="00AA55C6">
        <w:rPr>
          <w:rFonts w:cstheme="minorHAnsi"/>
        </w:rPr>
        <w:t xml:space="preserve"> I didn’t believe I should be in this job and nor was good enough to fulfil its responsibilities</w:t>
      </w:r>
      <w:r>
        <w:rPr>
          <w:rFonts w:cstheme="minorHAnsi"/>
        </w:rPr>
        <w:t xml:space="preserve">, despite having </w:t>
      </w:r>
      <w:r>
        <w:rPr>
          <w:rFonts w:cstheme="minorHAnsi"/>
        </w:rPr>
        <w:lastRenderedPageBreak/>
        <w:t>undertaken a strenuous interview procedure for the post and being successful</w:t>
      </w:r>
      <w:r w:rsidRPr="00AA55C6">
        <w:rPr>
          <w:rFonts w:cstheme="minorHAnsi"/>
        </w:rPr>
        <w:t xml:space="preserve">. </w:t>
      </w:r>
      <w:r>
        <w:rPr>
          <w:rFonts w:cstheme="minorHAnsi"/>
        </w:rPr>
        <w:t xml:space="preserve">Due to the Cognitive Obsessive Compulsive Disorder that I was been diagnosed with, I have a tendency for intrusive thoughts and over-thinking, which are common characteristics of the disease </w:t>
      </w:r>
      <w:sdt>
        <w:sdtPr>
          <w:rPr>
            <w:rFonts w:cstheme="minorHAnsi"/>
          </w:rPr>
          <w:id w:val="-1030496804"/>
          <w:citation/>
        </w:sdtPr>
        <w:sdtEndPr/>
        <w:sdtContent>
          <w:r>
            <w:rPr>
              <w:rFonts w:cstheme="minorHAnsi"/>
            </w:rPr>
            <w:fldChar w:fldCharType="begin"/>
          </w:r>
          <w:r>
            <w:rPr>
              <w:rFonts w:cstheme="minorHAnsi"/>
            </w:rPr>
            <w:instrText xml:space="preserve"> CITATION NHS2 \l 2057 </w:instrText>
          </w:r>
          <w:r>
            <w:rPr>
              <w:rFonts w:cstheme="minorHAnsi"/>
            </w:rPr>
            <w:fldChar w:fldCharType="separate"/>
          </w:r>
          <w:r w:rsidRPr="00051446">
            <w:rPr>
              <w:rFonts w:cstheme="minorHAnsi"/>
              <w:noProof/>
            </w:rPr>
            <w:t>(NHS, n.d.)</w:t>
          </w:r>
          <w:r>
            <w:rPr>
              <w:rFonts w:cstheme="minorHAnsi"/>
            </w:rPr>
            <w:fldChar w:fldCharType="end"/>
          </w:r>
        </w:sdtContent>
      </w:sdt>
      <w:r>
        <w:rPr>
          <w:rFonts w:cstheme="minorHAnsi"/>
        </w:rPr>
        <w:t>. I had an extensive</w:t>
      </w:r>
      <w:r w:rsidRPr="00AA55C6">
        <w:rPr>
          <w:rFonts w:cstheme="minorHAnsi"/>
        </w:rPr>
        <w:t xml:space="preserve"> </w:t>
      </w:r>
      <w:r>
        <w:rPr>
          <w:rFonts w:cstheme="minorHAnsi"/>
        </w:rPr>
        <w:t xml:space="preserve">number of </w:t>
      </w:r>
      <w:r w:rsidRPr="00AA55C6">
        <w:rPr>
          <w:rFonts w:cstheme="minorHAnsi"/>
        </w:rPr>
        <w:t>thoughts</w:t>
      </w:r>
      <w:r>
        <w:rPr>
          <w:rFonts w:cstheme="minorHAnsi"/>
        </w:rPr>
        <w:t xml:space="preserve"> going through my mind</w:t>
      </w:r>
      <w:r w:rsidRPr="00AA55C6">
        <w:rPr>
          <w:rFonts w:cstheme="minorHAnsi"/>
        </w:rPr>
        <w:t xml:space="preserve"> at the start of this module</w:t>
      </w:r>
      <w:r>
        <w:rPr>
          <w:rFonts w:cstheme="minorHAnsi"/>
        </w:rPr>
        <w:t>, including</w:t>
      </w:r>
      <w:r w:rsidRPr="00AA55C6">
        <w:rPr>
          <w:rFonts w:cstheme="minorHAnsi"/>
        </w:rPr>
        <w:t xml:space="preserve"> “What if I have not learned enough?  What if I cannot find the evidence?  What if I do not </w:t>
      </w:r>
      <w:r>
        <w:rPr>
          <w:rFonts w:cstheme="minorHAnsi"/>
        </w:rPr>
        <w:t>add</w:t>
      </w:r>
      <w:r w:rsidRPr="00AA55C6">
        <w:rPr>
          <w:rFonts w:cstheme="minorHAnsi"/>
        </w:rPr>
        <w:t xml:space="preserve"> value in the team?”</w:t>
      </w:r>
      <w:r>
        <w:rPr>
          <w:rFonts w:cstheme="minorHAnsi"/>
        </w:rPr>
        <w:t>.</w:t>
      </w:r>
      <w:r w:rsidRPr="00AA55C6">
        <w:rPr>
          <w:rFonts w:cstheme="minorHAnsi"/>
        </w:rPr>
        <w:t xml:space="preserve">  I was worried that this module </w:t>
      </w:r>
      <w:r>
        <w:rPr>
          <w:rFonts w:cstheme="minorHAnsi"/>
        </w:rPr>
        <w:t>might</w:t>
      </w:r>
      <w:r w:rsidRPr="00AA55C6">
        <w:rPr>
          <w:rFonts w:cstheme="minorHAnsi"/>
        </w:rPr>
        <w:t xml:space="preserve"> support the </w:t>
      </w:r>
      <w:r>
        <w:rPr>
          <w:rFonts w:cstheme="minorHAnsi"/>
        </w:rPr>
        <w:t>Imposter S</w:t>
      </w:r>
      <w:r w:rsidRPr="00AA55C6">
        <w:rPr>
          <w:rFonts w:cstheme="minorHAnsi"/>
        </w:rPr>
        <w:t xml:space="preserve">yndrome I was experiencing through the potential of lack of evidence.   Imposter Syndrome is said to be a common condition experienced, particularly by professionals and students in healthcare as well as academia and management, and women </w:t>
      </w:r>
      <w:r w:rsidRPr="00AA55C6">
        <w:rPr>
          <w:rFonts w:cstheme="minorHAnsi"/>
          <w:noProof/>
        </w:rPr>
        <w:t xml:space="preserve">(Gottlieb, 2023; Joel Bothello, 2018).  </w:t>
      </w:r>
      <w:r w:rsidRPr="00AA55C6">
        <w:rPr>
          <w:rFonts w:cstheme="minorHAnsi"/>
        </w:rPr>
        <w:t xml:space="preserve">There is a reflection concept called “Self as instrument of care”, which uses self as a research tool </w:t>
      </w:r>
      <w:r w:rsidRPr="00FC5FBF">
        <w:rPr>
          <w:rFonts w:cstheme="minorHAnsi"/>
        </w:rPr>
        <w:t>(Schwind et al., 2011)</w:t>
      </w:r>
      <w:r w:rsidRPr="00AA55C6">
        <w:rPr>
          <w:rFonts w:cstheme="minorHAnsi"/>
        </w:rPr>
        <w:t xml:space="preserve">. </w:t>
      </w:r>
      <w:r w:rsidRPr="00AA55C6">
        <w:rPr>
          <w:rFonts w:cstheme="minorHAnsi"/>
          <w:noProof/>
        </w:rPr>
        <w:t xml:space="preserve"> </w:t>
      </w:r>
      <w:r>
        <w:rPr>
          <w:rFonts w:cstheme="minorHAnsi"/>
          <w:noProof/>
        </w:rPr>
        <w:t xml:space="preserve">The narrative of this concept indicates that an individual can provide self-care through a practice of reflection.  </w:t>
      </w:r>
      <w:r w:rsidRPr="00AA55C6">
        <w:rPr>
          <w:rFonts w:cstheme="minorHAnsi"/>
          <w:noProof/>
        </w:rPr>
        <w:t xml:space="preserve">I hoped the </w:t>
      </w:r>
      <w:r>
        <w:rPr>
          <w:rFonts w:cstheme="minorHAnsi"/>
          <w:noProof/>
        </w:rPr>
        <w:t xml:space="preserve">deep </w:t>
      </w:r>
      <w:r w:rsidRPr="00AA55C6">
        <w:rPr>
          <w:rFonts w:cstheme="minorHAnsi"/>
          <w:noProof/>
        </w:rPr>
        <w:t>ref</w:t>
      </w:r>
      <w:r>
        <w:rPr>
          <w:rFonts w:cstheme="minorHAnsi"/>
          <w:noProof/>
        </w:rPr>
        <w:t>le</w:t>
      </w:r>
      <w:r w:rsidRPr="00AA55C6">
        <w:rPr>
          <w:rFonts w:cstheme="minorHAnsi"/>
          <w:noProof/>
        </w:rPr>
        <w:t>ction and evidence would quash the self-doubt that my achievements were merely luck rather than skill and competence.</w:t>
      </w:r>
    </w:p>
    <w:p w14:paraId="2FEFE5CE" w14:textId="77777777" w:rsidR="00C654B9" w:rsidRPr="0039722C" w:rsidRDefault="00C654B9" w:rsidP="00C654B9">
      <w:pPr>
        <w:spacing w:afterLines="160" w:after="384" w:line="360" w:lineRule="auto"/>
        <w:rPr>
          <w:rFonts w:cstheme="minorHAnsi"/>
        </w:rPr>
      </w:pPr>
      <w:r w:rsidRPr="00AA55C6">
        <w:rPr>
          <w:rFonts w:cstheme="minorHAnsi"/>
          <w:noProof/>
        </w:rPr>
        <w:t xml:space="preserve"> </w:t>
      </w:r>
      <w:r w:rsidRPr="00AA55C6">
        <w:rPr>
          <w:rFonts w:cstheme="minorHAnsi"/>
        </w:rPr>
        <w:t>As the module progressed, following Jasper’s E</w:t>
      </w:r>
      <w:r>
        <w:rPr>
          <w:rFonts w:cstheme="minorHAnsi"/>
        </w:rPr>
        <w:t xml:space="preserve">xperience, Reflection, Action (ERA) </w:t>
      </w:r>
      <w:r w:rsidRPr="00AA55C6">
        <w:rPr>
          <w:rFonts w:cstheme="minorHAnsi"/>
        </w:rPr>
        <w:t xml:space="preserve">cycle </w:t>
      </w:r>
      <w:r w:rsidRPr="00AA55C6">
        <w:rPr>
          <w:rFonts w:cstheme="minorHAnsi"/>
          <w:noProof/>
        </w:rPr>
        <w:t>(</w:t>
      </w:r>
      <w:r>
        <w:rPr>
          <w:rFonts w:cstheme="minorHAnsi"/>
          <w:noProof/>
        </w:rPr>
        <w:t xml:space="preserve">Hull University </w:t>
      </w:r>
      <w:r w:rsidRPr="00AA55C6">
        <w:rPr>
          <w:rFonts w:cstheme="minorHAnsi"/>
          <w:noProof/>
        </w:rPr>
        <w:t xml:space="preserve">Library, 2022; </w:t>
      </w:r>
      <w:r>
        <w:rPr>
          <w:rFonts w:cstheme="minorHAnsi"/>
          <w:noProof/>
        </w:rPr>
        <w:t xml:space="preserve">Cambridge Library Study </w:t>
      </w:r>
      <w:r w:rsidRPr="00AA55C6">
        <w:rPr>
          <w:rFonts w:cstheme="minorHAnsi"/>
          <w:noProof/>
        </w:rPr>
        <w:t>Skills, n.d.)</w:t>
      </w:r>
      <w:r w:rsidRPr="00AA55C6">
        <w:rPr>
          <w:rFonts w:cstheme="minorHAnsi"/>
        </w:rPr>
        <w:t xml:space="preserve">, I reflected further on what I had learned and accomplished, and saw evidence of my development, skills and impact.  The evidence suggests that I am fully competent in my role as a Workforce Planning Project Manager.  I am able to research, critically analyse and apply Workforce Planning Methodologies; strategically promote and influence Workforce Planning through establishing and engaging with a variety of internal and external stakeholders; collate and critically analyse data to inform workforce planning capability across the organisation; design and develop a range of tools and resources to aid workforce planning.  </w:t>
      </w:r>
      <w:proofErr w:type="spellStart"/>
      <w:r w:rsidRPr="00AA55C6">
        <w:rPr>
          <w:rFonts w:cstheme="minorHAnsi"/>
        </w:rPr>
        <w:t>Roesenburg</w:t>
      </w:r>
      <w:proofErr w:type="spellEnd"/>
      <w:r w:rsidRPr="00AA55C6">
        <w:rPr>
          <w:rFonts w:cstheme="minorHAnsi"/>
        </w:rPr>
        <w:t xml:space="preserve"> (2009) suggests that happiness and reflection are “inter-related”.  Having demonstrated reflective practice, I am able to clearly see where I have progressed to, and see that I am still progressing, which boosts my satisfaction and confidence in my ability to fulfil my role. </w:t>
      </w:r>
    </w:p>
    <w:p w14:paraId="214FCAF5" w14:textId="77777777" w:rsidR="00C654B9" w:rsidRPr="00AA55C6" w:rsidRDefault="00C654B9" w:rsidP="00C654B9">
      <w:pPr>
        <w:spacing w:afterLines="160" w:after="384" w:line="360" w:lineRule="auto"/>
        <w:rPr>
          <w:rFonts w:cstheme="minorHAnsi"/>
        </w:rPr>
      </w:pPr>
      <w:r w:rsidRPr="00AA55C6">
        <w:rPr>
          <w:rFonts w:cstheme="minorHAnsi"/>
        </w:rPr>
        <w:t xml:space="preserve">Another concern was around time management.  I was aware that my workload can increase significantly at very short notice, which could negatively impact on the time planned and protected to work on the module. In addition, I was also concerned that my time management skills were not adequate to meet the increased pressure the additional workload would bring, and assist me in completing on time.  </w:t>
      </w:r>
      <w:r>
        <w:rPr>
          <w:rFonts w:cstheme="minorHAnsi"/>
        </w:rPr>
        <w:t>The development and maintenance of t</w:t>
      </w:r>
      <w:r w:rsidRPr="00AA55C6">
        <w:rPr>
          <w:rFonts w:cstheme="minorHAnsi"/>
        </w:rPr>
        <w:t xml:space="preserve">ime management </w:t>
      </w:r>
      <w:r>
        <w:rPr>
          <w:rFonts w:cstheme="minorHAnsi"/>
        </w:rPr>
        <w:t xml:space="preserve">skills </w:t>
      </w:r>
      <w:r w:rsidRPr="00AA55C6">
        <w:rPr>
          <w:rFonts w:cstheme="minorHAnsi"/>
        </w:rPr>
        <w:t xml:space="preserve">is not an uncommon element to any </w:t>
      </w:r>
      <w:r>
        <w:rPr>
          <w:rFonts w:cstheme="minorHAnsi"/>
        </w:rPr>
        <w:t xml:space="preserve">professional </w:t>
      </w:r>
      <w:r w:rsidRPr="00AA55C6">
        <w:rPr>
          <w:rFonts w:cstheme="minorHAnsi"/>
        </w:rPr>
        <w:t>role or level,</w:t>
      </w:r>
      <w:r>
        <w:rPr>
          <w:rFonts w:cstheme="minorHAnsi"/>
        </w:rPr>
        <w:t xml:space="preserve"> and it is typically a </w:t>
      </w:r>
      <w:r>
        <w:rPr>
          <w:rFonts w:cstheme="minorHAnsi"/>
        </w:rPr>
        <w:lastRenderedPageBreak/>
        <w:t>prerequisite to all higher education programme,</w:t>
      </w:r>
      <w:r w:rsidRPr="00AA55C6">
        <w:rPr>
          <w:rFonts w:cstheme="minorHAnsi"/>
        </w:rPr>
        <w:t xml:space="preserve"> </w:t>
      </w:r>
      <w:r>
        <w:rPr>
          <w:rFonts w:cstheme="minorHAnsi"/>
        </w:rPr>
        <w:t>therefore that was</w:t>
      </w:r>
      <w:r w:rsidRPr="00AA55C6">
        <w:rPr>
          <w:rFonts w:cstheme="minorHAnsi"/>
        </w:rPr>
        <w:t xml:space="preserve"> to be expected</w:t>
      </w:r>
      <w:r>
        <w:rPr>
          <w:rFonts w:cstheme="minorHAnsi"/>
        </w:rPr>
        <w:t xml:space="preserve"> </w:t>
      </w:r>
      <w:sdt>
        <w:sdtPr>
          <w:rPr>
            <w:rFonts w:cstheme="minorHAnsi"/>
          </w:rPr>
          <w:id w:val="592138094"/>
          <w:citation/>
        </w:sdtPr>
        <w:sdtEndPr/>
        <w:sdtContent>
          <w:r>
            <w:rPr>
              <w:rFonts w:cstheme="minorHAnsi"/>
            </w:rPr>
            <w:fldChar w:fldCharType="begin"/>
          </w:r>
          <w:r>
            <w:rPr>
              <w:rFonts w:cstheme="minorHAnsi"/>
            </w:rPr>
            <w:instrText xml:space="preserve"> CITATION Tre22 \l 2057 </w:instrText>
          </w:r>
          <w:r>
            <w:rPr>
              <w:rFonts w:cstheme="minorHAnsi"/>
            </w:rPr>
            <w:fldChar w:fldCharType="separate"/>
          </w:r>
          <w:r w:rsidRPr="00051446">
            <w:rPr>
              <w:rFonts w:cstheme="minorHAnsi"/>
              <w:noProof/>
            </w:rPr>
            <w:t>(Trentepohl, et al., 2022)</w:t>
          </w:r>
          <w:r>
            <w:rPr>
              <w:rFonts w:cstheme="minorHAnsi"/>
            </w:rPr>
            <w:fldChar w:fldCharType="end"/>
          </w:r>
        </w:sdtContent>
      </w:sdt>
      <w:r w:rsidRPr="00AA55C6">
        <w:rPr>
          <w:rFonts w:cstheme="minorHAnsi"/>
        </w:rPr>
        <w:t xml:space="preserve">.  However, the degree of pressure can vary depending on level or complexity of work, professionally or educationally, needed </w:t>
      </w:r>
      <w:sdt>
        <w:sdtPr>
          <w:rPr>
            <w:rFonts w:cstheme="minorHAnsi"/>
          </w:rPr>
          <w:id w:val="1334260600"/>
          <w:citation/>
        </w:sdtPr>
        <w:sdtEndPr/>
        <w:sdtContent>
          <w:r w:rsidRPr="00AA55C6">
            <w:rPr>
              <w:rFonts w:cstheme="minorHAnsi"/>
            </w:rPr>
            <w:fldChar w:fldCharType="begin"/>
          </w:r>
          <w:r w:rsidRPr="00AA55C6">
            <w:rPr>
              <w:rFonts w:cstheme="minorHAnsi"/>
            </w:rPr>
            <w:instrText xml:space="preserve"> CITATION Pat13 \l 2057 </w:instrText>
          </w:r>
          <w:r w:rsidRPr="00AA55C6">
            <w:rPr>
              <w:rFonts w:cstheme="minorHAnsi"/>
            </w:rPr>
            <w:fldChar w:fldCharType="separate"/>
          </w:r>
          <w:r w:rsidRPr="00051446">
            <w:rPr>
              <w:rFonts w:cstheme="minorHAnsi"/>
              <w:noProof/>
            </w:rPr>
            <w:t>(Forsyth, 2013)</w:t>
          </w:r>
          <w:r w:rsidRPr="00AA55C6">
            <w:rPr>
              <w:rFonts w:cstheme="minorHAnsi"/>
            </w:rPr>
            <w:fldChar w:fldCharType="end"/>
          </w:r>
        </w:sdtContent>
      </w:sdt>
      <w:r w:rsidRPr="00AA55C6">
        <w:rPr>
          <w:rFonts w:cstheme="minorHAnsi"/>
        </w:rPr>
        <w:t xml:space="preserve">.  </w:t>
      </w:r>
    </w:p>
    <w:p w14:paraId="0D29D88C" w14:textId="77777777" w:rsidR="00C654B9" w:rsidRPr="00AA55C6" w:rsidRDefault="00C654B9" w:rsidP="00C654B9">
      <w:pPr>
        <w:spacing w:afterLines="160" w:after="384" w:line="360" w:lineRule="auto"/>
        <w:rPr>
          <w:rFonts w:cstheme="minorHAnsi"/>
        </w:rPr>
      </w:pPr>
      <w:r w:rsidRPr="00AA55C6">
        <w:rPr>
          <w:rFonts w:cstheme="minorHAnsi"/>
        </w:rPr>
        <w:t>With the level, scale and urgency of work I needed to complete professionally, in addition to the level of work needed to complete this module, time has needed to be managed very carefully.  Time management with this module was a learned process.  It was something I improved upon through experience and practice, yet difficulty in navigation was ongoing; which is in harmony with various academics’ thoughts on adults learning skills</w:t>
      </w:r>
      <w:r w:rsidRPr="00AA55C6">
        <w:rPr>
          <w:rFonts w:cstheme="minorHAnsi"/>
          <w:noProof/>
        </w:rPr>
        <w:t xml:space="preserve"> (Knowles, 1980; Rogers, C. R., 1980; Forrest </w:t>
      </w:r>
      <w:r>
        <w:rPr>
          <w:rFonts w:cstheme="minorHAnsi"/>
          <w:noProof/>
        </w:rPr>
        <w:t>and</w:t>
      </w:r>
      <w:r w:rsidRPr="00AA55C6">
        <w:rPr>
          <w:rFonts w:cstheme="minorHAnsi"/>
          <w:noProof/>
        </w:rPr>
        <w:t xml:space="preserve"> Peterson, 2006). </w:t>
      </w:r>
      <w:r w:rsidRPr="00AA55C6">
        <w:rPr>
          <w:rFonts w:cstheme="minorHAnsi"/>
        </w:rPr>
        <w:t>In complete honesty, I do not feel that I have been consistent in this area.  Soon after commencing the module, I experienced a significant increase in my workload</w:t>
      </w:r>
      <w:r>
        <w:rPr>
          <w:rFonts w:cstheme="minorHAnsi"/>
        </w:rPr>
        <w:t>,</w:t>
      </w:r>
      <w:r w:rsidRPr="00AA55C6">
        <w:rPr>
          <w:rFonts w:cstheme="minorHAnsi"/>
        </w:rPr>
        <w:t xml:space="preserve"> which meant the study days I had planned out were consumed by the additional work rather than development of the module. This lasted for approximately three to four months.  It was only when my workload quietened down was I able to regroup with my module lecturer/supervisor to plan out the necessary action against the new timeline. I was able to follow this new plan for a reasonable length of time, approximately four or five months, before my workload increased once again.  I have found myself behind on a number of deadlines, those set by my lecturer and those set by myself.  Some of which is due to an increase workload, but some has been due to personal circumstances.  This is in keeping with a number of studies which demonstrate that part-time students who also work, are able to dedicate less time to their studies that they used to in previous years </w:t>
      </w:r>
      <w:sdt>
        <w:sdtPr>
          <w:rPr>
            <w:rFonts w:cstheme="minorHAnsi"/>
          </w:rPr>
          <w:id w:val="-544297440"/>
          <w:citation/>
        </w:sdtPr>
        <w:sdtEndPr/>
        <w:sdtContent>
          <w:r w:rsidRPr="00AA55C6">
            <w:rPr>
              <w:rFonts w:cstheme="minorHAnsi"/>
            </w:rPr>
            <w:fldChar w:fldCharType="begin"/>
          </w:r>
          <w:r w:rsidRPr="00AA55C6">
            <w:rPr>
              <w:rFonts w:cstheme="minorHAnsi"/>
            </w:rPr>
            <w:instrText xml:space="preserve"> CITATION WuJ20 \l 2057 </w:instrText>
          </w:r>
          <w:r w:rsidRPr="00AA55C6">
            <w:rPr>
              <w:rFonts w:cstheme="minorHAnsi"/>
            </w:rPr>
            <w:fldChar w:fldCharType="separate"/>
          </w:r>
          <w:r w:rsidRPr="00051446">
            <w:rPr>
              <w:rFonts w:cstheme="minorHAnsi"/>
              <w:noProof/>
            </w:rPr>
            <w:t>(Wu, 2020)</w:t>
          </w:r>
          <w:r w:rsidRPr="00AA55C6">
            <w:rPr>
              <w:rFonts w:cstheme="minorHAnsi"/>
            </w:rPr>
            <w:fldChar w:fldCharType="end"/>
          </w:r>
        </w:sdtContent>
      </w:sdt>
      <w:r w:rsidRPr="00AA55C6">
        <w:rPr>
          <w:rFonts w:cstheme="minorHAnsi"/>
        </w:rPr>
        <w:t>.</w:t>
      </w:r>
      <w:r>
        <w:rPr>
          <w:rFonts w:cstheme="minorHAnsi"/>
        </w:rPr>
        <w:t xml:space="preserve"> Despite the challenges I faced, I was still able to find the necessary time to plan, develop and complete the activities needed to complete the module.</w:t>
      </w:r>
      <w:r w:rsidRPr="00AA55C6">
        <w:rPr>
          <w:rFonts w:cstheme="minorHAnsi"/>
        </w:rPr>
        <w:t xml:space="preserve">   </w:t>
      </w:r>
    </w:p>
    <w:p w14:paraId="19652789" w14:textId="77777777" w:rsidR="00C654B9" w:rsidRPr="00AA55C6" w:rsidRDefault="00C654B9" w:rsidP="00C654B9">
      <w:pPr>
        <w:spacing w:afterLines="160" w:after="384" w:line="360" w:lineRule="auto"/>
        <w:rPr>
          <w:rFonts w:cstheme="minorHAnsi"/>
        </w:rPr>
      </w:pPr>
      <w:r w:rsidRPr="00AA55C6">
        <w:rPr>
          <w:rFonts w:cstheme="minorHAnsi"/>
        </w:rPr>
        <w:t xml:space="preserve">My last concern was regarding my lack of experience with formal reflections. Watson and Wilcox (2010) suggest that novice reflectors can be “chaotic, subjective, messy, elusive and untrustworthy”.  As I was a novice, I was concerned that my reflections would not be consistent or at a sufficient level / deep enough to meet the requirements of this qualification level. This would consequently have a knock-on effect on my ability to carry out the reflective essay. Any reflections I had carried out </w:t>
      </w:r>
      <w:r>
        <w:rPr>
          <w:rFonts w:cstheme="minorHAnsi"/>
        </w:rPr>
        <w:t>prior to this module</w:t>
      </w:r>
      <w:r w:rsidRPr="00AA55C6">
        <w:rPr>
          <w:rFonts w:cstheme="minorHAnsi"/>
        </w:rPr>
        <w:t xml:space="preserve"> were typically done “for-action” or “in-action” as opposed to “on-action” or “about-action” (Day, 2010).</w:t>
      </w:r>
      <w:r>
        <w:rPr>
          <w:rFonts w:cstheme="minorHAnsi"/>
        </w:rPr>
        <w:t xml:space="preserve">  This demonstrates that my reflective practice was brief</w:t>
      </w:r>
      <w:r w:rsidRPr="00AA55C6">
        <w:rPr>
          <w:rFonts w:cstheme="minorHAnsi"/>
        </w:rPr>
        <w:t xml:space="preserve"> </w:t>
      </w:r>
      <w:r>
        <w:rPr>
          <w:rFonts w:cstheme="minorHAnsi"/>
        </w:rPr>
        <w:t xml:space="preserve">and reactive, rather than proactive.  </w:t>
      </w:r>
      <w:r w:rsidRPr="00AA55C6">
        <w:rPr>
          <w:rFonts w:cstheme="minorHAnsi"/>
        </w:rPr>
        <w:t>It wasn’t a regular or consistent practice, in my personal or professional life; simply something done in response to an event.  My preferred learning style is that of a theorist</w:t>
      </w:r>
      <w:r>
        <w:rPr>
          <w:rFonts w:cstheme="minorHAnsi"/>
        </w:rPr>
        <w:t xml:space="preserve">; which I am </w:t>
      </w:r>
      <w:r>
        <w:rPr>
          <w:rFonts w:cstheme="minorHAnsi"/>
        </w:rPr>
        <w:lastRenderedPageBreak/>
        <w:t xml:space="preserve">aware of after undertaking self-assessment on my preferred learning styles on a number of occasions over my working life, and each one has had the same result. </w:t>
      </w:r>
      <w:r w:rsidRPr="00AA55C6">
        <w:rPr>
          <w:rFonts w:cstheme="minorHAnsi"/>
        </w:rPr>
        <w:t xml:space="preserve">Reflecting is not a concept that comes naturally to me, and with that I have found this module to be quite challenging.  The formal act of dissecting and analysing previous activities that took place two years ago, when things have changed numerous times over since then, was quite arduous, particularly when I have had to learn to move quickly with the frequent changes that continuously take place in the Health Board. Remembering the details necessary for the module level was complicated.  </w:t>
      </w:r>
    </w:p>
    <w:p w14:paraId="58AA80D8" w14:textId="77777777" w:rsidR="00C654B9" w:rsidRDefault="00C654B9" w:rsidP="00C654B9">
      <w:pPr>
        <w:spacing w:afterLines="160" w:after="384" w:line="360" w:lineRule="auto"/>
        <w:rPr>
          <w:rFonts w:cstheme="minorHAnsi"/>
        </w:rPr>
      </w:pPr>
      <w:r w:rsidRPr="00AA55C6">
        <w:rPr>
          <w:rFonts w:cstheme="minorHAnsi"/>
          <w:u w:val="single"/>
        </w:rPr>
        <w:t>Process of constructing the module</w:t>
      </w:r>
      <w:r w:rsidRPr="00AA55C6">
        <w:rPr>
          <w:rFonts w:cstheme="minorHAnsi"/>
        </w:rPr>
        <w:t xml:space="preserve"> </w:t>
      </w:r>
    </w:p>
    <w:p w14:paraId="201DC2A6" w14:textId="77777777" w:rsidR="00C654B9" w:rsidRPr="00AA55C6" w:rsidRDefault="00C654B9" w:rsidP="00C654B9">
      <w:pPr>
        <w:spacing w:afterLines="160" w:after="384" w:line="360" w:lineRule="auto"/>
        <w:rPr>
          <w:rFonts w:cstheme="minorHAnsi"/>
        </w:rPr>
      </w:pPr>
      <w:r w:rsidRPr="00AA55C6">
        <w:rPr>
          <w:rFonts w:cstheme="minorHAnsi"/>
        </w:rPr>
        <w:t xml:space="preserve">The journey within the first year of my role was meant take a staged and developmental approach; however, in practice it </w:t>
      </w:r>
      <w:r>
        <w:rPr>
          <w:rFonts w:cstheme="minorHAnsi"/>
        </w:rPr>
        <w:t>did</w:t>
      </w:r>
      <w:r w:rsidRPr="00AA55C6">
        <w:rPr>
          <w:rFonts w:cstheme="minorHAnsi"/>
        </w:rPr>
        <w:t xml:space="preserve"> not.  Due to the demand and pressures being experienced in the Health Board at that time, my time and attention was being pulled in different directions, and my line manager and I had to work hard at pulling me back to the developmental path I was meant to be on.  This meant that structuring my Recognition </w:t>
      </w:r>
      <w:r>
        <w:rPr>
          <w:rFonts w:cstheme="minorHAnsi"/>
        </w:rPr>
        <w:t>and</w:t>
      </w:r>
      <w:r w:rsidRPr="00AA55C6">
        <w:rPr>
          <w:rFonts w:cstheme="minorHAnsi"/>
        </w:rPr>
        <w:t xml:space="preserve"> Accredit</w:t>
      </w:r>
      <w:r>
        <w:rPr>
          <w:rFonts w:cstheme="minorHAnsi"/>
        </w:rPr>
        <w:t>ation of</w:t>
      </w:r>
      <w:r w:rsidRPr="00AA55C6">
        <w:rPr>
          <w:rFonts w:cstheme="minorHAnsi"/>
        </w:rPr>
        <w:t xml:space="preserve"> Learning assignment into organised and logical learning areas and outcomes was a challenge.  What I learned, in reality, came in a different chronological order to what I have written in my assignments.  This was necessary for me to process what I had learned, but also for the readers’ ease and to enable them to have a fuller understanding to my developmental journey.  </w:t>
      </w:r>
    </w:p>
    <w:p w14:paraId="30C12E86" w14:textId="77777777" w:rsidR="00C654B9" w:rsidRPr="00AA55C6" w:rsidRDefault="00C654B9" w:rsidP="00C654B9">
      <w:pPr>
        <w:spacing w:afterLines="160" w:after="384" w:line="360" w:lineRule="auto"/>
        <w:rPr>
          <w:rFonts w:cstheme="minorHAnsi"/>
        </w:rPr>
      </w:pPr>
      <w:r w:rsidRPr="00AA55C6">
        <w:rPr>
          <w:rFonts w:cstheme="minorHAnsi"/>
        </w:rPr>
        <w:t>I found structuring the first Learning Area difficult, not only due to of the</w:t>
      </w:r>
      <w:r>
        <w:rPr>
          <w:rFonts w:cstheme="minorHAnsi"/>
        </w:rPr>
        <w:t xml:space="preserve"> nature of the </w:t>
      </w:r>
      <w:r w:rsidRPr="00AA55C6">
        <w:rPr>
          <w:rFonts w:cstheme="minorHAnsi"/>
        </w:rPr>
        <w:t>development journey I had experienced, but also because I was inexperienced with reflective practice.  There came the point where I had to leave Learning Outcome One, as I found myself writing, rewriting and restructuring numerous times</w:t>
      </w:r>
      <w:r>
        <w:rPr>
          <w:rFonts w:cstheme="minorHAnsi"/>
        </w:rPr>
        <w:t>. I went on to</w:t>
      </w:r>
      <w:r w:rsidRPr="00AA55C6">
        <w:rPr>
          <w:rFonts w:cstheme="minorHAnsi"/>
        </w:rPr>
        <w:t xml:space="preserve"> use what I had learned about formatting and structuring </w:t>
      </w:r>
      <w:r>
        <w:rPr>
          <w:rFonts w:cstheme="minorHAnsi"/>
        </w:rPr>
        <w:t>in Learning Outcome One</w:t>
      </w:r>
      <w:r w:rsidRPr="00AA55C6">
        <w:rPr>
          <w:rFonts w:cstheme="minorHAnsi"/>
        </w:rPr>
        <w:t xml:space="preserve"> to help me write Learning Outcome Two onwards. This is consistent with Dewey’s </w:t>
      </w:r>
      <w:r>
        <w:rPr>
          <w:rFonts w:cstheme="minorHAnsi"/>
        </w:rPr>
        <w:t xml:space="preserve">(1994) </w:t>
      </w:r>
      <w:r w:rsidRPr="00AA55C6">
        <w:rPr>
          <w:rFonts w:cstheme="minorHAnsi"/>
        </w:rPr>
        <w:t>notion that each experience builds on the previous, therefore each Learning Outcome would logically have variations.  This can likely be seen in the difference in the style, content and structure in each of the Learning Outcomes.</w:t>
      </w:r>
    </w:p>
    <w:p w14:paraId="7E22AACF" w14:textId="77777777" w:rsidR="00C654B9" w:rsidRPr="00AA55C6" w:rsidRDefault="00C654B9" w:rsidP="00C654B9">
      <w:pPr>
        <w:spacing w:afterLines="160" w:after="384" w:line="360" w:lineRule="auto"/>
        <w:rPr>
          <w:rFonts w:cstheme="minorHAnsi"/>
        </w:rPr>
      </w:pPr>
      <w:r w:rsidRPr="00AA55C6">
        <w:rPr>
          <w:rFonts w:cstheme="minorHAnsi"/>
        </w:rPr>
        <w:t xml:space="preserve">When planning the work needed for Learning Area One, I decided that using Gibbs’ Reflective Model (1991) would be advantageous, as it would provide me with a detailed </w:t>
      </w:r>
      <w:r w:rsidRPr="00AA55C6">
        <w:rPr>
          <w:rFonts w:cstheme="minorHAnsi"/>
        </w:rPr>
        <w:lastRenderedPageBreak/>
        <w:t xml:space="preserve">structure that </w:t>
      </w:r>
      <w:r>
        <w:rPr>
          <w:rFonts w:cstheme="minorHAnsi"/>
        </w:rPr>
        <w:t>might</w:t>
      </w:r>
      <w:r w:rsidRPr="00AA55C6">
        <w:rPr>
          <w:rFonts w:cstheme="minorHAnsi"/>
        </w:rPr>
        <w:t xml:space="preserve"> help me achieve the level of depth I perceived would be necessary for this qualification.  While developing the first learning outcome of that Learning Are</w:t>
      </w:r>
      <w:r>
        <w:rPr>
          <w:rFonts w:cstheme="minorHAnsi"/>
        </w:rPr>
        <w:t>a</w:t>
      </w:r>
      <w:r w:rsidRPr="00AA55C6">
        <w:rPr>
          <w:rFonts w:cstheme="minorHAnsi"/>
        </w:rPr>
        <w:t xml:space="preserve">, however, I could see that using </w:t>
      </w:r>
      <w:r>
        <w:rPr>
          <w:rFonts w:cstheme="minorHAnsi"/>
        </w:rPr>
        <w:t>Gibbs’</w:t>
      </w:r>
      <w:r w:rsidRPr="00AA55C6">
        <w:rPr>
          <w:rFonts w:cstheme="minorHAnsi"/>
        </w:rPr>
        <w:t xml:space="preserve"> Model (1990) was a hinderance to the way I thought about my learning.  It was making the writing of the learning </w:t>
      </w:r>
      <w:r>
        <w:rPr>
          <w:rFonts w:cstheme="minorHAnsi"/>
        </w:rPr>
        <w:t xml:space="preserve">area </w:t>
      </w:r>
      <w:r w:rsidRPr="00AA55C6">
        <w:rPr>
          <w:rFonts w:cstheme="minorHAnsi"/>
        </w:rPr>
        <w:t>more complicated that it should have been.  It was adding more time and more detail than was needed, and I was more focused on each of the 7 steps to the model</w:t>
      </w:r>
      <w:r>
        <w:rPr>
          <w:rFonts w:cstheme="minorHAnsi"/>
        </w:rPr>
        <w:t xml:space="preserve"> rather</w:t>
      </w:r>
      <w:r w:rsidRPr="00AA55C6">
        <w:rPr>
          <w:rFonts w:cstheme="minorHAnsi"/>
        </w:rPr>
        <w:t xml:space="preserve"> than on the important aspect of reflecting and learning.  After discussing my issue with my lecturer, I decided to keep using </w:t>
      </w:r>
      <w:r>
        <w:rPr>
          <w:rFonts w:cstheme="minorHAnsi"/>
        </w:rPr>
        <w:t>Gibb’s Model (1990)</w:t>
      </w:r>
      <w:r w:rsidRPr="00AA55C6">
        <w:rPr>
          <w:rFonts w:cstheme="minorHAnsi"/>
        </w:rPr>
        <w:t xml:space="preserve"> for the remainder of the first Learning Area, but </w:t>
      </w:r>
      <w:r>
        <w:rPr>
          <w:rFonts w:cstheme="minorHAnsi"/>
        </w:rPr>
        <w:t>planned to</w:t>
      </w:r>
      <w:r w:rsidRPr="00AA55C6">
        <w:rPr>
          <w:rFonts w:cstheme="minorHAnsi"/>
        </w:rPr>
        <w:t xml:space="preserve"> change to another reflective model for Learning Area Two to help me structure work better</w:t>
      </w:r>
      <w:r>
        <w:rPr>
          <w:rFonts w:cstheme="minorHAnsi"/>
        </w:rPr>
        <w:t xml:space="preserve">.  I hoped that a different model would </w:t>
      </w:r>
      <w:r w:rsidRPr="00AA55C6">
        <w:rPr>
          <w:rFonts w:cstheme="minorHAnsi"/>
        </w:rPr>
        <w:t xml:space="preserve">keep the focus on what was important to the assignment and </w:t>
      </w:r>
      <w:r>
        <w:rPr>
          <w:rFonts w:cstheme="minorHAnsi"/>
        </w:rPr>
        <w:t>would be simpler for me to follow.</w:t>
      </w:r>
      <w:r w:rsidRPr="00AA55C6">
        <w:rPr>
          <w:rFonts w:cstheme="minorHAnsi"/>
        </w:rPr>
        <w:t xml:space="preserve">  </w:t>
      </w:r>
    </w:p>
    <w:p w14:paraId="12FFC921" w14:textId="77777777" w:rsidR="00C654B9" w:rsidRPr="00AA55C6" w:rsidRDefault="00C654B9" w:rsidP="00C654B9">
      <w:pPr>
        <w:spacing w:afterLines="160" w:after="384" w:line="360" w:lineRule="auto"/>
        <w:rPr>
          <w:rFonts w:cstheme="minorHAnsi"/>
        </w:rPr>
      </w:pPr>
      <w:r w:rsidRPr="00AA55C6">
        <w:rPr>
          <w:rFonts w:cstheme="minorHAnsi"/>
        </w:rPr>
        <w:t xml:space="preserve">For the second Learning Area, I chose Jasper’s ERA Cycle to assist me in understanding my learning and development </w:t>
      </w:r>
      <w:r w:rsidRPr="00AA55C6">
        <w:rPr>
          <w:rFonts w:cstheme="minorHAnsi"/>
          <w:noProof/>
        </w:rPr>
        <w:t>(</w:t>
      </w:r>
      <w:r>
        <w:rPr>
          <w:rFonts w:cstheme="minorHAnsi"/>
          <w:noProof/>
        </w:rPr>
        <w:t xml:space="preserve">Hull University </w:t>
      </w:r>
      <w:r w:rsidRPr="00AA55C6">
        <w:rPr>
          <w:rFonts w:cstheme="minorHAnsi"/>
          <w:noProof/>
        </w:rPr>
        <w:t xml:space="preserve">Library, 2022; </w:t>
      </w:r>
      <w:r>
        <w:rPr>
          <w:rFonts w:cstheme="minorHAnsi"/>
          <w:noProof/>
        </w:rPr>
        <w:t xml:space="preserve">Cambridge Library Study </w:t>
      </w:r>
      <w:r w:rsidRPr="00AA55C6">
        <w:rPr>
          <w:rFonts w:cstheme="minorHAnsi"/>
          <w:noProof/>
        </w:rPr>
        <w:t>Skills, n.d.)</w:t>
      </w:r>
      <w:r>
        <w:rPr>
          <w:rFonts w:cstheme="minorHAnsi"/>
          <w:noProof/>
        </w:rPr>
        <w:t>, which</w:t>
      </w:r>
      <w:r w:rsidRPr="00AA55C6">
        <w:rPr>
          <w:rFonts w:cstheme="minorHAnsi"/>
          <w:noProof/>
        </w:rPr>
        <w:t xml:space="preserve"> I found to be of greater help.  The reason for this, I believe, links to my preferred learning style of being a theorist. I believe that by the time I undertook Learning Area Two I had come to understand reflective practice and a number of its theories, meaning that I didn’t need as much structure or guidance to put into practice.  I believe that the number of steps within Gibb’s Reflective Cycle (1991), at this stage, would have been more of a hinderance to me than a help. </w:t>
      </w:r>
      <w:r w:rsidRPr="00AA55C6">
        <w:rPr>
          <w:rFonts w:cstheme="minorHAnsi"/>
        </w:rPr>
        <w:t xml:space="preserve"> Thompson and Pascal (2011) noted that there is a potential for reflection to be oversimplified.  Had I used Jasper’s ERA Cycle in the first Learning Area, without my fully comprehending reflective practice, I may have fallen into this trap and not provide the level of detail needed.</w:t>
      </w:r>
    </w:p>
    <w:p w14:paraId="79D3A943" w14:textId="77777777" w:rsidR="00C654B9" w:rsidRPr="00AA55C6" w:rsidRDefault="00C654B9" w:rsidP="00C654B9">
      <w:pPr>
        <w:spacing w:afterLines="160" w:after="384" w:line="360" w:lineRule="auto"/>
        <w:rPr>
          <w:rFonts w:cstheme="minorHAnsi"/>
        </w:rPr>
      </w:pPr>
      <w:r>
        <w:rPr>
          <w:rFonts w:cstheme="minorHAnsi"/>
        </w:rPr>
        <w:t>As noted in my Recognition and Accreditation of Learning portfolio, m</w:t>
      </w:r>
      <w:r w:rsidRPr="00AA55C6">
        <w:rPr>
          <w:rFonts w:cstheme="minorHAnsi"/>
        </w:rPr>
        <w:t xml:space="preserve">y role as Workforce Planning Project Manager was not only a first for Hywel Dda Health Board, but the first in NHS Wales, therefore the development journey has not really ended.  I have continuously assessed, reassessed, and modified my activities and my way of working since the commencement of the role. In addition, my experiences have been considerable.  However, Beard and Wilson suggest that while “experience underpins all learning, learning may not result from all experience” </w:t>
      </w:r>
      <w:r w:rsidRPr="00AA55C6">
        <w:rPr>
          <w:rFonts w:cstheme="minorHAnsi"/>
          <w:noProof/>
        </w:rPr>
        <w:t xml:space="preserve">(Beard </w:t>
      </w:r>
      <w:r>
        <w:rPr>
          <w:rFonts w:cstheme="minorHAnsi"/>
          <w:noProof/>
        </w:rPr>
        <w:t>and</w:t>
      </w:r>
      <w:r w:rsidRPr="00AA55C6">
        <w:rPr>
          <w:rFonts w:cstheme="minorHAnsi"/>
          <w:noProof/>
        </w:rPr>
        <w:t xml:space="preserve"> Wilson, 2006)</w:t>
      </w:r>
      <w:r w:rsidRPr="00AA55C6">
        <w:rPr>
          <w:rFonts w:cstheme="minorHAnsi"/>
        </w:rPr>
        <w:t xml:space="preserve">.  Therefore, deciding how to narrow down and focus on what was learned from the vast number of experiences was challenging.  It appeared logical to focus one Learning Area on my development during the twelve-month Annex 21 Training Contract.  However, determining which elements of my development could be grouped into specific learning outcomes was complicated.  It was only through working with my colleagues and my lecturer that I was able to determine these Learning Outcomes.  Again, choosing the second Learning Area and its </w:t>
      </w:r>
      <w:r>
        <w:rPr>
          <w:rFonts w:cstheme="minorHAnsi"/>
        </w:rPr>
        <w:t>ou</w:t>
      </w:r>
      <w:r w:rsidRPr="00AA55C6">
        <w:rPr>
          <w:rFonts w:cstheme="minorHAnsi"/>
        </w:rPr>
        <w:t xml:space="preserve">tcomes were just as arduous, if not more so.  My areas of working are intricately interwoven, so separating into themes or areas and not referring to learning twice was complex.  </w:t>
      </w:r>
      <w:r>
        <w:rPr>
          <w:rFonts w:cstheme="minorHAnsi"/>
        </w:rPr>
        <w:t xml:space="preserve">It has been acknowledged that as work environments become more complex, the decision on what skill to hone or what area to gain knowledge on becomes more difficult </w:t>
      </w:r>
      <w:sdt>
        <w:sdtPr>
          <w:rPr>
            <w:rFonts w:cstheme="minorHAnsi"/>
          </w:rPr>
          <w:id w:val="-433132272"/>
          <w:citation/>
        </w:sdtPr>
        <w:sdtEndPr/>
        <w:sdtContent>
          <w:r>
            <w:rPr>
              <w:rFonts w:cstheme="minorHAnsi"/>
            </w:rPr>
            <w:fldChar w:fldCharType="begin"/>
          </w:r>
          <w:r>
            <w:rPr>
              <w:rFonts w:cstheme="minorHAnsi"/>
            </w:rPr>
            <w:instrText xml:space="preserve"> CITATION Aru21 \l 2057 </w:instrText>
          </w:r>
          <w:r>
            <w:rPr>
              <w:rFonts w:cstheme="minorHAnsi"/>
            </w:rPr>
            <w:fldChar w:fldCharType="separate"/>
          </w:r>
          <w:r w:rsidRPr="00051446">
            <w:rPr>
              <w:rFonts w:cstheme="minorHAnsi"/>
              <w:noProof/>
            </w:rPr>
            <w:t>(Arumugam &amp; Van Roy, 2021)</w:t>
          </w:r>
          <w:r>
            <w:rPr>
              <w:rFonts w:cstheme="minorHAnsi"/>
            </w:rPr>
            <w:fldChar w:fldCharType="end"/>
          </w:r>
        </w:sdtContent>
      </w:sdt>
      <w:r>
        <w:rPr>
          <w:rFonts w:cstheme="minorHAnsi"/>
        </w:rPr>
        <w:t xml:space="preserve">.  In addition, the Dunning-Kruger Effect (2003) suggested that individuals are often unaware of what they do not know, which makes decision making, particularly in what areas to learn, incredibly difficult.  Both suggestions by these academics emphasises difficulty I faced when deciding what area to include. </w:t>
      </w:r>
    </w:p>
    <w:p w14:paraId="48116AF9" w14:textId="77777777" w:rsidR="00C654B9" w:rsidRPr="00AA55C6" w:rsidRDefault="00C654B9" w:rsidP="00C654B9">
      <w:pPr>
        <w:spacing w:afterLines="160" w:after="384" w:line="360" w:lineRule="auto"/>
        <w:rPr>
          <w:rFonts w:cstheme="minorHAnsi"/>
        </w:rPr>
      </w:pPr>
      <w:r w:rsidRPr="00AA55C6">
        <w:rPr>
          <w:rFonts w:cstheme="minorHAnsi"/>
        </w:rPr>
        <w:t xml:space="preserve">Gathering the evidence </w:t>
      </w:r>
      <w:r>
        <w:rPr>
          <w:rFonts w:cstheme="minorHAnsi"/>
        </w:rPr>
        <w:t>to demonstrate</w:t>
      </w:r>
      <w:r w:rsidRPr="00AA55C6">
        <w:rPr>
          <w:rFonts w:cstheme="minorHAnsi"/>
        </w:rPr>
        <w:t xml:space="preserve"> the learning </w:t>
      </w:r>
      <w:r>
        <w:rPr>
          <w:rFonts w:cstheme="minorHAnsi"/>
        </w:rPr>
        <w:t>proved to be</w:t>
      </w:r>
      <w:r w:rsidRPr="00AA55C6">
        <w:rPr>
          <w:rFonts w:cstheme="minorHAnsi"/>
        </w:rPr>
        <w:t xml:space="preserve"> a challenge</w:t>
      </w:r>
      <w:r>
        <w:rPr>
          <w:rFonts w:cstheme="minorHAnsi"/>
        </w:rPr>
        <w:t xml:space="preserve"> in different ways</w:t>
      </w:r>
      <w:r w:rsidRPr="00AA55C6">
        <w:rPr>
          <w:rFonts w:cstheme="minorHAnsi"/>
        </w:rPr>
        <w:t xml:space="preserve">. I </w:t>
      </w:r>
      <w:r>
        <w:rPr>
          <w:rFonts w:cstheme="minorHAnsi"/>
        </w:rPr>
        <w:t xml:space="preserve">found that I </w:t>
      </w:r>
      <w:r w:rsidRPr="00AA55C6">
        <w:rPr>
          <w:rFonts w:cstheme="minorHAnsi"/>
        </w:rPr>
        <w:t xml:space="preserve">had ample evidence </w:t>
      </w:r>
      <w:r>
        <w:rPr>
          <w:rFonts w:cstheme="minorHAnsi"/>
        </w:rPr>
        <w:t>to demonstrate</w:t>
      </w:r>
      <w:r w:rsidRPr="00AA55C6">
        <w:rPr>
          <w:rFonts w:cstheme="minorHAnsi"/>
        </w:rPr>
        <w:t xml:space="preserve"> some</w:t>
      </w:r>
      <w:r>
        <w:rPr>
          <w:rFonts w:cstheme="minorHAnsi"/>
        </w:rPr>
        <w:t xml:space="preserve"> of the</w:t>
      </w:r>
      <w:r w:rsidRPr="00AA55C6">
        <w:rPr>
          <w:rFonts w:cstheme="minorHAnsi"/>
        </w:rPr>
        <w:t xml:space="preserve"> areas</w:t>
      </w:r>
      <w:r>
        <w:rPr>
          <w:rFonts w:cstheme="minorHAnsi"/>
        </w:rPr>
        <w:t>,</w:t>
      </w:r>
      <w:r w:rsidRPr="00AA55C6">
        <w:rPr>
          <w:rFonts w:cstheme="minorHAnsi"/>
        </w:rPr>
        <w:t xml:space="preserve"> where it was difficult to cho</w:t>
      </w:r>
      <w:r>
        <w:rPr>
          <w:rFonts w:cstheme="minorHAnsi"/>
        </w:rPr>
        <w:t>o</w:t>
      </w:r>
      <w:r w:rsidRPr="00AA55C6">
        <w:rPr>
          <w:rFonts w:cstheme="minorHAnsi"/>
        </w:rPr>
        <w:t>se which ones would be most relevant and provide the strongest proof of learning</w:t>
      </w:r>
      <w:r>
        <w:rPr>
          <w:rFonts w:cstheme="minorHAnsi"/>
        </w:rPr>
        <w:t>. H</w:t>
      </w:r>
      <w:r w:rsidRPr="00AA55C6">
        <w:rPr>
          <w:rFonts w:cstheme="minorHAnsi"/>
        </w:rPr>
        <w:t>owever, there were other areas where the physical evidence was limited despite there being definite learning in place. For the areas of learning</w:t>
      </w:r>
      <w:r>
        <w:rPr>
          <w:rFonts w:cstheme="minorHAnsi"/>
        </w:rPr>
        <w:t xml:space="preserve"> with limited physical evidence</w:t>
      </w:r>
      <w:r w:rsidRPr="00AA55C6">
        <w:rPr>
          <w:rFonts w:cstheme="minorHAnsi"/>
        </w:rPr>
        <w:t xml:space="preserve">, I was able to understand the external experience through an internal reflection, but without physical evidence, only my recollection </w:t>
      </w:r>
      <w:sdt>
        <w:sdtPr>
          <w:rPr>
            <w:rFonts w:cstheme="minorHAnsi"/>
          </w:rPr>
          <w:id w:val="-977684134"/>
          <w:citation/>
        </w:sdtPr>
        <w:sdtEndPr/>
        <w:sdtContent>
          <w:r w:rsidRPr="00AA55C6">
            <w:rPr>
              <w:rFonts w:cstheme="minorHAnsi"/>
            </w:rPr>
            <w:fldChar w:fldCharType="begin"/>
          </w:r>
          <w:r w:rsidRPr="00AA55C6">
            <w:rPr>
              <w:rFonts w:cstheme="minorHAnsi"/>
            </w:rPr>
            <w:instrText xml:space="preserve">CITATION Col06 \t  \l 2057 </w:instrText>
          </w:r>
          <w:r w:rsidRPr="00AA55C6">
            <w:rPr>
              <w:rFonts w:cstheme="minorHAnsi"/>
            </w:rPr>
            <w:fldChar w:fldCharType="separate"/>
          </w:r>
          <w:r w:rsidRPr="00051446">
            <w:rPr>
              <w:rFonts w:cstheme="minorHAnsi"/>
              <w:noProof/>
            </w:rPr>
            <w:t>(Beard, 2006)</w:t>
          </w:r>
          <w:r w:rsidRPr="00AA55C6">
            <w:rPr>
              <w:rFonts w:cstheme="minorHAnsi"/>
            </w:rPr>
            <w:fldChar w:fldCharType="end"/>
          </w:r>
        </w:sdtContent>
      </w:sdt>
      <w:r w:rsidRPr="00AA55C6">
        <w:rPr>
          <w:rFonts w:cstheme="minorHAnsi"/>
        </w:rPr>
        <w:t xml:space="preserve">. Therefore, although it was relevant to my module, I was hesitant to include it.  </w:t>
      </w:r>
      <w:r>
        <w:rPr>
          <w:rFonts w:cstheme="minorHAnsi"/>
        </w:rPr>
        <w:t xml:space="preserve">However, American clinician, Mark Crislip, claims that there is no such thing as no evidence </w:t>
      </w:r>
      <w:sdt>
        <w:sdtPr>
          <w:rPr>
            <w:rFonts w:cstheme="minorHAnsi"/>
          </w:rPr>
          <w:id w:val="323018055"/>
          <w:citation/>
        </w:sdtPr>
        <w:sdtEndPr/>
        <w:sdtContent>
          <w:r>
            <w:rPr>
              <w:rFonts w:cstheme="minorHAnsi"/>
            </w:rPr>
            <w:fldChar w:fldCharType="begin"/>
          </w:r>
          <w:r>
            <w:rPr>
              <w:rFonts w:cstheme="minorHAnsi"/>
            </w:rPr>
            <w:instrText xml:space="preserve"> CITATION Mar15 \l 2057 </w:instrText>
          </w:r>
          <w:r>
            <w:rPr>
              <w:rFonts w:cstheme="minorHAnsi"/>
            </w:rPr>
            <w:fldChar w:fldCharType="separate"/>
          </w:r>
          <w:r w:rsidRPr="00051446">
            <w:rPr>
              <w:rFonts w:cstheme="minorHAnsi"/>
              <w:noProof/>
            </w:rPr>
            <w:t>(Crislip, 2015)</w:t>
          </w:r>
          <w:r>
            <w:rPr>
              <w:rFonts w:cstheme="minorHAnsi"/>
            </w:rPr>
            <w:fldChar w:fldCharType="end"/>
          </w:r>
        </w:sdtContent>
      </w:sdt>
      <w:r>
        <w:rPr>
          <w:rFonts w:cstheme="minorHAnsi"/>
        </w:rPr>
        <w:t>.  He claims that there is always evidence, though it may not have been recorded or of good quality, but it is there.  With this in mind, I did look at what could be classed as evidence and found that there was more than I initially thought.  For example, screenshots of calendar appointments provide evidence that a meeting and a discussion took place, which can</w:t>
      </w:r>
      <w:r w:rsidRPr="0094323C">
        <w:rPr>
          <w:rFonts w:cstheme="minorHAnsi"/>
        </w:rPr>
        <w:t xml:space="preserve"> </w:t>
      </w:r>
      <w:r>
        <w:rPr>
          <w:rFonts w:cstheme="minorHAnsi"/>
        </w:rPr>
        <w:t xml:space="preserve">support the claim of learning.  </w:t>
      </w:r>
      <w:r w:rsidRPr="00AA55C6">
        <w:rPr>
          <w:rFonts w:cstheme="minorHAnsi"/>
        </w:rPr>
        <w:t>Additionally, the pieces of evidence that provided proof of what I had included in my assignment were very large, and so locating and isolating it was time consuming.</w:t>
      </w:r>
    </w:p>
    <w:p w14:paraId="5F41A135" w14:textId="77777777" w:rsidR="00C654B9" w:rsidRPr="00AA55C6" w:rsidRDefault="00C654B9" w:rsidP="00C654B9">
      <w:pPr>
        <w:spacing w:afterLines="160" w:after="384" w:line="360" w:lineRule="auto"/>
        <w:rPr>
          <w:rFonts w:cstheme="minorHAnsi"/>
          <w:u w:val="single"/>
        </w:rPr>
      </w:pPr>
      <w:r w:rsidRPr="00AA55C6">
        <w:rPr>
          <w:rFonts w:cstheme="minorHAnsi"/>
          <w:u w:val="single"/>
        </w:rPr>
        <w:t>Learning from the module</w:t>
      </w:r>
      <w:r w:rsidRPr="00AA55C6">
        <w:rPr>
          <w:rFonts w:cstheme="minorHAnsi"/>
        </w:rPr>
        <w:t xml:space="preserve"> </w:t>
      </w:r>
    </w:p>
    <w:p w14:paraId="73D2446B" w14:textId="77777777" w:rsidR="00C654B9" w:rsidRPr="00EA50D8" w:rsidRDefault="00C654B9" w:rsidP="00C654B9">
      <w:pPr>
        <w:spacing w:afterLines="160" w:after="384" w:line="360" w:lineRule="auto"/>
        <w:rPr>
          <w:rFonts w:cstheme="minorHAnsi"/>
          <w:color w:val="000000" w:themeColor="text1"/>
        </w:rPr>
      </w:pPr>
      <w:r w:rsidRPr="00EA50D8">
        <w:rPr>
          <w:rFonts w:cstheme="minorHAnsi"/>
          <w:color w:val="000000" w:themeColor="text1"/>
        </w:rPr>
        <w:t xml:space="preserve">From my time developing the Recognition </w:t>
      </w:r>
      <w:r>
        <w:rPr>
          <w:rFonts w:cstheme="minorHAnsi"/>
          <w:color w:val="000000" w:themeColor="text1"/>
        </w:rPr>
        <w:t>and</w:t>
      </w:r>
      <w:r w:rsidRPr="00EA50D8">
        <w:rPr>
          <w:rFonts w:cstheme="minorHAnsi"/>
          <w:color w:val="000000" w:themeColor="text1"/>
        </w:rPr>
        <w:t xml:space="preserve"> Accredit</w:t>
      </w:r>
      <w:r>
        <w:rPr>
          <w:rFonts w:cstheme="minorHAnsi"/>
          <w:color w:val="000000" w:themeColor="text1"/>
        </w:rPr>
        <w:t>ation of</w:t>
      </w:r>
      <w:r w:rsidRPr="00EA50D8">
        <w:rPr>
          <w:rFonts w:cstheme="minorHAnsi"/>
          <w:color w:val="000000" w:themeColor="text1"/>
        </w:rPr>
        <w:t xml:space="preserve"> Learning module, I have come to understand that I have the capability and the ability to perform my role well.  I am stronger tha</w:t>
      </w:r>
      <w:r>
        <w:rPr>
          <w:rFonts w:cstheme="minorHAnsi"/>
          <w:color w:val="000000" w:themeColor="text1"/>
        </w:rPr>
        <w:t>n</w:t>
      </w:r>
      <w:r w:rsidRPr="00EA50D8">
        <w:rPr>
          <w:rFonts w:cstheme="minorHAnsi"/>
          <w:color w:val="000000" w:themeColor="text1"/>
        </w:rPr>
        <w:t xml:space="preserve"> I realised, in that I am willing and able to challenge individuals in roles more senior than myself. I have </w:t>
      </w:r>
      <w:r>
        <w:rPr>
          <w:rFonts w:cstheme="minorHAnsi"/>
          <w:color w:val="000000" w:themeColor="text1"/>
        </w:rPr>
        <w:t xml:space="preserve">desire to </w:t>
      </w:r>
      <w:r w:rsidRPr="00EA50D8">
        <w:rPr>
          <w:rFonts w:cstheme="minorHAnsi"/>
          <w:color w:val="000000" w:themeColor="text1"/>
        </w:rPr>
        <w:t>connec</w:t>
      </w:r>
      <w:r>
        <w:rPr>
          <w:rFonts w:cstheme="minorHAnsi"/>
          <w:color w:val="000000" w:themeColor="text1"/>
        </w:rPr>
        <w:t>t</w:t>
      </w:r>
      <w:r w:rsidRPr="00EA50D8">
        <w:rPr>
          <w:rFonts w:cstheme="minorHAnsi"/>
          <w:color w:val="000000" w:themeColor="text1"/>
        </w:rPr>
        <w:t xml:space="preserve"> to people, and strong empathetic skills leading me to want to help people.  This has meant that my style of working has been, and is, more in an Organisational Development sense.  Lomax (2010) suggests that by showing empathy, you consider others’ personal learning, motivation and experience.  By expanding my personal reflective practice to consider others is said to allow for a more meaningful interaction with those individuals and a richer experience (Chinn </w:t>
      </w:r>
      <w:r>
        <w:rPr>
          <w:rFonts w:cstheme="minorHAnsi"/>
          <w:color w:val="000000" w:themeColor="text1"/>
        </w:rPr>
        <w:t>and</w:t>
      </w:r>
      <w:r w:rsidRPr="00EA50D8">
        <w:rPr>
          <w:rFonts w:cstheme="minorHAnsi"/>
          <w:color w:val="000000" w:themeColor="text1"/>
        </w:rPr>
        <w:t xml:space="preserve"> Kramer, 2008, p.135).</w:t>
      </w:r>
    </w:p>
    <w:p w14:paraId="6497B8BA" w14:textId="77777777" w:rsidR="00C654B9" w:rsidRPr="003901D6" w:rsidRDefault="00C654B9" w:rsidP="00C654B9">
      <w:pPr>
        <w:spacing w:afterLines="160" w:after="384" w:line="360" w:lineRule="auto"/>
        <w:rPr>
          <w:rFonts w:cstheme="minorHAnsi"/>
          <w:i/>
          <w:iCs/>
        </w:rPr>
      </w:pPr>
      <w:r w:rsidRPr="003901D6">
        <w:rPr>
          <w:rFonts w:cstheme="minorHAnsi"/>
        </w:rPr>
        <w:t>I have also realised that I can get very frustrated when things are not done the way they should</w:t>
      </w:r>
      <w:r>
        <w:rPr>
          <w:rFonts w:cstheme="minorHAnsi"/>
        </w:rPr>
        <w:t xml:space="preserve">, </w:t>
      </w:r>
      <w:r w:rsidRPr="003901D6">
        <w:rPr>
          <w:rFonts w:cstheme="minorHAnsi"/>
        </w:rPr>
        <w:t xml:space="preserve">bringing about an unjust consequence, either due to people being selfish or not thinking about other teams and/or the big picture.  However, through the reflection carried out for this module, I have come to recognise that I am able to internalise the negative side of my frustration until I speak to my team, particularly my line manager when it needs to be verbalised, but that the subsequent actions are professional and solutions orientated. It has been suggested </w:t>
      </w:r>
      <w:r>
        <w:rPr>
          <w:rFonts w:cstheme="minorHAnsi"/>
        </w:rPr>
        <w:t xml:space="preserve">by </w:t>
      </w:r>
      <w:proofErr w:type="spellStart"/>
      <w:r>
        <w:rPr>
          <w:rFonts w:cstheme="minorHAnsi"/>
        </w:rPr>
        <w:t>Ogbonnaya</w:t>
      </w:r>
      <w:proofErr w:type="spellEnd"/>
      <w:r>
        <w:rPr>
          <w:rFonts w:cstheme="minorHAnsi"/>
        </w:rPr>
        <w:t xml:space="preserve"> (2019) that </w:t>
      </w:r>
      <w:r w:rsidRPr="003901D6">
        <w:rPr>
          <w:rFonts w:cstheme="minorHAnsi"/>
        </w:rPr>
        <w:t>when a line manager and subordinate have a good relationship built on trust, empathy, and good communication, the support gained can increase productivity, aid problem-solving and development. When that is coupled with excellent teamwork, which in itself is said to increase productivity as well promot</w:t>
      </w:r>
      <w:r>
        <w:rPr>
          <w:rFonts w:cstheme="minorHAnsi"/>
        </w:rPr>
        <w:t>ing</w:t>
      </w:r>
      <w:r w:rsidRPr="003901D6">
        <w:rPr>
          <w:rFonts w:cstheme="minorHAnsi"/>
        </w:rPr>
        <w:t xml:space="preserve"> wellbeing amongst staff, it lays an excellent foundation for an individual to safely voice concerns and ask for advice </w:t>
      </w:r>
      <w:sdt>
        <w:sdtPr>
          <w:rPr>
            <w:rFonts w:cstheme="minorHAnsi"/>
          </w:rPr>
          <w:id w:val="-157769645"/>
          <w:citation/>
        </w:sdtPr>
        <w:sdtEndPr/>
        <w:sdtContent>
          <w:r w:rsidRPr="003901D6">
            <w:rPr>
              <w:rFonts w:cstheme="minorHAnsi"/>
            </w:rPr>
            <w:fldChar w:fldCharType="begin"/>
          </w:r>
          <w:r w:rsidRPr="003901D6">
            <w:rPr>
              <w:rFonts w:cstheme="minorHAnsi"/>
            </w:rPr>
            <w:instrText xml:space="preserve"> CITATION Chi19 \l 2057 </w:instrText>
          </w:r>
          <w:r w:rsidRPr="003901D6">
            <w:rPr>
              <w:rFonts w:cstheme="minorHAnsi"/>
            </w:rPr>
            <w:fldChar w:fldCharType="separate"/>
          </w:r>
          <w:r w:rsidRPr="00051446">
            <w:rPr>
              <w:rFonts w:cstheme="minorHAnsi"/>
              <w:noProof/>
            </w:rPr>
            <w:t>(Ogbonnaya, 2019)</w:t>
          </w:r>
          <w:r w:rsidRPr="003901D6">
            <w:rPr>
              <w:rFonts w:cstheme="minorHAnsi"/>
            </w:rPr>
            <w:fldChar w:fldCharType="end"/>
          </w:r>
        </w:sdtContent>
      </w:sdt>
      <w:r w:rsidRPr="003901D6">
        <w:rPr>
          <w:rFonts w:cstheme="minorHAnsi"/>
        </w:rPr>
        <w:t>.  This is where I have found myself to be on multiple occasions.  Being able to approach either my team and/or my line manager to discuss my work helps me to manage</w:t>
      </w:r>
      <w:r>
        <w:rPr>
          <w:rFonts w:cstheme="minorHAnsi"/>
        </w:rPr>
        <w:t xml:space="preserve"> </w:t>
      </w:r>
      <w:r w:rsidRPr="003901D6">
        <w:rPr>
          <w:rFonts w:cstheme="minorHAnsi"/>
        </w:rPr>
        <w:t>my frustrations, work at what is in my control and signpost or report when necessary.  This al</w:t>
      </w:r>
      <w:r>
        <w:rPr>
          <w:rFonts w:cstheme="minorHAnsi"/>
        </w:rPr>
        <w:t>so serves to help with the tendency I have to over thinks matters, as talking matters through limits the effects of my cognitive obsessive compulsive disorder, and therefore</w:t>
      </w:r>
      <w:r w:rsidRPr="003901D6">
        <w:rPr>
          <w:rFonts w:cstheme="minorHAnsi"/>
        </w:rPr>
        <w:t xml:space="preserve"> aids my wellbeing also, of which I am grateful.</w:t>
      </w:r>
    </w:p>
    <w:p w14:paraId="2B969B27" w14:textId="77777777" w:rsidR="00C654B9" w:rsidRDefault="00C654B9" w:rsidP="00C654B9">
      <w:pPr>
        <w:spacing w:afterLines="160" w:after="384" w:line="360" w:lineRule="auto"/>
        <w:rPr>
          <w:rFonts w:cstheme="minorHAnsi"/>
          <w:color w:val="FF0000"/>
        </w:rPr>
      </w:pPr>
      <w:r w:rsidRPr="00EA50D8">
        <w:rPr>
          <w:rFonts w:cstheme="minorHAnsi"/>
          <w:color w:val="000000" w:themeColor="text1"/>
        </w:rPr>
        <w:t xml:space="preserve">One aspect I have learned about myself during this module is that I like to keep things simple.  Workforce Planning is a complex concept with varying methodologies, principles, and activities (CIPD, 2021).  To effectively teach people to understand and apply workforce planning in their work, I have to keep it simple in my own mind, and then add layers when appropriate. </w:t>
      </w:r>
      <w:r>
        <w:rPr>
          <w:rFonts w:cstheme="minorHAnsi"/>
          <w:color w:val="000000" w:themeColor="text1"/>
        </w:rPr>
        <w:t xml:space="preserve">This way I am then able to build and present the information in different ways, according to the learners’ preferred learning style, pace and other needs, whilst still keeping it simple and logical in my own mind </w:t>
      </w:r>
      <w:r w:rsidRPr="00FE339D">
        <w:rPr>
          <w:rFonts w:cstheme="minorHAnsi"/>
          <w:noProof/>
          <w:color w:val="000000" w:themeColor="text1"/>
        </w:rPr>
        <w:t>(Marcy, 2001</w:t>
      </w:r>
      <w:r>
        <w:rPr>
          <w:rFonts w:cstheme="minorHAnsi"/>
          <w:noProof/>
          <w:color w:val="000000" w:themeColor="text1"/>
        </w:rPr>
        <w:t xml:space="preserve">; </w:t>
      </w:r>
      <w:r w:rsidRPr="00FE339D">
        <w:rPr>
          <w:rFonts w:cstheme="minorHAnsi"/>
          <w:noProof/>
          <w:color w:val="000000" w:themeColor="text1"/>
        </w:rPr>
        <w:t>Mumford, 1995)</w:t>
      </w:r>
      <w:r>
        <w:rPr>
          <w:rFonts w:cstheme="minorHAnsi"/>
          <w:color w:val="000000" w:themeColor="text1"/>
        </w:rPr>
        <w:t>.</w:t>
      </w:r>
      <w:r w:rsidRPr="00EA50D8">
        <w:rPr>
          <w:rFonts w:cstheme="minorHAnsi"/>
          <w:color w:val="000000" w:themeColor="text1"/>
        </w:rPr>
        <w:t xml:space="preserve">  The same applies to how I developed the reflection for both Learning Areas.  I found Gibbs’ reflective model </w:t>
      </w:r>
      <w:sdt>
        <w:sdtPr>
          <w:rPr>
            <w:rFonts w:cstheme="minorHAnsi"/>
            <w:color w:val="000000" w:themeColor="text1"/>
          </w:rPr>
          <w:id w:val="-1544663689"/>
          <w:citation/>
        </w:sdtPr>
        <w:sdtEndPr/>
        <w:sdtContent>
          <w:r w:rsidRPr="00EA50D8">
            <w:rPr>
              <w:rFonts w:cstheme="minorHAnsi"/>
              <w:color w:val="000000" w:themeColor="text1"/>
            </w:rPr>
            <w:fldChar w:fldCharType="begin"/>
          </w:r>
          <w:r>
            <w:rPr>
              <w:rFonts w:cstheme="minorHAnsi"/>
              <w:color w:val="000000" w:themeColor="text1"/>
            </w:rPr>
            <w:instrText xml:space="preserve">CITATION Hul22 \l 2057 </w:instrText>
          </w:r>
          <w:r w:rsidRPr="00EA50D8">
            <w:rPr>
              <w:rFonts w:cstheme="minorHAnsi"/>
              <w:color w:val="000000" w:themeColor="text1"/>
            </w:rPr>
            <w:fldChar w:fldCharType="separate"/>
          </w:r>
          <w:r w:rsidRPr="00051446">
            <w:rPr>
              <w:rFonts w:cstheme="minorHAnsi"/>
              <w:noProof/>
              <w:color w:val="000000" w:themeColor="text1"/>
            </w:rPr>
            <w:t>(Hull University Library, 2022)</w:t>
          </w:r>
          <w:r w:rsidRPr="00EA50D8">
            <w:rPr>
              <w:rFonts w:cstheme="minorHAnsi"/>
              <w:color w:val="000000" w:themeColor="text1"/>
            </w:rPr>
            <w:fldChar w:fldCharType="end"/>
          </w:r>
        </w:sdtContent>
      </w:sdt>
      <w:r w:rsidRPr="00EA50D8">
        <w:rPr>
          <w:rFonts w:cstheme="minorHAnsi"/>
          <w:color w:val="000000" w:themeColor="text1"/>
        </w:rPr>
        <w:t xml:space="preserve"> used in Learning Area One to</w:t>
      </w:r>
      <w:r>
        <w:rPr>
          <w:rFonts w:cstheme="minorHAnsi"/>
          <w:color w:val="000000" w:themeColor="text1"/>
        </w:rPr>
        <w:t>o</w:t>
      </w:r>
      <w:r w:rsidRPr="00EA50D8">
        <w:rPr>
          <w:rFonts w:cstheme="minorHAnsi"/>
          <w:color w:val="000000" w:themeColor="text1"/>
        </w:rPr>
        <w:t xml:space="preserve"> complicated to </w:t>
      </w:r>
      <w:r>
        <w:rPr>
          <w:rFonts w:cstheme="minorHAnsi"/>
          <w:color w:val="000000" w:themeColor="text1"/>
        </w:rPr>
        <w:t xml:space="preserve">use as </w:t>
      </w:r>
      <w:r w:rsidRPr="00EA50D8">
        <w:rPr>
          <w:rFonts w:cstheme="minorHAnsi"/>
          <w:color w:val="000000" w:themeColor="text1"/>
        </w:rPr>
        <w:t>there were too many elements</w:t>
      </w:r>
      <w:r>
        <w:rPr>
          <w:rFonts w:cstheme="minorHAnsi"/>
          <w:color w:val="000000" w:themeColor="text1"/>
        </w:rPr>
        <w:t xml:space="preserve"> where</w:t>
      </w:r>
      <w:r w:rsidRPr="00EA50D8">
        <w:rPr>
          <w:rFonts w:cstheme="minorHAnsi"/>
          <w:color w:val="000000" w:themeColor="text1"/>
        </w:rPr>
        <w:t xml:space="preserve"> I found myself either repeating details or presenting in an illogical manner.  However, when I changed to the Driscoll (1994) model for Learning Area Two, a simpler model, I found it much simpler to put the relevant information across and present in a logical way.  This could be due to my preferred Learning Style, being that of a Theorist.  A Theorist prefers to break down knowledge, understanding their parts, in order to rebuild back into a whole </w:t>
      </w:r>
      <w:sdt>
        <w:sdtPr>
          <w:rPr>
            <w:rFonts w:cstheme="minorHAnsi"/>
            <w:color w:val="000000" w:themeColor="text1"/>
          </w:rPr>
          <w:id w:val="-1355797111"/>
          <w:citation/>
        </w:sdtPr>
        <w:sdtEndPr/>
        <w:sdtContent>
          <w:r w:rsidRPr="00EA50D8">
            <w:rPr>
              <w:rFonts w:cstheme="minorHAnsi"/>
              <w:color w:val="000000" w:themeColor="text1"/>
            </w:rPr>
            <w:fldChar w:fldCharType="begin"/>
          </w:r>
          <w:r w:rsidRPr="00EA50D8">
            <w:rPr>
              <w:rFonts w:cstheme="minorHAnsi"/>
              <w:color w:val="000000" w:themeColor="text1"/>
            </w:rPr>
            <w:instrText xml:space="preserve"> CITATION Yus22 \l 2057 </w:instrText>
          </w:r>
          <w:r w:rsidRPr="00EA50D8">
            <w:rPr>
              <w:rFonts w:cstheme="minorHAnsi"/>
              <w:color w:val="000000" w:themeColor="text1"/>
            </w:rPr>
            <w:fldChar w:fldCharType="separate"/>
          </w:r>
          <w:r w:rsidRPr="00051446">
            <w:rPr>
              <w:rFonts w:cstheme="minorHAnsi"/>
              <w:noProof/>
              <w:color w:val="000000" w:themeColor="text1"/>
            </w:rPr>
            <w:t>(Nilufar et al., 2022)</w:t>
          </w:r>
          <w:r w:rsidRPr="00EA50D8">
            <w:rPr>
              <w:rFonts w:cstheme="minorHAnsi"/>
              <w:color w:val="000000" w:themeColor="text1"/>
            </w:rPr>
            <w:fldChar w:fldCharType="end"/>
          </w:r>
        </w:sdtContent>
      </w:sdt>
      <w:r w:rsidRPr="00EA50D8">
        <w:rPr>
          <w:rFonts w:cstheme="minorHAnsi"/>
          <w:color w:val="000000" w:themeColor="text1"/>
        </w:rPr>
        <w:t>.</w:t>
      </w:r>
    </w:p>
    <w:p w14:paraId="4BCAEA01" w14:textId="77777777" w:rsidR="00C654B9" w:rsidRPr="00B22FD9" w:rsidRDefault="00C654B9" w:rsidP="00C654B9">
      <w:pPr>
        <w:spacing w:afterLines="160" w:after="384" w:line="360" w:lineRule="auto"/>
        <w:rPr>
          <w:rFonts w:cstheme="minorHAnsi"/>
        </w:rPr>
      </w:pPr>
      <w:r w:rsidRPr="00B22FD9">
        <w:rPr>
          <w:rFonts w:cstheme="minorHAnsi"/>
        </w:rPr>
        <w:t xml:space="preserve">Having looked further at the various reflection models, as part of this module, I have come to have a greater appreciation for them, particularly Driscoll’s model (1994, 2000).  I have started using these more within the training sessions I have been delivering, specifically using the “What? So What? Now What?” (Driscoll, 1994, 2000) in relation to interpreting and analysing data.  Ensuring that managers turn data into information and information into insight is vital to the workforce planning process.  My understanding of Driscoll’s model (1994, 2000) has played a key part in this.  The pure data forms the ‘What?’ part of Driscoll’s model, as in ‘this is </w:t>
      </w:r>
      <w:r w:rsidRPr="00B22FD9">
        <w:rPr>
          <w:rFonts w:cstheme="minorHAnsi"/>
          <w:i/>
          <w:iCs/>
        </w:rPr>
        <w:t>what</w:t>
      </w:r>
      <w:r w:rsidRPr="00B22FD9">
        <w:rPr>
          <w:rFonts w:cstheme="minorHAnsi"/>
        </w:rPr>
        <w:t xml:space="preserve"> the data says’. Then the information and insight gained from the analysis of that that data forms the ‘So What?’, as in ‘so what does that data tell us practically about the challenges and issues we are facing?’.   Lastly, the actions taken subsequent to the insight are the ‘Now What?’, as in ‘from the big picture we see from the data, now what do we do to rectify the issues?’.  Increasing my understanding in this model has allowed me to deliver in a way that makes learning clearer for managers.</w:t>
      </w:r>
    </w:p>
    <w:p w14:paraId="4280031A" w14:textId="77777777" w:rsidR="00C654B9" w:rsidRPr="00B22FD9" w:rsidRDefault="00C654B9" w:rsidP="00C654B9">
      <w:pPr>
        <w:spacing w:afterLines="160" w:after="384" w:line="360" w:lineRule="auto"/>
        <w:rPr>
          <w:rFonts w:cstheme="minorHAnsi"/>
          <w:i/>
          <w:iCs/>
        </w:rPr>
      </w:pPr>
      <w:r w:rsidRPr="00B22FD9">
        <w:rPr>
          <w:rFonts w:cstheme="minorHAnsi"/>
        </w:rPr>
        <w:t xml:space="preserve">As noted on the outset, I was not a regular conscious reflector prior to the commencement of this module; however, having carried out much reflection in the development of my portfolio, I have come to practice conscious reflecting more regularly in my day-to-day work activities.  </w:t>
      </w:r>
      <w:r>
        <w:rPr>
          <w:rFonts w:cstheme="minorHAnsi"/>
        </w:rPr>
        <w:t xml:space="preserve">One philosopher claims that “self-reflected consciousness” is being more about being aware of what you have experienced and learned </w:t>
      </w:r>
      <w:sdt>
        <w:sdtPr>
          <w:rPr>
            <w:rFonts w:cstheme="minorHAnsi"/>
          </w:rPr>
          <w:id w:val="864176864"/>
          <w:citation/>
        </w:sdtPr>
        <w:sdtEndPr/>
        <w:sdtContent>
          <w:r>
            <w:rPr>
              <w:rFonts w:cstheme="minorHAnsi"/>
            </w:rPr>
            <w:fldChar w:fldCharType="begin"/>
          </w:r>
          <w:r>
            <w:rPr>
              <w:rFonts w:cstheme="minorHAnsi"/>
            </w:rPr>
            <w:instrText xml:space="preserve"> CITATION Tom15 \l 2057 </w:instrText>
          </w:r>
          <w:r>
            <w:rPr>
              <w:rFonts w:cstheme="minorHAnsi"/>
            </w:rPr>
            <w:fldChar w:fldCharType="separate"/>
          </w:r>
          <w:r w:rsidRPr="00051446">
            <w:rPr>
              <w:rFonts w:cstheme="minorHAnsi"/>
              <w:noProof/>
            </w:rPr>
            <w:t>(Morris, 2015)</w:t>
          </w:r>
          <w:r>
            <w:rPr>
              <w:rFonts w:cstheme="minorHAnsi"/>
            </w:rPr>
            <w:fldChar w:fldCharType="end"/>
          </w:r>
        </w:sdtContent>
      </w:sdt>
      <w:r>
        <w:rPr>
          <w:rFonts w:cstheme="minorHAnsi"/>
        </w:rPr>
        <w:t xml:space="preserve">. This is consistent with the type of reflection I have developed into.  </w:t>
      </w:r>
      <w:r w:rsidRPr="00B22FD9">
        <w:rPr>
          <w:rFonts w:cstheme="minorHAnsi"/>
        </w:rPr>
        <w:t xml:space="preserve">While much of the reflecting is silent, internal and brief, I am able to question my actions and experience, and try to improve my skills for the next time I am in a similar situation.  This is in line with the thoughts of various scholars who suggest that reflection does not necessarily need be written, formal or laboured on, rather what is important is that questions be asked and thought over, or even challenge oneself, on a regular basis.  This can help maintain or improve on skills and behaviour (Watson </w:t>
      </w:r>
      <w:r>
        <w:rPr>
          <w:rFonts w:cstheme="minorHAnsi"/>
        </w:rPr>
        <w:t>and</w:t>
      </w:r>
      <w:r w:rsidRPr="00B22FD9">
        <w:rPr>
          <w:rFonts w:cstheme="minorHAnsi"/>
        </w:rPr>
        <w:t xml:space="preserve"> Wilcox, 2010; Day, 2010).</w:t>
      </w:r>
    </w:p>
    <w:p w14:paraId="4403D503" w14:textId="77777777" w:rsidR="00C654B9" w:rsidRDefault="00C654B9" w:rsidP="00C654B9">
      <w:pPr>
        <w:pStyle w:val="ListParagraph"/>
        <w:spacing w:afterLines="160" w:after="384" w:line="360" w:lineRule="auto"/>
        <w:ind w:left="0"/>
        <w:rPr>
          <w:rFonts w:cstheme="minorHAnsi"/>
        </w:rPr>
      </w:pPr>
      <w:r w:rsidRPr="00AA55C6">
        <w:rPr>
          <w:rFonts w:cstheme="minorHAnsi"/>
        </w:rPr>
        <w:t xml:space="preserve">Having experienced the Recognition </w:t>
      </w:r>
      <w:r>
        <w:rPr>
          <w:rFonts w:cstheme="minorHAnsi"/>
        </w:rPr>
        <w:t>and</w:t>
      </w:r>
      <w:r w:rsidRPr="00AA55C6">
        <w:rPr>
          <w:rFonts w:cstheme="minorHAnsi"/>
        </w:rPr>
        <w:t xml:space="preserve"> Accredit</w:t>
      </w:r>
      <w:r>
        <w:rPr>
          <w:rFonts w:cstheme="minorHAnsi"/>
        </w:rPr>
        <w:t>ation of</w:t>
      </w:r>
      <w:r w:rsidRPr="00AA55C6">
        <w:rPr>
          <w:rFonts w:cstheme="minorHAnsi"/>
        </w:rPr>
        <w:t xml:space="preserve"> Learning process, I have discovered an interest and strength in Organisational Development, both as an organisational strategy and as a way of working with people.</w:t>
      </w:r>
      <w:r>
        <w:rPr>
          <w:rFonts w:cstheme="minorHAnsi"/>
        </w:rPr>
        <w:t xml:space="preserve"> It has been suggested that continuing education is influenced by intrinsic motivation, therefore recognising a desire to learn a particular topic can help me progress </w:t>
      </w:r>
      <w:sdt>
        <w:sdtPr>
          <w:rPr>
            <w:rFonts w:cstheme="minorHAnsi"/>
          </w:rPr>
          <w:id w:val="361184186"/>
          <w:citation/>
        </w:sdtPr>
        <w:sdtEndPr/>
        <w:sdtContent>
          <w:r>
            <w:rPr>
              <w:rFonts w:cstheme="minorHAnsi"/>
            </w:rPr>
            <w:fldChar w:fldCharType="begin"/>
          </w:r>
          <w:r>
            <w:rPr>
              <w:rFonts w:cstheme="minorHAnsi"/>
            </w:rPr>
            <w:instrText xml:space="preserve"> CITATION Bau23 \l 2057 </w:instrText>
          </w:r>
          <w:r>
            <w:rPr>
              <w:rFonts w:cstheme="minorHAnsi"/>
            </w:rPr>
            <w:fldChar w:fldCharType="separate"/>
          </w:r>
          <w:r w:rsidRPr="00051446">
            <w:rPr>
              <w:rFonts w:cstheme="minorHAnsi"/>
              <w:noProof/>
            </w:rPr>
            <w:t>(Baumann &amp; Keimer, 2023)</w:t>
          </w:r>
          <w:r>
            <w:rPr>
              <w:rFonts w:cstheme="minorHAnsi"/>
            </w:rPr>
            <w:fldChar w:fldCharType="end"/>
          </w:r>
        </w:sdtContent>
      </w:sdt>
      <w:r>
        <w:rPr>
          <w:rFonts w:cstheme="minorHAnsi"/>
        </w:rPr>
        <w:t>.</w:t>
      </w:r>
      <w:r w:rsidRPr="00AA55C6">
        <w:rPr>
          <w:rFonts w:cstheme="minorHAnsi"/>
        </w:rPr>
        <w:t xml:space="preserve"> I am keen to pursue this and develop myself further in this area, by researching what it is in depth, its strengths and weaknesses, how it can be developed and used in different areas of work.  At the moment, I am not looking to develop into a specific role in that area but would like to use the concept more in my current role. By reflecting on my whole self, including personality, behaviour, thoughts, and attitude, which is an element of reflection encouraged by a number of scholars, I have learned new things about myself and become more aware of how I work </w:t>
      </w:r>
      <w:sdt>
        <w:sdtPr>
          <w:rPr>
            <w:rFonts w:cstheme="minorHAnsi"/>
          </w:rPr>
          <w:id w:val="-2047207832"/>
          <w:citation/>
        </w:sdtPr>
        <w:sdtEndPr/>
        <w:sdtContent>
          <w:r w:rsidRPr="00AA55C6">
            <w:rPr>
              <w:rFonts w:cstheme="minorHAnsi"/>
            </w:rPr>
            <w:fldChar w:fldCharType="begin"/>
          </w:r>
          <w:r w:rsidRPr="00AA55C6">
            <w:rPr>
              <w:rFonts w:cstheme="minorHAnsi"/>
            </w:rPr>
            <w:instrText xml:space="preserve"> CITATION Blo56 \l 2057 </w:instrText>
          </w:r>
          <w:r w:rsidRPr="00AA55C6">
            <w:rPr>
              <w:rFonts w:cstheme="minorHAnsi"/>
            </w:rPr>
            <w:fldChar w:fldCharType="separate"/>
          </w:r>
          <w:r w:rsidRPr="00051446">
            <w:rPr>
              <w:rFonts w:cstheme="minorHAnsi"/>
              <w:noProof/>
            </w:rPr>
            <w:t>(Bloom et al., 1956)</w:t>
          </w:r>
          <w:r w:rsidRPr="00AA55C6">
            <w:rPr>
              <w:rFonts w:cstheme="minorHAnsi"/>
            </w:rPr>
            <w:fldChar w:fldCharType="end"/>
          </w:r>
        </w:sdtContent>
      </w:sdt>
      <w:r w:rsidRPr="00AA55C6">
        <w:rPr>
          <w:rFonts w:cstheme="minorHAnsi"/>
        </w:rPr>
        <w:t xml:space="preserve">.  A thought by Watson </w:t>
      </w:r>
      <w:r>
        <w:rPr>
          <w:rFonts w:cstheme="minorHAnsi"/>
        </w:rPr>
        <w:t>and</w:t>
      </w:r>
      <w:r w:rsidRPr="00AA55C6">
        <w:rPr>
          <w:rFonts w:cstheme="minorHAnsi"/>
        </w:rPr>
        <w:t xml:space="preserve"> Wilcox (2010) aligns with my experience, as they say that experiences can deepen an individual’s self-awareness allowing them to learn and improve in new ways than previous.</w:t>
      </w:r>
    </w:p>
    <w:p w14:paraId="620FA263" w14:textId="77777777" w:rsidR="00C654B9" w:rsidRPr="00AA55C6" w:rsidRDefault="00C654B9" w:rsidP="00C654B9">
      <w:pPr>
        <w:pStyle w:val="ListParagraph"/>
        <w:spacing w:afterLines="160" w:after="384" w:line="360" w:lineRule="auto"/>
        <w:ind w:left="0"/>
        <w:rPr>
          <w:rFonts w:cstheme="minorHAnsi"/>
        </w:rPr>
      </w:pPr>
    </w:p>
    <w:p w14:paraId="0CD5A90D" w14:textId="77777777" w:rsidR="00C654B9" w:rsidRDefault="00C654B9" w:rsidP="00C654B9">
      <w:pPr>
        <w:pStyle w:val="ListParagraph"/>
        <w:spacing w:afterLines="160" w:after="384" w:line="360" w:lineRule="auto"/>
        <w:ind w:left="0"/>
        <w:rPr>
          <w:rFonts w:cstheme="minorHAnsi"/>
        </w:rPr>
      </w:pPr>
      <w:r w:rsidRPr="00AA55C6">
        <w:rPr>
          <w:rFonts w:cstheme="minorHAnsi"/>
        </w:rPr>
        <w:t xml:space="preserve">It has been interesting, and confidence-boosting, to understand that I have learned a vast amount in my time in this role.  To be able to note the subsequent actions following the internal learning that had taken place, has provided me with the evidence I needed to believe that I am growing in this role.  This is </w:t>
      </w:r>
      <w:r>
        <w:rPr>
          <w:rFonts w:cstheme="minorHAnsi"/>
        </w:rPr>
        <w:t>aligned</w:t>
      </w:r>
      <w:r w:rsidRPr="00AA55C6">
        <w:rPr>
          <w:rFonts w:cstheme="minorHAnsi"/>
        </w:rPr>
        <w:t xml:space="preserve"> with the notion that “experience is linking thought with action” (Dewey, 1916).  On the outset of the module, I was concerned that I had not learned enough to warrant the credits for the module; however, </w:t>
      </w:r>
      <w:r>
        <w:rPr>
          <w:rFonts w:cstheme="minorHAnsi"/>
        </w:rPr>
        <w:t xml:space="preserve">this module has encouraged me to look at the granular details of a vast number of my experiences in this role to date. This has allowed me to </w:t>
      </w:r>
      <w:r w:rsidRPr="00AA55C6">
        <w:rPr>
          <w:rFonts w:cstheme="minorHAnsi"/>
        </w:rPr>
        <w:t>mak</w:t>
      </w:r>
      <w:r>
        <w:rPr>
          <w:rFonts w:cstheme="minorHAnsi"/>
        </w:rPr>
        <w:t>e</w:t>
      </w:r>
      <w:r w:rsidRPr="00AA55C6">
        <w:rPr>
          <w:rFonts w:cstheme="minorHAnsi"/>
        </w:rPr>
        <w:t xml:space="preserve"> sense of the learning </w:t>
      </w:r>
      <w:r>
        <w:rPr>
          <w:rFonts w:cstheme="minorHAnsi"/>
        </w:rPr>
        <w:t>from each of those</w:t>
      </w:r>
      <w:r w:rsidRPr="00AA55C6">
        <w:rPr>
          <w:rFonts w:cstheme="minorHAnsi"/>
        </w:rPr>
        <w:t xml:space="preserve"> experience</w:t>
      </w:r>
      <w:r>
        <w:rPr>
          <w:rFonts w:cstheme="minorHAnsi"/>
        </w:rPr>
        <w:t>s</w:t>
      </w:r>
      <w:r w:rsidRPr="00AA55C6">
        <w:rPr>
          <w:rFonts w:cstheme="minorHAnsi"/>
        </w:rPr>
        <w:t xml:space="preserve"> </w:t>
      </w:r>
      <w:r>
        <w:rPr>
          <w:rFonts w:cstheme="minorHAnsi"/>
        </w:rPr>
        <w:t>so far, and</w:t>
      </w:r>
      <w:r w:rsidRPr="00AA55C6">
        <w:rPr>
          <w:rFonts w:cstheme="minorHAnsi"/>
        </w:rPr>
        <w:t xml:space="preserve"> has led me to perceive myself in a different light and to recognise the growth that I hadn’t previously seen.  Lakoff </w:t>
      </w:r>
      <w:r>
        <w:rPr>
          <w:rFonts w:cstheme="minorHAnsi"/>
        </w:rPr>
        <w:t xml:space="preserve">and </w:t>
      </w:r>
      <w:r w:rsidRPr="00AA55C6">
        <w:rPr>
          <w:rFonts w:cstheme="minorHAnsi"/>
        </w:rPr>
        <w:t xml:space="preserve">Johnson (2003) note that through reflection an individual can gain a deeper knowledge, or acknowledgment, of an unrecognised self.  This has been true for me because of the completion of this module. </w:t>
      </w:r>
    </w:p>
    <w:p w14:paraId="7BC31F93" w14:textId="77777777" w:rsidR="00C654B9" w:rsidRPr="00911869" w:rsidRDefault="00C654B9" w:rsidP="00C654B9">
      <w:pPr>
        <w:pStyle w:val="ListParagraph"/>
        <w:spacing w:afterLines="160" w:after="384" w:line="360" w:lineRule="auto"/>
        <w:ind w:left="0"/>
        <w:rPr>
          <w:rFonts w:cstheme="minorHAnsi"/>
        </w:rPr>
      </w:pPr>
    </w:p>
    <w:p w14:paraId="079F5207" w14:textId="77777777" w:rsidR="00C654B9" w:rsidRPr="00911869" w:rsidRDefault="00C654B9" w:rsidP="00C654B9">
      <w:pPr>
        <w:pStyle w:val="ListParagraph"/>
        <w:spacing w:afterLines="160" w:after="384" w:line="360" w:lineRule="auto"/>
        <w:ind w:left="0"/>
        <w:rPr>
          <w:rFonts w:cstheme="minorHAnsi"/>
        </w:rPr>
      </w:pPr>
      <w:r w:rsidRPr="00911869">
        <w:rPr>
          <w:rFonts w:cstheme="minorHAnsi"/>
        </w:rPr>
        <w:t xml:space="preserve">Having reflected on the time in my role, I have developed a deeper appreciation for my line manager also, recognising that she has provided a vast number of opportunities for me to grow and develop in a safe environment, learning from mistakes as well as from more positive experiences.  It has been suggested that both learning, and reflection should incorporate both positive and negative experiences, and that providing a safe environment in which to work through the more negative experiences with an open mind and support can help an individual through the process (Newman, 2008; Beard </w:t>
      </w:r>
      <w:r>
        <w:rPr>
          <w:rFonts w:cstheme="minorHAnsi"/>
        </w:rPr>
        <w:t>and</w:t>
      </w:r>
      <w:r w:rsidRPr="00911869">
        <w:rPr>
          <w:rFonts w:cstheme="minorHAnsi"/>
        </w:rPr>
        <w:t xml:space="preserve"> Wilson, 2006).  Conversely, Wang (2014) suggested that adults are </w:t>
      </w:r>
      <w:r>
        <w:rPr>
          <w:rFonts w:cstheme="minorHAnsi"/>
        </w:rPr>
        <w:t xml:space="preserve">fully </w:t>
      </w:r>
      <w:r w:rsidRPr="00911869">
        <w:rPr>
          <w:rFonts w:cstheme="minorHAnsi"/>
        </w:rPr>
        <w:t>capable of learning on their</w:t>
      </w:r>
      <w:r>
        <w:rPr>
          <w:rFonts w:cstheme="minorHAnsi"/>
        </w:rPr>
        <w:t xml:space="preserve"> own</w:t>
      </w:r>
      <w:r w:rsidRPr="00911869">
        <w:rPr>
          <w:rFonts w:cstheme="minorHAnsi"/>
        </w:rPr>
        <w:t>, without the need for teachers or</w:t>
      </w:r>
      <w:r>
        <w:rPr>
          <w:rFonts w:cstheme="minorHAnsi"/>
        </w:rPr>
        <w:t xml:space="preserve"> mentors to provide</w:t>
      </w:r>
      <w:r w:rsidRPr="00911869">
        <w:rPr>
          <w:rFonts w:cstheme="minorHAnsi"/>
        </w:rPr>
        <w:t xml:space="preserve"> guidance, </w:t>
      </w:r>
      <w:r>
        <w:rPr>
          <w:rFonts w:cstheme="minorHAnsi"/>
        </w:rPr>
        <w:t xml:space="preserve">but </w:t>
      </w:r>
      <w:r w:rsidRPr="00911869">
        <w:rPr>
          <w:rFonts w:cstheme="minorHAnsi"/>
        </w:rPr>
        <w:t>that self-reflection was all that was necessary.  However, my experience</w:t>
      </w:r>
      <w:r>
        <w:rPr>
          <w:rFonts w:cstheme="minorHAnsi"/>
        </w:rPr>
        <w:t xml:space="preserve"> both during</w:t>
      </w:r>
      <w:r w:rsidRPr="00911869">
        <w:rPr>
          <w:rFonts w:cstheme="minorHAnsi"/>
        </w:rPr>
        <w:t xml:space="preserve"> this module</w:t>
      </w:r>
      <w:r>
        <w:rPr>
          <w:rFonts w:cstheme="minorHAnsi"/>
        </w:rPr>
        <w:t xml:space="preserve"> and in my current role as Workforce Planning Project Manager,</w:t>
      </w:r>
      <w:r w:rsidRPr="00911869">
        <w:rPr>
          <w:rFonts w:cstheme="minorHAnsi"/>
        </w:rPr>
        <w:t xml:space="preserve"> has taught me that having someone more experience</w:t>
      </w:r>
      <w:r>
        <w:rPr>
          <w:rFonts w:cstheme="minorHAnsi"/>
        </w:rPr>
        <w:t>d</w:t>
      </w:r>
      <w:r w:rsidRPr="00911869">
        <w:rPr>
          <w:rFonts w:cstheme="minorHAnsi"/>
        </w:rPr>
        <w:t xml:space="preserve"> to </w:t>
      </w:r>
      <w:r>
        <w:rPr>
          <w:rFonts w:cstheme="minorHAnsi"/>
        </w:rPr>
        <w:t>guide, coach and mentor</w:t>
      </w:r>
      <w:r w:rsidRPr="00911869">
        <w:rPr>
          <w:rFonts w:cstheme="minorHAnsi"/>
        </w:rPr>
        <w:t xml:space="preserve">, like my line manager, is of great value.  </w:t>
      </w:r>
    </w:p>
    <w:p w14:paraId="061A8155" w14:textId="77777777" w:rsidR="00C654B9" w:rsidRPr="00911869" w:rsidRDefault="00C654B9" w:rsidP="00C654B9">
      <w:pPr>
        <w:spacing w:afterLines="160" w:after="384" w:line="360" w:lineRule="auto"/>
        <w:rPr>
          <w:rFonts w:cstheme="minorHAnsi"/>
        </w:rPr>
      </w:pPr>
      <w:r w:rsidRPr="00911869">
        <w:rPr>
          <w:rFonts w:cstheme="minorHAnsi"/>
          <w:u w:val="single"/>
        </w:rPr>
        <w:t>Looking to the future</w:t>
      </w:r>
      <w:r w:rsidRPr="00911869">
        <w:rPr>
          <w:rFonts w:cstheme="minorHAnsi"/>
        </w:rPr>
        <w:t xml:space="preserve"> </w:t>
      </w:r>
    </w:p>
    <w:p w14:paraId="41E0427E" w14:textId="77777777" w:rsidR="00C654B9" w:rsidRPr="00911869" w:rsidRDefault="00C654B9" w:rsidP="00C654B9">
      <w:pPr>
        <w:spacing w:afterLines="160" w:after="384" w:line="360" w:lineRule="auto"/>
        <w:rPr>
          <w:rFonts w:cstheme="minorHAnsi"/>
        </w:rPr>
      </w:pPr>
      <w:r>
        <w:rPr>
          <w:rFonts w:cstheme="minorHAnsi"/>
        </w:rPr>
        <w:t>The two learning areas I identified and decided as m</w:t>
      </w:r>
      <w:r w:rsidRPr="00911869">
        <w:rPr>
          <w:rFonts w:cstheme="minorHAnsi"/>
        </w:rPr>
        <w:t xml:space="preserve">y development areas </w:t>
      </w:r>
      <w:r>
        <w:rPr>
          <w:rFonts w:cstheme="minorHAnsi"/>
        </w:rPr>
        <w:t>were</w:t>
      </w:r>
      <w:r w:rsidRPr="00911869">
        <w:rPr>
          <w:rFonts w:cstheme="minorHAnsi"/>
        </w:rPr>
        <w:t xml:space="preserve"> Strategic Workforce Planning and </w:t>
      </w:r>
      <w:r>
        <w:rPr>
          <w:rFonts w:cstheme="minorHAnsi"/>
        </w:rPr>
        <w:t>the</w:t>
      </w:r>
      <w:r w:rsidRPr="00911869">
        <w:rPr>
          <w:rFonts w:cstheme="minorHAnsi"/>
        </w:rPr>
        <w:t xml:space="preserve"> Medical Associate Professionals</w:t>
      </w:r>
      <w:r>
        <w:rPr>
          <w:rFonts w:cstheme="minorHAnsi"/>
        </w:rPr>
        <w:t xml:space="preserve">.  However, whilst developing the writing for my second learning, I started to doubt that I had chosen the correct area.  This may have been due to the lack of time I was spending working on Medical Associate Professionals in my day-to-day role at the time, as I needed to prioritise the development and delivery of training.  After reflecting on my writing of the Medical Associate Professionals and the doubts I had during, </w:t>
      </w:r>
      <w:r w:rsidRPr="00911869">
        <w:rPr>
          <w:rFonts w:cstheme="minorHAnsi"/>
        </w:rPr>
        <w:t>I would have preferred to have focused on the area of learning and facilitation for my second learning area.  I decide</w:t>
      </w:r>
      <w:r>
        <w:rPr>
          <w:rFonts w:cstheme="minorHAnsi"/>
        </w:rPr>
        <w:t>d</w:t>
      </w:r>
      <w:r w:rsidRPr="00911869">
        <w:rPr>
          <w:rFonts w:cstheme="minorHAnsi"/>
        </w:rPr>
        <w:t xml:space="preserve"> to focus on my work with the Medical Associate Professionals as this was a completely new area to me, whereas learning and facilitation is an area I have developed in historically within previous roles.  My aim was to evidence how much I have learned within the new area.  However, given the timing of my change in role and the accelerated advancements being made in virtual learning since the pandemic, I would have like to have seen how I have progressed.  This remains an area I would like to focus on, specifically in area of digital learning. I believe this will be of benefit to me and the organisation, as it has been suggested that digital learning is preparing the way for a changeable and unpredictable future and can support classroom activities, as well as provide greater flexibility and accessibility.  </w:t>
      </w:r>
      <w:r w:rsidRPr="00911869">
        <w:rPr>
          <w:rFonts w:cstheme="minorHAnsi"/>
          <w:noProof/>
        </w:rPr>
        <w:t xml:space="preserve">(Haleem, Javaid, Qadri, </w:t>
      </w:r>
      <w:r>
        <w:rPr>
          <w:rFonts w:cstheme="minorHAnsi"/>
          <w:noProof/>
        </w:rPr>
        <w:t>and</w:t>
      </w:r>
      <w:r w:rsidRPr="00911869">
        <w:rPr>
          <w:rFonts w:cstheme="minorHAnsi"/>
          <w:noProof/>
        </w:rPr>
        <w:t xml:space="preserve"> Suman, 2022)</w:t>
      </w:r>
      <w:r w:rsidRPr="00911869">
        <w:rPr>
          <w:rFonts w:cstheme="minorHAnsi"/>
        </w:rPr>
        <w:t xml:space="preserve">.  </w:t>
      </w:r>
      <w:r>
        <w:rPr>
          <w:rFonts w:cstheme="minorHAnsi"/>
        </w:rPr>
        <w:t xml:space="preserve">I do not perceive, nor desire, for the digital learning I develop will replace any face-to-face delivery, as there are still benefits to this mode of delivery, and it is currently my preferred method also </w:t>
      </w:r>
      <w:sdt>
        <w:sdtPr>
          <w:rPr>
            <w:rFonts w:cstheme="minorHAnsi"/>
          </w:rPr>
          <w:id w:val="-735621662"/>
          <w:citation/>
        </w:sdtPr>
        <w:sdtEndPr/>
        <w:sdtContent>
          <w:r>
            <w:rPr>
              <w:rFonts w:cstheme="minorHAnsi"/>
            </w:rPr>
            <w:fldChar w:fldCharType="begin"/>
          </w:r>
          <w:r>
            <w:rPr>
              <w:rFonts w:cstheme="minorHAnsi"/>
            </w:rPr>
            <w:instrText xml:space="preserve"> CITATION Wil09 \l 2057 </w:instrText>
          </w:r>
          <w:r>
            <w:rPr>
              <w:rFonts w:cstheme="minorHAnsi"/>
            </w:rPr>
            <w:fldChar w:fldCharType="separate"/>
          </w:r>
          <w:r w:rsidRPr="00051446">
            <w:rPr>
              <w:rFonts w:cstheme="minorHAnsi"/>
              <w:noProof/>
            </w:rPr>
            <w:t>(Willingham, 2009)</w:t>
          </w:r>
          <w:r>
            <w:rPr>
              <w:rFonts w:cstheme="minorHAnsi"/>
            </w:rPr>
            <w:fldChar w:fldCharType="end"/>
          </w:r>
        </w:sdtContent>
      </w:sdt>
      <w:r>
        <w:rPr>
          <w:rFonts w:cstheme="minorHAnsi"/>
        </w:rPr>
        <w:t xml:space="preserve">.  However, </w:t>
      </w:r>
      <w:r w:rsidRPr="00911869">
        <w:rPr>
          <w:rFonts w:cstheme="minorHAnsi"/>
        </w:rPr>
        <w:t>what I would like to achieve, greater flexibility and accessibility for all staff</w:t>
      </w:r>
      <w:r>
        <w:rPr>
          <w:rFonts w:cstheme="minorHAnsi"/>
        </w:rPr>
        <w:t>, according to their needs and preferred learning style,</w:t>
      </w:r>
      <w:r w:rsidRPr="00911869">
        <w:rPr>
          <w:rFonts w:cstheme="minorHAnsi"/>
        </w:rPr>
        <w:t xml:space="preserve"> to get the help they need in order to carry out Workforce Planning activities in their day-to-day work. </w:t>
      </w:r>
    </w:p>
    <w:p w14:paraId="5363A07B" w14:textId="77777777" w:rsidR="00C654B9" w:rsidRDefault="00C654B9" w:rsidP="00C654B9">
      <w:pPr>
        <w:pStyle w:val="ListParagraph"/>
        <w:spacing w:afterLines="160" w:after="384" w:line="360" w:lineRule="auto"/>
        <w:ind w:left="0"/>
        <w:rPr>
          <w:rFonts w:cstheme="minorHAnsi"/>
        </w:rPr>
      </w:pPr>
      <w:r w:rsidRPr="00AC05CA">
        <w:rPr>
          <w:rFonts w:cstheme="minorHAnsi"/>
        </w:rPr>
        <w:t xml:space="preserve">While I can see and have experienced the benefits of undertaking a qualification incorporating Recognition </w:t>
      </w:r>
      <w:r>
        <w:rPr>
          <w:rFonts w:cstheme="minorHAnsi"/>
        </w:rPr>
        <w:t>and</w:t>
      </w:r>
      <w:r w:rsidRPr="00AC05CA">
        <w:rPr>
          <w:rFonts w:cstheme="minorHAnsi"/>
        </w:rPr>
        <w:t xml:space="preserve"> Accredit</w:t>
      </w:r>
      <w:r>
        <w:rPr>
          <w:rFonts w:cstheme="minorHAnsi"/>
        </w:rPr>
        <w:t>ation of</w:t>
      </w:r>
      <w:r w:rsidRPr="00AC05CA">
        <w:rPr>
          <w:rFonts w:cstheme="minorHAnsi"/>
        </w:rPr>
        <w:t xml:space="preserve"> Learning, I would prefer to next undertake a qualification in a specific subject area, where I learn about a topic, rather than reflect on myself.  There were times I felt that this was ‘woolly’ learning without a tangible outcome or output.  I would like to learn something new, rather than reflect on learning that has already happened.  I see this as being either in the domain of Digital Learning or Organisational Development, as these are the two subject areas that have stood out to me during the course of my reflection. </w:t>
      </w:r>
      <w:r>
        <w:rPr>
          <w:rFonts w:cstheme="minorHAnsi"/>
        </w:rPr>
        <w:t xml:space="preserve"> It has been suggested that learning a new topic is “invaluable as a personal challenge” </w:t>
      </w:r>
      <w:sdt>
        <w:sdtPr>
          <w:rPr>
            <w:rFonts w:cstheme="minorHAnsi"/>
          </w:rPr>
          <w:id w:val="243919480"/>
          <w:citation/>
        </w:sdtPr>
        <w:sdtEndPr/>
        <w:sdtContent>
          <w:r>
            <w:rPr>
              <w:rFonts w:cstheme="minorHAnsi"/>
            </w:rPr>
            <w:fldChar w:fldCharType="begin"/>
          </w:r>
          <w:r>
            <w:rPr>
              <w:rFonts w:cstheme="minorHAnsi"/>
            </w:rPr>
            <w:instrText xml:space="preserve"> CITATION Kli22 \l 2057 </w:instrText>
          </w:r>
          <w:r>
            <w:rPr>
              <w:rFonts w:cstheme="minorHAnsi"/>
            </w:rPr>
            <w:fldChar w:fldCharType="separate"/>
          </w:r>
          <w:r w:rsidRPr="00051446">
            <w:rPr>
              <w:rFonts w:cstheme="minorHAnsi"/>
              <w:noProof/>
            </w:rPr>
            <w:t>(Kliesch, Pfenninger, Wieling, Stark, &amp; Meyer, 2022)</w:t>
          </w:r>
          <w:r>
            <w:rPr>
              <w:rFonts w:cstheme="minorHAnsi"/>
            </w:rPr>
            <w:fldChar w:fldCharType="end"/>
          </w:r>
        </w:sdtContent>
      </w:sdt>
      <w:r>
        <w:rPr>
          <w:rFonts w:cstheme="minorHAnsi"/>
        </w:rPr>
        <w:t xml:space="preserve">.  It is said to encourage an improvement in communication, motivate application of transferable skills and a desire for greater socialisation </w:t>
      </w:r>
      <w:sdt>
        <w:sdtPr>
          <w:rPr>
            <w:rFonts w:cstheme="minorHAnsi"/>
          </w:rPr>
          <w:id w:val="-1155980914"/>
          <w:citation/>
        </w:sdtPr>
        <w:sdtEndPr/>
        <w:sdtContent>
          <w:r>
            <w:rPr>
              <w:rFonts w:cstheme="minorHAnsi"/>
            </w:rPr>
            <w:fldChar w:fldCharType="begin"/>
          </w:r>
          <w:r>
            <w:rPr>
              <w:rFonts w:cstheme="minorHAnsi"/>
            </w:rPr>
            <w:instrText xml:space="preserve"> CITATION Ruh19 \l 2057 </w:instrText>
          </w:r>
          <w:r>
            <w:rPr>
              <w:rFonts w:cstheme="minorHAnsi"/>
            </w:rPr>
            <w:fldChar w:fldCharType="separate"/>
          </w:r>
          <w:r w:rsidRPr="00051446">
            <w:rPr>
              <w:rFonts w:cstheme="minorHAnsi"/>
              <w:noProof/>
            </w:rPr>
            <w:t>(Ruhose, Thomsen, &amp; Weilage, 2019)</w:t>
          </w:r>
          <w:r>
            <w:rPr>
              <w:rFonts w:cstheme="minorHAnsi"/>
            </w:rPr>
            <w:fldChar w:fldCharType="end"/>
          </w:r>
        </w:sdtContent>
      </w:sdt>
      <w:r>
        <w:rPr>
          <w:rFonts w:cstheme="minorHAnsi"/>
        </w:rPr>
        <w:t>.  Having said this, I would state that the lessons and skills that I have learned whilst undertaking this module have been invaluable.  If I were to go back, I would still undertake this module so that I could experience the benefits, and pass on my learning to others.</w:t>
      </w:r>
    </w:p>
    <w:p w14:paraId="30107E2E" w14:textId="77777777" w:rsidR="00C654B9" w:rsidRPr="00AC05CA" w:rsidRDefault="00C654B9" w:rsidP="00C654B9">
      <w:pPr>
        <w:pStyle w:val="ListParagraph"/>
        <w:spacing w:afterLines="160" w:after="384" w:line="360" w:lineRule="auto"/>
        <w:ind w:left="0"/>
        <w:rPr>
          <w:rFonts w:cstheme="minorHAnsi"/>
        </w:rPr>
      </w:pPr>
    </w:p>
    <w:p w14:paraId="03C568FB" w14:textId="77777777" w:rsidR="00C654B9" w:rsidRPr="00AC05CA" w:rsidRDefault="00C654B9" w:rsidP="00C654B9">
      <w:pPr>
        <w:pStyle w:val="ListParagraph"/>
        <w:spacing w:afterLines="160" w:after="384" w:line="360" w:lineRule="auto"/>
        <w:ind w:left="0"/>
        <w:rPr>
          <w:rFonts w:cstheme="minorHAnsi"/>
        </w:rPr>
      </w:pPr>
      <w:r w:rsidRPr="00AC05CA">
        <w:rPr>
          <w:rFonts w:cstheme="minorHAnsi"/>
        </w:rPr>
        <w:t xml:space="preserve">My ambitions </w:t>
      </w:r>
      <w:r>
        <w:rPr>
          <w:rFonts w:cstheme="minorHAnsi"/>
        </w:rPr>
        <w:t>remain the same from when I started this q</w:t>
      </w:r>
      <w:r w:rsidRPr="00AC05CA">
        <w:rPr>
          <w:rFonts w:cstheme="minorHAnsi"/>
        </w:rPr>
        <w:t xml:space="preserve">ualification, in that I do not want to progress in the banding structure, i.e. no promotions.  </w:t>
      </w:r>
      <w:r>
        <w:rPr>
          <w:rFonts w:cstheme="minorHAnsi"/>
        </w:rPr>
        <w:t>My reason for undertaking this qualification was never to gain a promotion, but to continue in my own development.  With that</w:t>
      </w:r>
      <w:r w:rsidRPr="00AC05CA">
        <w:rPr>
          <w:rFonts w:cstheme="minorHAnsi"/>
        </w:rPr>
        <w:t xml:space="preserve">, I do want to continue developing, continually improving, and learning new things. </w:t>
      </w:r>
      <w:r>
        <w:rPr>
          <w:rFonts w:cstheme="minorHAnsi"/>
        </w:rPr>
        <w:t xml:space="preserve"> The need to continue learning and self-development has been highlighted as being as important as the “maintenance of high standards of patient care” </w:t>
      </w:r>
      <w:sdt>
        <w:sdtPr>
          <w:rPr>
            <w:rFonts w:cstheme="minorHAnsi"/>
          </w:rPr>
          <w:id w:val="158207406"/>
          <w:citation/>
        </w:sdtPr>
        <w:sdtEndPr/>
        <w:sdtContent>
          <w:r>
            <w:rPr>
              <w:rFonts w:cstheme="minorHAnsi"/>
            </w:rPr>
            <w:fldChar w:fldCharType="begin"/>
          </w:r>
          <w:r>
            <w:rPr>
              <w:rFonts w:cstheme="minorHAnsi"/>
            </w:rPr>
            <w:instrText xml:space="preserve"> CITATION Bur16 \l 2057 </w:instrText>
          </w:r>
          <w:r>
            <w:rPr>
              <w:rFonts w:cstheme="minorHAnsi"/>
            </w:rPr>
            <w:fldChar w:fldCharType="separate"/>
          </w:r>
          <w:r w:rsidRPr="00051446">
            <w:rPr>
              <w:rFonts w:cstheme="minorHAnsi"/>
              <w:noProof/>
            </w:rPr>
            <w:t>(Burke, Redfern, &amp; Marks-Maran, 2016)</w:t>
          </w:r>
          <w:r>
            <w:rPr>
              <w:rFonts w:cstheme="minorHAnsi"/>
            </w:rPr>
            <w:fldChar w:fldCharType="end"/>
          </w:r>
        </w:sdtContent>
      </w:sdt>
      <w:r>
        <w:rPr>
          <w:rFonts w:cstheme="minorHAnsi"/>
        </w:rPr>
        <w:t xml:space="preserve">.  </w:t>
      </w:r>
      <w:r w:rsidRPr="00AC05CA">
        <w:rPr>
          <w:rFonts w:cstheme="minorHAnsi"/>
        </w:rPr>
        <w:t xml:space="preserve">Further to my comment earlier regarding learning and facilitation, having undertaken this module, I see myself more now as a teacher, connecting to others, helping them.  I can do this through my teaching, but I could reach more people and help </w:t>
      </w:r>
      <w:r>
        <w:rPr>
          <w:rFonts w:cstheme="minorHAnsi"/>
        </w:rPr>
        <w:t>m</w:t>
      </w:r>
      <w:r w:rsidRPr="00AC05CA">
        <w:rPr>
          <w:rFonts w:cstheme="minorHAnsi"/>
        </w:rPr>
        <w:t xml:space="preserve">ore colleagues through the use of digital technology. With that in mind I would like to progress down the route of digital learning.  Lomax (2010) suggests that an improvement, or change in action, should be the result of reflection, that without it there would be no point in carrying out reflective practice at all.  While this new focus may not appear to some as an improvement, it is certainly a change in action, and I believe it will result in an improvement in not only my practices, but an improvement in accessibility of learning for others. </w:t>
      </w:r>
    </w:p>
    <w:p w14:paraId="4759167C" w14:textId="77777777" w:rsidR="00C654B9" w:rsidRDefault="00C654B9" w:rsidP="00C654B9">
      <w:pPr>
        <w:spacing w:afterLines="160" w:after="384" w:line="360" w:lineRule="auto"/>
        <w:rPr>
          <w:rFonts w:cstheme="minorHAnsi"/>
        </w:rPr>
      </w:pPr>
      <w:r>
        <w:rPr>
          <w:rFonts w:cstheme="minorHAnsi"/>
        </w:rPr>
        <w:t>Additionally, as I can see and have experienced the benefits of regular reflective practice in my own professional life, I plan on maintaining a reflective practice in future.  American philosopher and professor, Donald Sch</w:t>
      </w:r>
      <w:r w:rsidRPr="00AA55C6">
        <w:rPr>
          <w:rFonts w:cstheme="minorHAnsi"/>
        </w:rPr>
        <w:t>ö</w:t>
      </w:r>
      <w:r>
        <w:rPr>
          <w:rFonts w:cstheme="minorHAnsi"/>
        </w:rPr>
        <w:t>n (1983), was opposed to a mechanical application of reflection as he thought factual knowledge and raw data gained through learning was not sufficient to a rounded learning experience.  He believed reflection should also contain psychological and social matters.  I agree with this, as humans are not robotic, and most aspects of professional life involve working with others.  Therefore, it stands to reason that a fully rounded learning experience comes from reflecting not only on my own behaviours, thoughts and actions, but that of other also, and how the two impact on each other.  I endeavour to include this into my reflective practice in the future.</w:t>
      </w:r>
    </w:p>
    <w:p w14:paraId="3FC080D1" w14:textId="77777777" w:rsidR="00C654B9" w:rsidRPr="00AA55C6" w:rsidRDefault="00C654B9" w:rsidP="00C654B9">
      <w:pPr>
        <w:spacing w:afterLines="160" w:after="384" w:line="360" w:lineRule="auto"/>
        <w:rPr>
          <w:rFonts w:cstheme="minorHAnsi"/>
          <w:u w:val="single"/>
        </w:rPr>
      </w:pPr>
      <w:r w:rsidRPr="00AA55C6">
        <w:rPr>
          <w:rFonts w:cstheme="minorHAnsi"/>
          <w:u w:val="single"/>
        </w:rPr>
        <w:t>Conclusion</w:t>
      </w:r>
    </w:p>
    <w:p w14:paraId="571AAFBC" w14:textId="77777777" w:rsidR="00C654B9" w:rsidRDefault="00C654B9" w:rsidP="00C654B9">
      <w:pPr>
        <w:spacing w:afterLines="160" w:after="384" w:line="360" w:lineRule="auto"/>
        <w:rPr>
          <w:rFonts w:cstheme="minorHAnsi"/>
        </w:rPr>
      </w:pPr>
      <w:r>
        <w:rPr>
          <w:rFonts w:cstheme="minorHAnsi"/>
        </w:rPr>
        <w:t>American psychologist and education theorist, David Kolb, suggested that learning is gained though doing, or experience (1984).  I can unquestionably say that, through the experience I have gained from carrying out reflective practice as a part of this module, I have learned a great deal.  Despite early concerns regarding the potential inability to gather sufficient evidence, being able to manage my time effectively and clearly articulate my experiences following a reflection model, I still hoped that the completion of the Recognition and Accreditation of Learning module would ultimately raise my confidence by proving I am competent in this role and hold value for the team and organisation.  While the construction of the module has had its challenges, organising the learning in a chronological and logical way and collating the evidence efficiently, has allowed me to learn a vast amount about myself.  The reflective process has taught me that I work better in a structured manner, and that I have a preference to keep matters as simple as possible then build layers into complexity.  In harmony with suggestions made several</w:t>
      </w:r>
      <w:r w:rsidRPr="00901DE8">
        <w:rPr>
          <w:rFonts w:cstheme="minorHAnsi"/>
        </w:rPr>
        <w:t xml:space="preserve"> </w:t>
      </w:r>
      <w:r>
        <w:rPr>
          <w:rFonts w:cstheme="minorHAnsi"/>
        </w:rPr>
        <w:t xml:space="preserve">researchers, my experiences and the learning from them have been richer when I have included other people in my reflections </w:t>
      </w:r>
      <w:r w:rsidRPr="00302443">
        <w:rPr>
          <w:rFonts w:cstheme="minorHAnsi"/>
          <w:noProof/>
        </w:rPr>
        <w:t xml:space="preserve">(Chinn </w:t>
      </w:r>
      <w:r>
        <w:rPr>
          <w:rFonts w:cstheme="minorHAnsi"/>
          <w:noProof/>
        </w:rPr>
        <w:t>and</w:t>
      </w:r>
      <w:r w:rsidRPr="00302443">
        <w:rPr>
          <w:rFonts w:cstheme="minorHAnsi"/>
          <w:noProof/>
        </w:rPr>
        <w:t xml:space="preserve"> Kramer, 2008)</w:t>
      </w:r>
      <w:r>
        <w:rPr>
          <w:rFonts w:cstheme="minorHAnsi"/>
        </w:rPr>
        <w:t>.  The reflections have reinforced my thoughts that I enjoy connecting and helping people, and I would like to continue to do this in future.  This module has helped me to see a way forward and how I would like to develop in the future, by following practices in Organisational Development and learning more around Digital Learning (Rogers, C. R., 1980).</w:t>
      </w:r>
    </w:p>
    <w:p w14:paraId="35D4A906" w14:textId="77777777" w:rsidR="00C654B9" w:rsidRDefault="00C654B9" w:rsidP="00C654B9">
      <w:pPr>
        <w:spacing w:afterLines="160" w:after="384" w:line="360" w:lineRule="auto"/>
        <w:rPr>
          <w:rFonts w:cstheme="minorHAnsi"/>
        </w:rPr>
      </w:pPr>
      <w:r>
        <w:rPr>
          <w:rFonts w:cstheme="minorHAnsi"/>
        </w:rPr>
        <w:t xml:space="preserve">Before starting on this module, I suffered from a condition called Imposter Syndrome, unsure whether I was capable of fulfilling my role or not </w:t>
      </w:r>
      <w:sdt>
        <w:sdtPr>
          <w:rPr>
            <w:rFonts w:cstheme="minorHAnsi"/>
          </w:rPr>
          <w:id w:val="-1411390052"/>
          <w:citation/>
        </w:sdtPr>
        <w:sdtEndPr/>
        <w:sdtContent>
          <w:r>
            <w:rPr>
              <w:rFonts w:cstheme="minorHAnsi"/>
            </w:rPr>
            <w:fldChar w:fldCharType="begin"/>
          </w:r>
          <w:r>
            <w:rPr>
              <w:rFonts w:cstheme="minorHAnsi"/>
            </w:rPr>
            <w:instrText xml:space="preserve"> CITATION Cry21 \l 2057 </w:instrText>
          </w:r>
          <w:r>
            <w:rPr>
              <w:rFonts w:cstheme="minorHAnsi"/>
            </w:rPr>
            <w:fldChar w:fldCharType="separate"/>
          </w:r>
          <w:r w:rsidRPr="00051446">
            <w:rPr>
              <w:rFonts w:cstheme="minorHAnsi"/>
              <w:noProof/>
            </w:rPr>
            <w:t>(Raypole, 2021)</w:t>
          </w:r>
          <w:r>
            <w:rPr>
              <w:rFonts w:cstheme="minorHAnsi"/>
            </w:rPr>
            <w:fldChar w:fldCharType="end"/>
          </w:r>
        </w:sdtContent>
      </w:sdt>
      <w:r>
        <w:rPr>
          <w:rFonts w:cstheme="minorHAnsi"/>
        </w:rPr>
        <w:t xml:space="preserve">; however, undertaking an extensive self-reflection and self-criticism has provided me valuable insight into my abilities, and evidenced to me that I am in fact capable and competent in my current job role. While there are times where I still have self-doubts, the insight and confidence that I have gained by carrying out the activities needed to complete this module has served to evidence that my beliefs were in fact unfounded and should help to minimise these self-critical voices.  Since experiencing the benefits that self-reflection has brought to my professional life, I intend to continue to regularly practice this, as a way to curb any potential future self-doubts, and to continue carving out a development pathway for my future self </w:t>
      </w:r>
      <w:sdt>
        <w:sdtPr>
          <w:rPr>
            <w:rFonts w:cstheme="minorHAnsi"/>
          </w:rPr>
          <w:id w:val="1327248904"/>
          <w:citation/>
        </w:sdtPr>
        <w:sdtEndPr/>
        <w:sdtContent>
          <w:r>
            <w:rPr>
              <w:rFonts w:cstheme="minorHAnsi"/>
            </w:rPr>
            <w:fldChar w:fldCharType="begin"/>
          </w:r>
          <w:r>
            <w:rPr>
              <w:rFonts w:cstheme="minorHAnsi"/>
            </w:rPr>
            <w:instrText xml:space="preserve"> CITATION Bou06 \l 2057 </w:instrText>
          </w:r>
          <w:r>
            <w:rPr>
              <w:rFonts w:cstheme="minorHAnsi"/>
            </w:rPr>
            <w:fldChar w:fldCharType="separate"/>
          </w:r>
          <w:r w:rsidRPr="00051446">
            <w:rPr>
              <w:rFonts w:cstheme="minorHAnsi"/>
              <w:noProof/>
            </w:rPr>
            <w:t>(Boud, Cressey, &amp; Docherty, 2006)</w:t>
          </w:r>
          <w:r>
            <w:rPr>
              <w:rFonts w:cstheme="minorHAnsi"/>
            </w:rPr>
            <w:fldChar w:fldCharType="end"/>
          </w:r>
        </w:sdtContent>
      </w:sdt>
      <w:r>
        <w:rPr>
          <w:rFonts w:cstheme="minorHAnsi"/>
        </w:rPr>
        <w:t>.</w:t>
      </w:r>
    </w:p>
    <w:p w14:paraId="3A6509F8" w14:textId="77777777" w:rsidR="00C654B9" w:rsidRDefault="00C654B9" w:rsidP="00C654B9">
      <w:pPr>
        <w:spacing w:afterLines="160" w:after="384" w:line="360" w:lineRule="auto"/>
        <w:rPr>
          <w:rFonts w:cstheme="minorHAnsi"/>
        </w:rPr>
      </w:pPr>
    </w:p>
    <w:p w14:paraId="513C512D" w14:textId="77777777" w:rsidR="00C654B9" w:rsidRDefault="00C654B9" w:rsidP="00C654B9">
      <w:pPr>
        <w:spacing w:afterLines="160" w:after="384" w:line="360" w:lineRule="auto"/>
        <w:rPr>
          <w:rFonts w:cstheme="minorHAnsi"/>
        </w:rPr>
      </w:pPr>
    </w:p>
    <w:p w14:paraId="1202FC46" w14:textId="77777777" w:rsidR="00C654B9" w:rsidRDefault="00C654B9" w:rsidP="00C654B9">
      <w:pPr>
        <w:spacing w:afterLines="160" w:after="384" w:line="360" w:lineRule="auto"/>
        <w:rPr>
          <w:rFonts w:cstheme="minorHAnsi"/>
        </w:rPr>
      </w:pPr>
    </w:p>
    <w:p w14:paraId="1794C380" w14:textId="77777777" w:rsidR="00C654B9" w:rsidRDefault="00C654B9" w:rsidP="00C654B9">
      <w:pPr>
        <w:spacing w:afterLines="160" w:after="384" w:line="360" w:lineRule="auto"/>
        <w:rPr>
          <w:rFonts w:cstheme="minorHAnsi"/>
        </w:rPr>
      </w:pPr>
    </w:p>
    <w:p w14:paraId="411CD693" w14:textId="77777777" w:rsidR="00C654B9" w:rsidRDefault="00C654B9" w:rsidP="00C654B9">
      <w:pPr>
        <w:spacing w:afterLines="160" w:after="384" w:line="360" w:lineRule="auto"/>
        <w:rPr>
          <w:rFonts w:cstheme="minorHAnsi"/>
        </w:rPr>
      </w:pPr>
    </w:p>
    <w:p w14:paraId="0A608D69" w14:textId="77777777" w:rsidR="00C654B9" w:rsidRDefault="00C654B9" w:rsidP="00C654B9">
      <w:pPr>
        <w:spacing w:afterLines="160" w:after="384" w:line="360" w:lineRule="auto"/>
        <w:rPr>
          <w:rFonts w:cstheme="minorHAnsi"/>
        </w:rPr>
      </w:pPr>
    </w:p>
    <w:p w14:paraId="351DBDFA" w14:textId="77777777" w:rsidR="00C654B9" w:rsidRDefault="00C654B9" w:rsidP="00C654B9">
      <w:pPr>
        <w:spacing w:afterLines="160" w:after="384" w:line="360" w:lineRule="auto"/>
        <w:rPr>
          <w:rFonts w:cstheme="minorHAnsi"/>
        </w:rPr>
      </w:pPr>
    </w:p>
    <w:p w14:paraId="510DE893" w14:textId="77777777" w:rsidR="00C654B9" w:rsidRDefault="00C654B9" w:rsidP="00C654B9">
      <w:pPr>
        <w:spacing w:afterLines="160" w:after="384" w:line="360" w:lineRule="auto"/>
        <w:rPr>
          <w:rFonts w:cstheme="minorHAnsi"/>
        </w:rPr>
      </w:pPr>
    </w:p>
    <w:p w14:paraId="1DA0378E" w14:textId="77777777" w:rsidR="00C654B9" w:rsidRDefault="00C654B9" w:rsidP="00C654B9">
      <w:pPr>
        <w:spacing w:afterLines="160" w:after="384" w:line="360" w:lineRule="auto"/>
        <w:rPr>
          <w:rFonts w:cstheme="minorHAnsi"/>
        </w:rPr>
      </w:pPr>
    </w:p>
    <w:p w14:paraId="2680087F" w14:textId="77777777" w:rsidR="00C654B9" w:rsidRDefault="00C654B9" w:rsidP="00C654B9">
      <w:pPr>
        <w:spacing w:afterLines="160" w:after="384" w:line="360" w:lineRule="auto"/>
        <w:rPr>
          <w:rFonts w:cstheme="minorHAnsi"/>
        </w:rPr>
      </w:pPr>
    </w:p>
    <w:p w14:paraId="18D2B5AC" w14:textId="77777777" w:rsidR="00C654B9" w:rsidRDefault="00C654B9" w:rsidP="00C654B9">
      <w:pPr>
        <w:spacing w:afterLines="160" w:after="384" w:line="360" w:lineRule="auto"/>
        <w:rPr>
          <w:rFonts w:cstheme="minorHAnsi"/>
        </w:rPr>
      </w:pPr>
    </w:p>
    <w:p w14:paraId="6690508A" w14:textId="77777777" w:rsidR="00C654B9" w:rsidRDefault="00C654B9" w:rsidP="00C654B9">
      <w:pPr>
        <w:spacing w:afterLines="160" w:after="384" w:line="360" w:lineRule="auto"/>
        <w:rPr>
          <w:rFonts w:cstheme="minorHAnsi"/>
        </w:rPr>
      </w:pPr>
    </w:p>
    <w:p w14:paraId="496E9BCB" w14:textId="77777777" w:rsidR="00C654B9" w:rsidRDefault="00C654B9" w:rsidP="00C654B9">
      <w:pPr>
        <w:spacing w:afterLines="160" w:after="384" w:line="360" w:lineRule="auto"/>
        <w:rPr>
          <w:rFonts w:cstheme="minorHAnsi"/>
        </w:rPr>
      </w:pPr>
    </w:p>
    <w:p w14:paraId="335B9689" w14:textId="77777777" w:rsidR="00C654B9" w:rsidRPr="00AA55C6" w:rsidRDefault="00C654B9" w:rsidP="00C654B9">
      <w:pPr>
        <w:spacing w:afterLines="160" w:after="384" w:line="360" w:lineRule="auto"/>
        <w:rPr>
          <w:rFonts w:cstheme="minorHAnsi"/>
        </w:rPr>
      </w:pPr>
    </w:p>
    <w:sdt>
      <w:sdtPr>
        <w:rPr>
          <w:rFonts w:asciiTheme="minorHAnsi" w:eastAsiaTheme="minorHAnsi" w:hAnsiTheme="minorHAnsi" w:cstheme="minorBidi"/>
          <w:color w:val="auto"/>
          <w:sz w:val="22"/>
          <w:szCs w:val="22"/>
          <w:lang w:val="en-GB" w:eastAsia="en-GB"/>
        </w:rPr>
        <w:id w:val="232131593"/>
        <w:docPartObj>
          <w:docPartGallery w:val="Bibliographies"/>
          <w:docPartUnique/>
        </w:docPartObj>
      </w:sdtPr>
      <w:sdtEndPr>
        <w:rPr>
          <w:rFonts w:ascii="Times New Roman" w:eastAsia="Times New Roman" w:hAnsi="Times New Roman" w:cs="Times New Roman"/>
          <w:sz w:val="24"/>
          <w:szCs w:val="24"/>
        </w:rPr>
      </w:sdtEndPr>
      <w:sdtContent>
        <w:p w14:paraId="5BAACCCD" w14:textId="77777777" w:rsidR="00C654B9" w:rsidRDefault="00C654B9" w:rsidP="00C654B9">
          <w:pPr>
            <w:pStyle w:val="Heading1"/>
            <w:spacing w:afterLines="160" w:after="384" w:line="240" w:lineRule="auto"/>
          </w:pPr>
          <w:r>
            <w:t>Bibliography</w:t>
          </w:r>
        </w:p>
        <w:sdt>
          <w:sdtPr>
            <w:rPr>
              <w:rFonts w:ascii="Times New Roman" w:eastAsia="Times New Roman" w:hAnsi="Times New Roman" w:cs="Times New Roman"/>
              <w:sz w:val="24"/>
              <w:szCs w:val="24"/>
              <w:lang w:eastAsia="en-GB"/>
            </w:rPr>
            <w:id w:val="-2113039426"/>
            <w:bibliography/>
          </w:sdtPr>
          <w:sdtEndPr/>
          <w:sdtContent>
            <w:p w14:paraId="427FB5CE" w14:textId="77777777" w:rsidR="00C654B9" w:rsidRDefault="00C654B9" w:rsidP="00C654B9">
              <w:pPr>
                <w:pStyle w:val="Bibliography"/>
                <w:ind w:left="720" w:hanging="720"/>
                <w:rPr>
                  <w:noProof/>
                  <w:lang w:val="en-US"/>
                </w:rPr>
              </w:pPr>
              <w:r>
                <w:fldChar w:fldCharType="begin"/>
              </w:r>
              <w:r>
                <w:instrText xml:space="preserve"> BIBLIOGRAPHY </w:instrText>
              </w:r>
              <w:r>
                <w:fldChar w:fldCharType="separate"/>
              </w:r>
              <w:r>
                <w:rPr>
                  <w:noProof/>
                  <w:lang w:val="en-US"/>
                </w:rPr>
                <w:t xml:space="preserve">Argyris, C., &amp; Schon, D. (1976). </w:t>
              </w:r>
              <w:r>
                <w:rPr>
                  <w:i/>
                  <w:iCs/>
                  <w:noProof/>
                  <w:lang w:val="en-US"/>
                </w:rPr>
                <w:t>Theory in Practice: Increasing Professional Effectiveness.</w:t>
              </w:r>
              <w:r>
                <w:rPr>
                  <w:noProof/>
                  <w:lang w:val="en-US"/>
                </w:rPr>
                <w:t xml:space="preserve"> Columbus: The Journal of Higher Education.</w:t>
              </w:r>
            </w:p>
            <w:p w14:paraId="386E77CD" w14:textId="77777777" w:rsidR="00C654B9" w:rsidRDefault="00C654B9" w:rsidP="00C654B9">
              <w:pPr>
                <w:pStyle w:val="Bibliography"/>
                <w:ind w:left="720" w:hanging="720"/>
                <w:rPr>
                  <w:noProof/>
                  <w:lang w:val="en-US"/>
                </w:rPr>
              </w:pPr>
              <w:r>
                <w:rPr>
                  <w:noProof/>
                  <w:lang w:val="en-US"/>
                </w:rPr>
                <w:t xml:space="preserve">Arumugam, D., &amp; Van Roy, B. (2021, October 26). </w:t>
              </w:r>
              <w:r>
                <w:rPr>
                  <w:i/>
                  <w:iCs/>
                  <w:noProof/>
                  <w:lang w:val="en-US"/>
                </w:rPr>
                <w:t>The Value of Information.</w:t>
              </w:r>
              <w:r>
                <w:rPr>
                  <w:noProof/>
                  <w:lang w:val="en-US"/>
                </w:rPr>
                <w:t xml:space="preserve"> Ithaca: Cornell University Library.</w:t>
              </w:r>
            </w:p>
            <w:p w14:paraId="00F6D6C2" w14:textId="77777777" w:rsidR="00C654B9" w:rsidRDefault="00C654B9" w:rsidP="00C654B9">
              <w:pPr>
                <w:pStyle w:val="Bibliography"/>
                <w:ind w:left="720" w:hanging="720"/>
                <w:rPr>
                  <w:noProof/>
                  <w:lang w:val="en-US"/>
                </w:rPr>
              </w:pPr>
              <w:r>
                <w:rPr>
                  <w:noProof/>
                  <w:lang w:val="en-US"/>
                </w:rPr>
                <w:t xml:space="preserve">Baumann, S., &amp; Keimer, I. (2023, February 28). Individual Benefits of Continuing Higher Education. The Case of a Swiss Business School. </w:t>
              </w:r>
              <w:r>
                <w:rPr>
                  <w:i/>
                  <w:iCs/>
                  <w:noProof/>
                  <w:lang w:val="en-US"/>
                </w:rPr>
                <w:t>Journal of Adult and Continuing Education</w:t>
              </w:r>
              <w:r>
                <w:rPr>
                  <w:noProof/>
                  <w:lang w:val="en-US"/>
                </w:rPr>
                <w:t>, pp. Vol. 29; Issue 2; pg 343-359.</w:t>
              </w:r>
            </w:p>
            <w:p w14:paraId="18997771" w14:textId="77777777" w:rsidR="00C654B9" w:rsidRDefault="00C654B9" w:rsidP="00C654B9">
              <w:pPr>
                <w:pStyle w:val="Bibliography"/>
                <w:ind w:left="720" w:hanging="720"/>
                <w:rPr>
                  <w:noProof/>
                  <w:lang w:val="en-US"/>
                </w:rPr>
              </w:pPr>
              <w:r>
                <w:rPr>
                  <w:noProof/>
                  <w:lang w:val="en-US"/>
                </w:rPr>
                <w:t xml:space="preserve">Beard, C. (2006). </w:t>
              </w:r>
              <w:r>
                <w:rPr>
                  <w:i/>
                  <w:iCs/>
                  <w:noProof/>
                  <w:lang w:val="en-US"/>
                </w:rPr>
                <w:t>Experiential learning: a best practice handbook for educators and trainers.</w:t>
              </w:r>
              <w:r>
                <w:rPr>
                  <w:noProof/>
                  <w:lang w:val="en-US"/>
                </w:rPr>
                <w:t xml:space="preserve"> London: Kogan Page.</w:t>
              </w:r>
            </w:p>
            <w:p w14:paraId="5287EEE9" w14:textId="77777777" w:rsidR="00C654B9" w:rsidRDefault="00C654B9" w:rsidP="00C654B9">
              <w:pPr>
                <w:pStyle w:val="Bibliography"/>
                <w:ind w:left="720" w:hanging="720"/>
                <w:rPr>
                  <w:noProof/>
                  <w:lang w:val="en-US"/>
                </w:rPr>
              </w:pPr>
              <w:r>
                <w:rPr>
                  <w:noProof/>
                  <w:lang w:val="en-US"/>
                </w:rPr>
                <w:t xml:space="preserve">Beard, C., &amp; Wilson, J. P. (2006). </w:t>
              </w:r>
              <w:r>
                <w:rPr>
                  <w:i/>
                  <w:iCs/>
                  <w:noProof/>
                  <w:lang w:val="en-US"/>
                </w:rPr>
                <w:t>Experiential Learning: a best practice handbook for education and trainers.</w:t>
              </w:r>
              <w:r>
                <w:rPr>
                  <w:noProof/>
                  <w:lang w:val="en-US"/>
                </w:rPr>
                <w:t xml:space="preserve"> London: Kogan Page.</w:t>
              </w:r>
            </w:p>
            <w:p w14:paraId="43E54336" w14:textId="77777777" w:rsidR="00C654B9" w:rsidRDefault="00C654B9" w:rsidP="00C654B9">
              <w:pPr>
                <w:pStyle w:val="Bibliography"/>
                <w:ind w:left="720" w:hanging="720"/>
                <w:rPr>
                  <w:noProof/>
                  <w:lang w:val="en-US"/>
                </w:rPr>
              </w:pPr>
              <w:r>
                <w:rPr>
                  <w:noProof/>
                  <w:lang w:val="en-US"/>
                </w:rPr>
                <w:t xml:space="preserve">Bloom et al. (1956). </w:t>
              </w:r>
              <w:r>
                <w:rPr>
                  <w:i/>
                  <w:iCs/>
                  <w:noProof/>
                  <w:lang w:val="en-US"/>
                </w:rPr>
                <w:t>Taxonomy of Educational Objectives: the classification of educational objectives.</w:t>
              </w:r>
              <w:r>
                <w:rPr>
                  <w:noProof/>
                  <w:lang w:val="en-US"/>
                </w:rPr>
                <w:t xml:space="preserve"> London: Cognitive Domain, Longmans, Green &amp; Co.</w:t>
              </w:r>
            </w:p>
            <w:p w14:paraId="4D50599D" w14:textId="77777777" w:rsidR="00C654B9" w:rsidRDefault="00C654B9" w:rsidP="00C654B9">
              <w:pPr>
                <w:pStyle w:val="Bibliography"/>
                <w:ind w:left="720" w:hanging="720"/>
                <w:rPr>
                  <w:noProof/>
                  <w:lang w:val="en-US"/>
                </w:rPr>
              </w:pPr>
              <w:r>
                <w:rPr>
                  <w:noProof/>
                  <w:lang w:val="en-US"/>
                </w:rPr>
                <w:t xml:space="preserve">Boud, D., Cressey, P., &amp; Docherty, P. (2006). </w:t>
              </w:r>
              <w:r>
                <w:rPr>
                  <w:i/>
                  <w:iCs/>
                  <w:noProof/>
                  <w:lang w:val="en-US"/>
                </w:rPr>
                <w:t>Productive Reflection at Work : Learning for Changing Organizations.</w:t>
              </w:r>
              <w:r>
                <w:rPr>
                  <w:noProof/>
                  <w:lang w:val="en-US"/>
                </w:rPr>
                <w:t xml:space="preserve"> London: Routledge.</w:t>
              </w:r>
            </w:p>
            <w:p w14:paraId="1E8AC490" w14:textId="77777777" w:rsidR="00C654B9" w:rsidRDefault="00C654B9" w:rsidP="00C654B9">
              <w:pPr>
                <w:pStyle w:val="Bibliography"/>
                <w:ind w:left="720" w:hanging="720"/>
                <w:rPr>
                  <w:noProof/>
                  <w:lang w:val="en-US"/>
                </w:rPr>
              </w:pPr>
              <w:r>
                <w:rPr>
                  <w:noProof/>
                  <w:lang w:val="en-US"/>
                </w:rPr>
                <w:t xml:space="preserve">Burke, L., Redfern, M., &amp; Marks-Maran, D. (2016, May 1). Continuing professional development for non-medical health care professionals: History, issues and challenges. </w:t>
              </w:r>
              <w:r>
                <w:rPr>
                  <w:i/>
                  <w:iCs/>
                  <w:noProof/>
                  <w:lang w:val="en-US"/>
                </w:rPr>
                <w:t>International Journal of Continuing Education &amp; Lifelong Learning</w:t>
              </w:r>
              <w:r>
                <w:rPr>
                  <w:noProof/>
                  <w:lang w:val="en-US"/>
                </w:rPr>
                <w:t>, pp. 85-92.</w:t>
              </w:r>
            </w:p>
            <w:p w14:paraId="4CA38AB3" w14:textId="77777777" w:rsidR="00C654B9" w:rsidRDefault="00C654B9" w:rsidP="00C654B9">
              <w:pPr>
                <w:pStyle w:val="Bibliography"/>
                <w:ind w:left="720" w:hanging="720"/>
                <w:rPr>
                  <w:noProof/>
                  <w:lang w:val="en-US"/>
                </w:rPr>
              </w:pPr>
              <w:r>
                <w:rPr>
                  <w:noProof/>
                  <w:lang w:val="en-US"/>
                </w:rPr>
                <w:t xml:space="preserve">Cambridge Library Study Skills. (n.d.). </w:t>
              </w:r>
              <w:r>
                <w:rPr>
                  <w:i/>
                  <w:iCs/>
                  <w:noProof/>
                  <w:lang w:val="en-US"/>
                </w:rPr>
                <w:t>Reflective Practice Toolkit</w:t>
              </w:r>
              <w:r>
                <w:rPr>
                  <w:noProof/>
                  <w:lang w:val="en-US"/>
                </w:rPr>
                <w:t>. Retrieved from Cambidge University: https://libguides.cam.ac.uk/reflectivepracticetoolkit/models. Accessed 23/07/2023</w:t>
              </w:r>
            </w:p>
            <w:p w14:paraId="390CCC52" w14:textId="77777777" w:rsidR="00C654B9" w:rsidRDefault="00C654B9" w:rsidP="00C654B9">
              <w:pPr>
                <w:pStyle w:val="Bibliography"/>
                <w:ind w:left="720" w:hanging="720"/>
                <w:rPr>
                  <w:noProof/>
                  <w:lang w:val="en-US"/>
                </w:rPr>
              </w:pPr>
              <w:r>
                <w:rPr>
                  <w:noProof/>
                  <w:lang w:val="en-US"/>
                </w:rPr>
                <w:t xml:space="preserve">Cherry, K. (2020, May 15). </w:t>
              </w:r>
              <w:r>
                <w:rPr>
                  <w:i/>
                  <w:iCs/>
                  <w:noProof/>
                  <w:lang w:val="en-US"/>
                </w:rPr>
                <w:t>Kolb's Learning Styles</w:t>
              </w:r>
              <w:r>
                <w:rPr>
                  <w:noProof/>
                  <w:lang w:val="en-US"/>
                </w:rPr>
                <w:t>. Retrieved from VeryWellMind: https://www.verywellmind.com/kolbs-learning-styles-2795155. Accessed 25/07/2023</w:t>
              </w:r>
            </w:p>
            <w:p w14:paraId="3B0730B8" w14:textId="77777777" w:rsidR="00C654B9" w:rsidRDefault="00C654B9" w:rsidP="00C654B9">
              <w:pPr>
                <w:pStyle w:val="Bibliography"/>
                <w:ind w:left="720" w:hanging="720"/>
                <w:rPr>
                  <w:noProof/>
                  <w:lang w:val="en-US"/>
                </w:rPr>
              </w:pPr>
              <w:r>
                <w:rPr>
                  <w:noProof/>
                  <w:lang w:val="en-US"/>
                </w:rPr>
                <w:t xml:space="preserve">Chinn, P. L., &amp; Kramer, M. K. (2008). </w:t>
              </w:r>
              <w:r>
                <w:rPr>
                  <w:i/>
                  <w:iCs/>
                  <w:noProof/>
                  <w:lang w:val="en-US"/>
                </w:rPr>
                <w:t>Integrated Theory and Knowledge Development in Nursing.</w:t>
              </w:r>
              <w:r>
                <w:rPr>
                  <w:noProof/>
                  <w:lang w:val="en-US"/>
                </w:rPr>
                <w:t xml:space="preserve"> Mosby Elsevier.</w:t>
              </w:r>
            </w:p>
            <w:p w14:paraId="1DE4CEE6" w14:textId="77777777" w:rsidR="00C654B9" w:rsidRDefault="00C654B9" w:rsidP="00C654B9">
              <w:pPr>
                <w:pStyle w:val="Bibliography"/>
                <w:ind w:left="720" w:hanging="720"/>
                <w:rPr>
                  <w:noProof/>
                  <w:lang w:val="en-US"/>
                </w:rPr>
              </w:pPr>
              <w:r>
                <w:rPr>
                  <w:noProof/>
                  <w:lang w:val="en-US"/>
                </w:rPr>
                <w:t xml:space="preserve">CIPD. (2021, December 16). </w:t>
              </w:r>
              <w:r>
                <w:rPr>
                  <w:i/>
                  <w:iCs/>
                  <w:noProof/>
                  <w:lang w:val="en-US"/>
                </w:rPr>
                <w:t>Communication Factsheet</w:t>
              </w:r>
              <w:r>
                <w:rPr>
                  <w:noProof/>
                  <w:lang w:val="en-US"/>
                </w:rPr>
                <w:t>. Retrieved from CIPD: https://www.cipd.co.uk/knowledge/fundamentals/relations/communication/factsheet. Accessed 22/08/2023</w:t>
              </w:r>
            </w:p>
            <w:p w14:paraId="6DE20F0A" w14:textId="77777777" w:rsidR="00C654B9" w:rsidRDefault="00C654B9" w:rsidP="00C654B9">
              <w:pPr>
                <w:pStyle w:val="Bibliography"/>
                <w:ind w:left="720" w:hanging="720"/>
                <w:rPr>
                  <w:noProof/>
                  <w:lang w:val="en-US"/>
                </w:rPr>
              </w:pPr>
              <w:r>
                <w:rPr>
                  <w:noProof/>
                  <w:lang w:val="en-US"/>
                </w:rPr>
                <w:t xml:space="preserve">CIPD. (2022, November 18). </w:t>
              </w:r>
              <w:r>
                <w:rPr>
                  <w:i/>
                  <w:iCs/>
                  <w:noProof/>
                  <w:lang w:val="en-US"/>
                </w:rPr>
                <w:t>Workforce Planning Factsheet</w:t>
              </w:r>
              <w:r>
                <w:rPr>
                  <w:noProof/>
                  <w:lang w:val="en-US"/>
                </w:rPr>
                <w:t>. Retrieved from CIPD: https://www.cipd.co.uk/knowledge/strategy/organisational-development/workforce-planning-factsheet. Accessed 22/08/2023</w:t>
              </w:r>
            </w:p>
            <w:p w14:paraId="1467E966" w14:textId="77777777" w:rsidR="00C654B9" w:rsidRDefault="00C654B9" w:rsidP="00C654B9">
              <w:pPr>
                <w:pStyle w:val="Bibliography"/>
                <w:ind w:left="720" w:hanging="720"/>
                <w:rPr>
                  <w:noProof/>
                  <w:lang w:val="en-US"/>
                </w:rPr>
              </w:pPr>
              <w:r>
                <w:rPr>
                  <w:noProof/>
                  <w:lang w:val="en-US"/>
                </w:rPr>
                <w:t xml:space="preserve">Crislip, M. (2015, May 1). </w:t>
              </w:r>
              <w:r>
                <w:rPr>
                  <w:i/>
                  <w:iCs/>
                  <w:noProof/>
                  <w:lang w:val="en-US"/>
                </w:rPr>
                <w:t>What Should We Do in the Absence of Evidence?</w:t>
              </w:r>
              <w:r>
                <w:rPr>
                  <w:noProof/>
                  <w:lang w:val="en-US"/>
                </w:rPr>
                <w:t xml:space="preserve"> Retrieved from Science-Based Medicine: https://sciencebasedmedicine.org/what-should-we-do-in-the-absence-of-evidence/ Accessed 23/07/2023</w:t>
              </w:r>
            </w:p>
            <w:p w14:paraId="71719DC8" w14:textId="77777777" w:rsidR="00C654B9" w:rsidRDefault="00C654B9" w:rsidP="00C654B9">
              <w:pPr>
                <w:pStyle w:val="Bibliography"/>
                <w:ind w:left="720" w:hanging="720"/>
                <w:rPr>
                  <w:noProof/>
                  <w:lang w:val="en-US"/>
                </w:rPr>
              </w:pPr>
              <w:r>
                <w:rPr>
                  <w:noProof/>
                  <w:lang w:val="en-US"/>
                </w:rPr>
                <w:t xml:space="preserve">David, D. S. (2016, December 16). </w:t>
              </w:r>
              <w:r>
                <w:rPr>
                  <w:i/>
                  <w:iCs/>
                  <w:noProof/>
                  <w:lang w:val="en-US"/>
                </w:rPr>
                <w:t>Harvard Psychologist Susan David on Happiness and Resilience.</w:t>
              </w:r>
              <w:r>
                <w:rPr>
                  <w:noProof/>
                  <w:lang w:val="en-US"/>
                </w:rPr>
                <w:t xml:space="preserve"> Retrieved from YouTube: https://www.youtube.com/watch?v=ISbsGGK8vvI&amp;t=1s. Accessed 23/07/2023</w:t>
              </w:r>
            </w:p>
            <w:p w14:paraId="2EBEF68C" w14:textId="77777777" w:rsidR="00C654B9" w:rsidRDefault="00C654B9" w:rsidP="00C654B9">
              <w:pPr>
                <w:pStyle w:val="Bibliography"/>
                <w:ind w:left="720" w:hanging="720"/>
                <w:rPr>
                  <w:noProof/>
                  <w:lang w:val="en-US"/>
                </w:rPr>
              </w:pPr>
              <w:r>
                <w:rPr>
                  <w:noProof/>
                  <w:lang w:val="en-US"/>
                </w:rPr>
                <w:t xml:space="preserve">Day, C. (2010). Effective Leadership and Reflective Practice. </w:t>
              </w:r>
              <w:r>
                <w:rPr>
                  <w:i/>
                  <w:iCs/>
                  <w:noProof/>
                  <w:lang w:val="en-US"/>
                </w:rPr>
                <w:t>Reflective Practice</w:t>
              </w:r>
              <w:r>
                <w:rPr>
                  <w:noProof/>
                  <w:lang w:val="en-US"/>
                </w:rPr>
                <w:t>, 1:1; 113-127.</w:t>
              </w:r>
            </w:p>
            <w:p w14:paraId="6F051A1F" w14:textId="77777777" w:rsidR="00C654B9" w:rsidRDefault="00C654B9" w:rsidP="00C654B9">
              <w:pPr>
                <w:pStyle w:val="Bibliography"/>
                <w:ind w:left="720" w:hanging="720"/>
                <w:rPr>
                  <w:noProof/>
                  <w:lang w:val="en-US"/>
                </w:rPr>
              </w:pPr>
              <w:r>
                <w:rPr>
                  <w:noProof/>
                  <w:lang w:val="en-US"/>
                </w:rPr>
                <w:t xml:space="preserve">Day, C. (2010). Effective Leadership and Reflective Practice. </w:t>
              </w:r>
              <w:r>
                <w:rPr>
                  <w:i/>
                  <w:iCs/>
                  <w:noProof/>
                  <w:lang w:val="en-US"/>
                </w:rPr>
                <w:t>Reflective Practice</w:t>
              </w:r>
              <w:r>
                <w:rPr>
                  <w:noProof/>
                  <w:lang w:val="en-US"/>
                </w:rPr>
                <w:t>, 1:1; 113-127.</w:t>
              </w:r>
            </w:p>
            <w:p w14:paraId="31C7F91F" w14:textId="77777777" w:rsidR="00C654B9" w:rsidRDefault="00C654B9" w:rsidP="00C654B9">
              <w:pPr>
                <w:pStyle w:val="Bibliography"/>
                <w:ind w:left="720" w:hanging="720"/>
                <w:rPr>
                  <w:noProof/>
                  <w:lang w:val="en-US"/>
                </w:rPr>
              </w:pPr>
              <w:r>
                <w:rPr>
                  <w:noProof/>
                  <w:lang w:val="en-US"/>
                </w:rPr>
                <w:t xml:space="preserve">Dewey, J. (1916). </w:t>
              </w:r>
              <w:r>
                <w:rPr>
                  <w:i/>
                  <w:iCs/>
                  <w:noProof/>
                  <w:lang w:val="en-US"/>
                </w:rPr>
                <w:t>Democracy and Education.</w:t>
              </w:r>
              <w:r>
                <w:rPr>
                  <w:noProof/>
                  <w:lang w:val="en-US"/>
                </w:rPr>
                <w:t xml:space="preserve"> New York: Macmillan.</w:t>
              </w:r>
            </w:p>
            <w:p w14:paraId="5FACD66D" w14:textId="77777777" w:rsidR="00C654B9" w:rsidRDefault="00C654B9" w:rsidP="00C654B9">
              <w:pPr>
                <w:pStyle w:val="Bibliography"/>
                <w:ind w:left="720" w:hanging="720"/>
                <w:rPr>
                  <w:noProof/>
                  <w:lang w:val="en-US"/>
                </w:rPr>
              </w:pPr>
              <w:r>
                <w:rPr>
                  <w:noProof/>
                  <w:lang w:val="en-US"/>
                </w:rPr>
                <w:t xml:space="preserve">Dewy, J. (1944). </w:t>
              </w:r>
              <w:r>
                <w:rPr>
                  <w:i/>
                  <w:iCs/>
                  <w:noProof/>
                  <w:lang w:val="en-US"/>
                </w:rPr>
                <w:t>Democracy and Education.</w:t>
              </w:r>
              <w:r>
                <w:rPr>
                  <w:noProof/>
                  <w:lang w:val="en-US"/>
                </w:rPr>
                <w:t xml:space="preserve"> New York: The Free Press.</w:t>
              </w:r>
            </w:p>
            <w:p w14:paraId="04AB0E56" w14:textId="77777777" w:rsidR="00C654B9" w:rsidRDefault="00C654B9" w:rsidP="00C654B9">
              <w:pPr>
                <w:pStyle w:val="Bibliography"/>
                <w:ind w:left="720" w:hanging="720"/>
                <w:rPr>
                  <w:noProof/>
                  <w:lang w:val="en-US"/>
                </w:rPr>
              </w:pPr>
              <w:r>
                <w:rPr>
                  <w:noProof/>
                  <w:lang w:val="en-US"/>
                </w:rPr>
                <w:t xml:space="preserve">Drew, C. (2023, March 9). </w:t>
              </w:r>
              <w:r>
                <w:rPr>
                  <w:i/>
                  <w:iCs/>
                  <w:noProof/>
                  <w:lang w:val="en-US"/>
                </w:rPr>
                <w:t>Active Learning – Advantages &amp; Disadvantages</w:t>
              </w:r>
              <w:r>
                <w:rPr>
                  <w:noProof/>
                  <w:lang w:val="en-US"/>
                </w:rPr>
                <w:t>. Retrieved from HelpfulProfessor: https://helpfulprofessor.com/active-learning-pros-cons/ Accessed 23/07/2023</w:t>
              </w:r>
            </w:p>
            <w:p w14:paraId="31519A96" w14:textId="77777777" w:rsidR="00C654B9" w:rsidRDefault="00C654B9" w:rsidP="00C654B9">
              <w:pPr>
                <w:pStyle w:val="Bibliography"/>
                <w:ind w:left="720" w:hanging="720"/>
                <w:rPr>
                  <w:noProof/>
                  <w:lang w:val="en-US"/>
                </w:rPr>
              </w:pPr>
              <w:r>
                <w:rPr>
                  <w:noProof/>
                  <w:lang w:val="en-US"/>
                </w:rPr>
                <w:t xml:space="preserve">Dunning, D. (2022, March 7). </w:t>
              </w:r>
              <w:r>
                <w:rPr>
                  <w:i/>
                  <w:iCs/>
                  <w:noProof/>
                  <w:lang w:val="en-US"/>
                </w:rPr>
                <w:t>The Dunning-Kruger effect and its discontents</w:t>
              </w:r>
              <w:r>
                <w:rPr>
                  <w:noProof/>
                  <w:lang w:val="en-US"/>
                </w:rPr>
                <w:t>. Retrieved from The British Psychological Society: https://www.bps.org.uk/psychologist/dunning-kruger-effect-and-its-discontents. Accessed 03/10/2023</w:t>
              </w:r>
            </w:p>
            <w:p w14:paraId="22A43FD1" w14:textId="77777777" w:rsidR="00C654B9" w:rsidRDefault="00C654B9" w:rsidP="00C654B9">
              <w:pPr>
                <w:pStyle w:val="Bibliography"/>
                <w:ind w:left="720" w:hanging="720"/>
                <w:rPr>
                  <w:noProof/>
                  <w:lang w:val="en-US"/>
                </w:rPr>
              </w:pPr>
              <w:r>
                <w:rPr>
                  <w:noProof/>
                  <w:lang w:val="en-US"/>
                </w:rPr>
                <w:t xml:space="preserve">Forrest, S. I., &amp; Peterson, T. (2006). It’s Called Andragogy. </w:t>
              </w:r>
              <w:r>
                <w:rPr>
                  <w:i/>
                  <w:iCs/>
                  <w:noProof/>
                  <w:lang w:val="en-US"/>
                </w:rPr>
                <w:t>Academy of Management Learning &amp; Education</w:t>
              </w:r>
              <w:r>
                <w:rPr>
                  <w:noProof/>
                  <w:lang w:val="en-US"/>
                </w:rPr>
                <w:t>, Vol 5(1), pp 113–122.</w:t>
              </w:r>
            </w:p>
            <w:p w14:paraId="1230E7CE" w14:textId="77777777" w:rsidR="00C654B9" w:rsidRDefault="00C654B9" w:rsidP="00C654B9">
              <w:pPr>
                <w:pStyle w:val="Bibliography"/>
                <w:ind w:left="720" w:hanging="720"/>
                <w:rPr>
                  <w:noProof/>
                  <w:lang w:val="en-US"/>
                </w:rPr>
              </w:pPr>
              <w:r>
                <w:rPr>
                  <w:noProof/>
                  <w:lang w:val="en-US"/>
                </w:rPr>
                <w:t xml:space="preserve">Forsyth, P. (2013). TIME: A KEY RESOURCE - OPPORTUNITIES AND DIFFICULTIES. In P. Forsyth, </w:t>
              </w:r>
              <w:r>
                <w:rPr>
                  <w:i/>
                  <w:iCs/>
                  <w:noProof/>
                  <w:lang w:val="en-US"/>
                </w:rPr>
                <w:t>Successful Time Management</w:t>
              </w:r>
              <w:r>
                <w:rPr>
                  <w:noProof/>
                  <w:lang w:val="en-US"/>
                </w:rPr>
                <w:t xml:space="preserve"> (pp. 1-10). London: Kogan Page Ltd.</w:t>
              </w:r>
            </w:p>
            <w:p w14:paraId="79398A1F" w14:textId="77777777" w:rsidR="00C654B9" w:rsidRDefault="00C654B9" w:rsidP="00C654B9">
              <w:pPr>
                <w:pStyle w:val="Bibliography"/>
                <w:ind w:left="720" w:hanging="720"/>
                <w:rPr>
                  <w:noProof/>
                  <w:lang w:val="en-US"/>
                </w:rPr>
              </w:pPr>
              <w:r>
                <w:rPr>
                  <w:noProof/>
                  <w:lang w:val="en-US"/>
                </w:rPr>
                <w:t xml:space="preserve">Goleman, D. (1995). </w:t>
              </w:r>
              <w:r>
                <w:rPr>
                  <w:i/>
                  <w:iCs/>
                  <w:noProof/>
                  <w:lang w:val="en-US"/>
                </w:rPr>
                <w:t>Emotional intelligence: Why it can matter more than IQ.</w:t>
              </w:r>
              <w:r>
                <w:rPr>
                  <w:noProof/>
                  <w:lang w:val="en-US"/>
                </w:rPr>
                <w:t xml:space="preserve"> New York: Bantam Books.</w:t>
              </w:r>
            </w:p>
            <w:p w14:paraId="2F74C19F" w14:textId="77777777" w:rsidR="00C654B9" w:rsidRDefault="00C654B9" w:rsidP="00C654B9">
              <w:pPr>
                <w:pStyle w:val="Bibliography"/>
                <w:ind w:left="720" w:hanging="720"/>
                <w:rPr>
                  <w:noProof/>
                  <w:lang w:val="en-US"/>
                </w:rPr>
              </w:pPr>
              <w:r>
                <w:rPr>
                  <w:noProof/>
                  <w:lang w:val="en-US"/>
                </w:rPr>
                <w:t xml:space="preserve">Gottlieb, M. (2023). When I say … imposter syndrome. </w:t>
              </w:r>
              <w:r>
                <w:rPr>
                  <w:i/>
                  <w:iCs/>
                  <w:noProof/>
                  <w:lang w:val="en-US"/>
                </w:rPr>
                <w:t>Medical Education</w:t>
              </w:r>
              <w:r>
                <w:rPr>
                  <w:noProof/>
                  <w:lang w:val="en-US"/>
                </w:rPr>
                <w:t>, 1-2.</w:t>
              </w:r>
            </w:p>
            <w:p w14:paraId="2D34BC11" w14:textId="77777777" w:rsidR="00C654B9" w:rsidRDefault="00C654B9" w:rsidP="00C654B9">
              <w:pPr>
                <w:pStyle w:val="Bibliography"/>
                <w:ind w:left="720" w:hanging="720"/>
                <w:rPr>
                  <w:noProof/>
                  <w:lang w:val="en-US"/>
                </w:rPr>
              </w:pPr>
              <w:r>
                <w:rPr>
                  <w:noProof/>
                  <w:lang w:val="en-US"/>
                </w:rPr>
                <w:t xml:space="preserve">Haleem, A., Javaid, M., Qadri, M. A., &amp; Suman, R. (2022). Understanding the role of digital technologies in education: A review. </w:t>
              </w:r>
              <w:r>
                <w:rPr>
                  <w:i/>
                  <w:iCs/>
                  <w:noProof/>
                  <w:lang w:val="en-US"/>
                </w:rPr>
                <w:t>Sustainable Operations and Computers</w:t>
              </w:r>
              <w:r>
                <w:rPr>
                  <w:noProof/>
                  <w:lang w:val="en-US"/>
                </w:rPr>
                <w:t>, V. 3; pg 275-285.</w:t>
              </w:r>
            </w:p>
            <w:p w14:paraId="5B1FA0B4" w14:textId="77777777" w:rsidR="00C654B9" w:rsidRDefault="00C654B9" w:rsidP="00C654B9">
              <w:pPr>
                <w:pStyle w:val="Bibliography"/>
                <w:ind w:left="720" w:hanging="720"/>
                <w:rPr>
                  <w:noProof/>
                  <w:lang w:val="en-US"/>
                </w:rPr>
              </w:pPr>
              <w:r>
                <w:rPr>
                  <w:noProof/>
                  <w:lang w:val="en-US"/>
                </w:rPr>
                <w:t xml:space="preserve">Hull University Library. (2022, October 26). </w:t>
              </w:r>
              <w:r>
                <w:rPr>
                  <w:i/>
                  <w:iCs/>
                  <w:noProof/>
                  <w:lang w:val="en-US"/>
                </w:rPr>
                <w:t>Reflective writing: ERA</w:t>
              </w:r>
              <w:r>
                <w:rPr>
                  <w:noProof/>
                  <w:lang w:val="en-US"/>
                </w:rPr>
                <w:t>. Retrieved from Hull University: https://libguides.hull.ac.uk/reflectivewriting/era. Accessed 04/10/2023</w:t>
              </w:r>
            </w:p>
            <w:p w14:paraId="676512FF" w14:textId="77777777" w:rsidR="00C654B9" w:rsidRDefault="00C654B9" w:rsidP="00C654B9">
              <w:pPr>
                <w:pStyle w:val="Bibliography"/>
                <w:ind w:left="720" w:hanging="720"/>
                <w:rPr>
                  <w:noProof/>
                  <w:lang w:val="en-US"/>
                </w:rPr>
              </w:pPr>
              <w:r>
                <w:rPr>
                  <w:noProof/>
                  <w:lang w:val="en-US"/>
                </w:rPr>
                <w:t xml:space="preserve">Insight for Professionals. (2018, July 18). </w:t>
              </w:r>
              <w:r>
                <w:rPr>
                  <w:i/>
                  <w:iCs/>
                  <w:noProof/>
                  <w:lang w:val="en-US"/>
                </w:rPr>
                <w:t>Skills Line Manager Need To Get Best From Team</w:t>
              </w:r>
              <w:r>
                <w:rPr>
                  <w:noProof/>
                  <w:lang w:val="en-US"/>
                </w:rPr>
                <w:t>. Retrieved from Insight for Professionals: https://www.insightsforprofessionals.com/management/leadership/skills-line-manager-needs-to-get-best-from-team. Accessed 04/10/2023</w:t>
              </w:r>
            </w:p>
            <w:p w14:paraId="2B96B946" w14:textId="77777777" w:rsidR="00C654B9" w:rsidRDefault="00C654B9" w:rsidP="00C654B9">
              <w:pPr>
                <w:pStyle w:val="Bibliography"/>
                <w:ind w:left="720" w:hanging="720"/>
                <w:rPr>
                  <w:noProof/>
                  <w:lang w:val="en-US"/>
                </w:rPr>
              </w:pPr>
              <w:r>
                <w:rPr>
                  <w:noProof/>
                  <w:lang w:val="en-US"/>
                </w:rPr>
                <w:t xml:space="preserve">Joel Bothello, T. J. (2018). The Imposter Syndrome, or the Mis-Representation of Self in Academic Life. </w:t>
              </w:r>
              <w:r>
                <w:rPr>
                  <w:i/>
                  <w:iCs/>
                  <w:noProof/>
                  <w:lang w:val="en-US"/>
                </w:rPr>
                <w:t>Journal of Management Studies</w:t>
              </w:r>
              <w:r>
                <w:rPr>
                  <w:noProof/>
                  <w:lang w:val="en-US"/>
                </w:rPr>
                <w:t>, Vol. 56, Issue 4, pg 854-861.</w:t>
              </w:r>
            </w:p>
            <w:p w14:paraId="504E76D7" w14:textId="77777777" w:rsidR="00C654B9" w:rsidRDefault="00C654B9" w:rsidP="00C654B9">
              <w:pPr>
                <w:pStyle w:val="Bibliography"/>
                <w:ind w:left="720" w:hanging="720"/>
                <w:rPr>
                  <w:noProof/>
                  <w:lang w:val="en-US"/>
                </w:rPr>
              </w:pPr>
              <w:r>
                <w:rPr>
                  <w:noProof/>
                  <w:lang w:val="en-US"/>
                </w:rPr>
                <w:t xml:space="preserve">Kliesch, M., Pfenninger, S., Wieling, M., Stark, E., &amp; Meyer, M. (2022). Cognitive Benefts of Learning Additional Languages in Old Adulthood? Insights from an Intensive Longitudinal Intervention Study. </w:t>
              </w:r>
              <w:r>
                <w:rPr>
                  <w:i/>
                  <w:iCs/>
                  <w:noProof/>
                  <w:lang w:val="en-US"/>
                </w:rPr>
                <w:t>Applied Linguistics</w:t>
              </w:r>
              <w:r>
                <w:rPr>
                  <w:noProof/>
                  <w:lang w:val="en-US"/>
                </w:rPr>
                <w:t>, 43/4: 653-676. Accessed 20/10/2023</w:t>
              </w:r>
            </w:p>
            <w:p w14:paraId="6D31E9B9" w14:textId="77777777" w:rsidR="00C654B9" w:rsidRDefault="00C654B9" w:rsidP="00C654B9">
              <w:pPr>
                <w:pStyle w:val="Bibliography"/>
                <w:ind w:left="720" w:hanging="720"/>
                <w:rPr>
                  <w:noProof/>
                  <w:lang w:val="en-US"/>
                </w:rPr>
              </w:pPr>
              <w:r>
                <w:rPr>
                  <w:noProof/>
                  <w:lang w:val="en-US"/>
                </w:rPr>
                <w:t xml:space="preserve">Knowles, M. (1980). </w:t>
              </w:r>
              <w:r>
                <w:rPr>
                  <w:i/>
                  <w:iCs/>
                  <w:noProof/>
                  <w:lang w:val="en-US"/>
                </w:rPr>
                <w:t>The modern practice of adult education : from pedagogy to andragogy.</w:t>
              </w:r>
              <w:r>
                <w:rPr>
                  <w:noProof/>
                  <w:lang w:val="en-US"/>
                </w:rPr>
                <w:t xml:space="preserve"> Cambridge: Cambridge.</w:t>
              </w:r>
            </w:p>
            <w:p w14:paraId="2EE05352" w14:textId="77777777" w:rsidR="00C654B9" w:rsidRDefault="00C654B9" w:rsidP="00C654B9">
              <w:pPr>
                <w:pStyle w:val="Bibliography"/>
                <w:ind w:left="720" w:hanging="720"/>
                <w:rPr>
                  <w:noProof/>
                  <w:lang w:val="en-US"/>
                </w:rPr>
              </w:pPr>
              <w:r>
                <w:rPr>
                  <w:noProof/>
                  <w:lang w:val="en-US"/>
                </w:rPr>
                <w:t xml:space="preserve">Knowles, M. S. et al. (1984). </w:t>
              </w:r>
              <w:r>
                <w:rPr>
                  <w:i/>
                  <w:iCs/>
                  <w:noProof/>
                  <w:lang w:val="en-US"/>
                </w:rPr>
                <w:t>Andragogy in Action: Applying Modern Principles of Adult Learning.</w:t>
              </w:r>
              <w:r>
                <w:rPr>
                  <w:noProof/>
                  <w:lang w:val="en-US"/>
                </w:rPr>
                <w:t xml:space="preserve"> San Francisco: Jossey-Bass.</w:t>
              </w:r>
            </w:p>
            <w:p w14:paraId="6EE94707" w14:textId="77777777" w:rsidR="00C654B9" w:rsidRDefault="00C654B9" w:rsidP="00C654B9">
              <w:pPr>
                <w:pStyle w:val="Bibliography"/>
                <w:ind w:left="720" w:hanging="720"/>
                <w:rPr>
                  <w:noProof/>
                  <w:lang w:val="en-US"/>
                </w:rPr>
              </w:pPr>
              <w:r>
                <w:rPr>
                  <w:noProof/>
                  <w:lang w:val="en-US"/>
                </w:rPr>
                <w:t xml:space="preserve">Kolb, D. (1984). </w:t>
              </w:r>
              <w:r>
                <w:rPr>
                  <w:i/>
                  <w:iCs/>
                  <w:noProof/>
                  <w:lang w:val="en-US"/>
                </w:rPr>
                <w:t>Experiential Learning.</w:t>
              </w:r>
              <w:r>
                <w:rPr>
                  <w:noProof/>
                  <w:lang w:val="en-US"/>
                </w:rPr>
                <w:t xml:space="preserve"> New Jersey: Prentice Hall, Englewood Cliffs.</w:t>
              </w:r>
            </w:p>
            <w:p w14:paraId="0656DA5F" w14:textId="77777777" w:rsidR="00C654B9" w:rsidRDefault="00C654B9" w:rsidP="00C654B9">
              <w:pPr>
                <w:pStyle w:val="Bibliography"/>
                <w:ind w:left="720" w:hanging="720"/>
                <w:rPr>
                  <w:noProof/>
                  <w:lang w:val="en-US"/>
                </w:rPr>
              </w:pPr>
              <w:r>
                <w:rPr>
                  <w:noProof/>
                  <w:lang w:val="en-US"/>
                </w:rPr>
                <w:t xml:space="preserve">Lomax, P. (2010). Coming to a Better Understanding of Educative Relations through Learning from Individuals' Representations of their Action Research. </w:t>
              </w:r>
              <w:r>
                <w:rPr>
                  <w:i/>
                  <w:iCs/>
                  <w:noProof/>
                  <w:lang w:val="en-US"/>
                </w:rPr>
                <w:t>Reflective Practice</w:t>
              </w:r>
              <w:r>
                <w:rPr>
                  <w:noProof/>
                  <w:lang w:val="en-US"/>
                </w:rPr>
                <w:t>, 1:1; 43-55.</w:t>
              </w:r>
            </w:p>
            <w:p w14:paraId="4D0427AE" w14:textId="77777777" w:rsidR="00C654B9" w:rsidRDefault="00C654B9" w:rsidP="00C654B9">
              <w:pPr>
                <w:pStyle w:val="Bibliography"/>
                <w:ind w:left="720" w:hanging="720"/>
                <w:rPr>
                  <w:noProof/>
                  <w:lang w:val="en-US"/>
                </w:rPr>
              </w:pPr>
              <w:r>
                <w:rPr>
                  <w:noProof/>
                  <w:lang w:val="en-US"/>
                </w:rPr>
                <w:t xml:space="preserve">Lomax, P. (2010). Coming to a Better Understanding of Educative Relations through Learning from Individuals' Representations of their Action Research. </w:t>
              </w:r>
              <w:r>
                <w:rPr>
                  <w:i/>
                  <w:iCs/>
                  <w:noProof/>
                  <w:lang w:val="en-US"/>
                </w:rPr>
                <w:t>Reflective Practice</w:t>
              </w:r>
              <w:r>
                <w:rPr>
                  <w:noProof/>
                  <w:lang w:val="en-US"/>
                </w:rPr>
                <w:t>, Vol.1; Issue 1; pages 43-55.</w:t>
              </w:r>
            </w:p>
            <w:p w14:paraId="33732EC1" w14:textId="77777777" w:rsidR="00C654B9" w:rsidRDefault="00C654B9" w:rsidP="00C654B9">
              <w:pPr>
                <w:pStyle w:val="Bibliography"/>
                <w:ind w:left="720" w:hanging="720"/>
                <w:rPr>
                  <w:noProof/>
                  <w:lang w:val="en-US"/>
                </w:rPr>
              </w:pPr>
              <w:r>
                <w:rPr>
                  <w:noProof/>
                  <w:lang w:val="en-US"/>
                </w:rPr>
                <w:t xml:space="preserve">Lynch, L., Hancox, K., Happell, B., &amp; Parker, J. (2008). </w:t>
              </w:r>
              <w:r>
                <w:rPr>
                  <w:i/>
                  <w:iCs/>
                  <w:noProof/>
                  <w:lang w:val="en-US"/>
                </w:rPr>
                <w:t>Clinical Supervision for Nurses.</w:t>
              </w:r>
              <w:r>
                <w:rPr>
                  <w:noProof/>
                  <w:lang w:val="en-US"/>
                </w:rPr>
                <w:t xml:space="preserve"> West Sussex: Wiley-Blackwell.</w:t>
              </w:r>
            </w:p>
            <w:p w14:paraId="64D57535" w14:textId="77777777" w:rsidR="00C654B9" w:rsidRDefault="00C654B9" w:rsidP="00C654B9">
              <w:pPr>
                <w:pStyle w:val="Bibliography"/>
                <w:ind w:left="720" w:hanging="720"/>
                <w:rPr>
                  <w:noProof/>
                  <w:lang w:val="en-US"/>
                </w:rPr>
              </w:pPr>
              <w:r>
                <w:rPr>
                  <w:noProof/>
                  <w:lang w:val="en-US"/>
                </w:rPr>
                <w:t xml:space="preserve">Marcy, V. (2001). Adult Learning Styles: How the VARK Learning Style Inventory Can Be Used to Improve Student Learning. </w:t>
              </w:r>
              <w:r>
                <w:rPr>
                  <w:i/>
                  <w:iCs/>
                  <w:noProof/>
                  <w:lang w:val="en-US"/>
                </w:rPr>
                <w:t>Journal of the Association of Physician Assistant Programs</w:t>
              </w:r>
              <w:r>
                <w:rPr>
                  <w:noProof/>
                  <w:lang w:val="en-US"/>
                </w:rPr>
                <w:t>, p. 12.</w:t>
              </w:r>
            </w:p>
            <w:p w14:paraId="6BFE5CF3" w14:textId="77777777" w:rsidR="00C654B9" w:rsidRDefault="00C654B9" w:rsidP="00C654B9">
              <w:pPr>
                <w:pStyle w:val="Bibliography"/>
                <w:ind w:left="720" w:hanging="720"/>
                <w:rPr>
                  <w:noProof/>
                  <w:lang w:val="en-US"/>
                </w:rPr>
              </w:pPr>
              <w:r>
                <w:rPr>
                  <w:noProof/>
                  <w:lang w:val="en-US"/>
                </w:rPr>
                <w:t xml:space="preserve">MindTools. (n.d.). </w:t>
              </w:r>
              <w:r>
                <w:rPr>
                  <w:i/>
                  <w:iCs/>
                  <w:noProof/>
                  <w:lang w:val="en-US"/>
                </w:rPr>
                <w:t>Gibbs' Reflective Cycle</w:t>
              </w:r>
              <w:r>
                <w:rPr>
                  <w:noProof/>
                  <w:lang w:val="en-US"/>
                </w:rPr>
                <w:t>. Retrieved from MindTools: https://www.mindtools.com/pages/article/reflective-cycle.htm. Accessed 23/07/2023</w:t>
              </w:r>
            </w:p>
            <w:p w14:paraId="1840C94C" w14:textId="77777777" w:rsidR="00C654B9" w:rsidRDefault="00C654B9" w:rsidP="00C654B9">
              <w:pPr>
                <w:pStyle w:val="Bibliography"/>
                <w:ind w:left="720" w:hanging="720"/>
                <w:rPr>
                  <w:noProof/>
                  <w:lang w:val="en-US"/>
                </w:rPr>
              </w:pPr>
              <w:r>
                <w:rPr>
                  <w:noProof/>
                  <w:lang w:val="en-US"/>
                </w:rPr>
                <w:t xml:space="preserve">Morris, T. (2015, January 23). </w:t>
              </w:r>
              <w:r>
                <w:rPr>
                  <w:i/>
                  <w:iCs/>
                  <w:noProof/>
                  <w:lang w:val="en-US"/>
                </w:rPr>
                <w:t>Self Rective Consciousness</w:t>
              </w:r>
              <w:r>
                <w:rPr>
                  <w:noProof/>
                  <w:lang w:val="en-US"/>
                </w:rPr>
                <w:t>. Retrieved from Tom V Morris: https://www.tomvmorris.com/blog/2015/1/11/self-reflective-consciousness. Accessed 04/10/2023</w:t>
              </w:r>
            </w:p>
            <w:p w14:paraId="08771532" w14:textId="77777777" w:rsidR="00C654B9" w:rsidRDefault="00C654B9" w:rsidP="00C654B9">
              <w:pPr>
                <w:pStyle w:val="Bibliography"/>
                <w:ind w:left="720" w:hanging="720"/>
                <w:rPr>
                  <w:noProof/>
                  <w:lang w:val="en-US"/>
                </w:rPr>
              </w:pPr>
              <w:r>
                <w:rPr>
                  <w:noProof/>
                  <w:lang w:val="en-US"/>
                </w:rPr>
                <w:t xml:space="preserve">Mumford, A. (1995). Putting learning styles to work: An integrated approach. </w:t>
              </w:r>
              <w:r>
                <w:rPr>
                  <w:i/>
                  <w:iCs/>
                  <w:noProof/>
                  <w:lang w:val="en-US"/>
                </w:rPr>
                <w:t>Industrial and Commercial Training</w:t>
              </w:r>
              <w:r>
                <w:rPr>
                  <w:noProof/>
                  <w:lang w:val="en-US"/>
                </w:rPr>
                <w:t>, pp. Vol. 27, Iss. 8; p. 28.</w:t>
              </w:r>
            </w:p>
            <w:p w14:paraId="5B74D590" w14:textId="77777777" w:rsidR="00C654B9" w:rsidRDefault="00C654B9" w:rsidP="00C654B9">
              <w:pPr>
                <w:pStyle w:val="Bibliography"/>
                <w:ind w:left="720" w:hanging="720"/>
                <w:rPr>
                  <w:noProof/>
                  <w:lang w:val="en-US"/>
                </w:rPr>
              </w:pPr>
              <w:r>
                <w:rPr>
                  <w:noProof/>
                  <w:lang w:val="en-US"/>
                </w:rPr>
                <w:t xml:space="preserve">Newman, M. A. (2008). </w:t>
              </w:r>
              <w:r>
                <w:rPr>
                  <w:i/>
                  <w:iCs/>
                  <w:noProof/>
                  <w:lang w:val="en-US"/>
                </w:rPr>
                <w:t>Transforming Presence: The Difference that Nursing Makes.</w:t>
              </w:r>
              <w:r>
                <w:rPr>
                  <w:noProof/>
                  <w:lang w:val="en-US"/>
                </w:rPr>
                <w:t xml:space="preserve"> Philadelphia: F.A. Davis Company.</w:t>
              </w:r>
            </w:p>
            <w:p w14:paraId="2C31CA35" w14:textId="77777777" w:rsidR="00C654B9" w:rsidRDefault="00C654B9" w:rsidP="00C654B9">
              <w:pPr>
                <w:pStyle w:val="Bibliography"/>
                <w:ind w:left="720" w:hanging="720"/>
                <w:rPr>
                  <w:noProof/>
                  <w:lang w:val="en-US"/>
                </w:rPr>
              </w:pPr>
              <w:r>
                <w:rPr>
                  <w:noProof/>
                  <w:lang w:val="en-US"/>
                </w:rPr>
                <w:t xml:space="preserve">NHS. (n.d.). </w:t>
              </w:r>
              <w:r>
                <w:rPr>
                  <w:i/>
                  <w:iCs/>
                  <w:noProof/>
                  <w:lang w:val="en-US"/>
                </w:rPr>
                <w:t>Obsessive Compulsive Disorder: Overview</w:t>
              </w:r>
              <w:r>
                <w:rPr>
                  <w:noProof/>
                  <w:lang w:val="en-US"/>
                </w:rPr>
                <w:t>. Retrieved from NHS: https://www.nhs.uk/mental-health/conditions/obsessive-compulsive-disorder-ocd/overview/. Accessed 20/10/2023</w:t>
              </w:r>
            </w:p>
            <w:p w14:paraId="0D272561" w14:textId="77777777" w:rsidR="00C654B9" w:rsidRDefault="00C654B9" w:rsidP="00C654B9">
              <w:pPr>
                <w:pStyle w:val="Bibliography"/>
                <w:ind w:left="720" w:hanging="720"/>
                <w:rPr>
                  <w:noProof/>
                  <w:lang w:val="en-US"/>
                </w:rPr>
              </w:pPr>
              <w:r>
                <w:rPr>
                  <w:noProof/>
                  <w:lang w:val="en-US"/>
                </w:rPr>
                <w:t xml:space="preserve">Nilufar et al. (2022, April). Learning Styles and their Different Features. </w:t>
              </w:r>
              <w:r>
                <w:rPr>
                  <w:i/>
                  <w:iCs/>
                  <w:noProof/>
                  <w:lang w:val="en-US"/>
                </w:rPr>
                <w:t>International Journal of Innovative Research in Science, Engineering and Technology (IJIRSET), Volume 2, Issue 4</w:t>
              </w:r>
              <w:r>
                <w:rPr>
                  <w:noProof/>
                  <w:lang w:val="en-US"/>
                </w:rPr>
                <w:t>, 3342-3343. Retrieved from Research Gate: https://www.researchgate.net/publication/360005935_Learning_Styles_and_their_Different_Features Accessed 20/10/2023</w:t>
              </w:r>
            </w:p>
            <w:p w14:paraId="31D1B0B6" w14:textId="77777777" w:rsidR="00C654B9" w:rsidRDefault="00C654B9" w:rsidP="00C654B9">
              <w:pPr>
                <w:pStyle w:val="Bibliography"/>
                <w:ind w:left="720" w:hanging="720"/>
                <w:rPr>
                  <w:noProof/>
                  <w:lang w:val="en-US"/>
                </w:rPr>
              </w:pPr>
              <w:r>
                <w:rPr>
                  <w:noProof/>
                  <w:lang w:val="en-US"/>
                </w:rPr>
                <w:t xml:space="preserve">Ogbonnaya, C. (2019, August 29). </w:t>
              </w:r>
              <w:r>
                <w:rPr>
                  <w:i/>
                  <w:iCs/>
                  <w:noProof/>
                  <w:lang w:val="en-US"/>
                </w:rPr>
                <w:t>When teamwork is good for employees and when it isn't</w:t>
              </w:r>
              <w:r>
                <w:rPr>
                  <w:noProof/>
                  <w:lang w:val="en-US"/>
                </w:rPr>
                <w:t>. Retrieved from Harvard Business Review: https://hbr.org/2019/08/when-teamwork-is-good-for-employees-and-when-it-isnt. Accessed 04/10/2023</w:t>
              </w:r>
            </w:p>
            <w:p w14:paraId="547511FA" w14:textId="77777777" w:rsidR="00C654B9" w:rsidRDefault="00C654B9" w:rsidP="00C654B9">
              <w:pPr>
                <w:pStyle w:val="Bibliography"/>
                <w:ind w:left="720" w:hanging="720"/>
                <w:rPr>
                  <w:noProof/>
                  <w:lang w:val="en-US"/>
                </w:rPr>
              </w:pPr>
              <w:r>
                <w:rPr>
                  <w:noProof/>
                  <w:lang w:val="en-US"/>
                </w:rPr>
                <w:t xml:space="preserve">Owens, M. (2021). </w:t>
              </w:r>
              <w:r>
                <w:rPr>
                  <w:i/>
                  <w:iCs/>
                  <w:noProof/>
                  <w:lang w:val="en-US"/>
                </w:rPr>
                <w:t>INFJ</w:t>
              </w:r>
              <w:r>
                <w:rPr>
                  <w:noProof/>
                  <w:lang w:val="en-US"/>
                </w:rPr>
                <w:t>. Retrieved from Truity: https://www.truity.com/personality-type/INFJ. Accessed 13/08/2023</w:t>
              </w:r>
            </w:p>
            <w:p w14:paraId="2A3F9830" w14:textId="77777777" w:rsidR="00C654B9" w:rsidRDefault="00C654B9" w:rsidP="00C654B9">
              <w:pPr>
                <w:pStyle w:val="Bibliography"/>
                <w:ind w:left="720" w:hanging="720"/>
                <w:rPr>
                  <w:noProof/>
                  <w:lang w:val="en-US"/>
                </w:rPr>
              </w:pPr>
              <w:r>
                <w:rPr>
                  <w:noProof/>
                  <w:lang w:val="en-US"/>
                </w:rPr>
                <w:t xml:space="preserve">Oyegoke, Z. (2021, April 29). </w:t>
              </w:r>
              <w:r>
                <w:rPr>
                  <w:i/>
                  <w:iCs/>
                  <w:noProof/>
                  <w:lang w:val="en-US"/>
                </w:rPr>
                <w:t>Culturally diverse teams are more creative</w:t>
              </w:r>
              <w:r>
                <w:rPr>
                  <w:noProof/>
                  <w:lang w:val="en-US"/>
                </w:rPr>
                <w:t>. Retrieved from CIPD: https://www.cipd.co.uk/news-views/news-articles/managing-multicultural-teams Accessed 23/07/2023</w:t>
              </w:r>
            </w:p>
            <w:p w14:paraId="64BE2048" w14:textId="77777777" w:rsidR="00C654B9" w:rsidRDefault="00C654B9" w:rsidP="00C654B9">
              <w:pPr>
                <w:pStyle w:val="Bibliography"/>
                <w:ind w:left="720" w:hanging="720"/>
                <w:rPr>
                  <w:noProof/>
                  <w:lang w:val="en-US"/>
                </w:rPr>
              </w:pPr>
              <w:r>
                <w:rPr>
                  <w:noProof/>
                  <w:lang w:val="en-US"/>
                </w:rPr>
                <w:t xml:space="preserve">Polanyi, M. (1967). </w:t>
              </w:r>
              <w:r>
                <w:rPr>
                  <w:i/>
                  <w:iCs/>
                  <w:noProof/>
                  <w:lang w:val="en-US"/>
                </w:rPr>
                <w:t>The Tacit Dimension.</w:t>
              </w:r>
              <w:r>
                <w:rPr>
                  <w:noProof/>
                  <w:lang w:val="en-US"/>
                </w:rPr>
                <w:t xml:space="preserve"> New York: Anchor Books.</w:t>
              </w:r>
            </w:p>
            <w:p w14:paraId="6CE968DC" w14:textId="77777777" w:rsidR="00C654B9" w:rsidRDefault="00C654B9" w:rsidP="00C654B9">
              <w:pPr>
                <w:pStyle w:val="Bibliography"/>
                <w:ind w:left="720" w:hanging="720"/>
                <w:rPr>
                  <w:noProof/>
                  <w:lang w:val="en-US"/>
                </w:rPr>
              </w:pPr>
              <w:r>
                <w:rPr>
                  <w:noProof/>
                  <w:lang w:val="en-US"/>
                </w:rPr>
                <w:t xml:space="preserve">Raypole, C. (2021, April 16). </w:t>
              </w:r>
              <w:r>
                <w:rPr>
                  <w:i/>
                  <w:iCs/>
                  <w:noProof/>
                  <w:lang w:val="en-US"/>
                </w:rPr>
                <w:t>How to Recognize and Overcome Imposter Syndrome</w:t>
              </w:r>
              <w:r>
                <w:rPr>
                  <w:noProof/>
                  <w:lang w:val="en-US"/>
                </w:rPr>
                <w:t>. Retrieved from Healthline: https://www.healthline.com/health/mental-health/imposter-syndrome. Accessed 21/11/2023</w:t>
              </w:r>
            </w:p>
            <w:p w14:paraId="51689FAE" w14:textId="77777777" w:rsidR="00C654B9" w:rsidRDefault="00C654B9" w:rsidP="00C654B9">
              <w:pPr>
                <w:pStyle w:val="Bibliography"/>
                <w:ind w:left="720" w:hanging="720"/>
                <w:rPr>
                  <w:noProof/>
                  <w:lang w:val="en-US"/>
                </w:rPr>
              </w:pPr>
              <w:r>
                <w:rPr>
                  <w:noProof/>
                  <w:lang w:val="en-US"/>
                </w:rPr>
                <w:t xml:space="preserve">Rogers, C. (1980). </w:t>
              </w:r>
              <w:r>
                <w:rPr>
                  <w:i/>
                  <w:iCs/>
                  <w:noProof/>
                  <w:lang w:val="en-US"/>
                </w:rPr>
                <w:t>A Way of Being.</w:t>
              </w:r>
              <w:r>
                <w:rPr>
                  <w:noProof/>
                  <w:lang w:val="en-US"/>
                </w:rPr>
                <w:t xml:space="preserve"> Houghton Mifflin.</w:t>
              </w:r>
            </w:p>
            <w:p w14:paraId="35C2B572" w14:textId="77777777" w:rsidR="00C654B9" w:rsidRDefault="00C654B9" w:rsidP="00C654B9">
              <w:pPr>
                <w:pStyle w:val="Bibliography"/>
                <w:ind w:left="720" w:hanging="720"/>
                <w:rPr>
                  <w:noProof/>
                  <w:lang w:val="en-US"/>
                </w:rPr>
              </w:pPr>
              <w:r>
                <w:rPr>
                  <w:noProof/>
                  <w:lang w:val="en-US"/>
                </w:rPr>
                <w:t xml:space="preserve">Rogers, C. R. (1980). </w:t>
              </w:r>
              <w:r>
                <w:rPr>
                  <w:i/>
                  <w:iCs/>
                  <w:noProof/>
                  <w:lang w:val="en-US"/>
                </w:rPr>
                <w:t>A Way of Being.</w:t>
              </w:r>
              <w:r>
                <w:rPr>
                  <w:noProof/>
                  <w:lang w:val="en-US"/>
                </w:rPr>
                <w:t xml:space="preserve"> Houghton Mifflin.</w:t>
              </w:r>
            </w:p>
            <w:p w14:paraId="09B7AB16" w14:textId="77777777" w:rsidR="00C654B9" w:rsidRDefault="00C654B9" w:rsidP="00C654B9">
              <w:pPr>
                <w:pStyle w:val="Bibliography"/>
                <w:ind w:left="720" w:hanging="720"/>
                <w:rPr>
                  <w:noProof/>
                  <w:lang w:val="en-US"/>
                </w:rPr>
              </w:pPr>
              <w:r>
                <w:rPr>
                  <w:noProof/>
                  <w:lang w:val="en-US"/>
                </w:rPr>
                <w:t xml:space="preserve">Rosenberg, L. R. (2010). Transforming leadership: reflective practice and the enhancement of happiness. </w:t>
              </w:r>
              <w:r>
                <w:rPr>
                  <w:i/>
                  <w:iCs/>
                  <w:noProof/>
                  <w:lang w:val="en-US"/>
                </w:rPr>
                <w:t xml:space="preserve">Reflective Practice </w:t>
              </w:r>
              <w:r>
                <w:rPr>
                  <w:noProof/>
                  <w:lang w:val="en-US"/>
                </w:rPr>
                <w:t>, 11:1; 9-18.</w:t>
              </w:r>
            </w:p>
            <w:p w14:paraId="662B2835" w14:textId="77777777" w:rsidR="00C654B9" w:rsidRDefault="00C654B9" w:rsidP="00C654B9">
              <w:pPr>
                <w:pStyle w:val="Bibliography"/>
                <w:ind w:left="720" w:hanging="720"/>
                <w:rPr>
                  <w:noProof/>
                  <w:lang w:val="en-US"/>
                </w:rPr>
              </w:pPr>
              <w:r>
                <w:rPr>
                  <w:noProof/>
                  <w:lang w:val="en-US"/>
                </w:rPr>
                <w:t xml:space="preserve">Rosenburg, L. R. (2009). Transforming leadership: reflective practice and the enhancement of happiness. </w:t>
              </w:r>
              <w:r>
                <w:rPr>
                  <w:i/>
                  <w:iCs/>
                  <w:noProof/>
                  <w:lang w:val="en-US"/>
                </w:rPr>
                <w:t>Reflective Practice</w:t>
              </w:r>
              <w:r>
                <w:rPr>
                  <w:noProof/>
                  <w:lang w:val="en-US"/>
                </w:rPr>
                <w:t>, 11:1; pages 9-18.</w:t>
              </w:r>
            </w:p>
            <w:p w14:paraId="20B26275" w14:textId="77777777" w:rsidR="00C654B9" w:rsidRDefault="00C654B9" w:rsidP="00C654B9">
              <w:pPr>
                <w:pStyle w:val="Bibliography"/>
                <w:ind w:left="720" w:hanging="720"/>
                <w:rPr>
                  <w:noProof/>
                  <w:lang w:val="en-US"/>
                </w:rPr>
              </w:pPr>
              <w:r>
                <w:rPr>
                  <w:noProof/>
                  <w:lang w:val="en-US"/>
                </w:rPr>
                <w:t xml:space="preserve">Ruhose, J., Thomsen, S., &amp; Weilage, I. (2019). The benefits of adult learning: Work-related training, social capital, and earnings. </w:t>
              </w:r>
              <w:r>
                <w:rPr>
                  <w:i/>
                  <w:iCs/>
                  <w:noProof/>
                  <w:lang w:val="en-US"/>
                </w:rPr>
                <w:t>Economics of Education Review</w:t>
              </w:r>
              <w:r>
                <w:rPr>
                  <w:noProof/>
                  <w:lang w:val="en-US"/>
                </w:rPr>
                <w:t>, 166-186.</w:t>
              </w:r>
            </w:p>
            <w:p w14:paraId="7677D6E0" w14:textId="77777777" w:rsidR="00C654B9" w:rsidRDefault="00C654B9" w:rsidP="00C654B9">
              <w:pPr>
                <w:pStyle w:val="Bibliography"/>
                <w:ind w:left="720" w:hanging="720"/>
                <w:rPr>
                  <w:noProof/>
                  <w:lang w:val="en-US"/>
                </w:rPr>
              </w:pPr>
              <w:r>
                <w:rPr>
                  <w:noProof/>
                  <w:lang w:val="en-US"/>
                </w:rPr>
                <w:t xml:space="preserve">Schon, D. (1983). </w:t>
              </w:r>
              <w:r>
                <w:rPr>
                  <w:i/>
                  <w:iCs/>
                  <w:noProof/>
                  <w:lang w:val="en-US"/>
                </w:rPr>
                <w:t>The Reflective Practitioner: how professionals think in action.</w:t>
              </w:r>
              <w:r>
                <w:rPr>
                  <w:noProof/>
                  <w:lang w:val="en-US"/>
                </w:rPr>
                <w:t xml:space="preserve"> New York City: Basic Books.</w:t>
              </w:r>
            </w:p>
            <w:p w14:paraId="6E7B4E4D" w14:textId="77777777" w:rsidR="00C654B9" w:rsidRDefault="00C654B9" w:rsidP="00C654B9">
              <w:pPr>
                <w:pStyle w:val="Bibliography"/>
                <w:ind w:left="720" w:hanging="720"/>
                <w:rPr>
                  <w:noProof/>
                  <w:lang w:val="en-US"/>
                </w:rPr>
              </w:pPr>
              <w:r>
                <w:rPr>
                  <w:noProof/>
                  <w:lang w:val="en-US"/>
                </w:rPr>
                <w:t xml:space="preserve">Schwind, J. (2003). Reflective Process in the Study of Illness Stories as Experienced by Three Nurse Teachers. </w:t>
              </w:r>
              <w:r>
                <w:rPr>
                  <w:i/>
                  <w:iCs/>
                  <w:noProof/>
                  <w:lang w:val="en-US"/>
                </w:rPr>
                <w:t>Reflective Practice</w:t>
              </w:r>
              <w:r>
                <w:rPr>
                  <w:noProof/>
                  <w:lang w:val="en-US"/>
                </w:rPr>
                <w:t>, 19-32.</w:t>
              </w:r>
            </w:p>
            <w:p w14:paraId="0B77D4CA" w14:textId="77777777" w:rsidR="00C654B9" w:rsidRDefault="00C654B9" w:rsidP="00C654B9">
              <w:pPr>
                <w:pStyle w:val="Bibliography"/>
                <w:ind w:left="720" w:hanging="720"/>
                <w:rPr>
                  <w:noProof/>
                  <w:lang w:val="en-US"/>
                </w:rPr>
              </w:pPr>
              <w:r>
                <w:rPr>
                  <w:noProof/>
                  <w:lang w:val="en-US"/>
                </w:rPr>
                <w:t xml:space="preserve">Schwind, J. (2008). Engaging in narrative reflective process to fine tune self-as-instrument-of-care. </w:t>
              </w:r>
              <w:r>
                <w:rPr>
                  <w:i/>
                  <w:iCs/>
                  <w:noProof/>
                  <w:lang w:val="en-US"/>
                </w:rPr>
                <w:t>Reflective Practice</w:t>
              </w:r>
              <w:r>
                <w:rPr>
                  <w:noProof/>
                  <w:lang w:val="en-US"/>
                </w:rPr>
                <w:t>, 223-235.</w:t>
              </w:r>
            </w:p>
            <w:p w14:paraId="0F2B03C1" w14:textId="77777777" w:rsidR="00C654B9" w:rsidRDefault="00C654B9" w:rsidP="00C654B9">
              <w:pPr>
                <w:pStyle w:val="Bibliography"/>
                <w:ind w:left="720" w:hanging="720"/>
                <w:rPr>
                  <w:noProof/>
                  <w:lang w:val="en-US"/>
                </w:rPr>
              </w:pPr>
              <w:r>
                <w:rPr>
                  <w:noProof/>
                  <w:lang w:val="en-US"/>
                </w:rPr>
                <w:t xml:space="preserve">Schwind, J. K., Cameron, D., Franks, J., Graham, C., &amp; Robinson, T. (2011). Engaging in narrative reflective process to fine tune self-as-instrument-of-care. </w:t>
              </w:r>
              <w:r>
                <w:rPr>
                  <w:i/>
                  <w:iCs/>
                  <w:noProof/>
                  <w:lang w:val="en-US"/>
                </w:rPr>
                <w:t>Reflective Practice</w:t>
              </w:r>
              <w:r>
                <w:rPr>
                  <w:noProof/>
                  <w:lang w:val="en-US"/>
                </w:rPr>
                <w:t>, 13:2; 223-235.</w:t>
              </w:r>
            </w:p>
            <w:p w14:paraId="003BC9B3" w14:textId="77777777" w:rsidR="00C654B9" w:rsidRDefault="00C654B9" w:rsidP="00C654B9">
              <w:pPr>
                <w:pStyle w:val="Bibliography"/>
                <w:ind w:left="720" w:hanging="720"/>
                <w:rPr>
                  <w:noProof/>
                  <w:lang w:val="en-US"/>
                </w:rPr>
              </w:pPr>
              <w:r>
                <w:rPr>
                  <w:noProof/>
                  <w:lang w:val="en-US"/>
                </w:rPr>
                <w:t xml:space="preserve">Schwind, J., &amp; Manankil-Rankin, L. (2020). Using Narrative Reflective Process to augment personal and aesthetic ways of knowing to support holistic person-centred relational practice. </w:t>
              </w:r>
              <w:r>
                <w:rPr>
                  <w:i/>
                  <w:iCs/>
                  <w:noProof/>
                  <w:lang w:val="en-US"/>
                </w:rPr>
                <w:t>Reflective Practice</w:t>
              </w:r>
              <w:r>
                <w:rPr>
                  <w:noProof/>
                  <w:lang w:val="en-US"/>
                </w:rPr>
                <w:t>, 21:4; 473-483.</w:t>
              </w:r>
            </w:p>
            <w:p w14:paraId="10B58F8D" w14:textId="77777777" w:rsidR="00C654B9" w:rsidRDefault="00C654B9" w:rsidP="00C654B9">
              <w:pPr>
                <w:pStyle w:val="Bibliography"/>
                <w:ind w:left="720" w:hanging="720"/>
                <w:rPr>
                  <w:noProof/>
                  <w:lang w:val="en-US"/>
                </w:rPr>
              </w:pPr>
              <w:r>
                <w:rPr>
                  <w:noProof/>
                  <w:lang w:val="en-US"/>
                </w:rPr>
                <w:t xml:space="preserve">Thompson, N., &amp; Pascal, J. (2011). Developing critically reflective practice. </w:t>
              </w:r>
              <w:r>
                <w:rPr>
                  <w:i/>
                  <w:iCs/>
                  <w:noProof/>
                  <w:lang w:val="en-US"/>
                </w:rPr>
                <w:t>Reflective Practice</w:t>
              </w:r>
              <w:r>
                <w:rPr>
                  <w:noProof/>
                  <w:lang w:val="en-US"/>
                </w:rPr>
                <w:t>, 1:1; pages 311-325.</w:t>
              </w:r>
            </w:p>
            <w:p w14:paraId="2050DE8E" w14:textId="77777777" w:rsidR="00C654B9" w:rsidRDefault="00C654B9" w:rsidP="00C654B9">
              <w:pPr>
                <w:pStyle w:val="Bibliography"/>
                <w:ind w:left="720" w:hanging="720"/>
                <w:rPr>
                  <w:noProof/>
                  <w:lang w:val="en-US"/>
                </w:rPr>
              </w:pPr>
              <w:r>
                <w:rPr>
                  <w:noProof/>
                  <w:lang w:val="en-US"/>
                </w:rPr>
                <w:t xml:space="preserve">Thompson, N., &amp; Pascal, J. (2012). Developing critically reflective practice. </w:t>
              </w:r>
              <w:r>
                <w:rPr>
                  <w:i/>
                  <w:iCs/>
                  <w:noProof/>
                  <w:lang w:val="en-US"/>
                </w:rPr>
                <w:t>Reflective Practice</w:t>
              </w:r>
              <w:r>
                <w:rPr>
                  <w:noProof/>
                  <w:lang w:val="en-US"/>
                </w:rPr>
                <w:t>, 13:2; 311-325.</w:t>
              </w:r>
            </w:p>
            <w:p w14:paraId="5976B69F" w14:textId="77777777" w:rsidR="00C654B9" w:rsidRDefault="00C654B9" w:rsidP="00C654B9">
              <w:pPr>
                <w:pStyle w:val="Bibliography"/>
                <w:ind w:left="720" w:hanging="720"/>
                <w:rPr>
                  <w:noProof/>
                  <w:lang w:val="en-US"/>
                </w:rPr>
              </w:pPr>
              <w:r>
                <w:rPr>
                  <w:noProof/>
                  <w:lang w:val="en-US"/>
                </w:rPr>
                <w:t xml:space="preserve">Trentepohl, S., Waldeyer, J., Waldeyer, J., Fleischer, J., Roelle, J., Leutner, D., &amp; Wirth, J. (2022). </w:t>
              </w:r>
              <w:r>
                <w:rPr>
                  <w:i/>
                  <w:iCs/>
                  <w:noProof/>
                  <w:lang w:val="en-US"/>
                </w:rPr>
                <w:t>How Did It Get So Late So Soon? The Effects of Time Management Knowledge and Practice on Students’ Time Management Skills and Academic Performance.</w:t>
              </w:r>
              <w:r>
                <w:rPr>
                  <w:noProof/>
                  <w:lang w:val="en-US"/>
                </w:rPr>
                <w:t xml:space="preserve"> Basel: MDPI AG.</w:t>
              </w:r>
            </w:p>
            <w:p w14:paraId="3A48D74A" w14:textId="77777777" w:rsidR="00C654B9" w:rsidRDefault="00C654B9" w:rsidP="00C654B9">
              <w:pPr>
                <w:pStyle w:val="Bibliography"/>
                <w:ind w:left="720" w:hanging="720"/>
                <w:rPr>
                  <w:noProof/>
                  <w:lang w:val="en-US"/>
                </w:rPr>
              </w:pPr>
              <w:r>
                <w:rPr>
                  <w:noProof/>
                  <w:lang w:val="en-US"/>
                </w:rPr>
                <w:t xml:space="preserve">Wang, V. (2014). </w:t>
              </w:r>
              <w:r>
                <w:rPr>
                  <w:i/>
                  <w:iCs/>
                  <w:noProof/>
                  <w:lang w:val="en-US"/>
                </w:rPr>
                <w:t>Advanced Research in Adult Learning and Professional Development: tools, trends and methodologies.</w:t>
              </w:r>
              <w:r>
                <w:rPr>
                  <w:noProof/>
                  <w:lang w:val="en-US"/>
                </w:rPr>
                <w:t xml:space="preserve"> 701 E. Chocolate Avenue, Hershey, PA 17033: Information Science Reference (an imprint of IGI Global).</w:t>
              </w:r>
            </w:p>
            <w:p w14:paraId="17781072" w14:textId="77777777" w:rsidR="00C654B9" w:rsidRDefault="00C654B9" w:rsidP="00C654B9">
              <w:pPr>
                <w:pStyle w:val="Bibliography"/>
                <w:ind w:left="720" w:hanging="720"/>
                <w:rPr>
                  <w:noProof/>
                  <w:lang w:val="en-US"/>
                </w:rPr>
              </w:pPr>
              <w:r>
                <w:rPr>
                  <w:noProof/>
                  <w:lang w:val="en-US"/>
                </w:rPr>
                <w:t xml:space="preserve">Watson, J. S., &amp; Wilcox, S. (2010). Reading for Understanding: Methods of Reflecting on Practice. </w:t>
              </w:r>
              <w:r>
                <w:rPr>
                  <w:i/>
                  <w:iCs/>
                  <w:noProof/>
                  <w:lang w:val="en-US"/>
                </w:rPr>
                <w:t>Reflective Practice</w:t>
              </w:r>
              <w:r>
                <w:rPr>
                  <w:noProof/>
                  <w:lang w:val="en-US"/>
                </w:rPr>
                <w:t>, 1:1; pages 57-67.</w:t>
              </w:r>
            </w:p>
            <w:p w14:paraId="741BA1BA" w14:textId="77777777" w:rsidR="00C654B9" w:rsidRDefault="00C654B9" w:rsidP="00C654B9">
              <w:pPr>
                <w:pStyle w:val="Bibliography"/>
                <w:ind w:left="720" w:hanging="720"/>
                <w:rPr>
                  <w:noProof/>
                  <w:lang w:val="en-US"/>
                </w:rPr>
              </w:pPr>
              <w:r>
                <w:rPr>
                  <w:noProof/>
                  <w:lang w:val="en-US"/>
                </w:rPr>
                <w:t xml:space="preserve">Watson, J. S., &amp; Wilcox, S. (2010). Reflective Practice. </w:t>
              </w:r>
              <w:r>
                <w:rPr>
                  <w:i/>
                  <w:iCs/>
                  <w:noProof/>
                  <w:lang w:val="en-US"/>
                </w:rPr>
                <w:t>Reading for Understanding: Methods of Reflecting</w:t>
              </w:r>
              <w:r>
                <w:rPr>
                  <w:noProof/>
                  <w:lang w:val="en-US"/>
                </w:rPr>
                <w:t>, 1:1; 57-67.</w:t>
              </w:r>
            </w:p>
            <w:p w14:paraId="6318653D" w14:textId="77777777" w:rsidR="00C654B9" w:rsidRDefault="00C654B9" w:rsidP="00C654B9">
              <w:pPr>
                <w:pStyle w:val="Bibliography"/>
                <w:ind w:left="720" w:hanging="720"/>
                <w:rPr>
                  <w:noProof/>
                  <w:lang w:val="en-US"/>
                </w:rPr>
              </w:pPr>
              <w:r>
                <w:rPr>
                  <w:noProof/>
                  <w:lang w:val="en-US"/>
                </w:rPr>
                <w:t xml:space="preserve">Willingham, D. T. (2009). </w:t>
              </w:r>
              <w:r>
                <w:rPr>
                  <w:i/>
                  <w:iCs/>
                  <w:noProof/>
                  <w:lang w:val="en-US"/>
                </w:rPr>
                <w:t>Why Don't Children Like School?: A Cognitive Scientist Answers Questions About How the Mind Works and What It Means for the Classroom.</w:t>
              </w:r>
              <w:r>
                <w:rPr>
                  <w:noProof/>
                  <w:lang w:val="en-US"/>
                </w:rPr>
                <w:t xml:space="preserve"> John Wiley &amp; Sons.</w:t>
              </w:r>
            </w:p>
            <w:p w14:paraId="39F0BAFD" w14:textId="77777777" w:rsidR="00C654B9" w:rsidRDefault="00C654B9" w:rsidP="00C654B9">
              <w:pPr>
                <w:pStyle w:val="Bibliography"/>
                <w:ind w:left="720" w:hanging="720"/>
                <w:rPr>
                  <w:noProof/>
                  <w:lang w:val="en-US"/>
                </w:rPr>
              </w:pPr>
              <w:r>
                <w:rPr>
                  <w:noProof/>
                  <w:lang w:val="en-US"/>
                </w:rPr>
                <w:t xml:space="preserve">Wu, J.-Y. (2020). Challenges, Issues, and Trends in Adult Education. In M. C. Okojie, T. C. Boulder, H. Lawrence, &amp; W. N. Littell, </w:t>
              </w:r>
              <w:r>
                <w:rPr>
                  <w:i/>
                  <w:iCs/>
                  <w:noProof/>
                  <w:lang w:val="en-US"/>
                </w:rPr>
                <w:t>Handbook of Research on Adult Learning in Higher Education</w:t>
              </w:r>
              <w:r>
                <w:rPr>
                  <w:noProof/>
                  <w:lang w:val="en-US"/>
                </w:rPr>
                <w:t xml:space="preserve"> (pp. 90-117). USA: IGI Global.</w:t>
              </w:r>
            </w:p>
            <w:p w14:paraId="63424FFA" w14:textId="77777777" w:rsidR="00C654B9" w:rsidRDefault="00C654B9" w:rsidP="00C654B9">
              <w:pPr>
                <w:spacing w:afterLines="160" w:after="384"/>
              </w:pPr>
              <w:r>
                <w:rPr>
                  <w:b/>
                  <w:bCs/>
                  <w:noProof/>
                </w:rPr>
                <w:fldChar w:fldCharType="end"/>
              </w:r>
            </w:p>
          </w:sdtContent>
        </w:sdt>
      </w:sdtContent>
    </w:sdt>
    <w:p w14:paraId="02032262" w14:textId="77777777" w:rsidR="00C654B9" w:rsidRDefault="00C654B9" w:rsidP="00C654B9">
      <w:pPr>
        <w:spacing w:afterLines="160" w:after="384"/>
        <w:rPr>
          <w:rFonts w:cstheme="minorHAnsi"/>
          <w:b/>
          <w:bCs/>
          <w:u w:val="single"/>
        </w:rPr>
      </w:pPr>
    </w:p>
    <w:p w14:paraId="4D4AC70B" w14:textId="77777777" w:rsidR="00C654B9" w:rsidRDefault="00C654B9" w:rsidP="00C654B9">
      <w:pPr>
        <w:spacing w:line="360" w:lineRule="auto"/>
      </w:pPr>
    </w:p>
    <w:p w14:paraId="48C2C8BD" w14:textId="77777777" w:rsidR="00C654B9" w:rsidRDefault="00C654B9" w:rsidP="00C654B9"/>
    <w:p w14:paraId="6C0F5B51" w14:textId="77777777" w:rsidR="00DC3C2F" w:rsidRPr="00C654B9" w:rsidRDefault="00DC3C2F" w:rsidP="00C654B9"/>
    <w:sectPr w:rsidR="00DC3C2F" w:rsidRPr="00C654B9">
      <w:footerReference w:type="default" r:id="rId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C7F5C" w14:textId="77777777" w:rsidR="002031E9" w:rsidRDefault="002031E9" w:rsidP="00B421CB">
      <w:r>
        <w:separator/>
      </w:r>
    </w:p>
  </w:endnote>
  <w:endnote w:type="continuationSeparator" w:id="0">
    <w:p w14:paraId="3EC2EB10" w14:textId="77777777" w:rsidR="002031E9" w:rsidRDefault="002031E9" w:rsidP="00B42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0905099"/>
      <w:docPartObj>
        <w:docPartGallery w:val="Page Numbers (Bottom of Page)"/>
        <w:docPartUnique/>
      </w:docPartObj>
    </w:sdtPr>
    <w:sdtEndPr>
      <w:rPr>
        <w:noProof/>
      </w:rPr>
    </w:sdtEndPr>
    <w:sdtContent>
      <w:p w14:paraId="7B83F2AF" w14:textId="77777777" w:rsidR="00592E9A" w:rsidRDefault="00EB54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0217A4" w14:textId="77777777" w:rsidR="00592E9A" w:rsidRDefault="007C25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6C8FC" w14:textId="77777777" w:rsidR="002031E9" w:rsidRDefault="002031E9" w:rsidP="00B421CB">
      <w:r>
        <w:separator/>
      </w:r>
    </w:p>
  </w:footnote>
  <w:footnote w:type="continuationSeparator" w:id="0">
    <w:p w14:paraId="171F9FE2" w14:textId="77777777" w:rsidR="002031E9" w:rsidRDefault="002031E9" w:rsidP="00B421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64A32"/>
    <w:multiLevelType w:val="multilevel"/>
    <w:tmpl w:val="592EB86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46E45191"/>
    <w:multiLevelType w:val="hybridMultilevel"/>
    <w:tmpl w:val="FC165B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0935880">
    <w:abstractNumId w:val="1"/>
  </w:num>
  <w:num w:numId="2" w16cid:durableId="1083651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4BF"/>
    <w:rsid w:val="00000061"/>
    <w:rsid w:val="00000795"/>
    <w:rsid w:val="000010E5"/>
    <w:rsid w:val="00001D78"/>
    <w:rsid w:val="00002140"/>
    <w:rsid w:val="00002600"/>
    <w:rsid w:val="000039FE"/>
    <w:rsid w:val="00003A20"/>
    <w:rsid w:val="00003A4F"/>
    <w:rsid w:val="0000461E"/>
    <w:rsid w:val="00004CFE"/>
    <w:rsid w:val="00004E28"/>
    <w:rsid w:val="00004FF7"/>
    <w:rsid w:val="00005DDE"/>
    <w:rsid w:val="00005E52"/>
    <w:rsid w:val="00006122"/>
    <w:rsid w:val="00006A63"/>
    <w:rsid w:val="00007224"/>
    <w:rsid w:val="00011EC2"/>
    <w:rsid w:val="00012A45"/>
    <w:rsid w:val="00012E53"/>
    <w:rsid w:val="0001357F"/>
    <w:rsid w:val="000136AF"/>
    <w:rsid w:val="00016C01"/>
    <w:rsid w:val="00017518"/>
    <w:rsid w:val="0002064A"/>
    <w:rsid w:val="0002115A"/>
    <w:rsid w:val="00021815"/>
    <w:rsid w:val="00022989"/>
    <w:rsid w:val="00023450"/>
    <w:rsid w:val="00023721"/>
    <w:rsid w:val="000244B7"/>
    <w:rsid w:val="0002487E"/>
    <w:rsid w:val="0002500C"/>
    <w:rsid w:val="000262C5"/>
    <w:rsid w:val="000314AB"/>
    <w:rsid w:val="00034A3A"/>
    <w:rsid w:val="000355C5"/>
    <w:rsid w:val="0003648F"/>
    <w:rsid w:val="0003655B"/>
    <w:rsid w:val="00037012"/>
    <w:rsid w:val="00040A99"/>
    <w:rsid w:val="00041C4B"/>
    <w:rsid w:val="00043146"/>
    <w:rsid w:val="000432A0"/>
    <w:rsid w:val="000441C9"/>
    <w:rsid w:val="000447BB"/>
    <w:rsid w:val="00046C84"/>
    <w:rsid w:val="0004795B"/>
    <w:rsid w:val="00050865"/>
    <w:rsid w:val="000510A8"/>
    <w:rsid w:val="00051446"/>
    <w:rsid w:val="00053DF5"/>
    <w:rsid w:val="00054166"/>
    <w:rsid w:val="000546B6"/>
    <w:rsid w:val="00054A12"/>
    <w:rsid w:val="00054A9F"/>
    <w:rsid w:val="00055526"/>
    <w:rsid w:val="00055B42"/>
    <w:rsid w:val="0005663F"/>
    <w:rsid w:val="000576B9"/>
    <w:rsid w:val="0005773B"/>
    <w:rsid w:val="0006122A"/>
    <w:rsid w:val="00061F81"/>
    <w:rsid w:val="00061F91"/>
    <w:rsid w:val="000634FF"/>
    <w:rsid w:val="0006695B"/>
    <w:rsid w:val="00066C44"/>
    <w:rsid w:val="00066F30"/>
    <w:rsid w:val="00067A9F"/>
    <w:rsid w:val="00067C68"/>
    <w:rsid w:val="00071A2B"/>
    <w:rsid w:val="000736FA"/>
    <w:rsid w:val="000742EF"/>
    <w:rsid w:val="000777BA"/>
    <w:rsid w:val="00077A3C"/>
    <w:rsid w:val="0008167A"/>
    <w:rsid w:val="00083B93"/>
    <w:rsid w:val="00085F63"/>
    <w:rsid w:val="00091FC4"/>
    <w:rsid w:val="00092078"/>
    <w:rsid w:val="000923D3"/>
    <w:rsid w:val="000948E8"/>
    <w:rsid w:val="00094A40"/>
    <w:rsid w:val="00095976"/>
    <w:rsid w:val="00095A07"/>
    <w:rsid w:val="000976D6"/>
    <w:rsid w:val="00097AE2"/>
    <w:rsid w:val="000A010C"/>
    <w:rsid w:val="000A319E"/>
    <w:rsid w:val="000A46D8"/>
    <w:rsid w:val="000A5CD1"/>
    <w:rsid w:val="000A5DBD"/>
    <w:rsid w:val="000A62F7"/>
    <w:rsid w:val="000B0F3C"/>
    <w:rsid w:val="000B2BB3"/>
    <w:rsid w:val="000B3FF7"/>
    <w:rsid w:val="000B541F"/>
    <w:rsid w:val="000B6B5D"/>
    <w:rsid w:val="000B71DC"/>
    <w:rsid w:val="000C14AF"/>
    <w:rsid w:val="000C2ADE"/>
    <w:rsid w:val="000C3914"/>
    <w:rsid w:val="000C64FB"/>
    <w:rsid w:val="000C6A77"/>
    <w:rsid w:val="000C6B7B"/>
    <w:rsid w:val="000D242B"/>
    <w:rsid w:val="000D283A"/>
    <w:rsid w:val="000D3B2D"/>
    <w:rsid w:val="000D423A"/>
    <w:rsid w:val="000D6AF9"/>
    <w:rsid w:val="000D741F"/>
    <w:rsid w:val="000E0343"/>
    <w:rsid w:val="000E2082"/>
    <w:rsid w:val="000E25F8"/>
    <w:rsid w:val="000E2AAF"/>
    <w:rsid w:val="000E2B78"/>
    <w:rsid w:val="000E4B64"/>
    <w:rsid w:val="000E5B65"/>
    <w:rsid w:val="000E5DB0"/>
    <w:rsid w:val="000E7427"/>
    <w:rsid w:val="000E7A7A"/>
    <w:rsid w:val="000F1219"/>
    <w:rsid w:val="000F1BA0"/>
    <w:rsid w:val="000F1E84"/>
    <w:rsid w:val="000F2233"/>
    <w:rsid w:val="000F233C"/>
    <w:rsid w:val="000F237F"/>
    <w:rsid w:val="000F3BC0"/>
    <w:rsid w:val="000F4D03"/>
    <w:rsid w:val="000F519F"/>
    <w:rsid w:val="000F52F9"/>
    <w:rsid w:val="000F6525"/>
    <w:rsid w:val="000F771C"/>
    <w:rsid w:val="00101605"/>
    <w:rsid w:val="0010174E"/>
    <w:rsid w:val="00102E6E"/>
    <w:rsid w:val="00103027"/>
    <w:rsid w:val="00107DE3"/>
    <w:rsid w:val="00107E30"/>
    <w:rsid w:val="00110F78"/>
    <w:rsid w:val="00113053"/>
    <w:rsid w:val="00114ADB"/>
    <w:rsid w:val="00115C82"/>
    <w:rsid w:val="00116593"/>
    <w:rsid w:val="00117DFA"/>
    <w:rsid w:val="0012048A"/>
    <w:rsid w:val="001209EF"/>
    <w:rsid w:val="001217C8"/>
    <w:rsid w:val="00121C8B"/>
    <w:rsid w:val="00124304"/>
    <w:rsid w:val="00124B9D"/>
    <w:rsid w:val="00125B6F"/>
    <w:rsid w:val="00127A38"/>
    <w:rsid w:val="00131FDC"/>
    <w:rsid w:val="00132E71"/>
    <w:rsid w:val="001337DC"/>
    <w:rsid w:val="00136464"/>
    <w:rsid w:val="00136A19"/>
    <w:rsid w:val="0014131A"/>
    <w:rsid w:val="0014169F"/>
    <w:rsid w:val="00141C0C"/>
    <w:rsid w:val="0014224B"/>
    <w:rsid w:val="00142BA3"/>
    <w:rsid w:val="00143176"/>
    <w:rsid w:val="00143482"/>
    <w:rsid w:val="001439F7"/>
    <w:rsid w:val="00143E47"/>
    <w:rsid w:val="0014493F"/>
    <w:rsid w:val="001453E1"/>
    <w:rsid w:val="00145C98"/>
    <w:rsid w:val="00147CDE"/>
    <w:rsid w:val="0015011A"/>
    <w:rsid w:val="00151337"/>
    <w:rsid w:val="00151717"/>
    <w:rsid w:val="0015191D"/>
    <w:rsid w:val="00154292"/>
    <w:rsid w:val="0015431B"/>
    <w:rsid w:val="00156958"/>
    <w:rsid w:val="00156C89"/>
    <w:rsid w:val="00156EB2"/>
    <w:rsid w:val="001574FB"/>
    <w:rsid w:val="00157C1F"/>
    <w:rsid w:val="00160568"/>
    <w:rsid w:val="001610B3"/>
    <w:rsid w:val="0016572B"/>
    <w:rsid w:val="00166521"/>
    <w:rsid w:val="00166809"/>
    <w:rsid w:val="00167074"/>
    <w:rsid w:val="001673FA"/>
    <w:rsid w:val="00171308"/>
    <w:rsid w:val="001723E2"/>
    <w:rsid w:val="00172E50"/>
    <w:rsid w:val="0017335B"/>
    <w:rsid w:val="001738C2"/>
    <w:rsid w:val="00173B05"/>
    <w:rsid w:val="00174783"/>
    <w:rsid w:val="001767B6"/>
    <w:rsid w:val="001768E7"/>
    <w:rsid w:val="00177072"/>
    <w:rsid w:val="0017786B"/>
    <w:rsid w:val="0018076D"/>
    <w:rsid w:val="00181F16"/>
    <w:rsid w:val="001829DA"/>
    <w:rsid w:val="00184FAA"/>
    <w:rsid w:val="00186F97"/>
    <w:rsid w:val="00187939"/>
    <w:rsid w:val="00187C20"/>
    <w:rsid w:val="00191887"/>
    <w:rsid w:val="00192147"/>
    <w:rsid w:val="00192449"/>
    <w:rsid w:val="00192FF4"/>
    <w:rsid w:val="00193403"/>
    <w:rsid w:val="001935A3"/>
    <w:rsid w:val="00193EBD"/>
    <w:rsid w:val="0019462B"/>
    <w:rsid w:val="00194D43"/>
    <w:rsid w:val="001A161A"/>
    <w:rsid w:val="001A227A"/>
    <w:rsid w:val="001A4DC5"/>
    <w:rsid w:val="001A58C3"/>
    <w:rsid w:val="001A5D4F"/>
    <w:rsid w:val="001A6D39"/>
    <w:rsid w:val="001A723C"/>
    <w:rsid w:val="001B03D0"/>
    <w:rsid w:val="001B0C96"/>
    <w:rsid w:val="001B1A23"/>
    <w:rsid w:val="001B1AAA"/>
    <w:rsid w:val="001B1EF7"/>
    <w:rsid w:val="001B28B2"/>
    <w:rsid w:val="001B50DA"/>
    <w:rsid w:val="001B54DD"/>
    <w:rsid w:val="001B5A45"/>
    <w:rsid w:val="001B5D6F"/>
    <w:rsid w:val="001B79F6"/>
    <w:rsid w:val="001C0EE9"/>
    <w:rsid w:val="001C2782"/>
    <w:rsid w:val="001C3F79"/>
    <w:rsid w:val="001C6551"/>
    <w:rsid w:val="001C764C"/>
    <w:rsid w:val="001C7D1B"/>
    <w:rsid w:val="001D0879"/>
    <w:rsid w:val="001D0961"/>
    <w:rsid w:val="001D1632"/>
    <w:rsid w:val="001D2539"/>
    <w:rsid w:val="001D2695"/>
    <w:rsid w:val="001D2A36"/>
    <w:rsid w:val="001D4C32"/>
    <w:rsid w:val="001D53C5"/>
    <w:rsid w:val="001D75A4"/>
    <w:rsid w:val="001E21B7"/>
    <w:rsid w:val="001E33A7"/>
    <w:rsid w:val="001E3D71"/>
    <w:rsid w:val="001E51D5"/>
    <w:rsid w:val="001E6209"/>
    <w:rsid w:val="001E6526"/>
    <w:rsid w:val="001E69CB"/>
    <w:rsid w:val="001E73A9"/>
    <w:rsid w:val="001E7A62"/>
    <w:rsid w:val="001F0A24"/>
    <w:rsid w:val="001F0B27"/>
    <w:rsid w:val="001F2167"/>
    <w:rsid w:val="001F4432"/>
    <w:rsid w:val="001F7A07"/>
    <w:rsid w:val="00200D84"/>
    <w:rsid w:val="0020222B"/>
    <w:rsid w:val="00202C4D"/>
    <w:rsid w:val="002031E9"/>
    <w:rsid w:val="0020469F"/>
    <w:rsid w:val="00205288"/>
    <w:rsid w:val="0020622D"/>
    <w:rsid w:val="0021213D"/>
    <w:rsid w:val="00213C9D"/>
    <w:rsid w:val="00214977"/>
    <w:rsid w:val="00214FB1"/>
    <w:rsid w:val="002171FE"/>
    <w:rsid w:val="00220A3F"/>
    <w:rsid w:val="0022199F"/>
    <w:rsid w:val="00221CA2"/>
    <w:rsid w:val="00222679"/>
    <w:rsid w:val="00222C0E"/>
    <w:rsid w:val="002251CC"/>
    <w:rsid w:val="002255C5"/>
    <w:rsid w:val="00225E39"/>
    <w:rsid w:val="00225E40"/>
    <w:rsid w:val="00230C67"/>
    <w:rsid w:val="00230D5B"/>
    <w:rsid w:val="002316C0"/>
    <w:rsid w:val="00232385"/>
    <w:rsid w:val="002323AE"/>
    <w:rsid w:val="002344F3"/>
    <w:rsid w:val="00236392"/>
    <w:rsid w:val="00240AD1"/>
    <w:rsid w:val="00241B1C"/>
    <w:rsid w:val="00242C9A"/>
    <w:rsid w:val="0024336F"/>
    <w:rsid w:val="00244219"/>
    <w:rsid w:val="002455BA"/>
    <w:rsid w:val="00245CA5"/>
    <w:rsid w:val="00246235"/>
    <w:rsid w:val="0024740C"/>
    <w:rsid w:val="00247CD9"/>
    <w:rsid w:val="0025135F"/>
    <w:rsid w:val="002516D6"/>
    <w:rsid w:val="00251E23"/>
    <w:rsid w:val="00253216"/>
    <w:rsid w:val="002541B4"/>
    <w:rsid w:val="002545FA"/>
    <w:rsid w:val="00254C34"/>
    <w:rsid w:val="00257CF6"/>
    <w:rsid w:val="002606E5"/>
    <w:rsid w:val="00263AA9"/>
    <w:rsid w:val="00263FD1"/>
    <w:rsid w:val="00264AE8"/>
    <w:rsid w:val="00266E4D"/>
    <w:rsid w:val="00271F7B"/>
    <w:rsid w:val="002721D6"/>
    <w:rsid w:val="00272C7F"/>
    <w:rsid w:val="00273707"/>
    <w:rsid w:val="00273C5C"/>
    <w:rsid w:val="002741B2"/>
    <w:rsid w:val="00274FB9"/>
    <w:rsid w:val="0027764F"/>
    <w:rsid w:val="00277A8D"/>
    <w:rsid w:val="00281011"/>
    <w:rsid w:val="002816C0"/>
    <w:rsid w:val="00282A2C"/>
    <w:rsid w:val="0028420E"/>
    <w:rsid w:val="00284331"/>
    <w:rsid w:val="002861DB"/>
    <w:rsid w:val="002870A6"/>
    <w:rsid w:val="00287875"/>
    <w:rsid w:val="0029126B"/>
    <w:rsid w:val="00291435"/>
    <w:rsid w:val="00291879"/>
    <w:rsid w:val="00297BB5"/>
    <w:rsid w:val="002A0AD6"/>
    <w:rsid w:val="002A1CF5"/>
    <w:rsid w:val="002A21A2"/>
    <w:rsid w:val="002A3AD4"/>
    <w:rsid w:val="002A4153"/>
    <w:rsid w:val="002A46B3"/>
    <w:rsid w:val="002A46D5"/>
    <w:rsid w:val="002A4E14"/>
    <w:rsid w:val="002A5656"/>
    <w:rsid w:val="002A5DD6"/>
    <w:rsid w:val="002A6D1B"/>
    <w:rsid w:val="002A7A76"/>
    <w:rsid w:val="002B168A"/>
    <w:rsid w:val="002B30F0"/>
    <w:rsid w:val="002B3761"/>
    <w:rsid w:val="002B3906"/>
    <w:rsid w:val="002B4867"/>
    <w:rsid w:val="002B4A1B"/>
    <w:rsid w:val="002B5709"/>
    <w:rsid w:val="002B6EEE"/>
    <w:rsid w:val="002B70C7"/>
    <w:rsid w:val="002C0004"/>
    <w:rsid w:val="002C003B"/>
    <w:rsid w:val="002C1556"/>
    <w:rsid w:val="002C30C4"/>
    <w:rsid w:val="002C4127"/>
    <w:rsid w:val="002C76F8"/>
    <w:rsid w:val="002D0A4E"/>
    <w:rsid w:val="002D126C"/>
    <w:rsid w:val="002D1978"/>
    <w:rsid w:val="002D2E60"/>
    <w:rsid w:val="002D368A"/>
    <w:rsid w:val="002D3BA5"/>
    <w:rsid w:val="002D486E"/>
    <w:rsid w:val="002D566D"/>
    <w:rsid w:val="002D59F1"/>
    <w:rsid w:val="002E137D"/>
    <w:rsid w:val="002E1573"/>
    <w:rsid w:val="002E1810"/>
    <w:rsid w:val="002E259F"/>
    <w:rsid w:val="002E3519"/>
    <w:rsid w:val="002E594F"/>
    <w:rsid w:val="002E5A36"/>
    <w:rsid w:val="002E5BAE"/>
    <w:rsid w:val="002E67FF"/>
    <w:rsid w:val="002E7052"/>
    <w:rsid w:val="002E799B"/>
    <w:rsid w:val="002F17CB"/>
    <w:rsid w:val="002F1D37"/>
    <w:rsid w:val="002F2B2A"/>
    <w:rsid w:val="002F2FF3"/>
    <w:rsid w:val="002F5FB8"/>
    <w:rsid w:val="002F7AD3"/>
    <w:rsid w:val="002F7D06"/>
    <w:rsid w:val="00300D06"/>
    <w:rsid w:val="003018C3"/>
    <w:rsid w:val="00301BDA"/>
    <w:rsid w:val="00301C25"/>
    <w:rsid w:val="00302443"/>
    <w:rsid w:val="003046CB"/>
    <w:rsid w:val="00304EFE"/>
    <w:rsid w:val="00305370"/>
    <w:rsid w:val="003057F0"/>
    <w:rsid w:val="003072CF"/>
    <w:rsid w:val="00312502"/>
    <w:rsid w:val="00313EAE"/>
    <w:rsid w:val="00316AA7"/>
    <w:rsid w:val="00316F20"/>
    <w:rsid w:val="00321B56"/>
    <w:rsid w:val="00323031"/>
    <w:rsid w:val="00325CAB"/>
    <w:rsid w:val="00325D39"/>
    <w:rsid w:val="00331424"/>
    <w:rsid w:val="003316C8"/>
    <w:rsid w:val="003316DD"/>
    <w:rsid w:val="00331B7B"/>
    <w:rsid w:val="003336A6"/>
    <w:rsid w:val="00333C50"/>
    <w:rsid w:val="0033406C"/>
    <w:rsid w:val="00337F2B"/>
    <w:rsid w:val="00340628"/>
    <w:rsid w:val="0034154B"/>
    <w:rsid w:val="00341BA1"/>
    <w:rsid w:val="003454DC"/>
    <w:rsid w:val="0035158E"/>
    <w:rsid w:val="0035172B"/>
    <w:rsid w:val="00353127"/>
    <w:rsid w:val="003543A1"/>
    <w:rsid w:val="003555E5"/>
    <w:rsid w:val="00356515"/>
    <w:rsid w:val="00356CAD"/>
    <w:rsid w:val="003600A3"/>
    <w:rsid w:val="0036051A"/>
    <w:rsid w:val="0036325F"/>
    <w:rsid w:val="00363355"/>
    <w:rsid w:val="00364038"/>
    <w:rsid w:val="00364386"/>
    <w:rsid w:val="00366A7C"/>
    <w:rsid w:val="0036742D"/>
    <w:rsid w:val="00370526"/>
    <w:rsid w:val="00370D5E"/>
    <w:rsid w:val="00370E01"/>
    <w:rsid w:val="0037130F"/>
    <w:rsid w:val="003720E1"/>
    <w:rsid w:val="00373E6D"/>
    <w:rsid w:val="00374212"/>
    <w:rsid w:val="00374E11"/>
    <w:rsid w:val="00376481"/>
    <w:rsid w:val="003769AB"/>
    <w:rsid w:val="00377221"/>
    <w:rsid w:val="003772E4"/>
    <w:rsid w:val="003778BA"/>
    <w:rsid w:val="00381C2E"/>
    <w:rsid w:val="003824A2"/>
    <w:rsid w:val="003845F0"/>
    <w:rsid w:val="003848CC"/>
    <w:rsid w:val="00384E80"/>
    <w:rsid w:val="003852A9"/>
    <w:rsid w:val="003864B9"/>
    <w:rsid w:val="00386576"/>
    <w:rsid w:val="003867E0"/>
    <w:rsid w:val="0038699F"/>
    <w:rsid w:val="003871AD"/>
    <w:rsid w:val="00387A21"/>
    <w:rsid w:val="003901D6"/>
    <w:rsid w:val="00390767"/>
    <w:rsid w:val="003927BA"/>
    <w:rsid w:val="00394606"/>
    <w:rsid w:val="00395DED"/>
    <w:rsid w:val="00395E78"/>
    <w:rsid w:val="00396429"/>
    <w:rsid w:val="0039722C"/>
    <w:rsid w:val="003A0537"/>
    <w:rsid w:val="003A21A0"/>
    <w:rsid w:val="003A3A76"/>
    <w:rsid w:val="003A3BB0"/>
    <w:rsid w:val="003A5205"/>
    <w:rsid w:val="003A5488"/>
    <w:rsid w:val="003A5ABE"/>
    <w:rsid w:val="003A78C0"/>
    <w:rsid w:val="003B0C91"/>
    <w:rsid w:val="003B1242"/>
    <w:rsid w:val="003B3AB9"/>
    <w:rsid w:val="003B41E9"/>
    <w:rsid w:val="003B6332"/>
    <w:rsid w:val="003B6F60"/>
    <w:rsid w:val="003B721C"/>
    <w:rsid w:val="003C0F33"/>
    <w:rsid w:val="003C13B5"/>
    <w:rsid w:val="003C1698"/>
    <w:rsid w:val="003C22F5"/>
    <w:rsid w:val="003C424C"/>
    <w:rsid w:val="003C60A9"/>
    <w:rsid w:val="003C624F"/>
    <w:rsid w:val="003C6A6B"/>
    <w:rsid w:val="003C7294"/>
    <w:rsid w:val="003C7B62"/>
    <w:rsid w:val="003D0484"/>
    <w:rsid w:val="003D0F7B"/>
    <w:rsid w:val="003D18A1"/>
    <w:rsid w:val="003D1EE4"/>
    <w:rsid w:val="003D2C88"/>
    <w:rsid w:val="003D6A17"/>
    <w:rsid w:val="003D6E51"/>
    <w:rsid w:val="003E01D5"/>
    <w:rsid w:val="003E03A9"/>
    <w:rsid w:val="003E0572"/>
    <w:rsid w:val="003E1469"/>
    <w:rsid w:val="003E1900"/>
    <w:rsid w:val="003E3597"/>
    <w:rsid w:val="003E364B"/>
    <w:rsid w:val="003E5081"/>
    <w:rsid w:val="003E6607"/>
    <w:rsid w:val="003F014F"/>
    <w:rsid w:val="003F0C89"/>
    <w:rsid w:val="003F1B92"/>
    <w:rsid w:val="003F1C15"/>
    <w:rsid w:val="003F3121"/>
    <w:rsid w:val="003F3695"/>
    <w:rsid w:val="003F5F7D"/>
    <w:rsid w:val="003F65F7"/>
    <w:rsid w:val="003F6CD7"/>
    <w:rsid w:val="00400785"/>
    <w:rsid w:val="0040132C"/>
    <w:rsid w:val="00401B50"/>
    <w:rsid w:val="00401DC3"/>
    <w:rsid w:val="004026DA"/>
    <w:rsid w:val="00403FD4"/>
    <w:rsid w:val="00405FD0"/>
    <w:rsid w:val="00405FFE"/>
    <w:rsid w:val="004065CC"/>
    <w:rsid w:val="0041192D"/>
    <w:rsid w:val="00411D85"/>
    <w:rsid w:val="00412990"/>
    <w:rsid w:val="00412F02"/>
    <w:rsid w:val="004146DB"/>
    <w:rsid w:val="00415460"/>
    <w:rsid w:val="00415580"/>
    <w:rsid w:val="004209D1"/>
    <w:rsid w:val="00420C88"/>
    <w:rsid w:val="004212CB"/>
    <w:rsid w:val="0042288A"/>
    <w:rsid w:val="00422E4E"/>
    <w:rsid w:val="00426BAA"/>
    <w:rsid w:val="004278B6"/>
    <w:rsid w:val="00427AC6"/>
    <w:rsid w:val="00430998"/>
    <w:rsid w:val="004314DE"/>
    <w:rsid w:val="00432453"/>
    <w:rsid w:val="00432808"/>
    <w:rsid w:val="0043298C"/>
    <w:rsid w:val="00432BAD"/>
    <w:rsid w:val="00433B76"/>
    <w:rsid w:val="00433D4F"/>
    <w:rsid w:val="00436143"/>
    <w:rsid w:val="0043665A"/>
    <w:rsid w:val="0044290E"/>
    <w:rsid w:val="00443C0F"/>
    <w:rsid w:val="004444AA"/>
    <w:rsid w:val="00444C03"/>
    <w:rsid w:val="004455A9"/>
    <w:rsid w:val="004466CA"/>
    <w:rsid w:val="00450723"/>
    <w:rsid w:val="0045419A"/>
    <w:rsid w:val="00457587"/>
    <w:rsid w:val="00460E74"/>
    <w:rsid w:val="004623C0"/>
    <w:rsid w:val="004637A3"/>
    <w:rsid w:val="004644D2"/>
    <w:rsid w:val="0046581D"/>
    <w:rsid w:val="00466035"/>
    <w:rsid w:val="004705E5"/>
    <w:rsid w:val="004718AF"/>
    <w:rsid w:val="00471B32"/>
    <w:rsid w:val="00472561"/>
    <w:rsid w:val="00475942"/>
    <w:rsid w:val="00475C8A"/>
    <w:rsid w:val="00475F95"/>
    <w:rsid w:val="0047748B"/>
    <w:rsid w:val="0048229E"/>
    <w:rsid w:val="00484A46"/>
    <w:rsid w:val="00485E65"/>
    <w:rsid w:val="004903E8"/>
    <w:rsid w:val="00492557"/>
    <w:rsid w:val="00492D4A"/>
    <w:rsid w:val="00492EA3"/>
    <w:rsid w:val="0049375B"/>
    <w:rsid w:val="00493915"/>
    <w:rsid w:val="00494271"/>
    <w:rsid w:val="00494DF7"/>
    <w:rsid w:val="00495A22"/>
    <w:rsid w:val="004A0672"/>
    <w:rsid w:val="004A2466"/>
    <w:rsid w:val="004A2F60"/>
    <w:rsid w:val="004A4ECA"/>
    <w:rsid w:val="004A5622"/>
    <w:rsid w:val="004A5C88"/>
    <w:rsid w:val="004A6AD9"/>
    <w:rsid w:val="004A6B63"/>
    <w:rsid w:val="004A7C0C"/>
    <w:rsid w:val="004B057D"/>
    <w:rsid w:val="004B2C87"/>
    <w:rsid w:val="004B4514"/>
    <w:rsid w:val="004B4635"/>
    <w:rsid w:val="004B60AD"/>
    <w:rsid w:val="004B6384"/>
    <w:rsid w:val="004B79A3"/>
    <w:rsid w:val="004C07BF"/>
    <w:rsid w:val="004C1F35"/>
    <w:rsid w:val="004C2103"/>
    <w:rsid w:val="004C3267"/>
    <w:rsid w:val="004C632D"/>
    <w:rsid w:val="004C68A9"/>
    <w:rsid w:val="004C69E0"/>
    <w:rsid w:val="004C6CB5"/>
    <w:rsid w:val="004C7CC2"/>
    <w:rsid w:val="004D020A"/>
    <w:rsid w:val="004D24FF"/>
    <w:rsid w:val="004D3E95"/>
    <w:rsid w:val="004D4A72"/>
    <w:rsid w:val="004D57C5"/>
    <w:rsid w:val="004D5A31"/>
    <w:rsid w:val="004D75B1"/>
    <w:rsid w:val="004D7D72"/>
    <w:rsid w:val="004E04A3"/>
    <w:rsid w:val="004E1298"/>
    <w:rsid w:val="004E15E4"/>
    <w:rsid w:val="004E229F"/>
    <w:rsid w:val="004E29D2"/>
    <w:rsid w:val="004E3770"/>
    <w:rsid w:val="004E426A"/>
    <w:rsid w:val="004E65BC"/>
    <w:rsid w:val="004F5742"/>
    <w:rsid w:val="004F58F2"/>
    <w:rsid w:val="004F6952"/>
    <w:rsid w:val="00501098"/>
    <w:rsid w:val="00501A51"/>
    <w:rsid w:val="00502B3D"/>
    <w:rsid w:val="00503E2C"/>
    <w:rsid w:val="00510AD5"/>
    <w:rsid w:val="00511EE1"/>
    <w:rsid w:val="005132F1"/>
    <w:rsid w:val="00513C4A"/>
    <w:rsid w:val="00514794"/>
    <w:rsid w:val="0051587C"/>
    <w:rsid w:val="00515D71"/>
    <w:rsid w:val="005162DE"/>
    <w:rsid w:val="00516F37"/>
    <w:rsid w:val="00517025"/>
    <w:rsid w:val="00521451"/>
    <w:rsid w:val="00523592"/>
    <w:rsid w:val="0052677B"/>
    <w:rsid w:val="00527CA9"/>
    <w:rsid w:val="00530068"/>
    <w:rsid w:val="0053218A"/>
    <w:rsid w:val="00532501"/>
    <w:rsid w:val="00535A26"/>
    <w:rsid w:val="00535B06"/>
    <w:rsid w:val="00535DAC"/>
    <w:rsid w:val="00536064"/>
    <w:rsid w:val="0053741C"/>
    <w:rsid w:val="00537730"/>
    <w:rsid w:val="00537839"/>
    <w:rsid w:val="0054071E"/>
    <w:rsid w:val="00540E8E"/>
    <w:rsid w:val="00542559"/>
    <w:rsid w:val="00542623"/>
    <w:rsid w:val="005435AC"/>
    <w:rsid w:val="00544D67"/>
    <w:rsid w:val="00544DDD"/>
    <w:rsid w:val="005466CA"/>
    <w:rsid w:val="0054774F"/>
    <w:rsid w:val="0055128E"/>
    <w:rsid w:val="00551DDB"/>
    <w:rsid w:val="00552966"/>
    <w:rsid w:val="00556767"/>
    <w:rsid w:val="00557D5E"/>
    <w:rsid w:val="00557E16"/>
    <w:rsid w:val="00560408"/>
    <w:rsid w:val="0056050E"/>
    <w:rsid w:val="005609DE"/>
    <w:rsid w:val="00560EAE"/>
    <w:rsid w:val="005616D6"/>
    <w:rsid w:val="00561C87"/>
    <w:rsid w:val="0056397E"/>
    <w:rsid w:val="00563AD0"/>
    <w:rsid w:val="0056451A"/>
    <w:rsid w:val="00564608"/>
    <w:rsid w:val="00564B79"/>
    <w:rsid w:val="005655C0"/>
    <w:rsid w:val="00570793"/>
    <w:rsid w:val="00570945"/>
    <w:rsid w:val="00570A51"/>
    <w:rsid w:val="00571E7E"/>
    <w:rsid w:val="00576B2F"/>
    <w:rsid w:val="00577742"/>
    <w:rsid w:val="00580646"/>
    <w:rsid w:val="0058230C"/>
    <w:rsid w:val="005827B1"/>
    <w:rsid w:val="005835CD"/>
    <w:rsid w:val="00584C3B"/>
    <w:rsid w:val="00584FD2"/>
    <w:rsid w:val="00585335"/>
    <w:rsid w:val="00585BA9"/>
    <w:rsid w:val="0058676B"/>
    <w:rsid w:val="0058684D"/>
    <w:rsid w:val="005904BF"/>
    <w:rsid w:val="00590BA8"/>
    <w:rsid w:val="0059188D"/>
    <w:rsid w:val="005928D8"/>
    <w:rsid w:val="00593A81"/>
    <w:rsid w:val="005945BB"/>
    <w:rsid w:val="00594A78"/>
    <w:rsid w:val="005951AE"/>
    <w:rsid w:val="005954A9"/>
    <w:rsid w:val="00595F58"/>
    <w:rsid w:val="0059644C"/>
    <w:rsid w:val="0059777C"/>
    <w:rsid w:val="00597F46"/>
    <w:rsid w:val="005A2821"/>
    <w:rsid w:val="005A381F"/>
    <w:rsid w:val="005A4A73"/>
    <w:rsid w:val="005A4B51"/>
    <w:rsid w:val="005A5AAE"/>
    <w:rsid w:val="005A5C08"/>
    <w:rsid w:val="005A6E19"/>
    <w:rsid w:val="005B0192"/>
    <w:rsid w:val="005B0327"/>
    <w:rsid w:val="005B14E5"/>
    <w:rsid w:val="005B2057"/>
    <w:rsid w:val="005B2642"/>
    <w:rsid w:val="005B2BD4"/>
    <w:rsid w:val="005B39E6"/>
    <w:rsid w:val="005B4240"/>
    <w:rsid w:val="005B465C"/>
    <w:rsid w:val="005B749A"/>
    <w:rsid w:val="005C11D3"/>
    <w:rsid w:val="005C13D1"/>
    <w:rsid w:val="005C2998"/>
    <w:rsid w:val="005C2FC9"/>
    <w:rsid w:val="005C37AA"/>
    <w:rsid w:val="005C3BC3"/>
    <w:rsid w:val="005C44AD"/>
    <w:rsid w:val="005C4A4B"/>
    <w:rsid w:val="005C5C29"/>
    <w:rsid w:val="005C604C"/>
    <w:rsid w:val="005C7412"/>
    <w:rsid w:val="005D01BD"/>
    <w:rsid w:val="005D31C8"/>
    <w:rsid w:val="005D31D6"/>
    <w:rsid w:val="005D4B9B"/>
    <w:rsid w:val="005D708C"/>
    <w:rsid w:val="005E025A"/>
    <w:rsid w:val="005E1905"/>
    <w:rsid w:val="005E1C93"/>
    <w:rsid w:val="005E2D23"/>
    <w:rsid w:val="005E3FC3"/>
    <w:rsid w:val="005E58DB"/>
    <w:rsid w:val="005E5BF3"/>
    <w:rsid w:val="005E6433"/>
    <w:rsid w:val="005E65C4"/>
    <w:rsid w:val="005E70BF"/>
    <w:rsid w:val="005E7919"/>
    <w:rsid w:val="005F0427"/>
    <w:rsid w:val="005F53B1"/>
    <w:rsid w:val="005F60DE"/>
    <w:rsid w:val="005F775B"/>
    <w:rsid w:val="005F77E3"/>
    <w:rsid w:val="005F793F"/>
    <w:rsid w:val="005F7B41"/>
    <w:rsid w:val="00600A5F"/>
    <w:rsid w:val="0060235A"/>
    <w:rsid w:val="006031D2"/>
    <w:rsid w:val="00603326"/>
    <w:rsid w:val="0060359D"/>
    <w:rsid w:val="00604414"/>
    <w:rsid w:val="0061107F"/>
    <w:rsid w:val="00612769"/>
    <w:rsid w:val="00613A94"/>
    <w:rsid w:val="00615E82"/>
    <w:rsid w:val="00616B71"/>
    <w:rsid w:val="00617F1B"/>
    <w:rsid w:val="00620A8C"/>
    <w:rsid w:val="006219D3"/>
    <w:rsid w:val="00622D5A"/>
    <w:rsid w:val="0062320C"/>
    <w:rsid w:val="00623300"/>
    <w:rsid w:val="00623FAD"/>
    <w:rsid w:val="006241EF"/>
    <w:rsid w:val="006248B0"/>
    <w:rsid w:val="00625595"/>
    <w:rsid w:val="006256E7"/>
    <w:rsid w:val="006273E3"/>
    <w:rsid w:val="00627C33"/>
    <w:rsid w:val="00627FC2"/>
    <w:rsid w:val="00630F6C"/>
    <w:rsid w:val="00632E45"/>
    <w:rsid w:val="0063307C"/>
    <w:rsid w:val="006343EA"/>
    <w:rsid w:val="006351A7"/>
    <w:rsid w:val="006359AB"/>
    <w:rsid w:val="00635C54"/>
    <w:rsid w:val="006360E5"/>
    <w:rsid w:val="006361C9"/>
    <w:rsid w:val="00640283"/>
    <w:rsid w:val="00640351"/>
    <w:rsid w:val="006416C5"/>
    <w:rsid w:val="00641AB8"/>
    <w:rsid w:val="00642B23"/>
    <w:rsid w:val="00643470"/>
    <w:rsid w:val="006440E3"/>
    <w:rsid w:val="0064496F"/>
    <w:rsid w:val="0064515D"/>
    <w:rsid w:val="006460BC"/>
    <w:rsid w:val="0064645A"/>
    <w:rsid w:val="00646BBD"/>
    <w:rsid w:val="006504F4"/>
    <w:rsid w:val="00650F9A"/>
    <w:rsid w:val="00652279"/>
    <w:rsid w:val="006525ED"/>
    <w:rsid w:val="00652DD5"/>
    <w:rsid w:val="00652E2E"/>
    <w:rsid w:val="00654A1A"/>
    <w:rsid w:val="00655F5D"/>
    <w:rsid w:val="00656E0A"/>
    <w:rsid w:val="00657AB7"/>
    <w:rsid w:val="00657E02"/>
    <w:rsid w:val="006613AC"/>
    <w:rsid w:val="00661F13"/>
    <w:rsid w:val="006623AC"/>
    <w:rsid w:val="00662702"/>
    <w:rsid w:val="0066270D"/>
    <w:rsid w:val="00663390"/>
    <w:rsid w:val="006639FE"/>
    <w:rsid w:val="00663A26"/>
    <w:rsid w:val="00663BFC"/>
    <w:rsid w:val="0066423B"/>
    <w:rsid w:val="00665DB5"/>
    <w:rsid w:val="00665FF2"/>
    <w:rsid w:val="006661BA"/>
    <w:rsid w:val="0066769B"/>
    <w:rsid w:val="00670300"/>
    <w:rsid w:val="00670695"/>
    <w:rsid w:val="00670F85"/>
    <w:rsid w:val="006723FD"/>
    <w:rsid w:val="00672AED"/>
    <w:rsid w:val="00672B2B"/>
    <w:rsid w:val="00673523"/>
    <w:rsid w:val="00673A73"/>
    <w:rsid w:val="00673BBF"/>
    <w:rsid w:val="00673D4F"/>
    <w:rsid w:val="00674428"/>
    <w:rsid w:val="00674479"/>
    <w:rsid w:val="00675573"/>
    <w:rsid w:val="006762C3"/>
    <w:rsid w:val="0067703D"/>
    <w:rsid w:val="006778DF"/>
    <w:rsid w:val="00677B60"/>
    <w:rsid w:val="00682239"/>
    <w:rsid w:val="00683C27"/>
    <w:rsid w:val="006845CE"/>
    <w:rsid w:val="0068522D"/>
    <w:rsid w:val="00685934"/>
    <w:rsid w:val="006875A4"/>
    <w:rsid w:val="00687778"/>
    <w:rsid w:val="0069243B"/>
    <w:rsid w:val="006938B4"/>
    <w:rsid w:val="00694919"/>
    <w:rsid w:val="0069509D"/>
    <w:rsid w:val="006965C1"/>
    <w:rsid w:val="006A26ED"/>
    <w:rsid w:val="006A3336"/>
    <w:rsid w:val="006A3606"/>
    <w:rsid w:val="006A3D9F"/>
    <w:rsid w:val="006A42F7"/>
    <w:rsid w:val="006A4935"/>
    <w:rsid w:val="006A4DDA"/>
    <w:rsid w:val="006A54E8"/>
    <w:rsid w:val="006A560A"/>
    <w:rsid w:val="006A5F23"/>
    <w:rsid w:val="006A5FBD"/>
    <w:rsid w:val="006A647C"/>
    <w:rsid w:val="006A6614"/>
    <w:rsid w:val="006A66DC"/>
    <w:rsid w:val="006A7144"/>
    <w:rsid w:val="006A74E3"/>
    <w:rsid w:val="006B0E1F"/>
    <w:rsid w:val="006B280A"/>
    <w:rsid w:val="006B2A78"/>
    <w:rsid w:val="006B3B5D"/>
    <w:rsid w:val="006B47C4"/>
    <w:rsid w:val="006B52AD"/>
    <w:rsid w:val="006B6369"/>
    <w:rsid w:val="006B6BC4"/>
    <w:rsid w:val="006B6CD9"/>
    <w:rsid w:val="006B7BCF"/>
    <w:rsid w:val="006C1BB1"/>
    <w:rsid w:val="006C1FFC"/>
    <w:rsid w:val="006C2EAC"/>
    <w:rsid w:val="006C2FAD"/>
    <w:rsid w:val="006C393F"/>
    <w:rsid w:val="006C46D9"/>
    <w:rsid w:val="006C4F83"/>
    <w:rsid w:val="006C5DD9"/>
    <w:rsid w:val="006C5DDD"/>
    <w:rsid w:val="006C6064"/>
    <w:rsid w:val="006C66F0"/>
    <w:rsid w:val="006C701F"/>
    <w:rsid w:val="006D189F"/>
    <w:rsid w:val="006D271E"/>
    <w:rsid w:val="006D3E64"/>
    <w:rsid w:val="006D5465"/>
    <w:rsid w:val="006D59BC"/>
    <w:rsid w:val="006D6310"/>
    <w:rsid w:val="006D6861"/>
    <w:rsid w:val="006D7A9F"/>
    <w:rsid w:val="006D7D68"/>
    <w:rsid w:val="006D7F86"/>
    <w:rsid w:val="006E0315"/>
    <w:rsid w:val="006E1F9E"/>
    <w:rsid w:val="006E3231"/>
    <w:rsid w:val="006E4489"/>
    <w:rsid w:val="006E6112"/>
    <w:rsid w:val="006E663B"/>
    <w:rsid w:val="006E6C8F"/>
    <w:rsid w:val="006E7485"/>
    <w:rsid w:val="006F2966"/>
    <w:rsid w:val="006F2BF1"/>
    <w:rsid w:val="006F361D"/>
    <w:rsid w:val="006F4290"/>
    <w:rsid w:val="006F46DF"/>
    <w:rsid w:val="006F4A34"/>
    <w:rsid w:val="006F7E5F"/>
    <w:rsid w:val="00703D15"/>
    <w:rsid w:val="007041A0"/>
    <w:rsid w:val="007054AF"/>
    <w:rsid w:val="007060D0"/>
    <w:rsid w:val="00706DDC"/>
    <w:rsid w:val="00706E1B"/>
    <w:rsid w:val="00707874"/>
    <w:rsid w:val="00712018"/>
    <w:rsid w:val="00712B46"/>
    <w:rsid w:val="00713100"/>
    <w:rsid w:val="00713B8F"/>
    <w:rsid w:val="00714384"/>
    <w:rsid w:val="00714A15"/>
    <w:rsid w:val="007159C2"/>
    <w:rsid w:val="00716291"/>
    <w:rsid w:val="00716BEE"/>
    <w:rsid w:val="00720F3B"/>
    <w:rsid w:val="00721601"/>
    <w:rsid w:val="007217CC"/>
    <w:rsid w:val="00722704"/>
    <w:rsid w:val="00722841"/>
    <w:rsid w:val="00722EBB"/>
    <w:rsid w:val="007243AE"/>
    <w:rsid w:val="00724B6D"/>
    <w:rsid w:val="007252F9"/>
    <w:rsid w:val="00725814"/>
    <w:rsid w:val="0072678D"/>
    <w:rsid w:val="0072704E"/>
    <w:rsid w:val="00727F2F"/>
    <w:rsid w:val="00730004"/>
    <w:rsid w:val="0073027B"/>
    <w:rsid w:val="0073144E"/>
    <w:rsid w:val="00731E34"/>
    <w:rsid w:val="00731ECA"/>
    <w:rsid w:val="00732030"/>
    <w:rsid w:val="00733800"/>
    <w:rsid w:val="00734CB7"/>
    <w:rsid w:val="007358E1"/>
    <w:rsid w:val="00736E9C"/>
    <w:rsid w:val="007404CC"/>
    <w:rsid w:val="00740B2D"/>
    <w:rsid w:val="00740D1D"/>
    <w:rsid w:val="00741528"/>
    <w:rsid w:val="00741554"/>
    <w:rsid w:val="00742344"/>
    <w:rsid w:val="00743182"/>
    <w:rsid w:val="00743F6C"/>
    <w:rsid w:val="007443B3"/>
    <w:rsid w:val="00744F3A"/>
    <w:rsid w:val="00745336"/>
    <w:rsid w:val="007468DD"/>
    <w:rsid w:val="00747228"/>
    <w:rsid w:val="007504E1"/>
    <w:rsid w:val="00750540"/>
    <w:rsid w:val="00752332"/>
    <w:rsid w:val="00752765"/>
    <w:rsid w:val="00752D1D"/>
    <w:rsid w:val="00753E52"/>
    <w:rsid w:val="007544D4"/>
    <w:rsid w:val="007544F0"/>
    <w:rsid w:val="00755E44"/>
    <w:rsid w:val="00757670"/>
    <w:rsid w:val="00757CAC"/>
    <w:rsid w:val="00760019"/>
    <w:rsid w:val="007608A8"/>
    <w:rsid w:val="00761EF5"/>
    <w:rsid w:val="007620B5"/>
    <w:rsid w:val="00762334"/>
    <w:rsid w:val="007626C9"/>
    <w:rsid w:val="00763B19"/>
    <w:rsid w:val="00765DF0"/>
    <w:rsid w:val="00766656"/>
    <w:rsid w:val="00766BB3"/>
    <w:rsid w:val="00767F69"/>
    <w:rsid w:val="0077013D"/>
    <w:rsid w:val="00770239"/>
    <w:rsid w:val="00770BA6"/>
    <w:rsid w:val="00770E82"/>
    <w:rsid w:val="00774158"/>
    <w:rsid w:val="0077676D"/>
    <w:rsid w:val="00776A60"/>
    <w:rsid w:val="00776CA9"/>
    <w:rsid w:val="00777517"/>
    <w:rsid w:val="00780F1E"/>
    <w:rsid w:val="007810F8"/>
    <w:rsid w:val="007814AE"/>
    <w:rsid w:val="0078239A"/>
    <w:rsid w:val="0078592F"/>
    <w:rsid w:val="00786C68"/>
    <w:rsid w:val="007900CE"/>
    <w:rsid w:val="0079152E"/>
    <w:rsid w:val="007919C2"/>
    <w:rsid w:val="007926B6"/>
    <w:rsid w:val="007935A2"/>
    <w:rsid w:val="00793A01"/>
    <w:rsid w:val="00793A6E"/>
    <w:rsid w:val="00794236"/>
    <w:rsid w:val="00794F42"/>
    <w:rsid w:val="007A0998"/>
    <w:rsid w:val="007A2042"/>
    <w:rsid w:val="007A23E6"/>
    <w:rsid w:val="007A29ED"/>
    <w:rsid w:val="007A52C0"/>
    <w:rsid w:val="007A5957"/>
    <w:rsid w:val="007B0A59"/>
    <w:rsid w:val="007B0A5D"/>
    <w:rsid w:val="007B1B76"/>
    <w:rsid w:val="007B1D31"/>
    <w:rsid w:val="007B362C"/>
    <w:rsid w:val="007B3B60"/>
    <w:rsid w:val="007B64EC"/>
    <w:rsid w:val="007B65E4"/>
    <w:rsid w:val="007B67ED"/>
    <w:rsid w:val="007C0358"/>
    <w:rsid w:val="007C0AAE"/>
    <w:rsid w:val="007C0BDD"/>
    <w:rsid w:val="007C0D12"/>
    <w:rsid w:val="007C1B8B"/>
    <w:rsid w:val="007C2568"/>
    <w:rsid w:val="007C2831"/>
    <w:rsid w:val="007C2E39"/>
    <w:rsid w:val="007C3068"/>
    <w:rsid w:val="007C4B94"/>
    <w:rsid w:val="007C5C2F"/>
    <w:rsid w:val="007C7084"/>
    <w:rsid w:val="007C7A71"/>
    <w:rsid w:val="007E137E"/>
    <w:rsid w:val="007E26B4"/>
    <w:rsid w:val="007E2A1E"/>
    <w:rsid w:val="007E3056"/>
    <w:rsid w:val="007E3274"/>
    <w:rsid w:val="007E3966"/>
    <w:rsid w:val="007E3CE9"/>
    <w:rsid w:val="007E43A8"/>
    <w:rsid w:val="007E45A9"/>
    <w:rsid w:val="007E5F6D"/>
    <w:rsid w:val="007F169A"/>
    <w:rsid w:val="007F1CA0"/>
    <w:rsid w:val="007F2323"/>
    <w:rsid w:val="007F264E"/>
    <w:rsid w:val="007F47BC"/>
    <w:rsid w:val="007F5081"/>
    <w:rsid w:val="007F519B"/>
    <w:rsid w:val="007F586F"/>
    <w:rsid w:val="00800FA1"/>
    <w:rsid w:val="00802DE6"/>
    <w:rsid w:val="008042D1"/>
    <w:rsid w:val="008047EE"/>
    <w:rsid w:val="0081014F"/>
    <w:rsid w:val="008108C8"/>
    <w:rsid w:val="008117E6"/>
    <w:rsid w:val="00811988"/>
    <w:rsid w:val="00811F44"/>
    <w:rsid w:val="00812946"/>
    <w:rsid w:val="00812EB5"/>
    <w:rsid w:val="0081397B"/>
    <w:rsid w:val="008142DF"/>
    <w:rsid w:val="00814CB0"/>
    <w:rsid w:val="00816D4D"/>
    <w:rsid w:val="0081776A"/>
    <w:rsid w:val="00821907"/>
    <w:rsid w:val="00821A31"/>
    <w:rsid w:val="00821B27"/>
    <w:rsid w:val="00821C20"/>
    <w:rsid w:val="0082249F"/>
    <w:rsid w:val="008226B1"/>
    <w:rsid w:val="00823B42"/>
    <w:rsid w:val="0082429B"/>
    <w:rsid w:val="00824FDA"/>
    <w:rsid w:val="00830086"/>
    <w:rsid w:val="008303B9"/>
    <w:rsid w:val="008317B8"/>
    <w:rsid w:val="00831D49"/>
    <w:rsid w:val="00833957"/>
    <w:rsid w:val="00834ABC"/>
    <w:rsid w:val="00834D53"/>
    <w:rsid w:val="00835AAD"/>
    <w:rsid w:val="00835BCE"/>
    <w:rsid w:val="00836183"/>
    <w:rsid w:val="00836B36"/>
    <w:rsid w:val="00836FD7"/>
    <w:rsid w:val="00837E06"/>
    <w:rsid w:val="00840EB0"/>
    <w:rsid w:val="008427FA"/>
    <w:rsid w:val="00842BB3"/>
    <w:rsid w:val="008433AC"/>
    <w:rsid w:val="008436AB"/>
    <w:rsid w:val="00845469"/>
    <w:rsid w:val="0084564A"/>
    <w:rsid w:val="008468F3"/>
    <w:rsid w:val="00846E5F"/>
    <w:rsid w:val="00847B70"/>
    <w:rsid w:val="00847F20"/>
    <w:rsid w:val="008500B1"/>
    <w:rsid w:val="00852009"/>
    <w:rsid w:val="0085370A"/>
    <w:rsid w:val="0085528A"/>
    <w:rsid w:val="00855644"/>
    <w:rsid w:val="00855DF9"/>
    <w:rsid w:val="00856B83"/>
    <w:rsid w:val="00860E69"/>
    <w:rsid w:val="008616E1"/>
    <w:rsid w:val="00861CD9"/>
    <w:rsid w:val="00861F39"/>
    <w:rsid w:val="00862532"/>
    <w:rsid w:val="008627FE"/>
    <w:rsid w:val="00863BA5"/>
    <w:rsid w:val="00864C8D"/>
    <w:rsid w:val="00864F99"/>
    <w:rsid w:val="008666F0"/>
    <w:rsid w:val="00866F19"/>
    <w:rsid w:val="00870CD0"/>
    <w:rsid w:val="008719B6"/>
    <w:rsid w:val="00875C3B"/>
    <w:rsid w:val="0087668C"/>
    <w:rsid w:val="00881201"/>
    <w:rsid w:val="00882FA5"/>
    <w:rsid w:val="008834C7"/>
    <w:rsid w:val="0088408A"/>
    <w:rsid w:val="008843AE"/>
    <w:rsid w:val="008843F9"/>
    <w:rsid w:val="008846F2"/>
    <w:rsid w:val="008849CE"/>
    <w:rsid w:val="00886D30"/>
    <w:rsid w:val="008875BE"/>
    <w:rsid w:val="00887977"/>
    <w:rsid w:val="00890B5D"/>
    <w:rsid w:val="00892AB9"/>
    <w:rsid w:val="0089564E"/>
    <w:rsid w:val="008958B6"/>
    <w:rsid w:val="00895ADA"/>
    <w:rsid w:val="00896B67"/>
    <w:rsid w:val="008A262C"/>
    <w:rsid w:val="008A39EC"/>
    <w:rsid w:val="008A3A2F"/>
    <w:rsid w:val="008A4632"/>
    <w:rsid w:val="008A4E32"/>
    <w:rsid w:val="008A6456"/>
    <w:rsid w:val="008A6459"/>
    <w:rsid w:val="008A69C1"/>
    <w:rsid w:val="008A7310"/>
    <w:rsid w:val="008A7999"/>
    <w:rsid w:val="008A7DF1"/>
    <w:rsid w:val="008B0245"/>
    <w:rsid w:val="008B0F2B"/>
    <w:rsid w:val="008B0F60"/>
    <w:rsid w:val="008B1809"/>
    <w:rsid w:val="008B2182"/>
    <w:rsid w:val="008B2749"/>
    <w:rsid w:val="008B594C"/>
    <w:rsid w:val="008B59E9"/>
    <w:rsid w:val="008B5F7C"/>
    <w:rsid w:val="008B7C4E"/>
    <w:rsid w:val="008C0E94"/>
    <w:rsid w:val="008C1F06"/>
    <w:rsid w:val="008C23B2"/>
    <w:rsid w:val="008C2902"/>
    <w:rsid w:val="008C3667"/>
    <w:rsid w:val="008C3BB3"/>
    <w:rsid w:val="008C468E"/>
    <w:rsid w:val="008C4766"/>
    <w:rsid w:val="008C47AA"/>
    <w:rsid w:val="008D0754"/>
    <w:rsid w:val="008D245C"/>
    <w:rsid w:val="008D277F"/>
    <w:rsid w:val="008D3509"/>
    <w:rsid w:val="008D358F"/>
    <w:rsid w:val="008D4463"/>
    <w:rsid w:val="008D6328"/>
    <w:rsid w:val="008D70FD"/>
    <w:rsid w:val="008D7B59"/>
    <w:rsid w:val="008E0D3B"/>
    <w:rsid w:val="008E28AD"/>
    <w:rsid w:val="008E33D8"/>
    <w:rsid w:val="008E3FFB"/>
    <w:rsid w:val="008E5252"/>
    <w:rsid w:val="008E562C"/>
    <w:rsid w:val="008E5BDD"/>
    <w:rsid w:val="008E5FD3"/>
    <w:rsid w:val="008E6A52"/>
    <w:rsid w:val="008E7EBA"/>
    <w:rsid w:val="008F06E2"/>
    <w:rsid w:val="008F131B"/>
    <w:rsid w:val="008F1FBB"/>
    <w:rsid w:val="008F2584"/>
    <w:rsid w:val="008F4525"/>
    <w:rsid w:val="008F49C6"/>
    <w:rsid w:val="008F4ABA"/>
    <w:rsid w:val="008F4C84"/>
    <w:rsid w:val="008F52F4"/>
    <w:rsid w:val="008F6248"/>
    <w:rsid w:val="008F7A33"/>
    <w:rsid w:val="00901DE8"/>
    <w:rsid w:val="00902C38"/>
    <w:rsid w:val="00904575"/>
    <w:rsid w:val="00905BE6"/>
    <w:rsid w:val="009071C5"/>
    <w:rsid w:val="009076C0"/>
    <w:rsid w:val="0091032C"/>
    <w:rsid w:val="0091066A"/>
    <w:rsid w:val="00911500"/>
    <w:rsid w:val="00911869"/>
    <w:rsid w:val="00912D95"/>
    <w:rsid w:val="00914DE0"/>
    <w:rsid w:val="00915025"/>
    <w:rsid w:val="00915A81"/>
    <w:rsid w:val="00915CC7"/>
    <w:rsid w:val="00916527"/>
    <w:rsid w:val="00920AD6"/>
    <w:rsid w:val="00920CE7"/>
    <w:rsid w:val="00921FAE"/>
    <w:rsid w:val="00922073"/>
    <w:rsid w:val="00922493"/>
    <w:rsid w:val="0092409C"/>
    <w:rsid w:val="009241A0"/>
    <w:rsid w:val="00925101"/>
    <w:rsid w:val="00925AB0"/>
    <w:rsid w:val="009260DC"/>
    <w:rsid w:val="00926C08"/>
    <w:rsid w:val="00927858"/>
    <w:rsid w:val="00927B29"/>
    <w:rsid w:val="00931728"/>
    <w:rsid w:val="009329C2"/>
    <w:rsid w:val="00932ADA"/>
    <w:rsid w:val="00932E2A"/>
    <w:rsid w:val="00933AFB"/>
    <w:rsid w:val="00933C22"/>
    <w:rsid w:val="0093438C"/>
    <w:rsid w:val="00935464"/>
    <w:rsid w:val="009362FA"/>
    <w:rsid w:val="00936406"/>
    <w:rsid w:val="00936DBD"/>
    <w:rsid w:val="00937771"/>
    <w:rsid w:val="00937E48"/>
    <w:rsid w:val="00941401"/>
    <w:rsid w:val="0094323C"/>
    <w:rsid w:val="009432AA"/>
    <w:rsid w:val="00943648"/>
    <w:rsid w:val="00943C32"/>
    <w:rsid w:val="00944EF3"/>
    <w:rsid w:val="00946E38"/>
    <w:rsid w:val="00950DE7"/>
    <w:rsid w:val="00950E14"/>
    <w:rsid w:val="00950F4E"/>
    <w:rsid w:val="00951DA0"/>
    <w:rsid w:val="009535CD"/>
    <w:rsid w:val="00954A82"/>
    <w:rsid w:val="00954ED4"/>
    <w:rsid w:val="0095637C"/>
    <w:rsid w:val="00961E80"/>
    <w:rsid w:val="00962F50"/>
    <w:rsid w:val="00963353"/>
    <w:rsid w:val="0096498C"/>
    <w:rsid w:val="009654CD"/>
    <w:rsid w:val="0096676A"/>
    <w:rsid w:val="00967482"/>
    <w:rsid w:val="0096767A"/>
    <w:rsid w:val="0096768B"/>
    <w:rsid w:val="00970FFD"/>
    <w:rsid w:val="00972926"/>
    <w:rsid w:val="00972D63"/>
    <w:rsid w:val="0097461F"/>
    <w:rsid w:val="00982125"/>
    <w:rsid w:val="00982D4B"/>
    <w:rsid w:val="00983FED"/>
    <w:rsid w:val="00986BEB"/>
    <w:rsid w:val="00986CDC"/>
    <w:rsid w:val="0098722A"/>
    <w:rsid w:val="00987AD8"/>
    <w:rsid w:val="00992D10"/>
    <w:rsid w:val="00993EE8"/>
    <w:rsid w:val="00994F6D"/>
    <w:rsid w:val="009A0F4F"/>
    <w:rsid w:val="009A274C"/>
    <w:rsid w:val="009A4EE1"/>
    <w:rsid w:val="009A682F"/>
    <w:rsid w:val="009A6EA5"/>
    <w:rsid w:val="009A7046"/>
    <w:rsid w:val="009A7395"/>
    <w:rsid w:val="009B0F37"/>
    <w:rsid w:val="009B14BC"/>
    <w:rsid w:val="009B3FEE"/>
    <w:rsid w:val="009B48F8"/>
    <w:rsid w:val="009B4DF8"/>
    <w:rsid w:val="009C0052"/>
    <w:rsid w:val="009C05CC"/>
    <w:rsid w:val="009C0729"/>
    <w:rsid w:val="009C1BDE"/>
    <w:rsid w:val="009C1DAD"/>
    <w:rsid w:val="009C21FA"/>
    <w:rsid w:val="009C2902"/>
    <w:rsid w:val="009C3424"/>
    <w:rsid w:val="009C45C7"/>
    <w:rsid w:val="009C5CA8"/>
    <w:rsid w:val="009C65CC"/>
    <w:rsid w:val="009C7B6C"/>
    <w:rsid w:val="009C7DA1"/>
    <w:rsid w:val="009D0227"/>
    <w:rsid w:val="009D2153"/>
    <w:rsid w:val="009D3F3D"/>
    <w:rsid w:val="009D579F"/>
    <w:rsid w:val="009D65AC"/>
    <w:rsid w:val="009D783A"/>
    <w:rsid w:val="009E028E"/>
    <w:rsid w:val="009E02C3"/>
    <w:rsid w:val="009E1D4D"/>
    <w:rsid w:val="009E2752"/>
    <w:rsid w:val="009E2E93"/>
    <w:rsid w:val="009E2F90"/>
    <w:rsid w:val="009E35EA"/>
    <w:rsid w:val="009E3E0D"/>
    <w:rsid w:val="009E4B43"/>
    <w:rsid w:val="009E6232"/>
    <w:rsid w:val="009E62EC"/>
    <w:rsid w:val="009E72FA"/>
    <w:rsid w:val="009E7894"/>
    <w:rsid w:val="009E7EA9"/>
    <w:rsid w:val="009F528D"/>
    <w:rsid w:val="009F5D09"/>
    <w:rsid w:val="009F5F80"/>
    <w:rsid w:val="009F7474"/>
    <w:rsid w:val="009F77E8"/>
    <w:rsid w:val="00A002BF"/>
    <w:rsid w:val="00A0227B"/>
    <w:rsid w:val="00A0305B"/>
    <w:rsid w:val="00A03F79"/>
    <w:rsid w:val="00A059D5"/>
    <w:rsid w:val="00A0604D"/>
    <w:rsid w:val="00A07012"/>
    <w:rsid w:val="00A0731A"/>
    <w:rsid w:val="00A102A2"/>
    <w:rsid w:val="00A103EB"/>
    <w:rsid w:val="00A13421"/>
    <w:rsid w:val="00A144BB"/>
    <w:rsid w:val="00A14F14"/>
    <w:rsid w:val="00A156AA"/>
    <w:rsid w:val="00A16CE6"/>
    <w:rsid w:val="00A179EA"/>
    <w:rsid w:val="00A21C8E"/>
    <w:rsid w:val="00A220FE"/>
    <w:rsid w:val="00A248FF"/>
    <w:rsid w:val="00A24F57"/>
    <w:rsid w:val="00A251B8"/>
    <w:rsid w:val="00A25388"/>
    <w:rsid w:val="00A26520"/>
    <w:rsid w:val="00A26729"/>
    <w:rsid w:val="00A268DD"/>
    <w:rsid w:val="00A27113"/>
    <w:rsid w:val="00A31C04"/>
    <w:rsid w:val="00A3367B"/>
    <w:rsid w:val="00A33BE3"/>
    <w:rsid w:val="00A34927"/>
    <w:rsid w:val="00A35727"/>
    <w:rsid w:val="00A35D4C"/>
    <w:rsid w:val="00A40F3C"/>
    <w:rsid w:val="00A4108B"/>
    <w:rsid w:val="00A41D60"/>
    <w:rsid w:val="00A42D2D"/>
    <w:rsid w:val="00A437DB"/>
    <w:rsid w:val="00A4424E"/>
    <w:rsid w:val="00A4503C"/>
    <w:rsid w:val="00A4522C"/>
    <w:rsid w:val="00A4542C"/>
    <w:rsid w:val="00A457D9"/>
    <w:rsid w:val="00A46206"/>
    <w:rsid w:val="00A5037C"/>
    <w:rsid w:val="00A524FA"/>
    <w:rsid w:val="00A55811"/>
    <w:rsid w:val="00A56F3D"/>
    <w:rsid w:val="00A579A9"/>
    <w:rsid w:val="00A62474"/>
    <w:rsid w:val="00A631E3"/>
    <w:rsid w:val="00A6321F"/>
    <w:rsid w:val="00A6371B"/>
    <w:rsid w:val="00A6641E"/>
    <w:rsid w:val="00A67F28"/>
    <w:rsid w:val="00A7040C"/>
    <w:rsid w:val="00A70510"/>
    <w:rsid w:val="00A70BF3"/>
    <w:rsid w:val="00A71641"/>
    <w:rsid w:val="00A729E7"/>
    <w:rsid w:val="00A72CDF"/>
    <w:rsid w:val="00A75583"/>
    <w:rsid w:val="00A75C8D"/>
    <w:rsid w:val="00A76371"/>
    <w:rsid w:val="00A76603"/>
    <w:rsid w:val="00A7737C"/>
    <w:rsid w:val="00A7737D"/>
    <w:rsid w:val="00A8038D"/>
    <w:rsid w:val="00A81F80"/>
    <w:rsid w:val="00A82DE4"/>
    <w:rsid w:val="00A8319D"/>
    <w:rsid w:val="00A851F4"/>
    <w:rsid w:val="00A85AEF"/>
    <w:rsid w:val="00A86AF0"/>
    <w:rsid w:val="00A872AE"/>
    <w:rsid w:val="00A90A06"/>
    <w:rsid w:val="00A92F67"/>
    <w:rsid w:val="00A93640"/>
    <w:rsid w:val="00A94DC2"/>
    <w:rsid w:val="00A9567A"/>
    <w:rsid w:val="00A96289"/>
    <w:rsid w:val="00A97788"/>
    <w:rsid w:val="00AA0D6A"/>
    <w:rsid w:val="00AA2931"/>
    <w:rsid w:val="00AA45A9"/>
    <w:rsid w:val="00AA49AC"/>
    <w:rsid w:val="00AA55C6"/>
    <w:rsid w:val="00AB1977"/>
    <w:rsid w:val="00AB1C10"/>
    <w:rsid w:val="00AB1DB5"/>
    <w:rsid w:val="00AB1F5E"/>
    <w:rsid w:val="00AB2B2B"/>
    <w:rsid w:val="00AB3138"/>
    <w:rsid w:val="00AB31C0"/>
    <w:rsid w:val="00AB6095"/>
    <w:rsid w:val="00AB6329"/>
    <w:rsid w:val="00AB7646"/>
    <w:rsid w:val="00AB7E9A"/>
    <w:rsid w:val="00AC00D8"/>
    <w:rsid w:val="00AC05CA"/>
    <w:rsid w:val="00AC10AF"/>
    <w:rsid w:val="00AC1198"/>
    <w:rsid w:val="00AC1A90"/>
    <w:rsid w:val="00AC1B83"/>
    <w:rsid w:val="00AC20A3"/>
    <w:rsid w:val="00AC3A6B"/>
    <w:rsid w:val="00AD0C49"/>
    <w:rsid w:val="00AD1900"/>
    <w:rsid w:val="00AD2CBC"/>
    <w:rsid w:val="00AD397B"/>
    <w:rsid w:val="00AD45FB"/>
    <w:rsid w:val="00AD5650"/>
    <w:rsid w:val="00AE0824"/>
    <w:rsid w:val="00AE19E0"/>
    <w:rsid w:val="00AE3494"/>
    <w:rsid w:val="00AE3C52"/>
    <w:rsid w:val="00AE3D5E"/>
    <w:rsid w:val="00AE3F42"/>
    <w:rsid w:val="00AE5AE5"/>
    <w:rsid w:val="00AE5BFB"/>
    <w:rsid w:val="00AE601B"/>
    <w:rsid w:val="00AE742A"/>
    <w:rsid w:val="00AE75FF"/>
    <w:rsid w:val="00AE7CDB"/>
    <w:rsid w:val="00AE7E13"/>
    <w:rsid w:val="00AF06D4"/>
    <w:rsid w:val="00AF1029"/>
    <w:rsid w:val="00AF299E"/>
    <w:rsid w:val="00AF41C2"/>
    <w:rsid w:val="00AF55FC"/>
    <w:rsid w:val="00AF596C"/>
    <w:rsid w:val="00AF5D71"/>
    <w:rsid w:val="00AF72F6"/>
    <w:rsid w:val="00AF78E7"/>
    <w:rsid w:val="00B00153"/>
    <w:rsid w:val="00B01116"/>
    <w:rsid w:val="00B01BE0"/>
    <w:rsid w:val="00B0511F"/>
    <w:rsid w:val="00B05CF0"/>
    <w:rsid w:val="00B060A7"/>
    <w:rsid w:val="00B067C2"/>
    <w:rsid w:val="00B06B14"/>
    <w:rsid w:val="00B07FC8"/>
    <w:rsid w:val="00B102D0"/>
    <w:rsid w:val="00B102DF"/>
    <w:rsid w:val="00B12A03"/>
    <w:rsid w:val="00B12C6F"/>
    <w:rsid w:val="00B145B8"/>
    <w:rsid w:val="00B15AAA"/>
    <w:rsid w:val="00B15EF2"/>
    <w:rsid w:val="00B15F95"/>
    <w:rsid w:val="00B161BE"/>
    <w:rsid w:val="00B163C6"/>
    <w:rsid w:val="00B179B4"/>
    <w:rsid w:val="00B17B25"/>
    <w:rsid w:val="00B22051"/>
    <w:rsid w:val="00B22CF3"/>
    <w:rsid w:val="00B22E49"/>
    <w:rsid w:val="00B22E68"/>
    <w:rsid w:val="00B22FD9"/>
    <w:rsid w:val="00B2317E"/>
    <w:rsid w:val="00B24427"/>
    <w:rsid w:val="00B24E46"/>
    <w:rsid w:val="00B25B11"/>
    <w:rsid w:val="00B25E6F"/>
    <w:rsid w:val="00B26B28"/>
    <w:rsid w:val="00B26FBF"/>
    <w:rsid w:val="00B307A1"/>
    <w:rsid w:val="00B3109E"/>
    <w:rsid w:val="00B315A4"/>
    <w:rsid w:val="00B321AB"/>
    <w:rsid w:val="00B33B05"/>
    <w:rsid w:val="00B35B84"/>
    <w:rsid w:val="00B36D08"/>
    <w:rsid w:val="00B36E43"/>
    <w:rsid w:val="00B37743"/>
    <w:rsid w:val="00B40FFE"/>
    <w:rsid w:val="00B41E13"/>
    <w:rsid w:val="00B421CB"/>
    <w:rsid w:val="00B42740"/>
    <w:rsid w:val="00B42A06"/>
    <w:rsid w:val="00B44BCC"/>
    <w:rsid w:val="00B44EF1"/>
    <w:rsid w:val="00B4513D"/>
    <w:rsid w:val="00B4529E"/>
    <w:rsid w:val="00B4767F"/>
    <w:rsid w:val="00B52408"/>
    <w:rsid w:val="00B52C79"/>
    <w:rsid w:val="00B54C56"/>
    <w:rsid w:val="00B55062"/>
    <w:rsid w:val="00B5556F"/>
    <w:rsid w:val="00B56034"/>
    <w:rsid w:val="00B5635A"/>
    <w:rsid w:val="00B60181"/>
    <w:rsid w:val="00B63CB4"/>
    <w:rsid w:val="00B66BD6"/>
    <w:rsid w:val="00B67421"/>
    <w:rsid w:val="00B67864"/>
    <w:rsid w:val="00B67BF4"/>
    <w:rsid w:val="00B7022A"/>
    <w:rsid w:val="00B715B2"/>
    <w:rsid w:val="00B734BA"/>
    <w:rsid w:val="00B734F8"/>
    <w:rsid w:val="00B73F14"/>
    <w:rsid w:val="00B74D19"/>
    <w:rsid w:val="00B7607D"/>
    <w:rsid w:val="00B769DD"/>
    <w:rsid w:val="00B76D1F"/>
    <w:rsid w:val="00B77445"/>
    <w:rsid w:val="00B7771D"/>
    <w:rsid w:val="00B808A8"/>
    <w:rsid w:val="00B80AC6"/>
    <w:rsid w:val="00B80EC0"/>
    <w:rsid w:val="00B833D9"/>
    <w:rsid w:val="00B83A18"/>
    <w:rsid w:val="00B83F62"/>
    <w:rsid w:val="00B84AF3"/>
    <w:rsid w:val="00B85B3D"/>
    <w:rsid w:val="00B87A64"/>
    <w:rsid w:val="00B87D5A"/>
    <w:rsid w:val="00B87F8F"/>
    <w:rsid w:val="00B912DB"/>
    <w:rsid w:val="00B918E2"/>
    <w:rsid w:val="00B92857"/>
    <w:rsid w:val="00B930A6"/>
    <w:rsid w:val="00B9337D"/>
    <w:rsid w:val="00B947A4"/>
    <w:rsid w:val="00B950E4"/>
    <w:rsid w:val="00B9510A"/>
    <w:rsid w:val="00B95A2F"/>
    <w:rsid w:val="00B979E5"/>
    <w:rsid w:val="00B97DFA"/>
    <w:rsid w:val="00BA03AB"/>
    <w:rsid w:val="00BA0F98"/>
    <w:rsid w:val="00BA14AE"/>
    <w:rsid w:val="00BA35AA"/>
    <w:rsid w:val="00BA5303"/>
    <w:rsid w:val="00BA581F"/>
    <w:rsid w:val="00BA59DD"/>
    <w:rsid w:val="00BA5CC4"/>
    <w:rsid w:val="00BA5DE1"/>
    <w:rsid w:val="00BA6C50"/>
    <w:rsid w:val="00BA7D58"/>
    <w:rsid w:val="00BB06EF"/>
    <w:rsid w:val="00BB1029"/>
    <w:rsid w:val="00BB2465"/>
    <w:rsid w:val="00BB2CA5"/>
    <w:rsid w:val="00BB4892"/>
    <w:rsid w:val="00BB5419"/>
    <w:rsid w:val="00BC0893"/>
    <w:rsid w:val="00BC2368"/>
    <w:rsid w:val="00BC3EA2"/>
    <w:rsid w:val="00BC4290"/>
    <w:rsid w:val="00BC4936"/>
    <w:rsid w:val="00BC4EDE"/>
    <w:rsid w:val="00BC63A0"/>
    <w:rsid w:val="00BC72EF"/>
    <w:rsid w:val="00BD00D8"/>
    <w:rsid w:val="00BD0511"/>
    <w:rsid w:val="00BD0910"/>
    <w:rsid w:val="00BD099F"/>
    <w:rsid w:val="00BD2087"/>
    <w:rsid w:val="00BD4D23"/>
    <w:rsid w:val="00BD5B7C"/>
    <w:rsid w:val="00BD5CA7"/>
    <w:rsid w:val="00BD6FF2"/>
    <w:rsid w:val="00BE00C8"/>
    <w:rsid w:val="00BE0F36"/>
    <w:rsid w:val="00BE147E"/>
    <w:rsid w:val="00BE4A2C"/>
    <w:rsid w:val="00BE615F"/>
    <w:rsid w:val="00BE641B"/>
    <w:rsid w:val="00BE6A66"/>
    <w:rsid w:val="00BE6EA5"/>
    <w:rsid w:val="00BE73DE"/>
    <w:rsid w:val="00BF0C02"/>
    <w:rsid w:val="00BF1252"/>
    <w:rsid w:val="00BF17E5"/>
    <w:rsid w:val="00BF1848"/>
    <w:rsid w:val="00BF1C13"/>
    <w:rsid w:val="00BF2ADA"/>
    <w:rsid w:val="00BF3DCE"/>
    <w:rsid w:val="00BF4345"/>
    <w:rsid w:val="00BF486D"/>
    <w:rsid w:val="00BF4B39"/>
    <w:rsid w:val="00BF4B5B"/>
    <w:rsid w:val="00BF4E09"/>
    <w:rsid w:val="00BF5400"/>
    <w:rsid w:val="00BF6722"/>
    <w:rsid w:val="00BF774B"/>
    <w:rsid w:val="00BF79CA"/>
    <w:rsid w:val="00C00240"/>
    <w:rsid w:val="00C003C9"/>
    <w:rsid w:val="00C00B1A"/>
    <w:rsid w:val="00C01B41"/>
    <w:rsid w:val="00C0381B"/>
    <w:rsid w:val="00C03F10"/>
    <w:rsid w:val="00C04763"/>
    <w:rsid w:val="00C04784"/>
    <w:rsid w:val="00C1007E"/>
    <w:rsid w:val="00C11EA6"/>
    <w:rsid w:val="00C12F19"/>
    <w:rsid w:val="00C1517F"/>
    <w:rsid w:val="00C151FC"/>
    <w:rsid w:val="00C16A8F"/>
    <w:rsid w:val="00C16EA0"/>
    <w:rsid w:val="00C20808"/>
    <w:rsid w:val="00C21116"/>
    <w:rsid w:val="00C2140A"/>
    <w:rsid w:val="00C21504"/>
    <w:rsid w:val="00C23C08"/>
    <w:rsid w:val="00C23F3D"/>
    <w:rsid w:val="00C24107"/>
    <w:rsid w:val="00C263C4"/>
    <w:rsid w:val="00C2677A"/>
    <w:rsid w:val="00C26D73"/>
    <w:rsid w:val="00C272E3"/>
    <w:rsid w:val="00C3092B"/>
    <w:rsid w:val="00C3138B"/>
    <w:rsid w:val="00C31500"/>
    <w:rsid w:val="00C32FB2"/>
    <w:rsid w:val="00C34826"/>
    <w:rsid w:val="00C368E0"/>
    <w:rsid w:val="00C36C42"/>
    <w:rsid w:val="00C37B57"/>
    <w:rsid w:val="00C37F7E"/>
    <w:rsid w:val="00C37FC1"/>
    <w:rsid w:val="00C417B6"/>
    <w:rsid w:val="00C42532"/>
    <w:rsid w:val="00C42C9A"/>
    <w:rsid w:val="00C43372"/>
    <w:rsid w:val="00C456EE"/>
    <w:rsid w:val="00C458B2"/>
    <w:rsid w:val="00C45BD0"/>
    <w:rsid w:val="00C47B48"/>
    <w:rsid w:val="00C47D8C"/>
    <w:rsid w:val="00C501B8"/>
    <w:rsid w:val="00C51C75"/>
    <w:rsid w:val="00C5205F"/>
    <w:rsid w:val="00C52543"/>
    <w:rsid w:val="00C54839"/>
    <w:rsid w:val="00C54D68"/>
    <w:rsid w:val="00C55142"/>
    <w:rsid w:val="00C555AE"/>
    <w:rsid w:val="00C55849"/>
    <w:rsid w:val="00C562AA"/>
    <w:rsid w:val="00C56E39"/>
    <w:rsid w:val="00C56EFA"/>
    <w:rsid w:val="00C57641"/>
    <w:rsid w:val="00C57E75"/>
    <w:rsid w:val="00C57F1E"/>
    <w:rsid w:val="00C60D2E"/>
    <w:rsid w:val="00C620E4"/>
    <w:rsid w:val="00C627B4"/>
    <w:rsid w:val="00C627C2"/>
    <w:rsid w:val="00C63231"/>
    <w:rsid w:val="00C63510"/>
    <w:rsid w:val="00C64AB3"/>
    <w:rsid w:val="00C65466"/>
    <w:rsid w:val="00C654B9"/>
    <w:rsid w:val="00C65569"/>
    <w:rsid w:val="00C6595B"/>
    <w:rsid w:val="00C66785"/>
    <w:rsid w:val="00C66DFC"/>
    <w:rsid w:val="00C702DC"/>
    <w:rsid w:val="00C708C8"/>
    <w:rsid w:val="00C70C89"/>
    <w:rsid w:val="00C70ED8"/>
    <w:rsid w:val="00C75844"/>
    <w:rsid w:val="00C75DCF"/>
    <w:rsid w:val="00C77449"/>
    <w:rsid w:val="00C828C6"/>
    <w:rsid w:val="00C83323"/>
    <w:rsid w:val="00C84988"/>
    <w:rsid w:val="00C854DA"/>
    <w:rsid w:val="00C87D27"/>
    <w:rsid w:val="00C90226"/>
    <w:rsid w:val="00C9332B"/>
    <w:rsid w:val="00C93CAF"/>
    <w:rsid w:val="00C940A6"/>
    <w:rsid w:val="00C951CD"/>
    <w:rsid w:val="00C97713"/>
    <w:rsid w:val="00CA020D"/>
    <w:rsid w:val="00CA54F1"/>
    <w:rsid w:val="00CB00F6"/>
    <w:rsid w:val="00CB0B16"/>
    <w:rsid w:val="00CB1F72"/>
    <w:rsid w:val="00CB43BA"/>
    <w:rsid w:val="00CB5C20"/>
    <w:rsid w:val="00CB5E0D"/>
    <w:rsid w:val="00CB65FB"/>
    <w:rsid w:val="00CB754F"/>
    <w:rsid w:val="00CB7E20"/>
    <w:rsid w:val="00CC004F"/>
    <w:rsid w:val="00CC05C6"/>
    <w:rsid w:val="00CC079F"/>
    <w:rsid w:val="00CC1721"/>
    <w:rsid w:val="00CC1F74"/>
    <w:rsid w:val="00CC2883"/>
    <w:rsid w:val="00CC2B30"/>
    <w:rsid w:val="00CC2C4E"/>
    <w:rsid w:val="00CC4508"/>
    <w:rsid w:val="00CC4AE8"/>
    <w:rsid w:val="00CC5147"/>
    <w:rsid w:val="00CC58CA"/>
    <w:rsid w:val="00CC6DD6"/>
    <w:rsid w:val="00CC6F3C"/>
    <w:rsid w:val="00CD00D7"/>
    <w:rsid w:val="00CD22B2"/>
    <w:rsid w:val="00CD282D"/>
    <w:rsid w:val="00CD3463"/>
    <w:rsid w:val="00CD35B5"/>
    <w:rsid w:val="00CD44CB"/>
    <w:rsid w:val="00CD4F9D"/>
    <w:rsid w:val="00CD5A1A"/>
    <w:rsid w:val="00CD716E"/>
    <w:rsid w:val="00CD7F36"/>
    <w:rsid w:val="00CE0D11"/>
    <w:rsid w:val="00CE1423"/>
    <w:rsid w:val="00CE1EF5"/>
    <w:rsid w:val="00CE1F82"/>
    <w:rsid w:val="00CE2020"/>
    <w:rsid w:val="00CE261F"/>
    <w:rsid w:val="00CE29D5"/>
    <w:rsid w:val="00CE3057"/>
    <w:rsid w:val="00CE3B7A"/>
    <w:rsid w:val="00CE77F6"/>
    <w:rsid w:val="00CE7AD5"/>
    <w:rsid w:val="00CF02FA"/>
    <w:rsid w:val="00CF4165"/>
    <w:rsid w:val="00CF5553"/>
    <w:rsid w:val="00CF7E48"/>
    <w:rsid w:val="00CF7E91"/>
    <w:rsid w:val="00D01367"/>
    <w:rsid w:val="00D01885"/>
    <w:rsid w:val="00D01BA1"/>
    <w:rsid w:val="00D01D9E"/>
    <w:rsid w:val="00D02705"/>
    <w:rsid w:val="00D028E3"/>
    <w:rsid w:val="00D030F9"/>
    <w:rsid w:val="00D03AD2"/>
    <w:rsid w:val="00D04112"/>
    <w:rsid w:val="00D049A2"/>
    <w:rsid w:val="00D05BAD"/>
    <w:rsid w:val="00D1078A"/>
    <w:rsid w:val="00D10B0E"/>
    <w:rsid w:val="00D11740"/>
    <w:rsid w:val="00D1464D"/>
    <w:rsid w:val="00D1498C"/>
    <w:rsid w:val="00D1509A"/>
    <w:rsid w:val="00D151B2"/>
    <w:rsid w:val="00D20F78"/>
    <w:rsid w:val="00D21042"/>
    <w:rsid w:val="00D21FCA"/>
    <w:rsid w:val="00D243A9"/>
    <w:rsid w:val="00D25779"/>
    <w:rsid w:val="00D273BA"/>
    <w:rsid w:val="00D30748"/>
    <w:rsid w:val="00D3111E"/>
    <w:rsid w:val="00D31D85"/>
    <w:rsid w:val="00D32435"/>
    <w:rsid w:val="00D327D6"/>
    <w:rsid w:val="00D338BA"/>
    <w:rsid w:val="00D33AF3"/>
    <w:rsid w:val="00D347E7"/>
    <w:rsid w:val="00D34BBA"/>
    <w:rsid w:val="00D35BB0"/>
    <w:rsid w:val="00D3613B"/>
    <w:rsid w:val="00D37929"/>
    <w:rsid w:val="00D37F91"/>
    <w:rsid w:val="00D40C9E"/>
    <w:rsid w:val="00D426D8"/>
    <w:rsid w:val="00D4421D"/>
    <w:rsid w:val="00D449B3"/>
    <w:rsid w:val="00D4558D"/>
    <w:rsid w:val="00D462E5"/>
    <w:rsid w:val="00D46A2F"/>
    <w:rsid w:val="00D46B9E"/>
    <w:rsid w:val="00D47C8E"/>
    <w:rsid w:val="00D5115A"/>
    <w:rsid w:val="00D54582"/>
    <w:rsid w:val="00D55A47"/>
    <w:rsid w:val="00D574DD"/>
    <w:rsid w:val="00D57951"/>
    <w:rsid w:val="00D60F8D"/>
    <w:rsid w:val="00D62301"/>
    <w:rsid w:val="00D63C66"/>
    <w:rsid w:val="00D64908"/>
    <w:rsid w:val="00D65381"/>
    <w:rsid w:val="00D7028F"/>
    <w:rsid w:val="00D704B1"/>
    <w:rsid w:val="00D71639"/>
    <w:rsid w:val="00D728CC"/>
    <w:rsid w:val="00D72988"/>
    <w:rsid w:val="00D73315"/>
    <w:rsid w:val="00D73D14"/>
    <w:rsid w:val="00D73ED1"/>
    <w:rsid w:val="00D74276"/>
    <w:rsid w:val="00D7662A"/>
    <w:rsid w:val="00D76BA8"/>
    <w:rsid w:val="00D864FD"/>
    <w:rsid w:val="00D913DD"/>
    <w:rsid w:val="00D91563"/>
    <w:rsid w:val="00D91AB1"/>
    <w:rsid w:val="00D91D30"/>
    <w:rsid w:val="00D91DF5"/>
    <w:rsid w:val="00D92385"/>
    <w:rsid w:val="00D92BD9"/>
    <w:rsid w:val="00D93807"/>
    <w:rsid w:val="00D93984"/>
    <w:rsid w:val="00D945DF"/>
    <w:rsid w:val="00D94C3D"/>
    <w:rsid w:val="00D958E0"/>
    <w:rsid w:val="00D95A29"/>
    <w:rsid w:val="00D95C32"/>
    <w:rsid w:val="00D95D11"/>
    <w:rsid w:val="00D9649A"/>
    <w:rsid w:val="00D96C94"/>
    <w:rsid w:val="00D974E7"/>
    <w:rsid w:val="00D97FE4"/>
    <w:rsid w:val="00DA0781"/>
    <w:rsid w:val="00DA233D"/>
    <w:rsid w:val="00DA3585"/>
    <w:rsid w:val="00DA4A53"/>
    <w:rsid w:val="00DA5098"/>
    <w:rsid w:val="00DA6340"/>
    <w:rsid w:val="00DA7F70"/>
    <w:rsid w:val="00DB0246"/>
    <w:rsid w:val="00DB0277"/>
    <w:rsid w:val="00DB0678"/>
    <w:rsid w:val="00DB1672"/>
    <w:rsid w:val="00DB2DE0"/>
    <w:rsid w:val="00DB3C43"/>
    <w:rsid w:val="00DB3DFF"/>
    <w:rsid w:val="00DB5A16"/>
    <w:rsid w:val="00DB6FC7"/>
    <w:rsid w:val="00DC0471"/>
    <w:rsid w:val="00DC0F72"/>
    <w:rsid w:val="00DC1F8E"/>
    <w:rsid w:val="00DC2146"/>
    <w:rsid w:val="00DC21F4"/>
    <w:rsid w:val="00DC237C"/>
    <w:rsid w:val="00DC3C2F"/>
    <w:rsid w:val="00DC4590"/>
    <w:rsid w:val="00DC7AC4"/>
    <w:rsid w:val="00DD009A"/>
    <w:rsid w:val="00DD3E32"/>
    <w:rsid w:val="00DD4A3A"/>
    <w:rsid w:val="00DD4B01"/>
    <w:rsid w:val="00DD79C1"/>
    <w:rsid w:val="00DE0104"/>
    <w:rsid w:val="00DE0FAF"/>
    <w:rsid w:val="00DE101E"/>
    <w:rsid w:val="00DE1C82"/>
    <w:rsid w:val="00DE1DD1"/>
    <w:rsid w:val="00DE1FDC"/>
    <w:rsid w:val="00DE22DE"/>
    <w:rsid w:val="00DE365F"/>
    <w:rsid w:val="00DE41E5"/>
    <w:rsid w:val="00DE536B"/>
    <w:rsid w:val="00DE7E97"/>
    <w:rsid w:val="00DF35C9"/>
    <w:rsid w:val="00DF4B50"/>
    <w:rsid w:val="00DF60B8"/>
    <w:rsid w:val="00DF7418"/>
    <w:rsid w:val="00DF7BC1"/>
    <w:rsid w:val="00E00DFD"/>
    <w:rsid w:val="00E00F46"/>
    <w:rsid w:val="00E02D79"/>
    <w:rsid w:val="00E0431B"/>
    <w:rsid w:val="00E043D6"/>
    <w:rsid w:val="00E07AB1"/>
    <w:rsid w:val="00E07BC6"/>
    <w:rsid w:val="00E131D4"/>
    <w:rsid w:val="00E1412C"/>
    <w:rsid w:val="00E202DD"/>
    <w:rsid w:val="00E21863"/>
    <w:rsid w:val="00E23648"/>
    <w:rsid w:val="00E25198"/>
    <w:rsid w:val="00E25293"/>
    <w:rsid w:val="00E26200"/>
    <w:rsid w:val="00E27258"/>
    <w:rsid w:val="00E2733F"/>
    <w:rsid w:val="00E27413"/>
    <w:rsid w:val="00E301D1"/>
    <w:rsid w:val="00E30E0D"/>
    <w:rsid w:val="00E33391"/>
    <w:rsid w:val="00E33AA9"/>
    <w:rsid w:val="00E33B8D"/>
    <w:rsid w:val="00E33CDD"/>
    <w:rsid w:val="00E34F20"/>
    <w:rsid w:val="00E35DC9"/>
    <w:rsid w:val="00E36181"/>
    <w:rsid w:val="00E3694D"/>
    <w:rsid w:val="00E401E7"/>
    <w:rsid w:val="00E41CD0"/>
    <w:rsid w:val="00E41D93"/>
    <w:rsid w:val="00E42B51"/>
    <w:rsid w:val="00E43095"/>
    <w:rsid w:val="00E43224"/>
    <w:rsid w:val="00E434A2"/>
    <w:rsid w:val="00E43782"/>
    <w:rsid w:val="00E44907"/>
    <w:rsid w:val="00E44BD7"/>
    <w:rsid w:val="00E46111"/>
    <w:rsid w:val="00E46FCB"/>
    <w:rsid w:val="00E473CE"/>
    <w:rsid w:val="00E50BB7"/>
    <w:rsid w:val="00E51BEB"/>
    <w:rsid w:val="00E52DB6"/>
    <w:rsid w:val="00E54937"/>
    <w:rsid w:val="00E60A21"/>
    <w:rsid w:val="00E61EF7"/>
    <w:rsid w:val="00E62021"/>
    <w:rsid w:val="00E6318C"/>
    <w:rsid w:val="00E63595"/>
    <w:rsid w:val="00E63658"/>
    <w:rsid w:val="00E63B48"/>
    <w:rsid w:val="00E63BDF"/>
    <w:rsid w:val="00E63DE9"/>
    <w:rsid w:val="00E647DD"/>
    <w:rsid w:val="00E64AA7"/>
    <w:rsid w:val="00E6708D"/>
    <w:rsid w:val="00E71B9A"/>
    <w:rsid w:val="00E72EA8"/>
    <w:rsid w:val="00E73EEC"/>
    <w:rsid w:val="00E744FD"/>
    <w:rsid w:val="00E74703"/>
    <w:rsid w:val="00E75458"/>
    <w:rsid w:val="00E75576"/>
    <w:rsid w:val="00E756B2"/>
    <w:rsid w:val="00E77547"/>
    <w:rsid w:val="00E77AD0"/>
    <w:rsid w:val="00E819A4"/>
    <w:rsid w:val="00E81B8B"/>
    <w:rsid w:val="00E82EBB"/>
    <w:rsid w:val="00E8563B"/>
    <w:rsid w:val="00E864B2"/>
    <w:rsid w:val="00E90F27"/>
    <w:rsid w:val="00E91888"/>
    <w:rsid w:val="00E937BF"/>
    <w:rsid w:val="00E93EEA"/>
    <w:rsid w:val="00EA0307"/>
    <w:rsid w:val="00EA1A9B"/>
    <w:rsid w:val="00EA336A"/>
    <w:rsid w:val="00EA34C7"/>
    <w:rsid w:val="00EA4A62"/>
    <w:rsid w:val="00EA50D8"/>
    <w:rsid w:val="00EA57C0"/>
    <w:rsid w:val="00EA72FD"/>
    <w:rsid w:val="00EB1C39"/>
    <w:rsid w:val="00EB2472"/>
    <w:rsid w:val="00EB2B36"/>
    <w:rsid w:val="00EB4600"/>
    <w:rsid w:val="00EB4B15"/>
    <w:rsid w:val="00EB54CA"/>
    <w:rsid w:val="00EB54F1"/>
    <w:rsid w:val="00EB57C6"/>
    <w:rsid w:val="00EB7878"/>
    <w:rsid w:val="00EB7C14"/>
    <w:rsid w:val="00EB7DDE"/>
    <w:rsid w:val="00EB7F48"/>
    <w:rsid w:val="00EC1D01"/>
    <w:rsid w:val="00EC33F8"/>
    <w:rsid w:val="00EC4791"/>
    <w:rsid w:val="00EC5B9A"/>
    <w:rsid w:val="00EC5F30"/>
    <w:rsid w:val="00EC65FA"/>
    <w:rsid w:val="00EC692B"/>
    <w:rsid w:val="00ED0963"/>
    <w:rsid w:val="00ED303B"/>
    <w:rsid w:val="00ED44DB"/>
    <w:rsid w:val="00ED5288"/>
    <w:rsid w:val="00ED56D6"/>
    <w:rsid w:val="00ED5779"/>
    <w:rsid w:val="00ED6110"/>
    <w:rsid w:val="00ED6B8C"/>
    <w:rsid w:val="00ED7C1E"/>
    <w:rsid w:val="00EE00E7"/>
    <w:rsid w:val="00EE03A8"/>
    <w:rsid w:val="00EE049B"/>
    <w:rsid w:val="00EE446C"/>
    <w:rsid w:val="00EF0AD3"/>
    <w:rsid w:val="00EF4DBA"/>
    <w:rsid w:val="00EF55F0"/>
    <w:rsid w:val="00EF6AA8"/>
    <w:rsid w:val="00EF7157"/>
    <w:rsid w:val="00EF7FC0"/>
    <w:rsid w:val="00F00899"/>
    <w:rsid w:val="00F02E9E"/>
    <w:rsid w:val="00F03CA1"/>
    <w:rsid w:val="00F0579D"/>
    <w:rsid w:val="00F070E8"/>
    <w:rsid w:val="00F075D0"/>
    <w:rsid w:val="00F10527"/>
    <w:rsid w:val="00F10EEC"/>
    <w:rsid w:val="00F10F20"/>
    <w:rsid w:val="00F112B9"/>
    <w:rsid w:val="00F12F8D"/>
    <w:rsid w:val="00F132F4"/>
    <w:rsid w:val="00F144EA"/>
    <w:rsid w:val="00F14C06"/>
    <w:rsid w:val="00F156CE"/>
    <w:rsid w:val="00F1686F"/>
    <w:rsid w:val="00F17D31"/>
    <w:rsid w:val="00F21B8E"/>
    <w:rsid w:val="00F21D7D"/>
    <w:rsid w:val="00F22018"/>
    <w:rsid w:val="00F22996"/>
    <w:rsid w:val="00F23178"/>
    <w:rsid w:val="00F25FA9"/>
    <w:rsid w:val="00F26B0C"/>
    <w:rsid w:val="00F277B1"/>
    <w:rsid w:val="00F315DA"/>
    <w:rsid w:val="00F317BA"/>
    <w:rsid w:val="00F32A65"/>
    <w:rsid w:val="00F32C56"/>
    <w:rsid w:val="00F33F4E"/>
    <w:rsid w:val="00F368B1"/>
    <w:rsid w:val="00F36E9C"/>
    <w:rsid w:val="00F405A8"/>
    <w:rsid w:val="00F416CF"/>
    <w:rsid w:val="00F41FD0"/>
    <w:rsid w:val="00F43B16"/>
    <w:rsid w:val="00F444B3"/>
    <w:rsid w:val="00F44ABD"/>
    <w:rsid w:val="00F44F30"/>
    <w:rsid w:val="00F459AC"/>
    <w:rsid w:val="00F47AF0"/>
    <w:rsid w:val="00F47FCE"/>
    <w:rsid w:val="00F5067A"/>
    <w:rsid w:val="00F50935"/>
    <w:rsid w:val="00F50F21"/>
    <w:rsid w:val="00F51EAF"/>
    <w:rsid w:val="00F522C4"/>
    <w:rsid w:val="00F52684"/>
    <w:rsid w:val="00F52C23"/>
    <w:rsid w:val="00F537CE"/>
    <w:rsid w:val="00F5479D"/>
    <w:rsid w:val="00F55762"/>
    <w:rsid w:val="00F56A5B"/>
    <w:rsid w:val="00F57006"/>
    <w:rsid w:val="00F57B7A"/>
    <w:rsid w:val="00F61A2A"/>
    <w:rsid w:val="00F62058"/>
    <w:rsid w:val="00F62174"/>
    <w:rsid w:val="00F634FA"/>
    <w:rsid w:val="00F63829"/>
    <w:rsid w:val="00F653DE"/>
    <w:rsid w:val="00F6563C"/>
    <w:rsid w:val="00F66A46"/>
    <w:rsid w:val="00F66FF6"/>
    <w:rsid w:val="00F67A76"/>
    <w:rsid w:val="00F71AB1"/>
    <w:rsid w:val="00F73E75"/>
    <w:rsid w:val="00F75023"/>
    <w:rsid w:val="00F7544C"/>
    <w:rsid w:val="00F7606A"/>
    <w:rsid w:val="00F77A3E"/>
    <w:rsid w:val="00F80A49"/>
    <w:rsid w:val="00F81AA2"/>
    <w:rsid w:val="00F82C22"/>
    <w:rsid w:val="00F834BC"/>
    <w:rsid w:val="00F848E3"/>
    <w:rsid w:val="00F84BC1"/>
    <w:rsid w:val="00F851FD"/>
    <w:rsid w:val="00F8737D"/>
    <w:rsid w:val="00F87388"/>
    <w:rsid w:val="00F909A6"/>
    <w:rsid w:val="00F90E3E"/>
    <w:rsid w:val="00F93034"/>
    <w:rsid w:val="00F9312B"/>
    <w:rsid w:val="00F937B9"/>
    <w:rsid w:val="00F9404A"/>
    <w:rsid w:val="00F94AC7"/>
    <w:rsid w:val="00F95D61"/>
    <w:rsid w:val="00F95D73"/>
    <w:rsid w:val="00F961C7"/>
    <w:rsid w:val="00FA2709"/>
    <w:rsid w:val="00FA2B7B"/>
    <w:rsid w:val="00FA4DA0"/>
    <w:rsid w:val="00FA534B"/>
    <w:rsid w:val="00FA5441"/>
    <w:rsid w:val="00FA5EBB"/>
    <w:rsid w:val="00FA5FC2"/>
    <w:rsid w:val="00FA6236"/>
    <w:rsid w:val="00FB0505"/>
    <w:rsid w:val="00FB104F"/>
    <w:rsid w:val="00FB4AE9"/>
    <w:rsid w:val="00FB551E"/>
    <w:rsid w:val="00FB5808"/>
    <w:rsid w:val="00FB65FF"/>
    <w:rsid w:val="00FB742B"/>
    <w:rsid w:val="00FB7506"/>
    <w:rsid w:val="00FC0BCF"/>
    <w:rsid w:val="00FC3D60"/>
    <w:rsid w:val="00FC4675"/>
    <w:rsid w:val="00FC5FBF"/>
    <w:rsid w:val="00FC65B6"/>
    <w:rsid w:val="00FC682D"/>
    <w:rsid w:val="00FC6BC0"/>
    <w:rsid w:val="00FD14FD"/>
    <w:rsid w:val="00FD17A5"/>
    <w:rsid w:val="00FD2391"/>
    <w:rsid w:val="00FD2439"/>
    <w:rsid w:val="00FD2D12"/>
    <w:rsid w:val="00FD3E28"/>
    <w:rsid w:val="00FD4215"/>
    <w:rsid w:val="00FD4D39"/>
    <w:rsid w:val="00FD6A4F"/>
    <w:rsid w:val="00FD797E"/>
    <w:rsid w:val="00FD7A43"/>
    <w:rsid w:val="00FE0652"/>
    <w:rsid w:val="00FE1318"/>
    <w:rsid w:val="00FE339D"/>
    <w:rsid w:val="00FE4DCB"/>
    <w:rsid w:val="00FE4E68"/>
    <w:rsid w:val="00FE6018"/>
    <w:rsid w:val="00FE6070"/>
    <w:rsid w:val="00FE7FB1"/>
    <w:rsid w:val="00FF0337"/>
    <w:rsid w:val="00FF265B"/>
    <w:rsid w:val="00FF3341"/>
    <w:rsid w:val="00FF51A6"/>
    <w:rsid w:val="00FF51D8"/>
    <w:rsid w:val="00FF6531"/>
    <w:rsid w:val="00FF7AF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EFE41"/>
  <w15:chartTrackingRefBased/>
  <w15:docId w15:val="{0DCCE5EE-2090-44FA-A646-04B9B454B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4CA"/>
    <w:pPr>
      <w:suppressAutoHyphens/>
      <w:autoSpaceDN w:val="0"/>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DC3C2F"/>
    <w:pPr>
      <w:keepNext/>
      <w:keepLines/>
      <w:suppressAutoHyphens w:val="0"/>
      <w:autoSpaceDN/>
      <w:spacing w:before="240" w:line="259"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904BF"/>
    <w:pPr>
      <w:suppressAutoHyphens w:val="0"/>
      <w:autoSpaceDN/>
      <w:spacing w:after="160" w:line="259" w:lineRule="auto"/>
      <w:ind w:left="720"/>
      <w:contextualSpacing/>
    </w:pPr>
    <w:rPr>
      <w:rFonts w:asciiTheme="minorHAnsi" w:eastAsiaTheme="minorHAnsi" w:hAnsiTheme="minorHAnsi" w:cstheme="minorBidi"/>
      <w:sz w:val="22"/>
      <w:szCs w:val="22"/>
      <w:lang w:eastAsia="en-US"/>
    </w:rPr>
  </w:style>
  <w:style w:type="paragraph" w:styleId="Bibliography">
    <w:name w:val="Bibliography"/>
    <w:basedOn w:val="Normal"/>
    <w:next w:val="Normal"/>
    <w:uiPriority w:val="37"/>
    <w:unhideWhenUsed/>
    <w:rsid w:val="00B421CB"/>
    <w:pPr>
      <w:suppressAutoHyphens w:val="0"/>
      <w:autoSpaceDN/>
      <w:spacing w:after="160" w:line="259" w:lineRule="auto"/>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B421CB"/>
    <w:pPr>
      <w:tabs>
        <w:tab w:val="center" w:pos="4513"/>
        <w:tab w:val="right" w:pos="9026"/>
      </w:tabs>
      <w:suppressAutoHyphens w:val="0"/>
      <w:autoSpaceDN/>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B421CB"/>
  </w:style>
  <w:style w:type="paragraph" w:styleId="Footer">
    <w:name w:val="footer"/>
    <w:basedOn w:val="Normal"/>
    <w:link w:val="FooterChar"/>
    <w:uiPriority w:val="99"/>
    <w:unhideWhenUsed/>
    <w:rsid w:val="00B421CB"/>
    <w:pPr>
      <w:tabs>
        <w:tab w:val="center" w:pos="4513"/>
        <w:tab w:val="right" w:pos="9026"/>
      </w:tabs>
      <w:suppressAutoHyphens w:val="0"/>
      <w:autoSpaceDN/>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B421CB"/>
  </w:style>
  <w:style w:type="character" w:styleId="CommentReference">
    <w:name w:val="annotation reference"/>
    <w:basedOn w:val="DefaultParagraphFont"/>
    <w:rsid w:val="009C1BDE"/>
    <w:rPr>
      <w:sz w:val="16"/>
      <w:szCs w:val="16"/>
    </w:rPr>
  </w:style>
  <w:style w:type="paragraph" w:styleId="CommentText">
    <w:name w:val="annotation text"/>
    <w:basedOn w:val="Normal"/>
    <w:link w:val="CommentTextChar"/>
    <w:rsid w:val="009C1BDE"/>
    <w:rPr>
      <w:sz w:val="20"/>
      <w:szCs w:val="20"/>
    </w:rPr>
  </w:style>
  <w:style w:type="character" w:customStyle="1" w:styleId="CommentTextChar">
    <w:name w:val="Comment Text Char"/>
    <w:basedOn w:val="DefaultParagraphFont"/>
    <w:link w:val="CommentText"/>
    <w:rsid w:val="009C1BDE"/>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DC3C2F"/>
    <w:rPr>
      <w:rFonts w:asciiTheme="majorHAnsi" w:eastAsiaTheme="majorEastAsia" w:hAnsiTheme="majorHAnsi" w:cstheme="majorBidi"/>
      <w:color w:val="2E74B5" w:themeColor="accent1" w:themeShade="BF"/>
      <w:sz w:val="32"/>
      <w:szCs w:val="32"/>
      <w:lang w:val="en-US"/>
    </w:rPr>
  </w:style>
  <w:style w:type="paragraph" w:styleId="CommentSubject">
    <w:name w:val="annotation subject"/>
    <w:basedOn w:val="CommentText"/>
    <w:next w:val="CommentText"/>
    <w:link w:val="CommentSubjectChar"/>
    <w:uiPriority w:val="99"/>
    <w:semiHidden/>
    <w:unhideWhenUsed/>
    <w:rsid w:val="00A8319D"/>
    <w:pPr>
      <w:suppressAutoHyphens w:val="0"/>
      <w:autoSpaceDN/>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A8319D"/>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1073">
      <w:bodyDiv w:val="1"/>
      <w:marLeft w:val="0"/>
      <w:marRight w:val="0"/>
      <w:marTop w:val="0"/>
      <w:marBottom w:val="0"/>
      <w:divBdr>
        <w:top w:val="none" w:sz="0" w:space="0" w:color="auto"/>
        <w:left w:val="none" w:sz="0" w:space="0" w:color="auto"/>
        <w:bottom w:val="none" w:sz="0" w:space="0" w:color="auto"/>
        <w:right w:val="none" w:sz="0" w:space="0" w:color="auto"/>
      </w:divBdr>
    </w:div>
    <w:div w:id="50885714">
      <w:bodyDiv w:val="1"/>
      <w:marLeft w:val="0"/>
      <w:marRight w:val="0"/>
      <w:marTop w:val="0"/>
      <w:marBottom w:val="0"/>
      <w:divBdr>
        <w:top w:val="none" w:sz="0" w:space="0" w:color="auto"/>
        <w:left w:val="none" w:sz="0" w:space="0" w:color="auto"/>
        <w:bottom w:val="none" w:sz="0" w:space="0" w:color="auto"/>
        <w:right w:val="none" w:sz="0" w:space="0" w:color="auto"/>
      </w:divBdr>
    </w:div>
    <w:div w:id="51081445">
      <w:bodyDiv w:val="1"/>
      <w:marLeft w:val="0"/>
      <w:marRight w:val="0"/>
      <w:marTop w:val="0"/>
      <w:marBottom w:val="0"/>
      <w:divBdr>
        <w:top w:val="none" w:sz="0" w:space="0" w:color="auto"/>
        <w:left w:val="none" w:sz="0" w:space="0" w:color="auto"/>
        <w:bottom w:val="none" w:sz="0" w:space="0" w:color="auto"/>
        <w:right w:val="none" w:sz="0" w:space="0" w:color="auto"/>
      </w:divBdr>
    </w:div>
    <w:div w:id="66223758">
      <w:bodyDiv w:val="1"/>
      <w:marLeft w:val="0"/>
      <w:marRight w:val="0"/>
      <w:marTop w:val="0"/>
      <w:marBottom w:val="0"/>
      <w:divBdr>
        <w:top w:val="none" w:sz="0" w:space="0" w:color="auto"/>
        <w:left w:val="none" w:sz="0" w:space="0" w:color="auto"/>
        <w:bottom w:val="none" w:sz="0" w:space="0" w:color="auto"/>
        <w:right w:val="none" w:sz="0" w:space="0" w:color="auto"/>
      </w:divBdr>
    </w:div>
    <w:div w:id="92557041">
      <w:bodyDiv w:val="1"/>
      <w:marLeft w:val="0"/>
      <w:marRight w:val="0"/>
      <w:marTop w:val="0"/>
      <w:marBottom w:val="0"/>
      <w:divBdr>
        <w:top w:val="none" w:sz="0" w:space="0" w:color="auto"/>
        <w:left w:val="none" w:sz="0" w:space="0" w:color="auto"/>
        <w:bottom w:val="none" w:sz="0" w:space="0" w:color="auto"/>
        <w:right w:val="none" w:sz="0" w:space="0" w:color="auto"/>
      </w:divBdr>
    </w:div>
    <w:div w:id="102502481">
      <w:bodyDiv w:val="1"/>
      <w:marLeft w:val="0"/>
      <w:marRight w:val="0"/>
      <w:marTop w:val="0"/>
      <w:marBottom w:val="0"/>
      <w:divBdr>
        <w:top w:val="none" w:sz="0" w:space="0" w:color="auto"/>
        <w:left w:val="none" w:sz="0" w:space="0" w:color="auto"/>
        <w:bottom w:val="none" w:sz="0" w:space="0" w:color="auto"/>
        <w:right w:val="none" w:sz="0" w:space="0" w:color="auto"/>
      </w:divBdr>
    </w:div>
    <w:div w:id="121577503">
      <w:bodyDiv w:val="1"/>
      <w:marLeft w:val="0"/>
      <w:marRight w:val="0"/>
      <w:marTop w:val="0"/>
      <w:marBottom w:val="0"/>
      <w:divBdr>
        <w:top w:val="none" w:sz="0" w:space="0" w:color="auto"/>
        <w:left w:val="none" w:sz="0" w:space="0" w:color="auto"/>
        <w:bottom w:val="none" w:sz="0" w:space="0" w:color="auto"/>
        <w:right w:val="none" w:sz="0" w:space="0" w:color="auto"/>
      </w:divBdr>
    </w:div>
    <w:div w:id="125246013">
      <w:bodyDiv w:val="1"/>
      <w:marLeft w:val="0"/>
      <w:marRight w:val="0"/>
      <w:marTop w:val="0"/>
      <w:marBottom w:val="0"/>
      <w:divBdr>
        <w:top w:val="none" w:sz="0" w:space="0" w:color="auto"/>
        <w:left w:val="none" w:sz="0" w:space="0" w:color="auto"/>
        <w:bottom w:val="none" w:sz="0" w:space="0" w:color="auto"/>
        <w:right w:val="none" w:sz="0" w:space="0" w:color="auto"/>
      </w:divBdr>
    </w:div>
    <w:div w:id="127675187">
      <w:bodyDiv w:val="1"/>
      <w:marLeft w:val="0"/>
      <w:marRight w:val="0"/>
      <w:marTop w:val="0"/>
      <w:marBottom w:val="0"/>
      <w:divBdr>
        <w:top w:val="none" w:sz="0" w:space="0" w:color="auto"/>
        <w:left w:val="none" w:sz="0" w:space="0" w:color="auto"/>
        <w:bottom w:val="none" w:sz="0" w:space="0" w:color="auto"/>
        <w:right w:val="none" w:sz="0" w:space="0" w:color="auto"/>
      </w:divBdr>
    </w:div>
    <w:div w:id="131751071">
      <w:bodyDiv w:val="1"/>
      <w:marLeft w:val="0"/>
      <w:marRight w:val="0"/>
      <w:marTop w:val="0"/>
      <w:marBottom w:val="0"/>
      <w:divBdr>
        <w:top w:val="none" w:sz="0" w:space="0" w:color="auto"/>
        <w:left w:val="none" w:sz="0" w:space="0" w:color="auto"/>
        <w:bottom w:val="none" w:sz="0" w:space="0" w:color="auto"/>
        <w:right w:val="none" w:sz="0" w:space="0" w:color="auto"/>
      </w:divBdr>
    </w:div>
    <w:div w:id="140080059">
      <w:bodyDiv w:val="1"/>
      <w:marLeft w:val="0"/>
      <w:marRight w:val="0"/>
      <w:marTop w:val="0"/>
      <w:marBottom w:val="0"/>
      <w:divBdr>
        <w:top w:val="none" w:sz="0" w:space="0" w:color="auto"/>
        <w:left w:val="none" w:sz="0" w:space="0" w:color="auto"/>
        <w:bottom w:val="none" w:sz="0" w:space="0" w:color="auto"/>
        <w:right w:val="none" w:sz="0" w:space="0" w:color="auto"/>
      </w:divBdr>
    </w:div>
    <w:div w:id="144054397">
      <w:bodyDiv w:val="1"/>
      <w:marLeft w:val="0"/>
      <w:marRight w:val="0"/>
      <w:marTop w:val="0"/>
      <w:marBottom w:val="0"/>
      <w:divBdr>
        <w:top w:val="none" w:sz="0" w:space="0" w:color="auto"/>
        <w:left w:val="none" w:sz="0" w:space="0" w:color="auto"/>
        <w:bottom w:val="none" w:sz="0" w:space="0" w:color="auto"/>
        <w:right w:val="none" w:sz="0" w:space="0" w:color="auto"/>
      </w:divBdr>
    </w:div>
    <w:div w:id="148640356">
      <w:bodyDiv w:val="1"/>
      <w:marLeft w:val="0"/>
      <w:marRight w:val="0"/>
      <w:marTop w:val="0"/>
      <w:marBottom w:val="0"/>
      <w:divBdr>
        <w:top w:val="none" w:sz="0" w:space="0" w:color="auto"/>
        <w:left w:val="none" w:sz="0" w:space="0" w:color="auto"/>
        <w:bottom w:val="none" w:sz="0" w:space="0" w:color="auto"/>
        <w:right w:val="none" w:sz="0" w:space="0" w:color="auto"/>
      </w:divBdr>
    </w:div>
    <w:div w:id="167913535">
      <w:bodyDiv w:val="1"/>
      <w:marLeft w:val="0"/>
      <w:marRight w:val="0"/>
      <w:marTop w:val="0"/>
      <w:marBottom w:val="0"/>
      <w:divBdr>
        <w:top w:val="none" w:sz="0" w:space="0" w:color="auto"/>
        <w:left w:val="none" w:sz="0" w:space="0" w:color="auto"/>
        <w:bottom w:val="none" w:sz="0" w:space="0" w:color="auto"/>
        <w:right w:val="none" w:sz="0" w:space="0" w:color="auto"/>
      </w:divBdr>
    </w:div>
    <w:div w:id="170611980">
      <w:bodyDiv w:val="1"/>
      <w:marLeft w:val="0"/>
      <w:marRight w:val="0"/>
      <w:marTop w:val="0"/>
      <w:marBottom w:val="0"/>
      <w:divBdr>
        <w:top w:val="none" w:sz="0" w:space="0" w:color="auto"/>
        <w:left w:val="none" w:sz="0" w:space="0" w:color="auto"/>
        <w:bottom w:val="none" w:sz="0" w:space="0" w:color="auto"/>
        <w:right w:val="none" w:sz="0" w:space="0" w:color="auto"/>
      </w:divBdr>
    </w:div>
    <w:div w:id="175000245">
      <w:bodyDiv w:val="1"/>
      <w:marLeft w:val="0"/>
      <w:marRight w:val="0"/>
      <w:marTop w:val="0"/>
      <w:marBottom w:val="0"/>
      <w:divBdr>
        <w:top w:val="none" w:sz="0" w:space="0" w:color="auto"/>
        <w:left w:val="none" w:sz="0" w:space="0" w:color="auto"/>
        <w:bottom w:val="none" w:sz="0" w:space="0" w:color="auto"/>
        <w:right w:val="none" w:sz="0" w:space="0" w:color="auto"/>
      </w:divBdr>
    </w:div>
    <w:div w:id="185023407">
      <w:bodyDiv w:val="1"/>
      <w:marLeft w:val="0"/>
      <w:marRight w:val="0"/>
      <w:marTop w:val="0"/>
      <w:marBottom w:val="0"/>
      <w:divBdr>
        <w:top w:val="none" w:sz="0" w:space="0" w:color="auto"/>
        <w:left w:val="none" w:sz="0" w:space="0" w:color="auto"/>
        <w:bottom w:val="none" w:sz="0" w:space="0" w:color="auto"/>
        <w:right w:val="none" w:sz="0" w:space="0" w:color="auto"/>
      </w:divBdr>
    </w:div>
    <w:div w:id="186647577">
      <w:bodyDiv w:val="1"/>
      <w:marLeft w:val="0"/>
      <w:marRight w:val="0"/>
      <w:marTop w:val="0"/>
      <w:marBottom w:val="0"/>
      <w:divBdr>
        <w:top w:val="none" w:sz="0" w:space="0" w:color="auto"/>
        <w:left w:val="none" w:sz="0" w:space="0" w:color="auto"/>
        <w:bottom w:val="none" w:sz="0" w:space="0" w:color="auto"/>
        <w:right w:val="none" w:sz="0" w:space="0" w:color="auto"/>
      </w:divBdr>
    </w:div>
    <w:div w:id="186910596">
      <w:bodyDiv w:val="1"/>
      <w:marLeft w:val="0"/>
      <w:marRight w:val="0"/>
      <w:marTop w:val="0"/>
      <w:marBottom w:val="0"/>
      <w:divBdr>
        <w:top w:val="none" w:sz="0" w:space="0" w:color="auto"/>
        <w:left w:val="none" w:sz="0" w:space="0" w:color="auto"/>
        <w:bottom w:val="none" w:sz="0" w:space="0" w:color="auto"/>
        <w:right w:val="none" w:sz="0" w:space="0" w:color="auto"/>
      </w:divBdr>
    </w:div>
    <w:div w:id="193812722">
      <w:bodyDiv w:val="1"/>
      <w:marLeft w:val="0"/>
      <w:marRight w:val="0"/>
      <w:marTop w:val="0"/>
      <w:marBottom w:val="0"/>
      <w:divBdr>
        <w:top w:val="none" w:sz="0" w:space="0" w:color="auto"/>
        <w:left w:val="none" w:sz="0" w:space="0" w:color="auto"/>
        <w:bottom w:val="none" w:sz="0" w:space="0" w:color="auto"/>
        <w:right w:val="none" w:sz="0" w:space="0" w:color="auto"/>
      </w:divBdr>
    </w:div>
    <w:div w:id="198670167">
      <w:bodyDiv w:val="1"/>
      <w:marLeft w:val="0"/>
      <w:marRight w:val="0"/>
      <w:marTop w:val="0"/>
      <w:marBottom w:val="0"/>
      <w:divBdr>
        <w:top w:val="none" w:sz="0" w:space="0" w:color="auto"/>
        <w:left w:val="none" w:sz="0" w:space="0" w:color="auto"/>
        <w:bottom w:val="none" w:sz="0" w:space="0" w:color="auto"/>
        <w:right w:val="none" w:sz="0" w:space="0" w:color="auto"/>
      </w:divBdr>
    </w:div>
    <w:div w:id="281346519">
      <w:bodyDiv w:val="1"/>
      <w:marLeft w:val="0"/>
      <w:marRight w:val="0"/>
      <w:marTop w:val="0"/>
      <w:marBottom w:val="0"/>
      <w:divBdr>
        <w:top w:val="none" w:sz="0" w:space="0" w:color="auto"/>
        <w:left w:val="none" w:sz="0" w:space="0" w:color="auto"/>
        <w:bottom w:val="none" w:sz="0" w:space="0" w:color="auto"/>
        <w:right w:val="none" w:sz="0" w:space="0" w:color="auto"/>
      </w:divBdr>
    </w:div>
    <w:div w:id="309482742">
      <w:bodyDiv w:val="1"/>
      <w:marLeft w:val="0"/>
      <w:marRight w:val="0"/>
      <w:marTop w:val="0"/>
      <w:marBottom w:val="0"/>
      <w:divBdr>
        <w:top w:val="none" w:sz="0" w:space="0" w:color="auto"/>
        <w:left w:val="none" w:sz="0" w:space="0" w:color="auto"/>
        <w:bottom w:val="none" w:sz="0" w:space="0" w:color="auto"/>
        <w:right w:val="none" w:sz="0" w:space="0" w:color="auto"/>
      </w:divBdr>
    </w:div>
    <w:div w:id="315063825">
      <w:bodyDiv w:val="1"/>
      <w:marLeft w:val="0"/>
      <w:marRight w:val="0"/>
      <w:marTop w:val="0"/>
      <w:marBottom w:val="0"/>
      <w:divBdr>
        <w:top w:val="none" w:sz="0" w:space="0" w:color="auto"/>
        <w:left w:val="none" w:sz="0" w:space="0" w:color="auto"/>
        <w:bottom w:val="none" w:sz="0" w:space="0" w:color="auto"/>
        <w:right w:val="none" w:sz="0" w:space="0" w:color="auto"/>
      </w:divBdr>
    </w:div>
    <w:div w:id="316420447">
      <w:bodyDiv w:val="1"/>
      <w:marLeft w:val="0"/>
      <w:marRight w:val="0"/>
      <w:marTop w:val="0"/>
      <w:marBottom w:val="0"/>
      <w:divBdr>
        <w:top w:val="none" w:sz="0" w:space="0" w:color="auto"/>
        <w:left w:val="none" w:sz="0" w:space="0" w:color="auto"/>
        <w:bottom w:val="none" w:sz="0" w:space="0" w:color="auto"/>
        <w:right w:val="none" w:sz="0" w:space="0" w:color="auto"/>
      </w:divBdr>
    </w:div>
    <w:div w:id="333189951">
      <w:bodyDiv w:val="1"/>
      <w:marLeft w:val="0"/>
      <w:marRight w:val="0"/>
      <w:marTop w:val="0"/>
      <w:marBottom w:val="0"/>
      <w:divBdr>
        <w:top w:val="none" w:sz="0" w:space="0" w:color="auto"/>
        <w:left w:val="none" w:sz="0" w:space="0" w:color="auto"/>
        <w:bottom w:val="none" w:sz="0" w:space="0" w:color="auto"/>
        <w:right w:val="none" w:sz="0" w:space="0" w:color="auto"/>
      </w:divBdr>
    </w:div>
    <w:div w:id="334765149">
      <w:bodyDiv w:val="1"/>
      <w:marLeft w:val="0"/>
      <w:marRight w:val="0"/>
      <w:marTop w:val="0"/>
      <w:marBottom w:val="0"/>
      <w:divBdr>
        <w:top w:val="none" w:sz="0" w:space="0" w:color="auto"/>
        <w:left w:val="none" w:sz="0" w:space="0" w:color="auto"/>
        <w:bottom w:val="none" w:sz="0" w:space="0" w:color="auto"/>
        <w:right w:val="none" w:sz="0" w:space="0" w:color="auto"/>
      </w:divBdr>
    </w:div>
    <w:div w:id="345331535">
      <w:bodyDiv w:val="1"/>
      <w:marLeft w:val="0"/>
      <w:marRight w:val="0"/>
      <w:marTop w:val="0"/>
      <w:marBottom w:val="0"/>
      <w:divBdr>
        <w:top w:val="none" w:sz="0" w:space="0" w:color="auto"/>
        <w:left w:val="none" w:sz="0" w:space="0" w:color="auto"/>
        <w:bottom w:val="none" w:sz="0" w:space="0" w:color="auto"/>
        <w:right w:val="none" w:sz="0" w:space="0" w:color="auto"/>
      </w:divBdr>
    </w:div>
    <w:div w:id="360280182">
      <w:bodyDiv w:val="1"/>
      <w:marLeft w:val="0"/>
      <w:marRight w:val="0"/>
      <w:marTop w:val="0"/>
      <w:marBottom w:val="0"/>
      <w:divBdr>
        <w:top w:val="none" w:sz="0" w:space="0" w:color="auto"/>
        <w:left w:val="none" w:sz="0" w:space="0" w:color="auto"/>
        <w:bottom w:val="none" w:sz="0" w:space="0" w:color="auto"/>
        <w:right w:val="none" w:sz="0" w:space="0" w:color="auto"/>
      </w:divBdr>
    </w:div>
    <w:div w:id="361983163">
      <w:bodyDiv w:val="1"/>
      <w:marLeft w:val="0"/>
      <w:marRight w:val="0"/>
      <w:marTop w:val="0"/>
      <w:marBottom w:val="0"/>
      <w:divBdr>
        <w:top w:val="none" w:sz="0" w:space="0" w:color="auto"/>
        <w:left w:val="none" w:sz="0" w:space="0" w:color="auto"/>
        <w:bottom w:val="none" w:sz="0" w:space="0" w:color="auto"/>
        <w:right w:val="none" w:sz="0" w:space="0" w:color="auto"/>
      </w:divBdr>
    </w:div>
    <w:div w:id="370500694">
      <w:bodyDiv w:val="1"/>
      <w:marLeft w:val="0"/>
      <w:marRight w:val="0"/>
      <w:marTop w:val="0"/>
      <w:marBottom w:val="0"/>
      <w:divBdr>
        <w:top w:val="none" w:sz="0" w:space="0" w:color="auto"/>
        <w:left w:val="none" w:sz="0" w:space="0" w:color="auto"/>
        <w:bottom w:val="none" w:sz="0" w:space="0" w:color="auto"/>
        <w:right w:val="none" w:sz="0" w:space="0" w:color="auto"/>
      </w:divBdr>
    </w:div>
    <w:div w:id="395125714">
      <w:bodyDiv w:val="1"/>
      <w:marLeft w:val="0"/>
      <w:marRight w:val="0"/>
      <w:marTop w:val="0"/>
      <w:marBottom w:val="0"/>
      <w:divBdr>
        <w:top w:val="none" w:sz="0" w:space="0" w:color="auto"/>
        <w:left w:val="none" w:sz="0" w:space="0" w:color="auto"/>
        <w:bottom w:val="none" w:sz="0" w:space="0" w:color="auto"/>
        <w:right w:val="none" w:sz="0" w:space="0" w:color="auto"/>
      </w:divBdr>
    </w:div>
    <w:div w:id="415249624">
      <w:bodyDiv w:val="1"/>
      <w:marLeft w:val="0"/>
      <w:marRight w:val="0"/>
      <w:marTop w:val="0"/>
      <w:marBottom w:val="0"/>
      <w:divBdr>
        <w:top w:val="none" w:sz="0" w:space="0" w:color="auto"/>
        <w:left w:val="none" w:sz="0" w:space="0" w:color="auto"/>
        <w:bottom w:val="none" w:sz="0" w:space="0" w:color="auto"/>
        <w:right w:val="none" w:sz="0" w:space="0" w:color="auto"/>
      </w:divBdr>
    </w:div>
    <w:div w:id="434983369">
      <w:bodyDiv w:val="1"/>
      <w:marLeft w:val="0"/>
      <w:marRight w:val="0"/>
      <w:marTop w:val="0"/>
      <w:marBottom w:val="0"/>
      <w:divBdr>
        <w:top w:val="none" w:sz="0" w:space="0" w:color="auto"/>
        <w:left w:val="none" w:sz="0" w:space="0" w:color="auto"/>
        <w:bottom w:val="none" w:sz="0" w:space="0" w:color="auto"/>
        <w:right w:val="none" w:sz="0" w:space="0" w:color="auto"/>
      </w:divBdr>
    </w:div>
    <w:div w:id="438109300">
      <w:bodyDiv w:val="1"/>
      <w:marLeft w:val="0"/>
      <w:marRight w:val="0"/>
      <w:marTop w:val="0"/>
      <w:marBottom w:val="0"/>
      <w:divBdr>
        <w:top w:val="none" w:sz="0" w:space="0" w:color="auto"/>
        <w:left w:val="none" w:sz="0" w:space="0" w:color="auto"/>
        <w:bottom w:val="none" w:sz="0" w:space="0" w:color="auto"/>
        <w:right w:val="none" w:sz="0" w:space="0" w:color="auto"/>
      </w:divBdr>
    </w:div>
    <w:div w:id="440420390">
      <w:bodyDiv w:val="1"/>
      <w:marLeft w:val="0"/>
      <w:marRight w:val="0"/>
      <w:marTop w:val="0"/>
      <w:marBottom w:val="0"/>
      <w:divBdr>
        <w:top w:val="none" w:sz="0" w:space="0" w:color="auto"/>
        <w:left w:val="none" w:sz="0" w:space="0" w:color="auto"/>
        <w:bottom w:val="none" w:sz="0" w:space="0" w:color="auto"/>
        <w:right w:val="none" w:sz="0" w:space="0" w:color="auto"/>
      </w:divBdr>
    </w:div>
    <w:div w:id="443959108">
      <w:bodyDiv w:val="1"/>
      <w:marLeft w:val="0"/>
      <w:marRight w:val="0"/>
      <w:marTop w:val="0"/>
      <w:marBottom w:val="0"/>
      <w:divBdr>
        <w:top w:val="none" w:sz="0" w:space="0" w:color="auto"/>
        <w:left w:val="none" w:sz="0" w:space="0" w:color="auto"/>
        <w:bottom w:val="none" w:sz="0" w:space="0" w:color="auto"/>
        <w:right w:val="none" w:sz="0" w:space="0" w:color="auto"/>
      </w:divBdr>
    </w:div>
    <w:div w:id="465200929">
      <w:bodyDiv w:val="1"/>
      <w:marLeft w:val="0"/>
      <w:marRight w:val="0"/>
      <w:marTop w:val="0"/>
      <w:marBottom w:val="0"/>
      <w:divBdr>
        <w:top w:val="none" w:sz="0" w:space="0" w:color="auto"/>
        <w:left w:val="none" w:sz="0" w:space="0" w:color="auto"/>
        <w:bottom w:val="none" w:sz="0" w:space="0" w:color="auto"/>
        <w:right w:val="none" w:sz="0" w:space="0" w:color="auto"/>
      </w:divBdr>
    </w:div>
    <w:div w:id="465247652">
      <w:bodyDiv w:val="1"/>
      <w:marLeft w:val="0"/>
      <w:marRight w:val="0"/>
      <w:marTop w:val="0"/>
      <w:marBottom w:val="0"/>
      <w:divBdr>
        <w:top w:val="none" w:sz="0" w:space="0" w:color="auto"/>
        <w:left w:val="none" w:sz="0" w:space="0" w:color="auto"/>
        <w:bottom w:val="none" w:sz="0" w:space="0" w:color="auto"/>
        <w:right w:val="none" w:sz="0" w:space="0" w:color="auto"/>
      </w:divBdr>
    </w:div>
    <w:div w:id="489907099">
      <w:bodyDiv w:val="1"/>
      <w:marLeft w:val="0"/>
      <w:marRight w:val="0"/>
      <w:marTop w:val="0"/>
      <w:marBottom w:val="0"/>
      <w:divBdr>
        <w:top w:val="none" w:sz="0" w:space="0" w:color="auto"/>
        <w:left w:val="none" w:sz="0" w:space="0" w:color="auto"/>
        <w:bottom w:val="none" w:sz="0" w:space="0" w:color="auto"/>
        <w:right w:val="none" w:sz="0" w:space="0" w:color="auto"/>
      </w:divBdr>
    </w:div>
    <w:div w:id="496848352">
      <w:bodyDiv w:val="1"/>
      <w:marLeft w:val="0"/>
      <w:marRight w:val="0"/>
      <w:marTop w:val="0"/>
      <w:marBottom w:val="0"/>
      <w:divBdr>
        <w:top w:val="none" w:sz="0" w:space="0" w:color="auto"/>
        <w:left w:val="none" w:sz="0" w:space="0" w:color="auto"/>
        <w:bottom w:val="none" w:sz="0" w:space="0" w:color="auto"/>
        <w:right w:val="none" w:sz="0" w:space="0" w:color="auto"/>
      </w:divBdr>
    </w:div>
    <w:div w:id="507135452">
      <w:bodyDiv w:val="1"/>
      <w:marLeft w:val="0"/>
      <w:marRight w:val="0"/>
      <w:marTop w:val="0"/>
      <w:marBottom w:val="0"/>
      <w:divBdr>
        <w:top w:val="none" w:sz="0" w:space="0" w:color="auto"/>
        <w:left w:val="none" w:sz="0" w:space="0" w:color="auto"/>
        <w:bottom w:val="none" w:sz="0" w:space="0" w:color="auto"/>
        <w:right w:val="none" w:sz="0" w:space="0" w:color="auto"/>
      </w:divBdr>
    </w:div>
    <w:div w:id="526719983">
      <w:bodyDiv w:val="1"/>
      <w:marLeft w:val="0"/>
      <w:marRight w:val="0"/>
      <w:marTop w:val="0"/>
      <w:marBottom w:val="0"/>
      <w:divBdr>
        <w:top w:val="none" w:sz="0" w:space="0" w:color="auto"/>
        <w:left w:val="none" w:sz="0" w:space="0" w:color="auto"/>
        <w:bottom w:val="none" w:sz="0" w:space="0" w:color="auto"/>
        <w:right w:val="none" w:sz="0" w:space="0" w:color="auto"/>
      </w:divBdr>
    </w:div>
    <w:div w:id="551040504">
      <w:bodyDiv w:val="1"/>
      <w:marLeft w:val="0"/>
      <w:marRight w:val="0"/>
      <w:marTop w:val="0"/>
      <w:marBottom w:val="0"/>
      <w:divBdr>
        <w:top w:val="none" w:sz="0" w:space="0" w:color="auto"/>
        <w:left w:val="none" w:sz="0" w:space="0" w:color="auto"/>
        <w:bottom w:val="none" w:sz="0" w:space="0" w:color="auto"/>
        <w:right w:val="none" w:sz="0" w:space="0" w:color="auto"/>
      </w:divBdr>
    </w:div>
    <w:div w:id="552544060">
      <w:bodyDiv w:val="1"/>
      <w:marLeft w:val="0"/>
      <w:marRight w:val="0"/>
      <w:marTop w:val="0"/>
      <w:marBottom w:val="0"/>
      <w:divBdr>
        <w:top w:val="none" w:sz="0" w:space="0" w:color="auto"/>
        <w:left w:val="none" w:sz="0" w:space="0" w:color="auto"/>
        <w:bottom w:val="none" w:sz="0" w:space="0" w:color="auto"/>
        <w:right w:val="none" w:sz="0" w:space="0" w:color="auto"/>
      </w:divBdr>
    </w:div>
    <w:div w:id="554050202">
      <w:bodyDiv w:val="1"/>
      <w:marLeft w:val="0"/>
      <w:marRight w:val="0"/>
      <w:marTop w:val="0"/>
      <w:marBottom w:val="0"/>
      <w:divBdr>
        <w:top w:val="none" w:sz="0" w:space="0" w:color="auto"/>
        <w:left w:val="none" w:sz="0" w:space="0" w:color="auto"/>
        <w:bottom w:val="none" w:sz="0" w:space="0" w:color="auto"/>
        <w:right w:val="none" w:sz="0" w:space="0" w:color="auto"/>
      </w:divBdr>
    </w:div>
    <w:div w:id="555818894">
      <w:bodyDiv w:val="1"/>
      <w:marLeft w:val="0"/>
      <w:marRight w:val="0"/>
      <w:marTop w:val="0"/>
      <w:marBottom w:val="0"/>
      <w:divBdr>
        <w:top w:val="none" w:sz="0" w:space="0" w:color="auto"/>
        <w:left w:val="none" w:sz="0" w:space="0" w:color="auto"/>
        <w:bottom w:val="none" w:sz="0" w:space="0" w:color="auto"/>
        <w:right w:val="none" w:sz="0" w:space="0" w:color="auto"/>
      </w:divBdr>
    </w:div>
    <w:div w:id="570576150">
      <w:bodyDiv w:val="1"/>
      <w:marLeft w:val="0"/>
      <w:marRight w:val="0"/>
      <w:marTop w:val="0"/>
      <w:marBottom w:val="0"/>
      <w:divBdr>
        <w:top w:val="none" w:sz="0" w:space="0" w:color="auto"/>
        <w:left w:val="none" w:sz="0" w:space="0" w:color="auto"/>
        <w:bottom w:val="none" w:sz="0" w:space="0" w:color="auto"/>
        <w:right w:val="none" w:sz="0" w:space="0" w:color="auto"/>
      </w:divBdr>
    </w:div>
    <w:div w:id="575669695">
      <w:bodyDiv w:val="1"/>
      <w:marLeft w:val="0"/>
      <w:marRight w:val="0"/>
      <w:marTop w:val="0"/>
      <w:marBottom w:val="0"/>
      <w:divBdr>
        <w:top w:val="none" w:sz="0" w:space="0" w:color="auto"/>
        <w:left w:val="none" w:sz="0" w:space="0" w:color="auto"/>
        <w:bottom w:val="none" w:sz="0" w:space="0" w:color="auto"/>
        <w:right w:val="none" w:sz="0" w:space="0" w:color="auto"/>
      </w:divBdr>
    </w:div>
    <w:div w:id="595946257">
      <w:bodyDiv w:val="1"/>
      <w:marLeft w:val="0"/>
      <w:marRight w:val="0"/>
      <w:marTop w:val="0"/>
      <w:marBottom w:val="0"/>
      <w:divBdr>
        <w:top w:val="none" w:sz="0" w:space="0" w:color="auto"/>
        <w:left w:val="none" w:sz="0" w:space="0" w:color="auto"/>
        <w:bottom w:val="none" w:sz="0" w:space="0" w:color="auto"/>
        <w:right w:val="none" w:sz="0" w:space="0" w:color="auto"/>
      </w:divBdr>
    </w:div>
    <w:div w:id="596838586">
      <w:bodyDiv w:val="1"/>
      <w:marLeft w:val="0"/>
      <w:marRight w:val="0"/>
      <w:marTop w:val="0"/>
      <w:marBottom w:val="0"/>
      <w:divBdr>
        <w:top w:val="none" w:sz="0" w:space="0" w:color="auto"/>
        <w:left w:val="none" w:sz="0" w:space="0" w:color="auto"/>
        <w:bottom w:val="none" w:sz="0" w:space="0" w:color="auto"/>
        <w:right w:val="none" w:sz="0" w:space="0" w:color="auto"/>
      </w:divBdr>
    </w:div>
    <w:div w:id="608901509">
      <w:bodyDiv w:val="1"/>
      <w:marLeft w:val="0"/>
      <w:marRight w:val="0"/>
      <w:marTop w:val="0"/>
      <w:marBottom w:val="0"/>
      <w:divBdr>
        <w:top w:val="none" w:sz="0" w:space="0" w:color="auto"/>
        <w:left w:val="none" w:sz="0" w:space="0" w:color="auto"/>
        <w:bottom w:val="none" w:sz="0" w:space="0" w:color="auto"/>
        <w:right w:val="none" w:sz="0" w:space="0" w:color="auto"/>
      </w:divBdr>
    </w:div>
    <w:div w:id="613099616">
      <w:bodyDiv w:val="1"/>
      <w:marLeft w:val="0"/>
      <w:marRight w:val="0"/>
      <w:marTop w:val="0"/>
      <w:marBottom w:val="0"/>
      <w:divBdr>
        <w:top w:val="none" w:sz="0" w:space="0" w:color="auto"/>
        <w:left w:val="none" w:sz="0" w:space="0" w:color="auto"/>
        <w:bottom w:val="none" w:sz="0" w:space="0" w:color="auto"/>
        <w:right w:val="none" w:sz="0" w:space="0" w:color="auto"/>
      </w:divBdr>
    </w:div>
    <w:div w:id="613488388">
      <w:bodyDiv w:val="1"/>
      <w:marLeft w:val="0"/>
      <w:marRight w:val="0"/>
      <w:marTop w:val="0"/>
      <w:marBottom w:val="0"/>
      <w:divBdr>
        <w:top w:val="none" w:sz="0" w:space="0" w:color="auto"/>
        <w:left w:val="none" w:sz="0" w:space="0" w:color="auto"/>
        <w:bottom w:val="none" w:sz="0" w:space="0" w:color="auto"/>
        <w:right w:val="none" w:sz="0" w:space="0" w:color="auto"/>
      </w:divBdr>
    </w:div>
    <w:div w:id="617106518">
      <w:bodyDiv w:val="1"/>
      <w:marLeft w:val="0"/>
      <w:marRight w:val="0"/>
      <w:marTop w:val="0"/>
      <w:marBottom w:val="0"/>
      <w:divBdr>
        <w:top w:val="none" w:sz="0" w:space="0" w:color="auto"/>
        <w:left w:val="none" w:sz="0" w:space="0" w:color="auto"/>
        <w:bottom w:val="none" w:sz="0" w:space="0" w:color="auto"/>
        <w:right w:val="none" w:sz="0" w:space="0" w:color="auto"/>
      </w:divBdr>
    </w:div>
    <w:div w:id="675890290">
      <w:bodyDiv w:val="1"/>
      <w:marLeft w:val="0"/>
      <w:marRight w:val="0"/>
      <w:marTop w:val="0"/>
      <w:marBottom w:val="0"/>
      <w:divBdr>
        <w:top w:val="none" w:sz="0" w:space="0" w:color="auto"/>
        <w:left w:val="none" w:sz="0" w:space="0" w:color="auto"/>
        <w:bottom w:val="none" w:sz="0" w:space="0" w:color="auto"/>
        <w:right w:val="none" w:sz="0" w:space="0" w:color="auto"/>
      </w:divBdr>
    </w:div>
    <w:div w:id="688684517">
      <w:bodyDiv w:val="1"/>
      <w:marLeft w:val="0"/>
      <w:marRight w:val="0"/>
      <w:marTop w:val="0"/>
      <w:marBottom w:val="0"/>
      <w:divBdr>
        <w:top w:val="none" w:sz="0" w:space="0" w:color="auto"/>
        <w:left w:val="none" w:sz="0" w:space="0" w:color="auto"/>
        <w:bottom w:val="none" w:sz="0" w:space="0" w:color="auto"/>
        <w:right w:val="none" w:sz="0" w:space="0" w:color="auto"/>
      </w:divBdr>
    </w:div>
    <w:div w:id="710544049">
      <w:bodyDiv w:val="1"/>
      <w:marLeft w:val="0"/>
      <w:marRight w:val="0"/>
      <w:marTop w:val="0"/>
      <w:marBottom w:val="0"/>
      <w:divBdr>
        <w:top w:val="none" w:sz="0" w:space="0" w:color="auto"/>
        <w:left w:val="none" w:sz="0" w:space="0" w:color="auto"/>
        <w:bottom w:val="none" w:sz="0" w:space="0" w:color="auto"/>
        <w:right w:val="none" w:sz="0" w:space="0" w:color="auto"/>
      </w:divBdr>
    </w:div>
    <w:div w:id="711348443">
      <w:bodyDiv w:val="1"/>
      <w:marLeft w:val="0"/>
      <w:marRight w:val="0"/>
      <w:marTop w:val="0"/>
      <w:marBottom w:val="0"/>
      <w:divBdr>
        <w:top w:val="none" w:sz="0" w:space="0" w:color="auto"/>
        <w:left w:val="none" w:sz="0" w:space="0" w:color="auto"/>
        <w:bottom w:val="none" w:sz="0" w:space="0" w:color="auto"/>
        <w:right w:val="none" w:sz="0" w:space="0" w:color="auto"/>
      </w:divBdr>
    </w:div>
    <w:div w:id="730202155">
      <w:bodyDiv w:val="1"/>
      <w:marLeft w:val="0"/>
      <w:marRight w:val="0"/>
      <w:marTop w:val="0"/>
      <w:marBottom w:val="0"/>
      <w:divBdr>
        <w:top w:val="none" w:sz="0" w:space="0" w:color="auto"/>
        <w:left w:val="none" w:sz="0" w:space="0" w:color="auto"/>
        <w:bottom w:val="none" w:sz="0" w:space="0" w:color="auto"/>
        <w:right w:val="none" w:sz="0" w:space="0" w:color="auto"/>
      </w:divBdr>
    </w:div>
    <w:div w:id="751128279">
      <w:bodyDiv w:val="1"/>
      <w:marLeft w:val="0"/>
      <w:marRight w:val="0"/>
      <w:marTop w:val="0"/>
      <w:marBottom w:val="0"/>
      <w:divBdr>
        <w:top w:val="none" w:sz="0" w:space="0" w:color="auto"/>
        <w:left w:val="none" w:sz="0" w:space="0" w:color="auto"/>
        <w:bottom w:val="none" w:sz="0" w:space="0" w:color="auto"/>
        <w:right w:val="none" w:sz="0" w:space="0" w:color="auto"/>
      </w:divBdr>
    </w:div>
    <w:div w:id="751246116">
      <w:bodyDiv w:val="1"/>
      <w:marLeft w:val="0"/>
      <w:marRight w:val="0"/>
      <w:marTop w:val="0"/>
      <w:marBottom w:val="0"/>
      <w:divBdr>
        <w:top w:val="none" w:sz="0" w:space="0" w:color="auto"/>
        <w:left w:val="none" w:sz="0" w:space="0" w:color="auto"/>
        <w:bottom w:val="none" w:sz="0" w:space="0" w:color="auto"/>
        <w:right w:val="none" w:sz="0" w:space="0" w:color="auto"/>
      </w:divBdr>
    </w:div>
    <w:div w:id="754672858">
      <w:bodyDiv w:val="1"/>
      <w:marLeft w:val="0"/>
      <w:marRight w:val="0"/>
      <w:marTop w:val="0"/>
      <w:marBottom w:val="0"/>
      <w:divBdr>
        <w:top w:val="none" w:sz="0" w:space="0" w:color="auto"/>
        <w:left w:val="none" w:sz="0" w:space="0" w:color="auto"/>
        <w:bottom w:val="none" w:sz="0" w:space="0" w:color="auto"/>
        <w:right w:val="none" w:sz="0" w:space="0" w:color="auto"/>
      </w:divBdr>
    </w:div>
    <w:div w:id="804811365">
      <w:bodyDiv w:val="1"/>
      <w:marLeft w:val="0"/>
      <w:marRight w:val="0"/>
      <w:marTop w:val="0"/>
      <w:marBottom w:val="0"/>
      <w:divBdr>
        <w:top w:val="none" w:sz="0" w:space="0" w:color="auto"/>
        <w:left w:val="none" w:sz="0" w:space="0" w:color="auto"/>
        <w:bottom w:val="none" w:sz="0" w:space="0" w:color="auto"/>
        <w:right w:val="none" w:sz="0" w:space="0" w:color="auto"/>
      </w:divBdr>
    </w:div>
    <w:div w:id="815730906">
      <w:bodyDiv w:val="1"/>
      <w:marLeft w:val="0"/>
      <w:marRight w:val="0"/>
      <w:marTop w:val="0"/>
      <w:marBottom w:val="0"/>
      <w:divBdr>
        <w:top w:val="none" w:sz="0" w:space="0" w:color="auto"/>
        <w:left w:val="none" w:sz="0" w:space="0" w:color="auto"/>
        <w:bottom w:val="none" w:sz="0" w:space="0" w:color="auto"/>
        <w:right w:val="none" w:sz="0" w:space="0" w:color="auto"/>
      </w:divBdr>
    </w:div>
    <w:div w:id="817191742">
      <w:bodyDiv w:val="1"/>
      <w:marLeft w:val="0"/>
      <w:marRight w:val="0"/>
      <w:marTop w:val="0"/>
      <w:marBottom w:val="0"/>
      <w:divBdr>
        <w:top w:val="none" w:sz="0" w:space="0" w:color="auto"/>
        <w:left w:val="none" w:sz="0" w:space="0" w:color="auto"/>
        <w:bottom w:val="none" w:sz="0" w:space="0" w:color="auto"/>
        <w:right w:val="none" w:sz="0" w:space="0" w:color="auto"/>
      </w:divBdr>
    </w:div>
    <w:div w:id="836111901">
      <w:bodyDiv w:val="1"/>
      <w:marLeft w:val="0"/>
      <w:marRight w:val="0"/>
      <w:marTop w:val="0"/>
      <w:marBottom w:val="0"/>
      <w:divBdr>
        <w:top w:val="none" w:sz="0" w:space="0" w:color="auto"/>
        <w:left w:val="none" w:sz="0" w:space="0" w:color="auto"/>
        <w:bottom w:val="none" w:sz="0" w:space="0" w:color="auto"/>
        <w:right w:val="none" w:sz="0" w:space="0" w:color="auto"/>
      </w:divBdr>
    </w:div>
    <w:div w:id="850147224">
      <w:bodyDiv w:val="1"/>
      <w:marLeft w:val="0"/>
      <w:marRight w:val="0"/>
      <w:marTop w:val="0"/>
      <w:marBottom w:val="0"/>
      <w:divBdr>
        <w:top w:val="none" w:sz="0" w:space="0" w:color="auto"/>
        <w:left w:val="none" w:sz="0" w:space="0" w:color="auto"/>
        <w:bottom w:val="none" w:sz="0" w:space="0" w:color="auto"/>
        <w:right w:val="none" w:sz="0" w:space="0" w:color="auto"/>
      </w:divBdr>
    </w:div>
    <w:div w:id="871266956">
      <w:bodyDiv w:val="1"/>
      <w:marLeft w:val="0"/>
      <w:marRight w:val="0"/>
      <w:marTop w:val="0"/>
      <w:marBottom w:val="0"/>
      <w:divBdr>
        <w:top w:val="none" w:sz="0" w:space="0" w:color="auto"/>
        <w:left w:val="none" w:sz="0" w:space="0" w:color="auto"/>
        <w:bottom w:val="none" w:sz="0" w:space="0" w:color="auto"/>
        <w:right w:val="none" w:sz="0" w:space="0" w:color="auto"/>
      </w:divBdr>
    </w:div>
    <w:div w:id="884953170">
      <w:bodyDiv w:val="1"/>
      <w:marLeft w:val="0"/>
      <w:marRight w:val="0"/>
      <w:marTop w:val="0"/>
      <w:marBottom w:val="0"/>
      <w:divBdr>
        <w:top w:val="none" w:sz="0" w:space="0" w:color="auto"/>
        <w:left w:val="none" w:sz="0" w:space="0" w:color="auto"/>
        <w:bottom w:val="none" w:sz="0" w:space="0" w:color="auto"/>
        <w:right w:val="none" w:sz="0" w:space="0" w:color="auto"/>
      </w:divBdr>
    </w:div>
    <w:div w:id="910165200">
      <w:bodyDiv w:val="1"/>
      <w:marLeft w:val="0"/>
      <w:marRight w:val="0"/>
      <w:marTop w:val="0"/>
      <w:marBottom w:val="0"/>
      <w:divBdr>
        <w:top w:val="none" w:sz="0" w:space="0" w:color="auto"/>
        <w:left w:val="none" w:sz="0" w:space="0" w:color="auto"/>
        <w:bottom w:val="none" w:sz="0" w:space="0" w:color="auto"/>
        <w:right w:val="none" w:sz="0" w:space="0" w:color="auto"/>
      </w:divBdr>
    </w:div>
    <w:div w:id="910189934">
      <w:bodyDiv w:val="1"/>
      <w:marLeft w:val="0"/>
      <w:marRight w:val="0"/>
      <w:marTop w:val="0"/>
      <w:marBottom w:val="0"/>
      <w:divBdr>
        <w:top w:val="none" w:sz="0" w:space="0" w:color="auto"/>
        <w:left w:val="none" w:sz="0" w:space="0" w:color="auto"/>
        <w:bottom w:val="none" w:sz="0" w:space="0" w:color="auto"/>
        <w:right w:val="none" w:sz="0" w:space="0" w:color="auto"/>
      </w:divBdr>
    </w:div>
    <w:div w:id="943458995">
      <w:bodyDiv w:val="1"/>
      <w:marLeft w:val="0"/>
      <w:marRight w:val="0"/>
      <w:marTop w:val="0"/>
      <w:marBottom w:val="0"/>
      <w:divBdr>
        <w:top w:val="none" w:sz="0" w:space="0" w:color="auto"/>
        <w:left w:val="none" w:sz="0" w:space="0" w:color="auto"/>
        <w:bottom w:val="none" w:sz="0" w:space="0" w:color="auto"/>
        <w:right w:val="none" w:sz="0" w:space="0" w:color="auto"/>
      </w:divBdr>
    </w:div>
    <w:div w:id="943653948">
      <w:bodyDiv w:val="1"/>
      <w:marLeft w:val="0"/>
      <w:marRight w:val="0"/>
      <w:marTop w:val="0"/>
      <w:marBottom w:val="0"/>
      <w:divBdr>
        <w:top w:val="none" w:sz="0" w:space="0" w:color="auto"/>
        <w:left w:val="none" w:sz="0" w:space="0" w:color="auto"/>
        <w:bottom w:val="none" w:sz="0" w:space="0" w:color="auto"/>
        <w:right w:val="none" w:sz="0" w:space="0" w:color="auto"/>
      </w:divBdr>
    </w:div>
    <w:div w:id="951978313">
      <w:bodyDiv w:val="1"/>
      <w:marLeft w:val="0"/>
      <w:marRight w:val="0"/>
      <w:marTop w:val="0"/>
      <w:marBottom w:val="0"/>
      <w:divBdr>
        <w:top w:val="none" w:sz="0" w:space="0" w:color="auto"/>
        <w:left w:val="none" w:sz="0" w:space="0" w:color="auto"/>
        <w:bottom w:val="none" w:sz="0" w:space="0" w:color="auto"/>
        <w:right w:val="none" w:sz="0" w:space="0" w:color="auto"/>
      </w:divBdr>
    </w:div>
    <w:div w:id="979383529">
      <w:bodyDiv w:val="1"/>
      <w:marLeft w:val="0"/>
      <w:marRight w:val="0"/>
      <w:marTop w:val="0"/>
      <w:marBottom w:val="0"/>
      <w:divBdr>
        <w:top w:val="none" w:sz="0" w:space="0" w:color="auto"/>
        <w:left w:val="none" w:sz="0" w:space="0" w:color="auto"/>
        <w:bottom w:val="none" w:sz="0" w:space="0" w:color="auto"/>
        <w:right w:val="none" w:sz="0" w:space="0" w:color="auto"/>
      </w:divBdr>
    </w:div>
    <w:div w:id="980382561">
      <w:bodyDiv w:val="1"/>
      <w:marLeft w:val="0"/>
      <w:marRight w:val="0"/>
      <w:marTop w:val="0"/>
      <w:marBottom w:val="0"/>
      <w:divBdr>
        <w:top w:val="none" w:sz="0" w:space="0" w:color="auto"/>
        <w:left w:val="none" w:sz="0" w:space="0" w:color="auto"/>
        <w:bottom w:val="none" w:sz="0" w:space="0" w:color="auto"/>
        <w:right w:val="none" w:sz="0" w:space="0" w:color="auto"/>
      </w:divBdr>
    </w:div>
    <w:div w:id="983856680">
      <w:bodyDiv w:val="1"/>
      <w:marLeft w:val="0"/>
      <w:marRight w:val="0"/>
      <w:marTop w:val="0"/>
      <w:marBottom w:val="0"/>
      <w:divBdr>
        <w:top w:val="none" w:sz="0" w:space="0" w:color="auto"/>
        <w:left w:val="none" w:sz="0" w:space="0" w:color="auto"/>
        <w:bottom w:val="none" w:sz="0" w:space="0" w:color="auto"/>
        <w:right w:val="none" w:sz="0" w:space="0" w:color="auto"/>
      </w:divBdr>
    </w:div>
    <w:div w:id="990251846">
      <w:bodyDiv w:val="1"/>
      <w:marLeft w:val="0"/>
      <w:marRight w:val="0"/>
      <w:marTop w:val="0"/>
      <w:marBottom w:val="0"/>
      <w:divBdr>
        <w:top w:val="none" w:sz="0" w:space="0" w:color="auto"/>
        <w:left w:val="none" w:sz="0" w:space="0" w:color="auto"/>
        <w:bottom w:val="none" w:sz="0" w:space="0" w:color="auto"/>
        <w:right w:val="none" w:sz="0" w:space="0" w:color="auto"/>
      </w:divBdr>
    </w:div>
    <w:div w:id="1011838900">
      <w:bodyDiv w:val="1"/>
      <w:marLeft w:val="0"/>
      <w:marRight w:val="0"/>
      <w:marTop w:val="0"/>
      <w:marBottom w:val="0"/>
      <w:divBdr>
        <w:top w:val="none" w:sz="0" w:space="0" w:color="auto"/>
        <w:left w:val="none" w:sz="0" w:space="0" w:color="auto"/>
        <w:bottom w:val="none" w:sz="0" w:space="0" w:color="auto"/>
        <w:right w:val="none" w:sz="0" w:space="0" w:color="auto"/>
      </w:divBdr>
    </w:div>
    <w:div w:id="1015960007">
      <w:bodyDiv w:val="1"/>
      <w:marLeft w:val="0"/>
      <w:marRight w:val="0"/>
      <w:marTop w:val="0"/>
      <w:marBottom w:val="0"/>
      <w:divBdr>
        <w:top w:val="none" w:sz="0" w:space="0" w:color="auto"/>
        <w:left w:val="none" w:sz="0" w:space="0" w:color="auto"/>
        <w:bottom w:val="none" w:sz="0" w:space="0" w:color="auto"/>
        <w:right w:val="none" w:sz="0" w:space="0" w:color="auto"/>
      </w:divBdr>
    </w:div>
    <w:div w:id="1043942617">
      <w:bodyDiv w:val="1"/>
      <w:marLeft w:val="0"/>
      <w:marRight w:val="0"/>
      <w:marTop w:val="0"/>
      <w:marBottom w:val="0"/>
      <w:divBdr>
        <w:top w:val="none" w:sz="0" w:space="0" w:color="auto"/>
        <w:left w:val="none" w:sz="0" w:space="0" w:color="auto"/>
        <w:bottom w:val="none" w:sz="0" w:space="0" w:color="auto"/>
        <w:right w:val="none" w:sz="0" w:space="0" w:color="auto"/>
      </w:divBdr>
    </w:div>
    <w:div w:id="1056778067">
      <w:bodyDiv w:val="1"/>
      <w:marLeft w:val="0"/>
      <w:marRight w:val="0"/>
      <w:marTop w:val="0"/>
      <w:marBottom w:val="0"/>
      <w:divBdr>
        <w:top w:val="none" w:sz="0" w:space="0" w:color="auto"/>
        <w:left w:val="none" w:sz="0" w:space="0" w:color="auto"/>
        <w:bottom w:val="none" w:sz="0" w:space="0" w:color="auto"/>
        <w:right w:val="none" w:sz="0" w:space="0" w:color="auto"/>
      </w:divBdr>
    </w:div>
    <w:div w:id="1153177342">
      <w:bodyDiv w:val="1"/>
      <w:marLeft w:val="0"/>
      <w:marRight w:val="0"/>
      <w:marTop w:val="0"/>
      <w:marBottom w:val="0"/>
      <w:divBdr>
        <w:top w:val="none" w:sz="0" w:space="0" w:color="auto"/>
        <w:left w:val="none" w:sz="0" w:space="0" w:color="auto"/>
        <w:bottom w:val="none" w:sz="0" w:space="0" w:color="auto"/>
        <w:right w:val="none" w:sz="0" w:space="0" w:color="auto"/>
      </w:divBdr>
    </w:div>
    <w:div w:id="1215777974">
      <w:bodyDiv w:val="1"/>
      <w:marLeft w:val="0"/>
      <w:marRight w:val="0"/>
      <w:marTop w:val="0"/>
      <w:marBottom w:val="0"/>
      <w:divBdr>
        <w:top w:val="none" w:sz="0" w:space="0" w:color="auto"/>
        <w:left w:val="none" w:sz="0" w:space="0" w:color="auto"/>
        <w:bottom w:val="none" w:sz="0" w:space="0" w:color="auto"/>
        <w:right w:val="none" w:sz="0" w:space="0" w:color="auto"/>
      </w:divBdr>
    </w:div>
    <w:div w:id="1219902947">
      <w:bodyDiv w:val="1"/>
      <w:marLeft w:val="0"/>
      <w:marRight w:val="0"/>
      <w:marTop w:val="0"/>
      <w:marBottom w:val="0"/>
      <w:divBdr>
        <w:top w:val="none" w:sz="0" w:space="0" w:color="auto"/>
        <w:left w:val="none" w:sz="0" w:space="0" w:color="auto"/>
        <w:bottom w:val="none" w:sz="0" w:space="0" w:color="auto"/>
        <w:right w:val="none" w:sz="0" w:space="0" w:color="auto"/>
      </w:divBdr>
    </w:div>
    <w:div w:id="1221945826">
      <w:bodyDiv w:val="1"/>
      <w:marLeft w:val="0"/>
      <w:marRight w:val="0"/>
      <w:marTop w:val="0"/>
      <w:marBottom w:val="0"/>
      <w:divBdr>
        <w:top w:val="none" w:sz="0" w:space="0" w:color="auto"/>
        <w:left w:val="none" w:sz="0" w:space="0" w:color="auto"/>
        <w:bottom w:val="none" w:sz="0" w:space="0" w:color="auto"/>
        <w:right w:val="none" w:sz="0" w:space="0" w:color="auto"/>
      </w:divBdr>
    </w:div>
    <w:div w:id="1235241543">
      <w:bodyDiv w:val="1"/>
      <w:marLeft w:val="0"/>
      <w:marRight w:val="0"/>
      <w:marTop w:val="0"/>
      <w:marBottom w:val="0"/>
      <w:divBdr>
        <w:top w:val="none" w:sz="0" w:space="0" w:color="auto"/>
        <w:left w:val="none" w:sz="0" w:space="0" w:color="auto"/>
        <w:bottom w:val="none" w:sz="0" w:space="0" w:color="auto"/>
        <w:right w:val="none" w:sz="0" w:space="0" w:color="auto"/>
      </w:divBdr>
    </w:div>
    <w:div w:id="1243951309">
      <w:bodyDiv w:val="1"/>
      <w:marLeft w:val="0"/>
      <w:marRight w:val="0"/>
      <w:marTop w:val="0"/>
      <w:marBottom w:val="0"/>
      <w:divBdr>
        <w:top w:val="none" w:sz="0" w:space="0" w:color="auto"/>
        <w:left w:val="none" w:sz="0" w:space="0" w:color="auto"/>
        <w:bottom w:val="none" w:sz="0" w:space="0" w:color="auto"/>
        <w:right w:val="none" w:sz="0" w:space="0" w:color="auto"/>
      </w:divBdr>
    </w:div>
    <w:div w:id="1256981745">
      <w:bodyDiv w:val="1"/>
      <w:marLeft w:val="0"/>
      <w:marRight w:val="0"/>
      <w:marTop w:val="0"/>
      <w:marBottom w:val="0"/>
      <w:divBdr>
        <w:top w:val="none" w:sz="0" w:space="0" w:color="auto"/>
        <w:left w:val="none" w:sz="0" w:space="0" w:color="auto"/>
        <w:bottom w:val="none" w:sz="0" w:space="0" w:color="auto"/>
        <w:right w:val="none" w:sz="0" w:space="0" w:color="auto"/>
      </w:divBdr>
    </w:div>
    <w:div w:id="1263494050">
      <w:bodyDiv w:val="1"/>
      <w:marLeft w:val="0"/>
      <w:marRight w:val="0"/>
      <w:marTop w:val="0"/>
      <w:marBottom w:val="0"/>
      <w:divBdr>
        <w:top w:val="none" w:sz="0" w:space="0" w:color="auto"/>
        <w:left w:val="none" w:sz="0" w:space="0" w:color="auto"/>
        <w:bottom w:val="none" w:sz="0" w:space="0" w:color="auto"/>
        <w:right w:val="none" w:sz="0" w:space="0" w:color="auto"/>
      </w:divBdr>
    </w:div>
    <w:div w:id="1269964897">
      <w:bodyDiv w:val="1"/>
      <w:marLeft w:val="0"/>
      <w:marRight w:val="0"/>
      <w:marTop w:val="0"/>
      <w:marBottom w:val="0"/>
      <w:divBdr>
        <w:top w:val="none" w:sz="0" w:space="0" w:color="auto"/>
        <w:left w:val="none" w:sz="0" w:space="0" w:color="auto"/>
        <w:bottom w:val="none" w:sz="0" w:space="0" w:color="auto"/>
        <w:right w:val="none" w:sz="0" w:space="0" w:color="auto"/>
      </w:divBdr>
    </w:div>
    <w:div w:id="1316566536">
      <w:bodyDiv w:val="1"/>
      <w:marLeft w:val="0"/>
      <w:marRight w:val="0"/>
      <w:marTop w:val="0"/>
      <w:marBottom w:val="0"/>
      <w:divBdr>
        <w:top w:val="none" w:sz="0" w:space="0" w:color="auto"/>
        <w:left w:val="none" w:sz="0" w:space="0" w:color="auto"/>
        <w:bottom w:val="none" w:sz="0" w:space="0" w:color="auto"/>
        <w:right w:val="none" w:sz="0" w:space="0" w:color="auto"/>
      </w:divBdr>
    </w:div>
    <w:div w:id="1318727431">
      <w:bodyDiv w:val="1"/>
      <w:marLeft w:val="0"/>
      <w:marRight w:val="0"/>
      <w:marTop w:val="0"/>
      <w:marBottom w:val="0"/>
      <w:divBdr>
        <w:top w:val="none" w:sz="0" w:space="0" w:color="auto"/>
        <w:left w:val="none" w:sz="0" w:space="0" w:color="auto"/>
        <w:bottom w:val="none" w:sz="0" w:space="0" w:color="auto"/>
        <w:right w:val="none" w:sz="0" w:space="0" w:color="auto"/>
      </w:divBdr>
    </w:div>
    <w:div w:id="1322197306">
      <w:bodyDiv w:val="1"/>
      <w:marLeft w:val="0"/>
      <w:marRight w:val="0"/>
      <w:marTop w:val="0"/>
      <w:marBottom w:val="0"/>
      <w:divBdr>
        <w:top w:val="none" w:sz="0" w:space="0" w:color="auto"/>
        <w:left w:val="none" w:sz="0" w:space="0" w:color="auto"/>
        <w:bottom w:val="none" w:sz="0" w:space="0" w:color="auto"/>
        <w:right w:val="none" w:sz="0" w:space="0" w:color="auto"/>
      </w:divBdr>
    </w:div>
    <w:div w:id="1339424972">
      <w:bodyDiv w:val="1"/>
      <w:marLeft w:val="0"/>
      <w:marRight w:val="0"/>
      <w:marTop w:val="0"/>
      <w:marBottom w:val="0"/>
      <w:divBdr>
        <w:top w:val="none" w:sz="0" w:space="0" w:color="auto"/>
        <w:left w:val="none" w:sz="0" w:space="0" w:color="auto"/>
        <w:bottom w:val="none" w:sz="0" w:space="0" w:color="auto"/>
        <w:right w:val="none" w:sz="0" w:space="0" w:color="auto"/>
      </w:divBdr>
    </w:div>
    <w:div w:id="1344627479">
      <w:bodyDiv w:val="1"/>
      <w:marLeft w:val="0"/>
      <w:marRight w:val="0"/>
      <w:marTop w:val="0"/>
      <w:marBottom w:val="0"/>
      <w:divBdr>
        <w:top w:val="none" w:sz="0" w:space="0" w:color="auto"/>
        <w:left w:val="none" w:sz="0" w:space="0" w:color="auto"/>
        <w:bottom w:val="none" w:sz="0" w:space="0" w:color="auto"/>
        <w:right w:val="none" w:sz="0" w:space="0" w:color="auto"/>
      </w:divBdr>
    </w:div>
    <w:div w:id="1348411474">
      <w:bodyDiv w:val="1"/>
      <w:marLeft w:val="0"/>
      <w:marRight w:val="0"/>
      <w:marTop w:val="0"/>
      <w:marBottom w:val="0"/>
      <w:divBdr>
        <w:top w:val="none" w:sz="0" w:space="0" w:color="auto"/>
        <w:left w:val="none" w:sz="0" w:space="0" w:color="auto"/>
        <w:bottom w:val="none" w:sz="0" w:space="0" w:color="auto"/>
        <w:right w:val="none" w:sz="0" w:space="0" w:color="auto"/>
      </w:divBdr>
    </w:div>
    <w:div w:id="1355886454">
      <w:bodyDiv w:val="1"/>
      <w:marLeft w:val="0"/>
      <w:marRight w:val="0"/>
      <w:marTop w:val="0"/>
      <w:marBottom w:val="0"/>
      <w:divBdr>
        <w:top w:val="none" w:sz="0" w:space="0" w:color="auto"/>
        <w:left w:val="none" w:sz="0" w:space="0" w:color="auto"/>
        <w:bottom w:val="none" w:sz="0" w:space="0" w:color="auto"/>
        <w:right w:val="none" w:sz="0" w:space="0" w:color="auto"/>
      </w:divBdr>
    </w:div>
    <w:div w:id="1356419561">
      <w:bodyDiv w:val="1"/>
      <w:marLeft w:val="0"/>
      <w:marRight w:val="0"/>
      <w:marTop w:val="0"/>
      <w:marBottom w:val="0"/>
      <w:divBdr>
        <w:top w:val="none" w:sz="0" w:space="0" w:color="auto"/>
        <w:left w:val="none" w:sz="0" w:space="0" w:color="auto"/>
        <w:bottom w:val="none" w:sz="0" w:space="0" w:color="auto"/>
        <w:right w:val="none" w:sz="0" w:space="0" w:color="auto"/>
      </w:divBdr>
    </w:div>
    <w:div w:id="1357123969">
      <w:bodyDiv w:val="1"/>
      <w:marLeft w:val="0"/>
      <w:marRight w:val="0"/>
      <w:marTop w:val="0"/>
      <w:marBottom w:val="0"/>
      <w:divBdr>
        <w:top w:val="none" w:sz="0" w:space="0" w:color="auto"/>
        <w:left w:val="none" w:sz="0" w:space="0" w:color="auto"/>
        <w:bottom w:val="none" w:sz="0" w:space="0" w:color="auto"/>
        <w:right w:val="none" w:sz="0" w:space="0" w:color="auto"/>
      </w:divBdr>
    </w:div>
    <w:div w:id="1358308728">
      <w:bodyDiv w:val="1"/>
      <w:marLeft w:val="0"/>
      <w:marRight w:val="0"/>
      <w:marTop w:val="0"/>
      <w:marBottom w:val="0"/>
      <w:divBdr>
        <w:top w:val="none" w:sz="0" w:space="0" w:color="auto"/>
        <w:left w:val="none" w:sz="0" w:space="0" w:color="auto"/>
        <w:bottom w:val="none" w:sz="0" w:space="0" w:color="auto"/>
        <w:right w:val="none" w:sz="0" w:space="0" w:color="auto"/>
      </w:divBdr>
    </w:div>
    <w:div w:id="1363167007">
      <w:bodyDiv w:val="1"/>
      <w:marLeft w:val="0"/>
      <w:marRight w:val="0"/>
      <w:marTop w:val="0"/>
      <w:marBottom w:val="0"/>
      <w:divBdr>
        <w:top w:val="none" w:sz="0" w:space="0" w:color="auto"/>
        <w:left w:val="none" w:sz="0" w:space="0" w:color="auto"/>
        <w:bottom w:val="none" w:sz="0" w:space="0" w:color="auto"/>
        <w:right w:val="none" w:sz="0" w:space="0" w:color="auto"/>
      </w:divBdr>
    </w:div>
    <w:div w:id="1368993503">
      <w:bodyDiv w:val="1"/>
      <w:marLeft w:val="0"/>
      <w:marRight w:val="0"/>
      <w:marTop w:val="0"/>
      <w:marBottom w:val="0"/>
      <w:divBdr>
        <w:top w:val="none" w:sz="0" w:space="0" w:color="auto"/>
        <w:left w:val="none" w:sz="0" w:space="0" w:color="auto"/>
        <w:bottom w:val="none" w:sz="0" w:space="0" w:color="auto"/>
        <w:right w:val="none" w:sz="0" w:space="0" w:color="auto"/>
      </w:divBdr>
    </w:div>
    <w:div w:id="1371297658">
      <w:bodyDiv w:val="1"/>
      <w:marLeft w:val="0"/>
      <w:marRight w:val="0"/>
      <w:marTop w:val="0"/>
      <w:marBottom w:val="0"/>
      <w:divBdr>
        <w:top w:val="none" w:sz="0" w:space="0" w:color="auto"/>
        <w:left w:val="none" w:sz="0" w:space="0" w:color="auto"/>
        <w:bottom w:val="none" w:sz="0" w:space="0" w:color="auto"/>
        <w:right w:val="none" w:sz="0" w:space="0" w:color="auto"/>
      </w:divBdr>
    </w:div>
    <w:div w:id="1372458887">
      <w:bodyDiv w:val="1"/>
      <w:marLeft w:val="0"/>
      <w:marRight w:val="0"/>
      <w:marTop w:val="0"/>
      <w:marBottom w:val="0"/>
      <w:divBdr>
        <w:top w:val="none" w:sz="0" w:space="0" w:color="auto"/>
        <w:left w:val="none" w:sz="0" w:space="0" w:color="auto"/>
        <w:bottom w:val="none" w:sz="0" w:space="0" w:color="auto"/>
        <w:right w:val="none" w:sz="0" w:space="0" w:color="auto"/>
      </w:divBdr>
    </w:div>
    <w:div w:id="1389065136">
      <w:bodyDiv w:val="1"/>
      <w:marLeft w:val="0"/>
      <w:marRight w:val="0"/>
      <w:marTop w:val="0"/>
      <w:marBottom w:val="0"/>
      <w:divBdr>
        <w:top w:val="none" w:sz="0" w:space="0" w:color="auto"/>
        <w:left w:val="none" w:sz="0" w:space="0" w:color="auto"/>
        <w:bottom w:val="none" w:sz="0" w:space="0" w:color="auto"/>
        <w:right w:val="none" w:sz="0" w:space="0" w:color="auto"/>
      </w:divBdr>
    </w:div>
    <w:div w:id="1415202234">
      <w:bodyDiv w:val="1"/>
      <w:marLeft w:val="0"/>
      <w:marRight w:val="0"/>
      <w:marTop w:val="0"/>
      <w:marBottom w:val="0"/>
      <w:divBdr>
        <w:top w:val="none" w:sz="0" w:space="0" w:color="auto"/>
        <w:left w:val="none" w:sz="0" w:space="0" w:color="auto"/>
        <w:bottom w:val="none" w:sz="0" w:space="0" w:color="auto"/>
        <w:right w:val="none" w:sz="0" w:space="0" w:color="auto"/>
      </w:divBdr>
    </w:div>
    <w:div w:id="1426537820">
      <w:bodyDiv w:val="1"/>
      <w:marLeft w:val="0"/>
      <w:marRight w:val="0"/>
      <w:marTop w:val="0"/>
      <w:marBottom w:val="0"/>
      <w:divBdr>
        <w:top w:val="none" w:sz="0" w:space="0" w:color="auto"/>
        <w:left w:val="none" w:sz="0" w:space="0" w:color="auto"/>
        <w:bottom w:val="none" w:sz="0" w:space="0" w:color="auto"/>
        <w:right w:val="none" w:sz="0" w:space="0" w:color="auto"/>
      </w:divBdr>
    </w:div>
    <w:div w:id="1426614583">
      <w:bodyDiv w:val="1"/>
      <w:marLeft w:val="0"/>
      <w:marRight w:val="0"/>
      <w:marTop w:val="0"/>
      <w:marBottom w:val="0"/>
      <w:divBdr>
        <w:top w:val="none" w:sz="0" w:space="0" w:color="auto"/>
        <w:left w:val="none" w:sz="0" w:space="0" w:color="auto"/>
        <w:bottom w:val="none" w:sz="0" w:space="0" w:color="auto"/>
        <w:right w:val="none" w:sz="0" w:space="0" w:color="auto"/>
      </w:divBdr>
    </w:div>
    <w:div w:id="1443912362">
      <w:bodyDiv w:val="1"/>
      <w:marLeft w:val="0"/>
      <w:marRight w:val="0"/>
      <w:marTop w:val="0"/>
      <w:marBottom w:val="0"/>
      <w:divBdr>
        <w:top w:val="none" w:sz="0" w:space="0" w:color="auto"/>
        <w:left w:val="none" w:sz="0" w:space="0" w:color="auto"/>
        <w:bottom w:val="none" w:sz="0" w:space="0" w:color="auto"/>
        <w:right w:val="none" w:sz="0" w:space="0" w:color="auto"/>
      </w:divBdr>
    </w:div>
    <w:div w:id="1447886918">
      <w:bodyDiv w:val="1"/>
      <w:marLeft w:val="0"/>
      <w:marRight w:val="0"/>
      <w:marTop w:val="0"/>
      <w:marBottom w:val="0"/>
      <w:divBdr>
        <w:top w:val="none" w:sz="0" w:space="0" w:color="auto"/>
        <w:left w:val="none" w:sz="0" w:space="0" w:color="auto"/>
        <w:bottom w:val="none" w:sz="0" w:space="0" w:color="auto"/>
        <w:right w:val="none" w:sz="0" w:space="0" w:color="auto"/>
      </w:divBdr>
    </w:div>
    <w:div w:id="1448164180">
      <w:bodyDiv w:val="1"/>
      <w:marLeft w:val="0"/>
      <w:marRight w:val="0"/>
      <w:marTop w:val="0"/>
      <w:marBottom w:val="0"/>
      <w:divBdr>
        <w:top w:val="none" w:sz="0" w:space="0" w:color="auto"/>
        <w:left w:val="none" w:sz="0" w:space="0" w:color="auto"/>
        <w:bottom w:val="none" w:sz="0" w:space="0" w:color="auto"/>
        <w:right w:val="none" w:sz="0" w:space="0" w:color="auto"/>
      </w:divBdr>
    </w:div>
    <w:div w:id="1502769292">
      <w:bodyDiv w:val="1"/>
      <w:marLeft w:val="0"/>
      <w:marRight w:val="0"/>
      <w:marTop w:val="0"/>
      <w:marBottom w:val="0"/>
      <w:divBdr>
        <w:top w:val="none" w:sz="0" w:space="0" w:color="auto"/>
        <w:left w:val="none" w:sz="0" w:space="0" w:color="auto"/>
        <w:bottom w:val="none" w:sz="0" w:space="0" w:color="auto"/>
        <w:right w:val="none" w:sz="0" w:space="0" w:color="auto"/>
      </w:divBdr>
    </w:div>
    <w:div w:id="1509906910">
      <w:bodyDiv w:val="1"/>
      <w:marLeft w:val="0"/>
      <w:marRight w:val="0"/>
      <w:marTop w:val="0"/>
      <w:marBottom w:val="0"/>
      <w:divBdr>
        <w:top w:val="none" w:sz="0" w:space="0" w:color="auto"/>
        <w:left w:val="none" w:sz="0" w:space="0" w:color="auto"/>
        <w:bottom w:val="none" w:sz="0" w:space="0" w:color="auto"/>
        <w:right w:val="none" w:sz="0" w:space="0" w:color="auto"/>
      </w:divBdr>
    </w:div>
    <w:div w:id="1558593382">
      <w:bodyDiv w:val="1"/>
      <w:marLeft w:val="0"/>
      <w:marRight w:val="0"/>
      <w:marTop w:val="0"/>
      <w:marBottom w:val="0"/>
      <w:divBdr>
        <w:top w:val="none" w:sz="0" w:space="0" w:color="auto"/>
        <w:left w:val="none" w:sz="0" w:space="0" w:color="auto"/>
        <w:bottom w:val="none" w:sz="0" w:space="0" w:color="auto"/>
        <w:right w:val="none" w:sz="0" w:space="0" w:color="auto"/>
      </w:divBdr>
    </w:div>
    <w:div w:id="1559053689">
      <w:bodyDiv w:val="1"/>
      <w:marLeft w:val="0"/>
      <w:marRight w:val="0"/>
      <w:marTop w:val="0"/>
      <w:marBottom w:val="0"/>
      <w:divBdr>
        <w:top w:val="none" w:sz="0" w:space="0" w:color="auto"/>
        <w:left w:val="none" w:sz="0" w:space="0" w:color="auto"/>
        <w:bottom w:val="none" w:sz="0" w:space="0" w:color="auto"/>
        <w:right w:val="none" w:sz="0" w:space="0" w:color="auto"/>
      </w:divBdr>
    </w:div>
    <w:div w:id="1587572919">
      <w:bodyDiv w:val="1"/>
      <w:marLeft w:val="0"/>
      <w:marRight w:val="0"/>
      <w:marTop w:val="0"/>
      <w:marBottom w:val="0"/>
      <w:divBdr>
        <w:top w:val="none" w:sz="0" w:space="0" w:color="auto"/>
        <w:left w:val="none" w:sz="0" w:space="0" w:color="auto"/>
        <w:bottom w:val="none" w:sz="0" w:space="0" w:color="auto"/>
        <w:right w:val="none" w:sz="0" w:space="0" w:color="auto"/>
      </w:divBdr>
    </w:div>
    <w:div w:id="1612123776">
      <w:bodyDiv w:val="1"/>
      <w:marLeft w:val="0"/>
      <w:marRight w:val="0"/>
      <w:marTop w:val="0"/>
      <w:marBottom w:val="0"/>
      <w:divBdr>
        <w:top w:val="none" w:sz="0" w:space="0" w:color="auto"/>
        <w:left w:val="none" w:sz="0" w:space="0" w:color="auto"/>
        <w:bottom w:val="none" w:sz="0" w:space="0" w:color="auto"/>
        <w:right w:val="none" w:sz="0" w:space="0" w:color="auto"/>
      </w:divBdr>
    </w:div>
    <w:div w:id="1645431232">
      <w:bodyDiv w:val="1"/>
      <w:marLeft w:val="0"/>
      <w:marRight w:val="0"/>
      <w:marTop w:val="0"/>
      <w:marBottom w:val="0"/>
      <w:divBdr>
        <w:top w:val="none" w:sz="0" w:space="0" w:color="auto"/>
        <w:left w:val="none" w:sz="0" w:space="0" w:color="auto"/>
        <w:bottom w:val="none" w:sz="0" w:space="0" w:color="auto"/>
        <w:right w:val="none" w:sz="0" w:space="0" w:color="auto"/>
      </w:divBdr>
    </w:div>
    <w:div w:id="1646856394">
      <w:bodyDiv w:val="1"/>
      <w:marLeft w:val="0"/>
      <w:marRight w:val="0"/>
      <w:marTop w:val="0"/>
      <w:marBottom w:val="0"/>
      <w:divBdr>
        <w:top w:val="none" w:sz="0" w:space="0" w:color="auto"/>
        <w:left w:val="none" w:sz="0" w:space="0" w:color="auto"/>
        <w:bottom w:val="none" w:sz="0" w:space="0" w:color="auto"/>
        <w:right w:val="none" w:sz="0" w:space="0" w:color="auto"/>
      </w:divBdr>
    </w:div>
    <w:div w:id="1659771339">
      <w:bodyDiv w:val="1"/>
      <w:marLeft w:val="0"/>
      <w:marRight w:val="0"/>
      <w:marTop w:val="0"/>
      <w:marBottom w:val="0"/>
      <w:divBdr>
        <w:top w:val="none" w:sz="0" w:space="0" w:color="auto"/>
        <w:left w:val="none" w:sz="0" w:space="0" w:color="auto"/>
        <w:bottom w:val="none" w:sz="0" w:space="0" w:color="auto"/>
        <w:right w:val="none" w:sz="0" w:space="0" w:color="auto"/>
      </w:divBdr>
    </w:div>
    <w:div w:id="1660111212">
      <w:bodyDiv w:val="1"/>
      <w:marLeft w:val="0"/>
      <w:marRight w:val="0"/>
      <w:marTop w:val="0"/>
      <w:marBottom w:val="0"/>
      <w:divBdr>
        <w:top w:val="none" w:sz="0" w:space="0" w:color="auto"/>
        <w:left w:val="none" w:sz="0" w:space="0" w:color="auto"/>
        <w:bottom w:val="none" w:sz="0" w:space="0" w:color="auto"/>
        <w:right w:val="none" w:sz="0" w:space="0" w:color="auto"/>
      </w:divBdr>
    </w:div>
    <w:div w:id="1702585170">
      <w:bodyDiv w:val="1"/>
      <w:marLeft w:val="0"/>
      <w:marRight w:val="0"/>
      <w:marTop w:val="0"/>
      <w:marBottom w:val="0"/>
      <w:divBdr>
        <w:top w:val="none" w:sz="0" w:space="0" w:color="auto"/>
        <w:left w:val="none" w:sz="0" w:space="0" w:color="auto"/>
        <w:bottom w:val="none" w:sz="0" w:space="0" w:color="auto"/>
        <w:right w:val="none" w:sz="0" w:space="0" w:color="auto"/>
      </w:divBdr>
    </w:div>
    <w:div w:id="1712068036">
      <w:bodyDiv w:val="1"/>
      <w:marLeft w:val="0"/>
      <w:marRight w:val="0"/>
      <w:marTop w:val="0"/>
      <w:marBottom w:val="0"/>
      <w:divBdr>
        <w:top w:val="none" w:sz="0" w:space="0" w:color="auto"/>
        <w:left w:val="none" w:sz="0" w:space="0" w:color="auto"/>
        <w:bottom w:val="none" w:sz="0" w:space="0" w:color="auto"/>
        <w:right w:val="none" w:sz="0" w:space="0" w:color="auto"/>
      </w:divBdr>
    </w:div>
    <w:div w:id="1719821125">
      <w:bodyDiv w:val="1"/>
      <w:marLeft w:val="0"/>
      <w:marRight w:val="0"/>
      <w:marTop w:val="0"/>
      <w:marBottom w:val="0"/>
      <w:divBdr>
        <w:top w:val="none" w:sz="0" w:space="0" w:color="auto"/>
        <w:left w:val="none" w:sz="0" w:space="0" w:color="auto"/>
        <w:bottom w:val="none" w:sz="0" w:space="0" w:color="auto"/>
        <w:right w:val="none" w:sz="0" w:space="0" w:color="auto"/>
      </w:divBdr>
    </w:div>
    <w:div w:id="1723479917">
      <w:bodyDiv w:val="1"/>
      <w:marLeft w:val="0"/>
      <w:marRight w:val="0"/>
      <w:marTop w:val="0"/>
      <w:marBottom w:val="0"/>
      <w:divBdr>
        <w:top w:val="none" w:sz="0" w:space="0" w:color="auto"/>
        <w:left w:val="none" w:sz="0" w:space="0" w:color="auto"/>
        <w:bottom w:val="none" w:sz="0" w:space="0" w:color="auto"/>
        <w:right w:val="none" w:sz="0" w:space="0" w:color="auto"/>
      </w:divBdr>
    </w:div>
    <w:div w:id="1731533239">
      <w:bodyDiv w:val="1"/>
      <w:marLeft w:val="0"/>
      <w:marRight w:val="0"/>
      <w:marTop w:val="0"/>
      <w:marBottom w:val="0"/>
      <w:divBdr>
        <w:top w:val="none" w:sz="0" w:space="0" w:color="auto"/>
        <w:left w:val="none" w:sz="0" w:space="0" w:color="auto"/>
        <w:bottom w:val="none" w:sz="0" w:space="0" w:color="auto"/>
        <w:right w:val="none" w:sz="0" w:space="0" w:color="auto"/>
      </w:divBdr>
    </w:div>
    <w:div w:id="1749812243">
      <w:bodyDiv w:val="1"/>
      <w:marLeft w:val="0"/>
      <w:marRight w:val="0"/>
      <w:marTop w:val="0"/>
      <w:marBottom w:val="0"/>
      <w:divBdr>
        <w:top w:val="none" w:sz="0" w:space="0" w:color="auto"/>
        <w:left w:val="none" w:sz="0" w:space="0" w:color="auto"/>
        <w:bottom w:val="none" w:sz="0" w:space="0" w:color="auto"/>
        <w:right w:val="none" w:sz="0" w:space="0" w:color="auto"/>
      </w:divBdr>
    </w:div>
    <w:div w:id="1757435007">
      <w:bodyDiv w:val="1"/>
      <w:marLeft w:val="0"/>
      <w:marRight w:val="0"/>
      <w:marTop w:val="0"/>
      <w:marBottom w:val="0"/>
      <w:divBdr>
        <w:top w:val="none" w:sz="0" w:space="0" w:color="auto"/>
        <w:left w:val="none" w:sz="0" w:space="0" w:color="auto"/>
        <w:bottom w:val="none" w:sz="0" w:space="0" w:color="auto"/>
        <w:right w:val="none" w:sz="0" w:space="0" w:color="auto"/>
      </w:divBdr>
    </w:div>
    <w:div w:id="1778476294">
      <w:bodyDiv w:val="1"/>
      <w:marLeft w:val="0"/>
      <w:marRight w:val="0"/>
      <w:marTop w:val="0"/>
      <w:marBottom w:val="0"/>
      <w:divBdr>
        <w:top w:val="none" w:sz="0" w:space="0" w:color="auto"/>
        <w:left w:val="none" w:sz="0" w:space="0" w:color="auto"/>
        <w:bottom w:val="none" w:sz="0" w:space="0" w:color="auto"/>
        <w:right w:val="none" w:sz="0" w:space="0" w:color="auto"/>
      </w:divBdr>
    </w:div>
    <w:div w:id="1804037897">
      <w:bodyDiv w:val="1"/>
      <w:marLeft w:val="0"/>
      <w:marRight w:val="0"/>
      <w:marTop w:val="0"/>
      <w:marBottom w:val="0"/>
      <w:divBdr>
        <w:top w:val="none" w:sz="0" w:space="0" w:color="auto"/>
        <w:left w:val="none" w:sz="0" w:space="0" w:color="auto"/>
        <w:bottom w:val="none" w:sz="0" w:space="0" w:color="auto"/>
        <w:right w:val="none" w:sz="0" w:space="0" w:color="auto"/>
      </w:divBdr>
    </w:div>
    <w:div w:id="1804545056">
      <w:bodyDiv w:val="1"/>
      <w:marLeft w:val="0"/>
      <w:marRight w:val="0"/>
      <w:marTop w:val="0"/>
      <w:marBottom w:val="0"/>
      <w:divBdr>
        <w:top w:val="none" w:sz="0" w:space="0" w:color="auto"/>
        <w:left w:val="none" w:sz="0" w:space="0" w:color="auto"/>
        <w:bottom w:val="none" w:sz="0" w:space="0" w:color="auto"/>
        <w:right w:val="none" w:sz="0" w:space="0" w:color="auto"/>
      </w:divBdr>
    </w:div>
    <w:div w:id="1805540890">
      <w:bodyDiv w:val="1"/>
      <w:marLeft w:val="0"/>
      <w:marRight w:val="0"/>
      <w:marTop w:val="0"/>
      <w:marBottom w:val="0"/>
      <w:divBdr>
        <w:top w:val="none" w:sz="0" w:space="0" w:color="auto"/>
        <w:left w:val="none" w:sz="0" w:space="0" w:color="auto"/>
        <w:bottom w:val="none" w:sz="0" w:space="0" w:color="auto"/>
        <w:right w:val="none" w:sz="0" w:space="0" w:color="auto"/>
      </w:divBdr>
    </w:div>
    <w:div w:id="1809785294">
      <w:bodyDiv w:val="1"/>
      <w:marLeft w:val="0"/>
      <w:marRight w:val="0"/>
      <w:marTop w:val="0"/>
      <w:marBottom w:val="0"/>
      <w:divBdr>
        <w:top w:val="none" w:sz="0" w:space="0" w:color="auto"/>
        <w:left w:val="none" w:sz="0" w:space="0" w:color="auto"/>
        <w:bottom w:val="none" w:sz="0" w:space="0" w:color="auto"/>
        <w:right w:val="none" w:sz="0" w:space="0" w:color="auto"/>
      </w:divBdr>
    </w:div>
    <w:div w:id="1809929321">
      <w:bodyDiv w:val="1"/>
      <w:marLeft w:val="0"/>
      <w:marRight w:val="0"/>
      <w:marTop w:val="0"/>
      <w:marBottom w:val="0"/>
      <w:divBdr>
        <w:top w:val="none" w:sz="0" w:space="0" w:color="auto"/>
        <w:left w:val="none" w:sz="0" w:space="0" w:color="auto"/>
        <w:bottom w:val="none" w:sz="0" w:space="0" w:color="auto"/>
        <w:right w:val="none" w:sz="0" w:space="0" w:color="auto"/>
      </w:divBdr>
    </w:div>
    <w:div w:id="1827698703">
      <w:bodyDiv w:val="1"/>
      <w:marLeft w:val="0"/>
      <w:marRight w:val="0"/>
      <w:marTop w:val="0"/>
      <w:marBottom w:val="0"/>
      <w:divBdr>
        <w:top w:val="none" w:sz="0" w:space="0" w:color="auto"/>
        <w:left w:val="none" w:sz="0" w:space="0" w:color="auto"/>
        <w:bottom w:val="none" w:sz="0" w:space="0" w:color="auto"/>
        <w:right w:val="none" w:sz="0" w:space="0" w:color="auto"/>
      </w:divBdr>
    </w:div>
    <w:div w:id="1829058894">
      <w:bodyDiv w:val="1"/>
      <w:marLeft w:val="0"/>
      <w:marRight w:val="0"/>
      <w:marTop w:val="0"/>
      <w:marBottom w:val="0"/>
      <w:divBdr>
        <w:top w:val="none" w:sz="0" w:space="0" w:color="auto"/>
        <w:left w:val="none" w:sz="0" w:space="0" w:color="auto"/>
        <w:bottom w:val="none" w:sz="0" w:space="0" w:color="auto"/>
        <w:right w:val="none" w:sz="0" w:space="0" w:color="auto"/>
      </w:divBdr>
    </w:div>
    <w:div w:id="1832409536">
      <w:bodyDiv w:val="1"/>
      <w:marLeft w:val="0"/>
      <w:marRight w:val="0"/>
      <w:marTop w:val="0"/>
      <w:marBottom w:val="0"/>
      <w:divBdr>
        <w:top w:val="none" w:sz="0" w:space="0" w:color="auto"/>
        <w:left w:val="none" w:sz="0" w:space="0" w:color="auto"/>
        <w:bottom w:val="none" w:sz="0" w:space="0" w:color="auto"/>
        <w:right w:val="none" w:sz="0" w:space="0" w:color="auto"/>
      </w:divBdr>
    </w:div>
    <w:div w:id="1845241932">
      <w:bodyDiv w:val="1"/>
      <w:marLeft w:val="0"/>
      <w:marRight w:val="0"/>
      <w:marTop w:val="0"/>
      <w:marBottom w:val="0"/>
      <w:divBdr>
        <w:top w:val="none" w:sz="0" w:space="0" w:color="auto"/>
        <w:left w:val="none" w:sz="0" w:space="0" w:color="auto"/>
        <w:bottom w:val="none" w:sz="0" w:space="0" w:color="auto"/>
        <w:right w:val="none" w:sz="0" w:space="0" w:color="auto"/>
      </w:divBdr>
    </w:div>
    <w:div w:id="1863207519">
      <w:bodyDiv w:val="1"/>
      <w:marLeft w:val="0"/>
      <w:marRight w:val="0"/>
      <w:marTop w:val="0"/>
      <w:marBottom w:val="0"/>
      <w:divBdr>
        <w:top w:val="none" w:sz="0" w:space="0" w:color="auto"/>
        <w:left w:val="none" w:sz="0" w:space="0" w:color="auto"/>
        <w:bottom w:val="none" w:sz="0" w:space="0" w:color="auto"/>
        <w:right w:val="none" w:sz="0" w:space="0" w:color="auto"/>
      </w:divBdr>
    </w:div>
    <w:div w:id="1864438080">
      <w:bodyDiv w:val="1"/>
      <w:marLeft w:val="0"/>
      <w:marRight w:val="0"/>
      <w:marTop w:val="0"/>
      <w:marBottom w:val="0"/>
      <w:divBdr>
        <w:top w:val="none" w:sz="0" w:space="0" w:color="auto"/>
        <w:left w:val="none" w:sz="0" w:space="0" w:color="auto"/>
        <w:bottom w:val="none" w:sz="0" w:space="0" w:color="auto"/>
        <w:right w:val="none" w:sz="0" w:space="0" w:color="auto"/>
      </w:divBdr>
    </w:div>
    <w:div w:id="1869836485">
      <w:bodyDiv w:val="1"/>
      <w:marLeft w:val="0"/>
      <w:marRight w:val="0"/>
      <w:marTop w:val="0"/>
      <w:marBottom w:val="0"/>
      <w:divBdr>
        <w:top w:val="none" w:sz="0" w:space="0" w:color="auto"/>
        <w:left w:val="none" w:sz="0" w:space="0" w:color="auto"/>
        <w:bottom w:val="none" w:sz="0" w:space="0" w:color="auto"/>
        <w:right w:val="none" w:sz="0" w:space="0" w:color="auto"/>
      </w:divBdr>
    </w:div>
    <w:div w:id="1898544156">
      <w:bodyDiv w:val="1"/>
      <w:marLeft w:val="0"/>
      <w:marRight w:val="0"/>
      <w:marTop w:val="0"/>
      <w:marBottom w:val="0"/>
      <w:divBdr>
        <w:top w:val="none" w:sz="0" w:space="0" w:color="auto"/>
        <w:left w:val="none" w:sz="0" w:space="0" w:color="auto"/>
        <w:bottom w:val="none" w:sz="0" w:space="0" w:color="auto"/>
        <w:right w:val="none" w:sz="0" w:space="0" w:color="auto"/>
      </w:divBdr>
    </w:div>
    <w:div w:id="1905140652">
      <w:bodyDiv w:val="1"/>
      <w:marLeft w:val="0"/>
      <w:marRight w:val="0"/>
      <w:marTop w:val="0"/>
      <w:marBottom w:val="0"/>
      <w:divBdr>
        <w:top w:val="none" w:sz="0" w:space="0" w:color="auto"/>
        <w:left w:val="none" w:sz="0" w:space="0" w:color="auto"/>
        <w:bottom w:val="none" w:sz="0" w:space="0" w:color="auto"/>
        <w:right w:val="none" w:sz="0" w:space="0" w:color="auto"/>
      </w:divBdr>
    </w:div>
    <w:div w:id="1909224345">
      <w:bodyDiv w:val="1"/>
      <w:marLeft w:val="0"/>
      <w:marRight w:val="0"/>
      <w:marTop w:val="0"/>
      <w:marBottom w:val="0"/>
      <w:divBdr>
        <w:top w:val="none" w:sz="0" w:space="0" w:color="auto"/>
        <w:left w:val="none" w:sz="0" w:space="0" w:color="auto"/>
        <w:bottom w:val="none" w:sz="0" w:space="0" w:color="auto"/>
        <w:right w:val="none" w:sz="0" w:space="0" w:color="auto"/>
      </w:divBdr>
    </w:div>
    <w:div w:id="1939826344">
      <w:bodyDiv w:val="1"/>
      <w:marLeft w:val="0"/>
      <w:marRight w:val="0"/>
      <w:marTop w:val="0"/>
      <w:marBottom w:val="0"/>
      <w:divBdr>
        <w:top w:val="none" w:sz="0" w:space="0" w:color="auto"/>
        <w:left w:val="none" w:sz="0" w:space="0" w:color="auto"/>
        <w:bottom w:val="none" w:sz="0" w:space="0" w:color="auto"/>
        <w:right w:val="none" w:sz="0" w:space="0" w:color="auto"/>
      </w:divBdr>
    </w:div>
    <w:div w:id="1993481553">
      <w:bodyDiv w:val="1"/>
      <w:marLeft w:val="0"/>
      <w:marRight w:val="0"/>
      <w:marTop w:val="0"/>
      <w:marBottom w:val="0"/>
      <w:divBdr>
        <w:top w:val="none" w:sz="0" w:space="0" w:color="auto"/>
        <w:left w:val="none" w:sz="0" w:space="0" w:color="auto"/>
        <w:bottom w:val="none" w:sz="0" w:space="0" w:color="auto"/>
        <w:right w:val="none" w:sz="0" w:space="0" w:color="auto"/>
      </w:divBdr>
    </w:div>
    <w:div w:id="2000957703">
      <w:bodyDiv w:val="1"/>
      <w:marLeft w:val="0"/>
      <w:marRight w:val="0"/>
      <w:marTop w:val="0"/>
      <w:marBottom w:val="0"/>
      <w:divBdr>
        <w:top w:val="none" w:sz="0" w:space="0" w:color="auto"/>
        <w:left w:val="none" w:sz="0" w:space="0" w:color="auto"/>
        <w:bottom w:val="none" w:sz="0" w:space="0" w:color="auto"/>
        <w:right w:val="none" w:sz="0" w:space="0" w:color="auto"/>
      </w:divBdr>
    </w:div>
    <w:div w:id="2037657721">
      <w:bodyDiv w:val="1"/>
      <w:marLeft w:val="0"/>
      <w:marRight w:val="0"/>
      <w:marTop w:val="0"/>
      <w:marBottom w:val="0"/>
      <w:divBdr>
        <w:top w:val="none" w:sz="0" w:space="0" w:color="auto"/>
        <w:left w:val="none" w:sz="0" w:space="0" w:color="auto"/>
        <w:bottom w:val="none" w:sz="0" w:space="0" w:color="auto"/>
        <w:right w:val="none" w:sz="0" w:space="0" w:color="auto"/>
      </w:divBdr>
    </w:div>
    <w:div w:id="2039816862">
      <w:bodyDiv w:val="1"/>
      <w:marLeft w:val="0"/>
      <w:marRight w:val="0"/>
      <w:marTop w:val="0"/>
      <w:marBottom w:val="0"/>
      <w:divBdr>
        <w:top w:val="none" w:sz="0" w:space="0" w:color="auto"/>
        <w:left w:val="none" w:sz="0" w:space="0" w:color="auto"/>
        <w:bottom w:val="none" w:sz="0" w:space="0" w:color="auto"/>
        <w:right w:val="none" w:sz="0" w:space="0" w:color="auto"/>
      </w:divBdr>
    </w:div>
    <w:div w:id="2044478284">
      <w:bodyDiv w:val="1"/>
      <w:marLeft w:val="0"/>
      <w:marRight w:val="0"/>
      <w:marTop w:val="0"/>
      <w:marBottom w:val="0"/>
      <w:divBdr>
        <w:top w:val="none" w:sz="0" w:space="0" w:color="auto"/>
        <w:left w:val="none" w:sz="0" w:space="0" w:color="auto"/>
        <w:bottom w:val="none" w:sz="0" w:space="0" w:color="auto"/>
        <w:right w:val="none" w:sz="0" w:space="0" w:color="auto"/>
      </w:divBdr>
    </w:div>
    <w:div w:id="2077391495">
      <w:bodyDiv w:val="1"/>
      <w:marLeft w:val="0"/>
      <w:marRight w:val="0"/>
      <w:marTop w:val="0"/>
      <w:marBottom w:val="0"/>
      <w:divBdr>
        <w:top w:val="none" w:sz="0" w:space="0" w:color="auto"/>
        <w:left w:val="none" w:sz="0" w:space="0" w:color="auto"/>
        <w:bottom w:val="none" w:sz="0" w:space="0" w:color="auto"/>
        <w:right w:val="none" w:sz="0" w:space="0" w:color="auto"/>
      </w:divBdr>
    </w:div>
    <w:div w:id="2079479797">
      <w:bodyDiv w:val="1"/>
      <w:marLeft w:val="0"/>
      <w:marRight w:val="0"/>
      <w:marTop w:val="0"/>
      <w:marBottom w:val="0"/>
      <w:divBdr>
        <w:top w:val="none" w:sz="0" w:space="0" w:color="auto"/>
        <w:left w:val="none" w:sz="0" w:space="0" w:color="auto"/>
        <w:bottom w:val="none" w:sz="0" w:space="0" w:color="auto"/>
        <w:right w:val="none" w:sz="0" w:space="0" w:color="auto"/>
      </w:divBdr>
    </w:div>
    <w:div w:id="2101370246">
      <w:bodyDiv w:val="1"/>
      <w:marLeft w:val="0"/>
      <w:marRight w:val="0"/>
      <w:marTop w:val="0"/>
      <w:marBottom w:val="0"/>
      <w:divBdr>
        <w:top w:val="none" w:sz="0" w:space="0" w:color="auto"/>
        <w:left w:val="none" w:sz="0" w:space="0" w:color="auto"/>
        <w:bottom w:val="none" w:sz="0" w:space="0" w:color="auto"/>
        <w:right w:val="none" w:sz="0" w:space="0" w:color="auto"/>
      </w:divBdr>
    </w:div>
    <w:div w:id="2101372293">
      <w:bodyDiv w:val="1"/>
      <w:marLeft w:val="0"/>
      <w:marRight w:val="0"/>
      <w:marTop w:val="0"/>
      <w:marBottom w:val="0"/>
      <w:divBdr>
        <w:top w:val="none" w:sz="0" w:space="0" w:color="auto"/>
        <w:left w:val="none" w:sz="0" w:space="0" w:color="auto"/>
        <w:bottom w:val="none" w:sz="0" w:space="0" w:color="auto"/>
        <w:right w:val="none" w:sz="0" w:space="0" w:color="auto"/>
      </w:divBdr>
    </w:div>
    <w:div w:id="2105763777">
      <w:bodyDiv w:val="1"/>
      <w:marLeft w:val="0"/>
      <w:marRight w:val="0"/>
      <w:marTop w:val="0"/>
      <w:marBottom w:val="0"/>
      <w:divBdr>
        <w:top w:val="none" w:sz="0" w:space="0" w:color="auto"/>
        <w:left w:val="none" w:sz="0" w:space="0" w:color="auto"/>
        <w:bottom w:val="none" w:sz="0" w:space="0" w:color="auto"/>
        <w:right w:val="none" w:sz="0" w:space="0" w:color="auto"/>
      </w:divBdr>
    </w:div>
    <w:div w:id="2113428661">
      <w:bodyDiv w:val="1"/>
      <w:marLeft w:val="0"/>
      <w:marRight w:val="0"/>
      <w:marTop w:val="0"/>
      <w:marBottom w:val="0"/>
      <w:divBdr>
        <w:top w:val="none" w:sz="0" w:space="0" w:color="auto"/>
        <w:left w:val="none" w:sz="0" w:space="0" w:color="auto"/>
        <w:bottom w:val="none" w:sz="0" w:space="0" w:color="auto"/>
        <w:right w:val="none" w:sz="0" w:space="0" w:color="auto"/>
      </w:divBdr>
    </w:div>
    <w:div w:id="2125683759">
      <w:bodyDiv w:val="1"/>
      <w:marLeft w:val="0"/>
      <w:marRight w:val="0"/>
      <w:marTop w:val="0"/>
      <w:marBottom w:val="0"/>
      <w:divBdr>
        <w:top w:val="none" w:sz="0" w:space="0" w:color="auto"/>
        <w:left w:val="none" w:sz="0" w:space="0" w:color="auto"/>
        <w:bottom w:val="none" w:sz="0" w:space="0" w:color="auto"/>
        <w:right w:val="none" w:sz="0" w:space="0" w:color="auto"/>
      </w:divBdr>
    </w:div>
    <w:div w:id="2145463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Kno80</b:Tag>
    <b:SourceType>Book</b:SourceType>
    <b:Guid>{C7942784-17FB-4D3E-A41B-8A523EE1757C}</b:Guid>
    <b:Title>The modern practice of adult education : from pedagogy to andragogy.</b:Title>
    <b:Year>1980</b:Year>
    <b:Author>
      <b:Author>
        <b:NameList>
          <b:Person>
            <b:Last>Knowles</b:Last>
            <b:First>M.</b:First>
          </b:Person>
        </b:NameList>
      </b:Author>
    </b:Author>
    <b:City>Cambridge</b:City>
    <b:Publisher>Cambridge</b:Publisher>
    <b:RefOrder>20</b:RefOrder>
  </b:Source>
  <b:Source>
    <b:Tag>Rog80</b:Tag>
    <b:SourceType>Book</b:SourceType>
    <b:Guid>{FCDA4061-C9E7-42EF-BED0-BDABC83D0DDA}</b:Guid>
    <b:Title>A Way of Being</b:Title>
    <b:Year>1980</b:Year>
    <b:Publisher>Houghton Mifflin</b:Publisher>
    <b:Author>
      <b:Author>
        <b:NameList>
          <b:Person>
            <b:Last>Rogers, C. R.</b:Last>
          </b:Person>
        </b:NameList>
      </b:Author>
    </b:Author>
    <b:RefOrder>21</b:RefOrder>
  </b:Source>
  <b:Source>
    <b:Tag>For06</b:Tag>
    <b:SourceType>JournalArticle</b:SourceType>
    <b:Guid>{728CE212-6265-406E-AEAB-82E01B46680C}</b:Guid>
    <b:Title> It’s Called Andragogy</b:Title>
    <b:Year>2006</b:Year>
    <b:Publisher>Academy of Management Learning &amp; </b:Publisher>
    <b:Author>
      <b:Author>
        <b:NameList>
          <b:Person>
            <b:Last>Forrest</b:Last>
            <b:First>S.</b:First>
            <b:Middle>III</b:Middle>
          </b:Person>
          <b:Person>
            <b:Last>Peterson</b:Last>
            <b:First>T.</b:First>
          </b:Person>
        </b:NameList>
      </b:Author>
    </b:Author>
    <b:JournalName>Academy of Management Learning &amp; Education</b:JournalName>
    <b:Pages>Vol 5(1), pp 113–122</b:Pages>
    <b:RefOrder>22</b:RefOrder>
  </b:Source>
  <b:Source>
    <b:Tag>Kno84</b:Tag>
    <b:SourceType>Book</b:SourceType>
    <b:Guid>{C1D1A8A9-5046-4B27-A36A-EDEE2EFD4BF7}</b:Guid>
    <b:Title>Andragogy in Action: Applying Modern Principles of Adult Learning</b:Title>
    <b:Year>1984</b:Year>
    <b:Author>
      <b:Author>
        <b:NameList>
          <b:Person>
            <b:Last>Knowles, M. S. et al.</b:Last>
          </b:Person>
        </b:NameList>
      </b:Author>
    </b:Author>
    <b:City>San Francisco</b:City>
    <b:Publisher>Jossey-Bass</b:Publisher>
    <b:RefOrder>23</b:RefOrder>
  </b:Source>
  <b:Source>
    <b:Tag>Joh44</b:Tag>
    <b:SourceType>Book</b:SourceType>
    <b:Guid>{7ED0FCF0-BA40-420F-B91F-FCC535480090}</b:Guid>
    <b:Author>
      <b:Author>
        <b:NameList>
          <b:Person>
            <b:Last>Dewy</b:Last>
            <b:First>John</b:First>
          </b:Person>
        </b:NameList>
      </b:Author>
    </b:Author>
    <b:Title>Democracy and Education</b:Title>
    <b:Year>1944</b:Year>
    <b:City>New York</b:City>
    <b:Publisher>The Free Press</b:Publisher>
    <b:RefOrder>24</b:RefOrder>
  </b:Source>
  <b:Source>
    <b:Tag>Rog801</b:Tag>
    <b:SourceType>Book</b:SourceType>
    <b:Guid>{ABC3F40F-9E64-44A1-A441-B78F50396DC4}</b:Guid>
    <b:Author>
      <b:Author>
        <b:NameList>
          <b:Person>
            <b:Last>Rogers</b:Last>
            <b:First>C.</b:First>
          </b:Person>
        </b:NameList>
      </b:Author>
    </b:Author>
    <b:Title>A Way of Being</b:Title>
    <b:Year>1980</b:Year>
    <b:Publisher>Houghton Mifflin</b:Publisher>
    <b:RefOrder>25</b:RefOrder>
  </b:Source>
  <b:Source>
    <b:Tag>Col06</b:Tag>
    <b:SourceType>Book</b:SourceType>
    <b:Guid>{4E6D03FD-9CEE-4AFF-8263-66671F18199B}</b:Guid>
    <b:Author>
      <b:Author>
        <b:NameList>
          <b:Person>
            <b:Last>Beard</b:Last>
            <b:First>Colin</b:First>
          </b:Person>
        </b:NameList>
      </b:Author>
    </b:Author>
    <b:Title>Experiential learning: a best practice handbook for educators and trainers</b:Title>
    <b:Year>2006</b:Year>
    <b:City>London</b:City>
    <b:Publisher>Kogan Page</b:Publisher>
    <b:RefOrder>7</b:RefOrder>
  </b:Source>
  <b:Source>
    <b:Tag>Dew16</b:Tag>
    <b:SourceType>Book</b:SourceType>
    <b:Guid>{7F1B0C7E-7D21-4989-A03A-216B0BC85753}</b:Guid>
    <b:Author>
      <b:Author>
        <b:NameList>
          <b:Person>
            <b:Last>Dewey</b:Last>
            <b:First>John</b:First>
          </b:Person>
        </b:NameList>
      </b:Author>
    </b:Author>
    <b:Title>Democracy and Education</b:Title>
    <b:Year>1916</b:Year>
    <b:City>New York</b:City>
    <b:Publisher>Macmillan</b:Publisher>
    <b:RefOrder>26</b:RefOrder>
  </b:Source>
  <b:Source>
    <b:Tag>Col061</b:Tag>
    <b:SourceType>Book</b:SourceType>
    <b:Guid>{51D5BE9C-C4C6-4FAF-A146-A984697363C6}</b:Guid>
    <b:Author>
      <b:Author>
        <b:NameList>
          <b:Person>
            <b:Last>Beard</b:Last>
            <b:First>Colin</b:First>
          </b:Person>
          <b:Person>
            <b:Last>Wilson</b:Last>
            <b:First>John</b:First>
            <b:Middle>P</b:Middle>
          </b:Person>
        </b:NameList>
      </b:Author>
    </b:Author>
    <b:Title>Experiential Learning: a best practice handbook for education and trainers</b:Title>
    <b:Year>2006</b:Year>
    <b:City>London</b:City>
    <b:Publisher>Kogan Page</b:Publisher>
    <b:RefOrder>27</b:RefOrder>
  </b:Source>
  <b:Source>
    <b:Tag>Dav84</b:Tag>
    <b:SourceType>Book</b:SourceType>
    <b:Guid>{E692716B-DBCA-443D-BED4-BFB769800B5B}</b:Guid>
    <b:Author>
      <b:Author>
        <b:NameList>
          <b:Person>
            <b:Last>Kolb</b:Last>
            <b:First>David</b:First>
          </b:Person>
        </b:NameList>
      </b:Author>
    </b:Author>
    <b:Title>Experiential Learning</b:Title>
    <b:Year>1984</b:Year>
    <b:City>New Jersey</b:City>
    <b:Publisher>Prentice Hall, Englewood Cliffs</b:Publisher>
    <b:RefOrder>28</b:RefOrder>
  </b:Source>
  <b:Source>
    <b:Tag>Blo56</b:Tag>
    <b:SourceType>Book</b:SourceType>
    <b:Guid>{9FB79D96-6F04-41D5-8FD5-71F9F992655F}</b:Guid>
    <b:Author>
      <b:Author>
        <b:NameList>
          <b:Person>
            <b:Last>Bloom et al.</b:Last>
          </b:Person>
        </b:NameList>
      </b:Author>
    </b:Author>
    <b:Title>Taxonomy of Educational Objectives: the classification of educational objectives</b:Title>
    <b:Year>1956</b:Year>
    <b:City>London</b:City>
    <b:Publisher>Cognitive Domain, Longmans, Green &amp; Co</b:Publisher>
    <b:RefOrder>14</b:RefOrder>
  </b:Source>
  <b:Source>
    <b:Tag>Vic14</b:Tag>
    <b:SourceType>Book</b:SourceType>
    <b:Guid>{AF869446-91B7-4AF9-86BA-26D5B828B18D}</b:Guid>
    <b:Author>
      <b:Author>
        <b:NameList>
          <b:Person>
            <b:Last>Wang</b:Last>
            <b:First>Victor</b:First>
          </b:Person>
        </b:NameList>
      </b:Author>
    </b:Author>
    <b:Title>Advanced Research in Adult Learning and Professional Development: tools, trends and methodologies</b:Title>
    <b:Year>2014</b:Year>
    <b:City>701 E. Chocolate Avenue, Hershey, PA 17033</b:City>
    <b:Publisher>Information Science Reference (an imprint of IGI Global)</b:Publisher>
    <b:RefOrder>29</b:RefOrder>
  </b:Source>
  <b:Source>
    <b:Tag>Wil09</b:Tag>
    <b:SourceType>Book</b:SourceType>
    <b:Guid>{87FEE659-F47A-4C5F-8FAC-CD01246FF47D}</b:Guid>
    <b:Author>
      <b:Author>
        <b:NameList>
          <b:Person>
            <b:Last>Willingham</b:Last>
            <b:First>Daniel</b:First>
            <b:Middle>T.</b:Middle>
          </b:Person>
        </b:NameList>
      </b:Author>
    </b:Author>
    <b:Title>Why Don't Children Like School?: A Cognitive Scientist Answers Questions About How the Mind Works and What It Means for the Classroom</b:Title>
    <b:Year>2009</b:Year>
    <b:Publisher>John Wiley &amp; Sons</b:Publisher>
    <b:RefOrder>15</b:RefOrder>
  </b:Source>
  <b:Source>
    <b:Tag>Sch20</b:Tag>
    <b:SourceType>JournalArticle</b:SourceType>
    <b:Guid>{5B8589F8-058D-404C-99F9-E2C92798077C}</b:Guid>
    <b:Author>
      <b:Author>
        <b:NameList>
          <b:Person>
            <b:Last>Schwind</b:Last>
            <b:First>Jasna</b:First>
          </b:Person>
          <b:Person>
            <b:Last>Manankil-Rankin</b:Last>
            <b:First>Louela</b:First>
          </b:Person>
        </b:NameList>
      </b:Author>
    </b:Author>
    <b:Title>Using Narrative Reflective Process to augment personal and aesthetic ways of knowing to support holistic person-centred relational practice</b:Title>
    <b:JournalName>Reflective Practice</b:JournalName>
    <b:Year>2020</b:Year>
    <b:Pages>21:4; 473-483</b:Pages>
    <b:RefOrder>30</b:RefOrder>
  </b:Source>
  <b:Source>
    <b:Tag>Sch111</b:Tag>
    <b:SourceType>JournalArticle</b:SourceType>
    <b:Guid>{1788537E-692F-4455-BBF7-8981AB77CCA5}</b:Guid>
    <b:Author>
      <b:Author>
        <b:NameList>
          <b:Person>
            <b:Last>Schwind</b:Last>
            <b:First>Jasna</b:First>
            <b:Middle>K.</b:Middle>
          </b:Person>
          <b:Person>
            <b:Last>Cameron</b:Last>
            <b:First>Debbie</b:First>
          </b:Person>
          <b:Person>
            <b:Last>Franks</b:Last>
            <b:First>Judith</b:First>
          </b:Person>
          <b:Person>
            <b:Last>Graham</b:Last>
            <b:First>Cathy</b:First>
          </b:Person>
          <b:Person>
            <b:Last>Robinson</b:Last>
            <b:First>Trish</b:First>
          </b:Person>
        </b:NameList>
      </b:Author>
    </b:Author>
    <b:Title>Engaging in narrative reflective process to fine tune self-as-instrument-of-care</b:Title>
    <b:JournalName>Reflective Practice</b:JournalName>
    <b:Year>2011</b:Year>
    <b:Pages>13:2; 223-235</b:Pages>
    <b:RefOrder>31</b:RefOrder>
  </b:Source>
  <b:Source>
    <b:Tag>VMa01</b:Tag>
    <b:SourceType>ArticleInAPeriodical</b:SourceType>
    <b:Guid>{755A3104-97E2-49C1-9902-8BCDE058CBF9}</b:Guid>
    <b:Title>Adult Learning Styles: How the VARK Learning Style Inventory Can Be Used to Improve Student Learning</b:Title>
    <b:PeriodicalTitle>Journal of the Association of Physician Assistant Programs</b:PeriodicalTitle>
    <b:Year>2001</b:Year>
    <b:Pages>12</b:Pages>
    <b:Author>
      <b:Author>
        <b:NameList>
          <b:Person>
            <b:Last>Marcy</b:Last>
            <b:First>V.</b:First>
          </b:Person>
        </b:NameList>
      </b:Author>
    </b:Author>
    <b:RefOrder>32</b:RefOrder>
  </b:Source>
  <b:Source>
    <b:Tag>Mol21</b:Tag>
    <b:SourceType>InternetSite</b:SourceType>
    <b:Guid>{D232A0F1-A8A8-47E3-8FD9-1FF720778722}</b:Guid>
    <b:Author>
      <b:Author>
        <b:NameList>
          <b:Person>
            <b:Last>Owens</b:Last>
            <b:First>Molly</b:First>
          </b:Person>
        </b:NameList>
      </b:Author>
    </b:Author>
    <b:Title>INFJ</b:Title>
    <b:InternetSiteTitle>Truity</b:InternetSiteTitle>
    <b:Year>2021</b:Year>
    <b:URL>https://www.truity.com/personality-type/INFJ</b:URL>
    <b:RefOrder>33</b:RefOrder>
  </b:Source>
  <b:Source>
    <b:Tag>Chr23</b:Tag>
    <b:SourceType>InternetSite</b:SourceType>
    <b:Guid>{22898E94-C158-4149-AB1D-704D753AF1E0}</b:Guid>
    <b:Author>
      <b:Author>
        <b:NameList>
          <b:Person>
            <b:Last>Drew</b:Last>
            <b:First>Chris</b:First>
          </b:Person>
        </b:NameList>
      </b:Author>
    </b:Author>
    <b:Title>Active Learning – Advantages &amp; Disadvantages</b:Title>
    <b:InternetSiteTitle>HelpfulProfessor</b:InternetSiteTitle>
    <b:Year>2023</b:Year>
    <b:Month>March</b:Month>
    <b:Day>9</b:Day>
    <b:URL>https://helpfulprofessor.com/active-learning-pros-cons/</b:URL>
    <b:RefOrder>34</b:RefOrder>
  </b:Source>
  <b:Source>
    <b:Tag>Day101</b:Tag>
    <b:SourceType>JournalArticle</b:SourceType>
    <b:Guid>{69CCE20F-ADA3-4822-A0D8-9AC7E92FE8F3}</b:Guid>
    <b:Author>
      <b:Author>
        <b:NameList>
          <b:Person>
            <b:Last>Day</b:Last>
            <b:First>Christopher</b:First>
          </b:Person>
        </b:NameList>
      </b:Author>
    </b:Author>
    <b:Title>Effective Leadership and Reflective Practice</b:Title>
    <b:JournalName>Reflective Practice</b:JournalName>
    <b:Year>2010</b:Year>
    <b:Pages>1:1; 113-127</b:Pages>
    <b:RefOrder>35</b:RefOrder>
  </b:Source>
  <b:Source>
    <b:Tag>Day10</b:Tag>
    <b:SourceType>JournalArticle</b:SourceType>
    <b:Guid>{2D947F8F-B5E3-489D-A8F9-BA3EDCF45A28}</b:Guid>
    <b:Author>
      <b:Author>
        <b:NameList>
          <b:Person>
            <b:Last>Day</b:Last>
            <b:First>Christopher</b:First>
          </b:Person>
        </b:NameList>
      </b:Author>
    </b:Author>
    <b:Title>Effective Leadership and Reflective Practice</b:Title>
    <b:JournalName>Reflective Practice</b:JournalName>
    <b:Year>2010</b:Year>
    <b:Pages>1:1; 113-127</b:Pages>
    <b:RefOrder>36</b:RefOrder>
  </b:Source>
  <b:Source>
    <b:Tag>DrS16</b:Tag>
    <b:SourceType>DocumentFromInternetSite</b:SourceType>
    <b:Guid>{163A56DB-3301-45D1-AF22-1871757A27A4}</b:Guid>
    <b:Title>Harvard Psychologist Susan David on Happiness and Resilience</b:Title>
    <b:Year>2016</b:Year>
    <b:Month>December </b:Month>
    <b:Day>16</b:Day>
    <b:InternetSiteTitle>YouTube</b:InternetSiteTitle>
    <b:URL>https://www.youtube.com/watch?v=ISbsGGK8vvI&amp;t=1s</b:URL>
    <b:Author>
      <b:Author>
        <b:NameList>
          <b:Person>
            <b:Last>David</b:Last>
            <b:First>Dr</b:First>
            <b:Middle>Susan</b:Middle>
          </b:Person>
        </b:NameList>
      </b:Author>
    </b:Author>
    <b:RefOrder>37</b:RefOrder>
  </b:Source>
  <b:Source>
    <b:Tag>Che20</b:Tag>
    <b:SourceType>InternetSite</b:SourceType>
    <b:Guid>{BB33C7A1-0243-4AEB-A13E-247BA28E989D}</b:Guid>
    <b:Title>Kolb's Learning Styles</b:Title>
    <b:Year>2020</b:Year>
    <b:Month>May</b:Month>
    <b:Day>15</b:Day>
    <b:Author>
      <b:Author>
        <b:NameList>
          <b:Person>
            <b:Last>Cherry</b:Last>
            <b:First>Kendra</b:First>
          </b:Person>
        </b:NameList>
      </b:Author>
    </b:Author>
    <b:InternetSiteTitle>VeryWellMind</b:InternetSiteTitle>
    <b:URL>https://www.verywellmind.com/kolbs-learning-styles-2795155</b:URL>
    <b:RefOrder>38</b:RefOrder>
  </b:Source>
  <b:Source>
    <b:Tag>Chr76</b:Tag>
    <b:SourceType>Book</b:SourceType>
    <b:Guid>{C923F662-30D7-4AB2-9F87-515A83EB6F6F}</b:Guid>
    <b:Author>
      <b:Author>
        <b:NameList>
          <b:Person>
            <b:Last>Argyris</b:Last>
            <b:First>Chris</b:First>
          </b:Person>
          <b:Person>
            <b:Last>Schon</b:Last>
            <b:First>Donald</b:First>
          </b:Person>
        </b:NameList>
      </b:Author>
    </b:Author>
    <b:Title>Theory in Practice: Increasing Professional Effectiveness</b:Title>
    <b:Year>1976</b:Year>
    <b:City>Columbus</b:City>
    <b:Publisher>The Journal of Higher Education</b:Publisher>
    <b:RefOrder>39</b:RefOrder>
  </b:Source>
  <b:Source>
    <b:Tag>LLy08</b:Tag>
    <b:SourceType>Book</b:SourceType>
    <b:Guid>{FBE153B8-4864-4324-AB17-B6FA6FAA0140}</b:Guid>
    <b:Author>
      <b:Author>
        <b:NameList>
          <b:Person>
            <b:Last>Lynch</b:Last>
            <b:First>L</b:First>
          </b:Person>
          <b:Person>
            <b:Last>Hancox</b:Last>
            <b:First>K</b:First>
          </b:Person>
          <b:Person>
            <b:Last>Happell</b:Last>
            <b:First>B</b:First>
          </b:Person>
          <b:Person>
            <b:Last>Parker</b:Last>
            <b:First>J</b:First>
          </b:Person>
        </b:NameList>
      </b:Author>
    </b:Author>
    <b:Title>Clinical Supervision for Nurses</b:Title>
    <b:Year>2008</b:Year>
    <b:City>West Sussex</b:City>
    <b:Publisher>Wiley-Blackwell</b:Publisher>
    <b:RefOrder>40</b:RefOrder>
  </b:Source>
  <b:Source>
    <b:Tag>Don83</b:Tag>
    <b:SourceType>Book</b:SourceType>
    <b:Guid>{DE44A521-4CE3-4F81-A1C2-EEF6F9DB0BCC}</b:Guid>
    <b:Author>
      <b:Author>
        <b:NameList>
          <b:Person>
            <b:Last>Schon</b:Last>
            <b:First>Donal</b:First>
          </b:Person>
        </b:NameList>
      </b:Author>
    </b:Author>
    <b:Title>The Reflective Practitioner: how professionals think in action</b:Title>
    <b:Year>1983</b:Year>
    <b:City>New York City</b:City>
    <b:Publisher>Basic Books</b:Publisher>
    <b:RefOrder>41</b:RefOrder>
  </b:Source>
  <b:Source>
    <b:Tag>MAN08</b:Tag>
    <b:SourceType>Book</b:SourceType>
    <b:Guid>{83E4E341-45F7-4597-ABFC-9A42A8BDAE83}</b:Guid>
    <b:Author>
      <b:Author>
        <b:NameList>
          <b:Person>
            <b:Last>Newman</b:Last>
            <b:First>M</b:First>
            <b:Middle>A</b:Middle>
          </b:Person>
        </b:NameList>
      </b:Author>
    </b:Author>
    <b:Title>Transforming Presence: The Difference that Nursing Makes</b:Title>
    <b:Year>2008</b:Year>
    <b:City>Philadelphia</b:City>
    <b:Publisher>F.A. Davis Company</b:Publisher>
    <b:RefOrder>42</b:RefOrder>
  </b:Source>
  <b:Source>
    <b:Tag>Peg08</b:Tag>
    <b:SourceType>Book</b:SourceType>
    <b:Guid>{E7AE25BA-C7CD-4775-A9F8-92594F87108E}</b:Guid>
    <b:Author>
      <b:Author>
        <b:NameList>
          <b:Person>
            <b:Last>Chinn</b:Last>
            <b:First>Peggy</b:First>
            <b:Middle>L.</b:Middle>
          </b:Person>
          <b:Person>
            <b:Last>Kramer</b:Last>
            <b:First>Maeona</b:First>
            <b:Middle>K.</b:Middle>
          </b:Person>
        </b:NameList>
      </b:Author>
    </b:Author>
    <b:Title>Integrated Theory and Knowledge Development in Nursing</b:Title>
    <b:Year>2008</b:Year>
    <b:Publisher>Mosby Elsevier</b:Publisher>
    <b:RefOrder>43</b:RefOrder>
  </b:Source>
  <b:Source>
    <b:Tag>Pol67</b:Tag>
    <b:SourceType>Book</b:SourceType>
    <b:Guid>{496E23AE-8E36-4D7F-95DF-C14DE593F7C4}</b:Guid>
    <b:Author>
      <b:Author>
        <b:NameList>
          <b:Person>
            <b:Last>Polanyi</b:Last>
            <b:First>Michael</b:First>
          </b:Person>
        </b:NameList>
      </b:Author>
    </b:Author>
    <b:Title>The Tacit Dimension</b:Title>
    <b:Year>1967</b:Year>
    <b:City>New York</b:City>
    <b:Publisher>Anchor Books</b:Publisher>
    <b:RefOrder>44</b:RefOrder>
  </b:Source>
  <b:Source>
    <b:Tag>Sch03</b:Tag>
    <b:SourceType>JournalArticle</b:SourceType>
    <b:Guid>{272E97C2-D906-4B0A-87D3-4A209766653B}</b:Guid>
    <b:Author>
      <b:Author>
        <b:NameList>
          <b:Person>
            <b:Last>Schwind</b:Last>
            <b:First>Jasna</b:First>
          </b:Person>
        </b:NameList>
      </b:Author>
    </b:Author>
    <b:Title>Reflective Process in the Study of Illness Stories as Experienced by Three Nurse Teachers</b:Title>
    <b:Year>2003</b:Year>
    <b:JournalName>Reflective Practice</b:JournalName>
    <b:Pages>19-32</b:Pages>
    <b:RefOrder>45</b:RefOrder>
  </b:Source>
  <b:Source>
    <b:Tag>Jas08</b:Tag>
    <b:SourceType>JournalArticle</b:SourceType>
    <b:Guid>{42CE9F71-1254-4AB1-86C4-FEC04BE103F6}</b:Guid>
    <b:Author>
      <b:Author>
        <b:NameList>
          <b:Person>
            <b:Last>Schwind</b:Last>
            <b:First>Jasna</b:First>
          </b:Person>
        </b:NameList>
      </b:Author>
    </b:Author>
    <b:Title>Engaging in narrative reflective process to fine tune self-as-instrument-of-care</b:Title>
    <b:JournalName>Reflective Practice</b:JournalName>
    <b:Year>2008</b:Year>
    <b:Pages>223-235</b:Pages>
    <b:RefOrder>46</b:RefOrder>
  </b:Source>
  <b:Source>
    <b:Tag>Lom10</b:Tag>
    <b:SourceType>JournalArticle</b:SourceType>
    <b:Guid>{28AE6DEA-B3B6-4E3B-9540-F36B77FD7020}</b:Guid>
    <b:Author>
      <b:Author>
        <b:NameList>
          <b:Person>
            <b:Last>Lomax</b:Last>
            <b:First>Pamela</b:First>
          </b:Person>
        </b:NameList>
      </b:Author>
    </b:Author>
    <b:Title>Coming to a Better Understanding of Educative Relations through Learning from Individuals' Representations of their Action Research</b:Title>
    <b:JournalName>Reflective Practice</b:JournalName>
    <b:Year>2010</b:Year>
    <b:Pages>1:1; 43-55</b:Pages>
    <b:RefOrder>47</b:RefOrder>
  </b:Source>
  <b:Source>
    <b:Tag>Pam10</b:Tag>
    <b:SourceType>JournalArticle</b:SourceType>
    <b:Guid>{86DC12FB-D39B-4DF6-9D22-5750F66F01AA}</b:Guid>
    <b:Author>
      <b:Author>
        <b:NameList>
          <b:Person>
            <b:Last>Lomax</b:Last>
            <b:First>Pamela</b:First>
          </b:Person>
        </b:NameList>
      </b:Author>
    </b:Author>
    <b:Title>Coming to a Better Understanding of Educative Relations through Learning from Individuals' Representations of their Action Research</b:Title>
    <b:JournalName>Reflective Practice</b:JournalName>
    <b:Year>2010</b:Year>
    <b:Pages>Vol.1; Issue 1; pages 43-55</b:Pages>
    <b:RefOrder>48</b:RefOrder>
  </b:Source>
  <b:Source>
    <b:Tag>Wat101</b:Tag>
    <b:SourceType>JournalArticle</b:SourceType>
    <b:Guid>{A3F4733E-D8B6-4C59-A447-8BA725544EA5}</b:Guid>
    <b:Author>
      <b:Author>
        <b:NameList>
          <b:Person>
            <b:Last>Watson</b:Last>
            <b:First>Jinx</b:First>
            <b:Middle>Stapleton</b:Middle>
          </b:Person>
          <b:Person>
            <b:Last>Wilcox</b:Last>
            <b:First>Susan</b:First>
          </b:Person>
        </b:NameList>
      </b:Author>
    </b:Author>
    <b:Title>Reflective Practice</b:Title>
    <b:JournalName>Reading for Understanding: Methods of Reflecting</b:JournalName>
    <b:Year>2010</b:Year>
    <b:Pages>1:1; 57-67</b:Pages>
    <b:RefOrder>49</b:RefOrder>
  </b:Source>
  <b:Source>
    <b:Tag>Wat10</b:Tag>
    <b:SourceType>JournalArticle</b:SourceType>
    <b:Guid>{4F0A8B3E-9F66-415A-8338-2A925CDBDCDD}</b:Guid>
    <b:Author>
      <b:Author>
        <b:NameList>
          <b:Person>
            <b:Last>Watson</b:Last>
            <b:First>Jinx</b:First>
            <b:Middle>Stapleton</b:Middle>
          </b:Person>
          <b:Person>
            <b:Last>Wilcox</b:Last>
            <b:First>Susan</b:First>
          </b:Person>
        </b:NameList>
      </b:Author>
    </b:Author>
    <b:Title>Reading for Understanding: Methods of Reflecting on Practice</b:Title>
    <b:JournalName>Reflective Practice</b:JournalName>
    <b:Year>2010</b:Year>
    <b:Pages>1:1; pages 57-67</b:Pages>
    <b:RefOrder>50</b:RefOrder>
  </b:Source>
  <b:Source>
    <b:Tag>Tho11</b:Tag>
    <b:SourceType>JournalArticle</b:SourceType>
    <b:Guid>{991A6DF0-65BC-4FDC-A1A2-B8BD91365B80}</b:Guid>
    <b:Author>
      <b:Author>
        <b:NameList>
          <b:Person>
            <b:Last>Thompson</b:Last>
            <b:First>Neil</b:First>
          </b:Person>
          <b:Person>
            <b:Last>Pascal</b:Last>
            <b:First>Jan</b:First>
          </b:Person>
        </b:NameList>
      </b:Author>
    </b:Author>
    <b:Title>Developing critically reflective practice</b:Title>
    <b:JournalName>Reflective Practice</b:JournalName>
    <b:Year>2011</b:Year>
    <b:Pages>1:1; pages 311-325</b:Pages>
    <b:RefOrder>51</b:RefOrder>
  </b:Source>
  <b:Source>
    <b:Tag>Tho12</b:Tag>
    <b:SourceType>JournalArticle</b:SourceType>
    <b:Guid>{B42F8622-070D-42EC-B446-27A68342B233}</b:Guid>
    <b:Year>2012</b:Year>
    <b:Author>
      <b:Author>
        <b:NameList>
          <b:Person>
            <b:Last>Thompson</b:Last>
            <b:First>N.</b:First>
          </b:Person>
          <b:Person>
            <b:Last>Pascal</b:Last>
            <b:First>J.</b:First>
          </b:Person>
        </b:NameList>
      </b:Author>
    </b:Author>
    <b:JournalName>Reflective Practice</b:JournalName>
    <b:Pages>13:2; 311-325</b:Pages>
    <b:Title>Developing critically reflective practice</b:Title>
    <b:RefOrder>52</b:RefOrder>
  </b:Source>
  <b:Source>
    <b:Tag>Ros09</b:Tag>
    <b:SourceType>JournalArticle</b:SourceType>
    <b:Guid>{FB46489B-1C36-422E-8BC2-F4BA03D360DE}</b:Guid>
    <b:Title>Transforming leadership: reflective practice and the enhancement of happiness</b:Title>
    <b:Year>2009</b:Year>
    <b:Pages>11:1; pages 9-18</b:Pages>
    <b:Author>
      <b:Author>
        <b:NameList>
          <b:Person>
            <b:Last>Rosenburg</b:Last>
            <b:First>Lili</b:First>
            <b:Middle>Ruth</b:Middle>
          </b:Person>
        </b:NameList>
      </b:Author>
    </b:Author>
    <b:JournalName>Reflective Practice</b:JournalName>
    <b:RefOrder>53</b:RefOrder>
  </b:Source>
  <b:Source>
    <b:Tag>Ros10</b:Tag>
    <b:SourceType>JournalArticle</b:SourceType>
    <b:Guid>{C4CD3C9B-E4EB-420C-BE28-21F33FDC3254}</b:Guid>
    <b:Author>
      <b:Author>
        <b:NameList>
          <b:Person>
            <b:Last>Rosenberg</b:Last>
            <b:First>Lili</b:First>
            <b:Middle>Ruth</b:Middle>
          </b:Person>
        </b:NameList>
      </b:Author>
    </b:Author>
    <b:Title>Transforming leadership: reflective practice and the enhancement of happiness</b:Title>
    <b:JournalName>Reflective Practice </b:JournalName>
    <b:Year>2010</b:Year>
    <b:Pages>11:1; 9-18</b:Pages>
    <b:RefOrder>54</b:RefOrder>
  </b:Source>
  <b:Source>
    <b:Tag>Gol95</b:Tag>
    <b:SourceType>Book</b:SourceType>
    <b:Guid>{4AA69C2F-C1BA-4726-8279-5A19864DEF5A}</b:Guid>
    <b:Title>Emotional  intelligence:  Why  it  can  matter  more  than  IQ</b:Title>
    <b:Year>1995</b:Year>
    <b:Author>
      <b:Author>
        <b:NameList>
          <b:Person>
            <b:Last>Goleman</b:Last>
            <b:First>D.</b:First>
          </b:Person>
        </b:NameList>
      </b:Author>
    </b:Author>
    <b:City>New York</b:City>
    <b:Publisher>Bantam Books</b:Publisher>
    <b:RefOrder>55</b:RefOrder>
  </b:Source>
  <b:Source>
    <b:Tag>Mic23</b:Tag>
    <b:SourceType>JournalArticle</b:SourceType>
    <b:Guid>{C9A8F400-AF60-483E-9F18-C3788F2C1EB1}</b:Guid>
    <b:Author>
      <b:Author>
        <b:NameList>
          <b:Person>
            <b:Last>Gottlieb</b:Last>
            <b:First>Michael</b:First>
          </b:Person>
        </b:NameList>
      </b:Author>
    </b:Author>
    <b:Title>When I say … imposter syndrome</b:Title>
    <b:JournalName>Medical Education</b:JournalName>
    <b:Year>2023</b:Year>
    <b:Pages>1-2</b:Pages>
    <b:RefOrder>56</b:RefOrder>
  </b:Source>
  <b:Source>
    <b:Tag>Joe18</b:Tag>
    <b:SourceType>JournalArticle</b:SourceType>
    <b:Guid>{A2F88FAA-DAC6-4632-93D0-FDFEF6110CE8}</b:Guid>
    <b:Author>
      <b:Author>
        <b:NameList>
          <b:Person>
            <b:Last>Joel Bothello</b:Last>
            <b:First>Thomas</b:First>
            <b:Middle>J. Roulet</b:Middle>
          </b:Person>
        </b:NameList>
      </b:Author>
    </b:Author>
    <b:Title>The Imposter Syndrome, or the Mis-Representation of Self in Academic Life</b:Title>
    <b:JournalName>Journal of Management Studies</b:JournalName>
    <b:Year>2018</b:Year>
    <b:Pages>Vol. 56, Issue 4, pg 854-861</b:Pages>
    <b:RefOrder>57</b:RefOrder>
  </b:Source>
  <b:Source>
    <b:Tag>Pat13</b:Tag>
    <b:SourceType>BookSection</b:SourceType>
    <b:Guid>{04813ECA-9A8B-43C6-BCDE-735000D17074}</b:Guid>
    <b:Title>TIME: A KEY RESOURCE - OPPORTUNITIES AND DIFFICULTIES</b:Title>
    <b:Year>2013</b:Year>
    <b:Pages>1-10</b:Pages>
    <b:BookTitle>Successful Time Management</b:BookTitle>
    <b:City>London</b:City>
    <b:Publisher>Kogan Page Ltd</b:Publisher>
    <b:Author>
      <b:Author>
        <b:NameList>
          <b:Person>
            <b:Last>Forsyth</b:Last>
            <b:First>Patrick</b:First>
          </b:Person>
        </b:NameList>
      </b:Author>
      <b:BookAuthor>
        <b:NameList>
          <b:Person>
            <b:Last>Forsyth</b:Last>
            <b:First>Patrick</b:First>
          </b:Person>
        </b:NameList>
      </b:BookAuthor>
    </b:Author>
    <b:RefOrder>4</b:RefOrder>
  </b:Source>
  <b:Source>
    <b:Tag>WuJ20</b:Tag>
    <b:SourceType>BookSection</b:SourceType>
    <b:Guid>{2BDF20C0-E20E-441A-890B-DC2DAF465A34}</b:Guid>
    <b:Title>Challenges, Issues, and Trends in Adult Education</b:Title>
    <b:BookTitle>Handbook of Research on Adult Learning in Higher Education</b:BookTitle>
    <b:Year>2020</b:Year>
    <b:Pages>90-117</b:Pages>
    <b:City>USA</b:City>
    <b:Publisher>IGI Global</b:Publisher>
    <b:Author>
      <b:Author>
        <b:NameList>
          <b:Person>
            <b:Last>Wu</b:Last>
            <b:First>Jeng-Yang</b:First>
          </b:Person>
        </b:NameList>
      </b:Author>
      <b:BookAuthor>
        <b:NameList>
          <b:Person>
            <b:Last>Okojie</b:Last>
            <b:First>Mabel</b:First>
            <b:Middle>CPO</b:Middle>
          </b:Person>
          <b:Person>
            <b:Last>Boulder</b:Last>
            <b:First>Tinukwa</b:First>
            <b:Middle>C.</b:Middle>
          </b:Person>
          <b:Person>
            <b:Last>Lawrence</b:Last>
            <b:First>Heshium</b:First>
          </b:Person>
          <b:Person>
            <b:Last>Littell</b:Last>
            <b:First>William</b:First>
            <b:Middle>Neil</b:Middle>
          </b:Person>
        </b:NameList>
      </b:BookAuthor>
    </b:Author>
    <b:RefOrder>5</b:RefOrder>
  </b:Source>
  <b:Source>
    <b:Tag>Min</b:Tag>
    <b:SourceType>InternetSite</b:SourceType>
    <b:Guid>{EF37B417-4CC2-4E83-A7AE-A1C9B0C471C0}</b:Guid>
    <b:Author>
      <b:Author>
        <b:Corporate>MindTools</b:Corporate>
      </b:Author>
    </b:Author>
    <b:Title>Gibbs' Reflective Cycle</b:Title>
    <b:InternetSiteTitle>MindTools</b:InternetSiteTitle>
    <b:URL>https://www.mindtools.com/pages/article/reflective-cycle.htm</b:URL>
    <b:RefOrder>58</b:RefOrder>
  </b:Source>
  <b:Source>
    <b:Tag>CIP21</b:Tag>
    <b:SourceType>InternetSite</b:SourceType>
    <b:Guid>{6F171BE8-98FC-45D0-B00E-D49252702E59}</b:Guid>
    <b:Author>
      <b:Author>
        <b:Corporate>CIPD</b:Corporate>
      </b:Author>
    </b:Author>
    <b:Title>Communication Factsheet</b:Title>
    <b:InternetSiteTitle>CIPD</b:InternetSiteTitle>
    <b:Year>2021</b:Year>
    <b:Month>December</b:Month>
    <b:Day>16</b:Day>
    <b:URL>https://www.cipd.co.uk/knowledge/fundamentals/relations/communication/factsheet</b:URL>
    <b:RefOrder>59</b:RefOrder>
  </b:Source>
  <b:Source>
    <b:Tag>CIP22</b:Tag>
    <b:SourceType>InternetSite</b:SourceType>
    <b:Guid>{0E9CF6E5-08AE-458C-A344-84BEC9F68FD5}</b:Guid>
    <b:Title>Workforce Planning Factsheet</b:Title>
    <b:Year>2022</b:Year>
    <b:Author>
      <b:Author>
        <b:Corporate>CIPD</b:Corporate>
      </b:Author>
    </b:Author>
    <b:InternetSiteTitle>CIPD</b:InternetSiteTitle>
    <b:Month>November</b:Month>
    <b:Day>18</b:Day>
    <b:URL>https://www.cipd.co.uk/knowledge/strategy/organisational-development/workforce-planning-factsheet</b:URL>
    <b:RefOrder>60</b:RefOrder>
  </b:Source>
  <b:Source>
    <b:Tag>Mum95</b:Tag>
    <b:SourceType>ArticleInAPeriodical</b:SourceType>
    <b:Guid>{D3E9E624-3835-4495-82AE-2297CC01CC8B}</b:Guid>
    <b:Author>
      <b:Author>
        <b:NameList>
          <b:Person>
            <b:Last>Mumford</b:Last>
            <b:First>Alan</b:First>
          </b:Person>
        </b:NameList>
      </b:Author>
    </b:Author>
    <b:Title>Putting learning styles to work: An integrated approach</b:Title>
    <b:PeriodicalTitle>Industrial and Commercial Training</b:PeriodicalTitle>
    <b:Year>1995</b:Year>
    <b:Pages>Vol. 27, Iss. 8; p. 28</b:Pages>
    <b:RefOrder>61</b:RefOrder>
  </b:Source>
  <b:Source>
    <b:Tag>Yus22</b:Tag>
    <b:SourceType>JournalArticle</b:SourceType>
    <b:Guid>{8B2BB225-E317-46B7-8DA0-8011F2A7AF71}</b:Guid>
    <b:Author>
      <b:Author>
        <b:NameList>
          <b:Person>
            <b:Last>Nilufar et al.</b:Last>
          </b:Person>
        </b:NameList>
      </b:Author>
    </b:Author>
    <b:Title>Learning Styles and their Different Features</b:Title>
    <b:InternetSiteTitle>Research Gate</b:InternetSiteTitle>
    <b:Year>2022</b:Year>
    <b:Month>April</b:Month>
    <b:URL>https://www.researchgate.net/publication/360005935_Learning_Styles_and_their_Different_Features</b:URL>
    <b:JournalName>International Journal of Innovative Research in Science, Engineering and Technology (IJIRSET), Volume 2, Issue 4</b:JournalName>
    <b:Pages>3342-3343</b:Pages>
    <b:RefOrder>11</b:RefOrder>
  </b:Source>
  <b:Source>
    <b:Tag>Ins18</b:Tag>
    <b:SourceType>InternetSite</b:SourceType>
    <b:Guid>{5DAE2694-BC23-4BEA-BEB9-2AEED92E1109}</b:Guid>
    <b:Author>
      <b:Author>
        <b:Corporate>Insight for Professionals</b:Corporate>
      </b:Author>
    </b:Author>
    <b:Title>Skills Line Manager Need To Get Best From Team</b:Title>
    <b:InternetSiteTitle>Insight for Professionals</b:InternetSiteTitle>
    <b:Year>2018</b:Year>
    <b:Month>July</b:Month>
    <b:Day>18</b:Day>
    <b:URL>https://www.insightsforprofessionals.com/management/leadership/skills-line-manager-needs-to-get-best-from-team</b:URL>
    <b:RefOrder>62</b:RefOrder>
  </b:Source>
  <b:Source>
    <b:Tag>Zai21</b:Tag>
    <b:SourceType>InternetSite</b:SourceType>
    <b:Guid>{5ACC67C3-8241-45EC-8ABA-7523C860D5F2}</b:Guid>
    <b:Author>
      <b:Author>
        <b:NameList>
          <b:Person>
            <b:Last>Oyegoke</b:Last>
            <b:First>Zainab</b:First>
          </b:Person>
        </b:NameList>
      </b:Author>
    </b:Author>
    <b:Title>Culturally diverse teams are more creative</b:Title>
    <b:InternetSiteTitle>CIPD</b:InternetSiteTitle>
    <b:Year>2021</b:Year>
    <b:Month>April</b:Month>
    <b:Day>29</b:Day>
    <b:URL>https://www.cipd.co.uk/news-views/news-articles/managing-multicultural-teams</b:URL>
    <b:RefOrder>63</b:RefOrder>
  </b:Source>
  <b:Source>
    <b:Tag>Chi19</b:Tag>
    <b:SourceType>InternetSite</b:SourceType>
    <b:Guid>{01964FEF-006E-48B5-96D5-A1B20777A18B}</b:Guid>
    <b:Author>
      <b:Author>
        <b:NameList>
          <b:Person>
            <b:Last>Ogbonnaya</b:Last>
            <b:First>Chidiebere</b:First>
          </b:Person>
        </b:NameList>
      </b:Author>
    </b:Author>
    <b:Title>When teamwork is good for employees and when it isn't</b:Title>
    <b:InternetSiteTitle>Harvard Business Review</b:InternetSiteTitle>
    <b:Year>2019</b:Year>
    <b:Month>August</b:Month>
    <b:Day>29</b:Day>
    <b:URL>https://hbr.org/2019/08/when-teamwork-is-good-for-employees-and-when-it-isnt</b:URL>
    <b:RefOrder>9</b:RefOrder>
  </b:Source>
  <b:Source>
    <b:Tag>Hal22</b:Tag>
    <b:SourceType>JournalArticle</b:SourceType>
    <b:Guid>{AE7A4F8E-6986-4589-8D74-655E68786F22}</b:Guid>
    <b:Title>Understanding the role of digital technologies in education: A review</b:Title>
    <b:Year>2022</b:Year>
    <b:Pages>V. 3; pg 275-285</b:Pages>
    <b:Author>
      <b:Author>
        <b:NameList>
          <b:Person>
            <b:Last>Haleem</b:Last>
            <b:First>Abid</b:First>
          </b:Person>
          <b:Person>
            <b:Last>Javaid</b:Last>
            <b:First>Mohd</b:First>
          </b:Person>
          <b:Person>
            <b:Last>Qadri</b:Last>
            <b:First>Mohd</b:First>
            <b:Middle>A.</b:Middle>
          </b:Person>
          <b:Person>
            <b:Last>Suman</b:Last>
            <b:First>Rajiv</b:First>
          </b:Person>
        </b:NameList>
      </b:Author>
    </b:Author>
    <b:JournalName>Sustainable Operations and Computers</b:JournalName>
    <b:RefOrder>64</b:RefOrder>
  </b:Source>
  <b:Source>
    <b:Tag>Hul22</b:Tag>
    <b:SourceType>InternetSite</b:SourceType>
    <b:Guid>{53175986-5BEA-43E2-8F48-97C8E4F2BCBD}</b:Guid>
    <b:Author>
      <b:Author>
        <b:NameList>
          <b:Person>
            <b:Last>Hull University Library</b:Last>
          </b:Person>
        </b:NameList>
      </b:Author>
    </b:Author>
    <b:Title>Reflective writing: ERA</b:Title>
    <b:InternetSiteTitle>Hull University</b:InternetSiteTitle>
    <b:Year>2022</b:Year>
    <b:Month>October</b:Month>
    <b:Day>26</b:Day>
    <b:URL>https://libguides.hull.ac.uk/reflectivewriting/era</b:URL>
    <b:RefOrder>10</b:RefOrder>
  </b:Source>
  <b:Source>
    <b:Tag>Cam2</b:Tag>
    <b:SourceType>InternetSite</b:SourceType>
    <b:Guid>{5B86460C-57DF-44F6-93FA-12BCB97D9882}</b:Guid>
    <b:Author>
      <b:Author>
        <b:NameList>
          <b:Person>
            <b:Last>Cambridge Library Study Skills</b:Last>
          </b:Person>
        </b:NameList>
      </b:Author>
    </b:Author>
    <b:Title>Reflective Practice Toolkit</b:Title>
    <b:InternetSiteTitle>Cambidge University</b:InternetSiteTitle>
    <b:URL>https://libguides.cam.ac.uk/reflectivepracticetoolkit/models</b:URL>
    <b:RefOrder>65</b:RefOrder>
  </b:Source>
  <b:Source>
    <b:Tag>Cry21</b:Tag>
    <b:SourceType>InternetSite</b:SourceType>
    <b:Guid>{BC76F173-DFD4-46B1-9B4B-DEAD97EFCD0D}</b:Guid>
    <b:Title>How to Recognize and Overcome Imposter Syndrome</b:Title>
    <b:Year>2021</b:Year>
    <b:Author>
      <b:Author>
        <b:NameList>
          <b:Person>
            <b:Last>Raypole</b:Last>
            <b:First>Crystal</b:First>
          </b:Person>
        </b:NameList>
      </b:Author>
    </b:Author>
    <b:InternetSiteTitle>Healthline</b:InternetSiteTitle>
    <b:Month>April</b:Month>
    <b:Day>16</b:Day>
    <b:URL>https://www.healthline.com/health/mental-health/imposter-syndrome</b:URL>
    <b:RefOrder>1</b:RefOrder>
  </b:Source>
  <b:Source>
    <b:Tag>Bur16</b:Tag>
    <b:SourceType>ArticleInAPeriodical</b:SourceType>
    <b:Guid>{379D6D45-67A8-4925-924D-989DE4613666}</b:Guid>
    <b:Title>Continuing professional development for non-medical health care professionals: History, issues and challenges</b:Title>
    <b:Year>2016</b:Year>
    <b:Month>May</b:Month>
    <b:Day>1</b:Day>
    <b:Author>
      <b:Author>
        <b:NameList>
          <b:Person>
            <b:Last>Burke</b:Last>
            <b:First>Linda</b:First>
          </b:Person>
          <b:Person>
            <b:Last>Redfern</b:Last>
            <b:First>Morgan</b:First>
          </b:Person>
          <b:Person>
            <b:Last>Marks-Maran</b:Last>
            <b:First>Di</b:First>
          </b:Person>
        </b:NameList>
      </b:Author>
    </b:Author>
    <b:PeriodicalTitle>International Journal of Continuing Education &amp; Lifelong Learning</b:PeriodicalTitle>
    <b:Pages>85-92</b:Pages>
    <b:RefOrder>18</b:RefOrder>
  </b:Source>
  <b:Source>
    <b:Tag>Bau23</b:Tag>
    <b:SourceType>ArticleInAPeriodical</b:SourceType>
    <b:Guid>{D09C39D0-8BB2-4F8D-9491-34B39D3E3D69}</b:Guid>
    <b:Author>
      <b:Author>
        <b:NameList>
          <b:Person>
            <b:Last>Baumann</b:Last>
            <b:First>Sheron</b:First>
          </b:Person>
          <b:Person>
            <b:Last>Keimer</b:Last>
            <b:First>Imke</b:First>
          </b:Person>
        </b:NameList>
      </b:Author>
    </b:Author>
    <b:Title>Individual Benefits of Continuing Higher Education. The Case of a Swiss Business School</b:Title>
    <b:PeriodicalTitle>Journal of Adult and Continuing Education</b:PeriodicalTitle>
    <b:Year>2023</b:Year>
    <b:Month>February</b:Month>
    <b:Day>28</b:Day>
    <b:Pages>Vol. 29; Issue 2; pg 343-359</b:Pages>
    <b:RefOrder>13</b:RefOrder>
  </b:Source>
  <b:Source>
    <b:Tag>Aru21</b:Tag>
    <b:SourceType>Report</b:SourceType>
    <b:Guid>{7F32145F-597A-41BD-8DC0-C4D10DA3F7FB}</b:Guid>
    <b:Author>
      <b:Author>
        <b:NameList>
          <b:Person>
            <b:Last>Arumugam</b:Last>
            <b:First>Dilip</b:First>
          </b:Person>
          <b:Person>
            <b:Last>Van Roy</b:Last>
            <b:First>Benjamin</b:First>
          </b:Person>
        </b:NameList>
      </b:Author>
    </b:Author>
    <b:Title>The Value of Information</b:Title>
    <b:Year>2021</b:Year>
    <b:Month>October</b:Month>
    <b:Day>26</b:Day>
    <b:Publisher>Cornell University Library</b:Publisher>
    <b:City>Ithaca</b:City>
    <b:RefOrder>6</b:RefOrder>
  </b:Source>
  <b:Source>
    <b:Tag>Dav22</b:Tag>
    <b:SourceType>InternetSite</b:SourceType>
    <b:Guid>{AC2D6167-BFD8-45C2-A334-51FA40960B88}</b:Guid>
    <b:Title>The Dunning-Kruger effect and its discontents</b:Title>
    <b:Year>2022</b:Year>
    <b:Author>
      <b:Author>
        <b:NameList>
          <b:Person>
            <b:Last>Dunning</b:Last>
            <b:First>David</b:First>
          </b:Person>
        </b:NameList>
      </b:Author>
    </b:Author>
    <b:InternetSiteTitle>The British Psychological Society</b:InternetSiteTitle>
    <b:Month>March</b:Month>
    <b:Day>7</b:Day>
    <b:URL>https://www.bps.org.uk/psychologist/dunning-kruger-effect-and-its-discontents</b:URL>
    <b:RefOrder>66</b:RefOrder>
  </b:Source>
  <b:Source>
    <b:Tag>Bou06</b:Tag>
    <b:SourceType>Book</b:SourceType>
    <b:Guid>{46799F0F-1C08-458A-86C4-EE505A99C592}</b:Guid>
    <b:Title>Productive Reflection at Work : Learning for Changing Organizations</b:Title>
    <b:Year>2006</b:Year>
    <b:Author>
      <b:Author>
        <b:NameList>
          <b:Person>
            <b:Last>Boud</b:Last>
            <b:First>David</b:First>
          </b:Person>
          <b:Person>
            <b:Last>Cressey</b:Last>
            <b:First>Peter</b:First>
          </b:Person>
          <b:Person>
            <b:Last>Docherty</b:Last>
            <b:First>Peter</b:First>
          </b:Person>
        </b:NameList>
      </b:Author>
    </b:Author>
    <b:City>London</b:City>
    <b:Publisher>Routledge</b:Publisher>
    <b:RefOrder>19</b:RefOrder>
  </b:Source>
  <b:Source>
    <b:Tag>Tom15</b:Tag>
    <b:SourceType>InternetSite</b:SourceType>
    <b:Guid>{DE99CE3E-4665-44EC-B84F-AF9A15E24D6D}</b:Guid>
    <b:Title>Self Rective Consciousness</b:Title>
    <b:Year>2015</b:Year>
    <b:Month>January</b:Month>
    <b:Day>23</b:Day>
    <b:Author>
      <b:Author>
        <b:NameList>
          <b:Person>
            <b:Last>Morris</b:Last>
            <b:First>Tom</b:First>
          </b:Person>
        </b:NameList>
      </b:Author>
    </b:Author>
    <b:InternetSiteTitle>Tom V Morris</b:InternetSiteTitle>
    <b:URL>https://www.tomvmorris.com/blog/2015/1/11/self-reflective-consciousness</b:URL>
    <b:RefOrder>12</b:RefOrder>
  </b:Source>
  <b:Source>
    <b:Tag>NHS2</b:Tag>
    <b:SourceType>InternetSite</b:SourceType>
    <b:Guid>{8C0518A1-29C7-426D-B8E1-CAD2979E28F2}</b:Guid>
    <b:Author>
      <b:Author>
        <b:Corporate>NHS</b:Corporate>
      </b:Author>
    </b:Author>
    <b:Title>Obsessive Compulsive Disorder: Overview</b:Title>
    <b:InternetSiteTitle>NHS</b:InternetSiteTitle>
    <b:URL>https://www.nhs.uk/mental-health/conditions/obsessive-compulsive-disorder-ocd/overview/</b:URL>
    <b:RefOrder>2</b:RefOrder>
  </b:Source>
  <b:Source>
    <b:Tag>Mar15</b:Tag>
    <b:SourceType>InternetSite</b:SourceType>
    <b:Guid>{1A33E920-914E-471C-A145-C5E5DD8624C5}</b:Guid>
    <b:Author>
      <b:Author>
        <b:NameList>
          <b:Person>
            <b:Last>Crislip</b:Last>
            <b:First>Mark</b:First>
          </b:Person>
        </b:NameList>
      </b:Author>
    </b:Author>
    <b:Title>What Should We Do in the Absence of Evidence?</b:Title>
    <b:InternetSiteTitle>Science-Based Medicine</b:InternetSiteTitle>
    <b:Year>2015</b:Year>
    <b:Month>May</b:Month>
    <b:Day>1</b:Day>
    <b:URL>https://sciencebasedmedicine.org/what-should-we-do-in-the-absence-of-evidence/</b:URL>
    <b:RefOrder>8</b:RefOrder>
  </b:Source>
  <b:Source>
    <b:Tag>Kli22</b:Tag>
    <b:SourceType>JournalArticle</b:SourceType>
    <b:Guid>{2B91CC19-EA8C-46FC-9C31-E69951811CA0}</b:Guid>
    <b:Title>Cognitive Benefts of Learning Additional Languages in Old Adulthood? Insights from an Intensive Longitudinal Intervention Study</b:Title>
    <b:Year>2022</b:Year>
    <b:Author>
      <b:Author>
        <b:NameList>
          <b:Person>
            <b:Last>Kliesch</b:Last>
            <b:First>M.</b:First>
          </b:Person>
          <b:Person>
            <b:Last>Pfenninger</b:Last>
            <b:First>S.</b:First>
          </b:Person>
          <b:Person>
            <b:Last>Wieling</b:Last>
            <b:First>M.</b:First>
          </b:Person>
          <b:Person>
            <b:Last>Stark</b:Last>
            <b:First>E.</b:First>
          </b:Person>
          <b:Person>
            <b:Last>Meyer</b:Last>
            <b:First>M.</b:First>
          </b:Person>
        </b:NameList>
      </b:Author>
    </b:Author>
    <b:JournalName>Applied Linguistics</b:JournalName>
    <b:Pages>43/4: 653-676</b:Pages>
    <b:RefOrder>16</b:RefOrder>
  </b:Source>
  <b:Source>
    <b:Tag>Ruh19</b:Tag>
    <b:SourceType>JournalArticle</b:SourceType>
    <b:Guid>{239CFABA-7209-4BF3-92BD-2E88B5DDCBF2}</b:Guid>
    <b:Author>
      <b:Author>
        <b:NameList>
          <b:Person>
            <b:Last>Ruhose</b:Last>
            <b:First>Jens</b:First>
          </b:Person>
          <b:Person>
            <b:Last>Thomsen</b:Last>
            <b:First>Stephan</b:First>
          </b:Person>
          <b:Person>
            <b:Last>Weilage</b:Last>
            <b:First>Insa</b:First>
          </b:Person>
        </b:NameList>
      </b:Author>
    </b:Author>
    <b:Title>The benefits of adult learning: Work-related training, social capital, and earnings</b:Title>
    <b:JournalName>Economics of Education Review</b:JournalName>
    <b:Year>2019</b:Year>
    <b:Pages>166-186</b:Pages>
    <b:RefOrder>17</b:RefOrder>
  </b:Source>
  <b:Source>
    <b:Tag>Tre22</b:Tag>
    <b:SourceType>Report</b:SourceType>
    <b:Guid>{AB6403F0-0861-4795-A4A6-95F0E2E0C811}</b:Guid>
    <b:Author>
      <b:Author>
        <b:NameList>
          <b:Person>
            <b:Last>Trentepohl</b:Last>
            <b:First>Sebastian</b:First>
          </b:Person>
          <b:Person>
            <b:Last>Waldeyer</b:Last>
            <b:First>Julia</b:First>
          </b:Person>
          <b:Person>
            <b:Last>Waldeyer</b:Last>
            <b:First>Julia</b:First>
          </b:Person>
          <b:Person>
            <b:Last>Fleischer</b:Last>
            <b:First>Jens</b:First>
          </b:Person>
          <b:Person>
            <b:Last>Roelle</b:Last>
            <b:First>Julian</b:First>
          </b:Person>
          <b:Person>
            <b:Last>Leutner</b:Last>
            <b:First>Detlev</b:First>
          </b:Person>
          <b:Person>
            <b:Last>Wirth</b:Last>
            <b:First>Joachim</b:First>
          </b:Person>
        </b:NameList>
      </b:Author>
    </b:Author>
    <b:Title>How Did It Get So Late So Soon? The Effects of Time Management Knowledge and Practice on Students’ Time Management Skills and Academic Performance</b:Title>
    <b:JournalName>MDPI</b:JournalName>
    <b:Year>2022</b:Year>
    <b:Publisher>MDPI AG</b:Publisher>
    <b:City>Basel</b:City>
    <b:RefOrder>3</b:RefOrder>
  </b:Source>
  <b:Source>
    <b:Tag>Yus221</b:Tag>
    <b:SourceType>ArticleInAPeriodical</b:SourceType>
    <b:Guid>{7852AE82-84E2-4E13-ADFD-9D525BB382AE}</b:Guid>
    <b:Title>Learning Styles and their Different Features</b:Title>
    <b:Year>2022</b:Year>
    <b:Month>April</b:Month>
    <b:Day>3454-3462</b:Day>
    <b:Pages>Volume 11, Issue 4</b:Pages>
    <b:PeriodicalTitle>International Journal of Innovative Research in Science, Engineering and Technology</b:PeriodicalTitle>
    <b:JournalName>International Journal of Innovative Research in Science, Engineering and Technology</b:JournalName>
    <b:Author>
      <b:Author>
        <b:NameList>
          <b:Person>
            <b:Last>Yusupova</b:Last>
            <b:First>Nilufar</b:First>
          </b:Person>
          <b:Person>
            <b:Last>Azamatjon</b:Last>
            <b:First>Qizi</b:First>
          </b:Person>
          <b:Person>
            <b:Last>Adilova Fotima</b:Last>
            <b:First>Muhammadanasovna</b:First>
          </b:Person>
        </b:NameList>
      </b:Author>
    </b:Author>
    <b:RefOrder>35</b:RefOrder>
  </b:Source>
  <b:Source>
    <b:Tag>Sta</b:Tag>
    <b:SourceType>InternetSite</b:SourceType>
    <b:Guid>{1DE85A96-D3D4-41BF-8FB0-0FCE5BB73330}</b:Guid>
    <b:Author>
      <b:Author>
        <b:NameList>
          <b:Person>
            <b:Last>Williams</b:Last>
            <b:First>Stace</b:First>
          </b:Person>
        </b:NameList>
      </b:Author>
    </b:Author>
    <b:Title>How to Develop Your Team Brand Statement</b:Title>
    <b:InternetSiteTitle>Better Teams</b:InternetSiteTitle>
    <b:URL>https://better-teams.com/team-brand-statement/</b:URL>
    <b:RefOrder>36</b:RefOrder>
  </b:Source>
  <b:Source>
    <b:Tag>Wil14</b:Tag>
    <b:SourceType>JournalArticle</b:SourceType>
    <b:Guid>{741F9CBB-6694-42BC-B6F2-B7B27EF893F2}</b:Guid>
    <b:Title>Satisfaction of doctors with the role of physician associates</b:Title>
    <b:Year>2014</b:Year>
    <b:Author>
      <b:Author>
        <b:NameList>
          <b:Person>
            <b:Last>Williams</b:Last>
            <b:First>Lorraine</b:First>
            <b:Middle>E.</b:Middle>
          </b:Person>
          <b:Person>
            <b:Last>Ritsen</b:Last>
            <b:First>Tamara</b:First>
            <b:Middle>S.</b:Middle>
          </b:Person>
        </b:NameList>
      </b:Author>
    </b:Author>
    <b:PeriodicalTitle>RCP Journals: Clinical Medicine</b:PeriodicalTitle>
    <b:Pages>Vol. 14; No. 2; Pages 113-116</b:Pages>
    <b:JournalName>RCP Journal: Clinical Medicine</b:JournalName>
    <b:RefOrder>37</b:RefOrder>
  </b:Source>
  <b:Source>
    <b:Tag>CEW11</b:Tag>
    <b:SourceType>JournalArticle</b:SourceType>
    <b:Guid>{B35A90B2-4CDA-4E46-A79E-68EDAC4BED1F}</b:Guid>
    <b:Title>Flexible Emotional Responsiveness in Trait Resilience</b:Title>
    <b:Year>2011</b:Year>
    <b:Pages>Vol.11 (5); p. 1059-1067</b:Pages>
    <b:JournalName>Emotions</b:JournalName>
    <b:Author>
      <b:Author>
        <b:NameList>
          <b:Person>
            <b:Last>Waugh</b:Last>
            <b:First>C.E.</b:First>
          </b:Person>
          <b:Person>
            <b:Last>Thompson</b:Last>
            <b:First>R.J.</b:First>
          </b:Person>
          <b:Person>
            <b:Last>Gotlib</b:Last>
            <b:First>I.H.</b:First>
          </b:Person>
        </b:NameList>
      </b:Author>
    </b:Author>
    <b:RefOrder>38</b:RefOrder>
  </b:Source>
  <b:Source>
    <b:Tag>RBW05</b:Tag>
    <b:SourceType>JournalArticle</b:SourceType>
    <b:Guid>{681FFA21-A605-4EDA-ADB8-3C671922CB25}</b:Guid>
    <b:Author>
      <b:Author>
        <b:NameList>
          <b:Person>
            <b:Last>Wall</b:Last>
            <b:First>R.B.</b:First>
          </b:Person>
        </b:NameList>
      </b:Author>
    </b:Author>
    <b:Title>Tai Chi and Mindfulness-based Stress Reduction in a Boston Public Middle School</b:Title>
    <b:JournalName>Jornal of Pediatric Health Care</b:JournalName>
    <b:Year>2005</b:Year>
    <b:Pages>Vol.19 (4); p. 230-237</b:Pages>
    <b:RefOrder>41</b:RefOrder>
  </b:Source>
  <b:Source>
    <b:Tag>Tim21</b:Tag>
    <b:SourceType>InternetSite</b:SourceType>
    <b:Guid>{629A03FC-5A53-4158-9A74-1EBBD128DC06}</b:Guid>
    <b:Author>
      <b:Author>
        <b:NameList>
          <b:Person>
            <b:Last>Wakeford</b:Last>
            <b:First>Tim</b:First>
          </b:Person>
        </b:NameList>
      </b:Author>
    </b:Author>
    <b:Title>Why integrated workforce planning is critical for a post-pandemic era</b:Title>
    <b:InternetSiteTitle>Enterprise Times</b:InternetSiteTitle>
    <b:Year>2021</b:Year>
    <b:Month>October</b:Month>
    <b:Day>5</b:Day>
    <b:URL>https://www.enterprisetimes.co.uk/2021/10/05/why-integrated-workforce-planning-is-critical-for-a-post-pandemic-era/</b:URL>
    <b:RefOrder>42</b:RefOrder>
  </b:Source>
  <b:Source>
    <b:Tag>Eri</b:Tag>
    <b:SourceType>InternetSite</b:SourceType>
    <b:Guid>{CEC084FD-DE97-469D-83ED-40877B9CEE06}</b:Guid>
    <b:Author>
      <b:Author>
        <b:NameList>
          <b:Person>
            <b:Last>Vulpen</b:Last>
            <b:First>Erik</b:First>
            <b:Middle>van</b:Middle>
          </b:Person>
        </b:NameList>
      </b:Author>
    </b:Author>
    <b:Title>A Guide to Strategic Workforce Planning</b:Title>
    <b:InternetSiteTitle>AIHR</b:InternetSiteTitle>
    <b:URL>https://www.aihr.com/blog/strategic-workforce-planning/</b:URL>
    <b:RefOrder>43</b:RefOrder>
  </b:Source>
  <b:Source>
    <b:Tag>Ver10</b:Tag>
    <b:SourceType>ArticleInAPeriodical</b:SourceType>
    <b:Guid>{E895EF13-C148-4DB9-BABE-4CCDD6BB7421}</b:Guid>
    <b:Author>
      <b:Author>
        <b:NameList>
          <b:Person>
            <b:Last>Veronica</b:Last>
            <b:First>M.</b:First>
          </b:Person>
          <b:Person>
            <b:Last>Lawrence</b:Last>
            <b:First>M.</b:First>
          </b:Person>
        </b:NameList>
      </b:Author>
    </b:Author>
    <b:Title>Secondary School Teachers and Learning Style Preferences: action or watching in the classroom?</b:Title>
    <b:PeriodicalTitle>Educational Psychology</b:PeriodicalTitle>
    <b:Year>2010</b:Year>
    <b:Month>November </b:Month>
    <b:Day>25</b:Day>
    <b:Pages>Vol. 17:1-2, pg 157-170</b:Pages>
    <b:RefOrder>44</b:RefOrder>
  </b:Source>
  <b:Source>
    <b:Tag>Ver211</b:Tag>
    <b:SourceType>InternetSite</b:SourceType>
    <b:Guid>{CA4587D5-776A-42FD-8449-8F6DE632DCD5}</b:Guid>
    <b:Title>The Biggest Myth in Education</b:Title>
    <b:Year>2021</b:Year>
    <b:Month>July</b:Month>
    <b:Day>9</b:Day>
    <b:Author>
      <b:Author>
        <b:NameList>
          <b:Person>
            <b:Last>Veritasium</b:Last>
          </b:Person>
        </b:NameList>
      </b:Author>
    </b:Author>
    <b:InternetSiteTitle>YouTube</b:InternetSiteTitle>
    <b:URL>https://www.youtube.com/watch?v=rhgwIhB58PA</b:URL>
    <b:RefOrder>45</b:RefOrder>
  </b:Source>
  <b:Source>
    <b:Tag>Ver21</b:Tag>
    <b:SourceType>InternetSite</b:SourceType>
    <b:Guid>{F32FC2A4-5C5C-4D47-AB25-365EFE05ACAF}</b:Guid>
    <b:Author>
      <b:Author>
        <b:NameList>
          <b:Person>
            <b:Last>Veritasium</b:Last>
          </b:Person>
        </b:NameList>
      </b:Author>
    </b:Author>
    <b:Title>The Biggest Myth in Education</b:Title>
    <b:InternetSiteTitle>Youtube</b:InternetSiteTitle>
    <b:Year>2021</b:Year>
    <b:Month>July</b:Month>
    <b:Day>09</b:Day>
    <b:URL>https://www.youtube.com/watch?v=rhgwIhB58PA</b:URL>
    <b:RefOrder>46</b:RefOrder>
  </b:Source>
  <b:Source>
    <b:Tag>The</b:Tag>
    <b:SourceType>InternetSite</b:SourceType>
    <b:Guid>{107F53E5-D443-4F55-B95D-AA3B37CFFFAC}</b:Guid>
    <b:Title>What are the benefits of group work?</b:Title>
    <b:Pages>https://www.cmu.edu/teaching/designteach/design/instructionalstrategies/groupprojects/benefits.html</b:Pages>
    <b:Author>
      <b:Author>
        <b:NameList>
          <b:Person>
            <b:Last>The Eberly Centre</b:Last>
          </b:Person>
        </b:NameList>
      </b:Author>
    </b:Author>
    <b:InternetSiteTitle>Carnegie Mellon University</b:InternetSiteTitle>
    <b:URL>https://www.cmu.edu/teaching/designteach/design/instructionalstrategies/groupprojects/benefits.html</b:URL>
    <b:RefOrder>49</b:RefOrder>
  </b:Source>
  <b:Source>
    <b:Tag>PTe19</b:Tag>
    <b:SourceType>JournalArticle</b:SourceType>
    <b:Guid>{0F0BE921-12AF-4139-9299-04F929125629}</b:Guid>
    <b:Author>
      <b:Author>
        <b:NameList>
          <b:Person>
            <b:Last>Tempski</b:Last>
            <b:First>P.</b:First>
          </b:Person>
          <b:Person>
            <b:Last>Santos</b:Last>
            <b:First>I.S.</b:First>
          </b:Person>
          <b:Person>
            <b:Last>Mayer</b:Last>
            <b:First>F.B.</b:First>
          </b:Person>
          <b:Person>
            <b:Last>Enns</b:Last>
            <b:First>S.C.</b:First>
          </b:Person>
          <b:Person>
            <b:Last>Perotta</b:Last>
            <b:First>B.</b:First>
          </b:Person>
          <b:Person>
            <b:Last>Paro</b:Last>
            <b:First>H.B.M.S.</b:First>
          </b:Person>
          <b:Person>
            <b:Last>Gannam</b:Last>
            <b:First>S.</b:First>
          </b:Person>
          <b:Person>
            <b:Last>Peleias</b:Last>
            <b:First>M.</b:First>
          </b:Person>
          <b:Person>
            <b:Last>Garcia</b:Last>
            <b:First>V.L.</b:First>
          </b:Person>
          <b:Person>
            <b:Last>Baldassin</b:Last>
            <b:First>S.</b:First>
          </b:Person>
          <b:Person>
            <b:Last>Guimaraes</b:Last>
            <b:First>K.B.</b:First>
          </b:Person>
          <b:Person>
            <b:Last>Silva</b:Last>
            <b:First>N.R.</b:First>
          </b:Person>
          <b:Person>
            <b:Last>Cruz</b:Last>
            <b:First>E.M.T.N.</b:First>
            <b:Middle>da</b:Middle>
          </b:Person>
          <b:Person>
            <b:Last>Tofoli</b:Last>
            <b:First>L.F.</b:First>
          </b:Person>
          <b:Person>
            <b:Last>Silveira</b:Last>
            <b:First>P.S.P.</b:First>
          </b:Person>
          <b:Person>
            <b:Last>Martins</b:Last>
            <b:First>M.A.</b:First>
          </b:Person>
        </b:NameList>
      </b:Author>
    </b:Author>
    <b:Title>Relationship Amound Medical Student Resilience, Educational Environment and Quality of Life</b:Title>
    <b:JournalName>Plos One</b:JournalName>
    <b:Year>2019</b:Year>
    <b:Pages>Vol.10 (6)</b:Pages>
    <b:RefOrder>50</b:RefOrder>
  </b:Source>
  <b:Source>
    <b:Tag>Ste99</b:Tag>
    <b:SourceType>JournalArticle</b:SourceType>
    <b:Guid>{7CDCB6BB-E1E9-410C-A8B3-45DAC0444304}</b:Guid>
    <b:Title>The Dimensionality of Honey and Mumford's Learning Styles Questionnaire</b:Title>
    <b:Year>1999</b:Year>
    <b:Pages>Vol.7 (1), p.1-11</b:Pages>
    <b:Author>
      <b:Author>
        <b:NameList>
          <b:Person>
            <b:Last>Swailes</b:Last>
            <b:First>S.</b:First>
          </b:Person>
          <b:Person>
            <b:Last>Senior</b:Last>
            <b:First>B.</b:First>
          </b:Person>
        </b:NameList>
      </b:Author>
    </b:Author>
    <b:JournalName>International journal of selection and assessment</b:JournalName>
    <b:RefOrder>51</b:RefOrder>
  </b:Source>
  <b:Source>
    <b:Tag>Ada19</b:Tag>
    <b:SourceType>InternetSite</b:SourceType>
    <b:Guid>{8413301C-3032-4B2D-82DD-B22EF12902B7}</b:Guid>
    <b:Author>
      <b:Author>
        <b:NameList>
          <b:Person>
            <b:Last>Steele</b:Last>
            <b:First>Adam</b:First>
          </b:Person>
        </b:NameList>
      </b:Author>
    </b:Author>
    <b:Title>What is active learning and what are the benefits?</b:Title>
    <b:InternetSiteTitle>Cambridge University Press</b:InternetSiteTitle>
    <b:Year>2019</b:Year>
    <b:Month>June</b:Month>
    <b:Day>25</b:Day>
    <b:URL>https://www.cambridge.org/us/education/blog/2019/06/25/what-active-learning-and-what-are-benefits/</b:URL>
    <b:RefOrder>52</b:RefOrder>
  </b:Source>
  <b:Source>
    <b:Tag>JFS85</b:Tag>
    <b:SourceType>JournalArticle</b:SourceType>
    <b:Guid>{B9D9D1ED-4972-4E44-8A2A-CE83D86F7C4C}</b:Guid>
    <b:Author>
      <b:Author>
        <b:NameList>
          <b:Person>
            <b:Last>Sorce</b:Last>
            <b:First>J.F.</b:First>
          </b:Person>
          <b:Person>
            <b:Last>Emde</b:Last>
            <b:First>R.N.</b:First>
          </b:Person>
          <b:Person>
            <b:Last>Campos</b:Last>
            <b:First>J.J.</b:First>
          </b:Person>
          <b:Person>
            <b:Last>Klinnert</b:Last>
            <b:First>M.D.</b:First>
          </b:Person>
        </b:NameList>
      </b:Author>
    </b:Author>
    <b:Title>Maternal Emotional Signalling: It's Effect on the Visual Cliff Behaviour of 1-year-olds</b:Title>
    <b:JournalName>Developmental Psychology</b:JournalName>
    <b:Year>1985</b:Year>
    <b:Pages>Vol.21 (1); p. 195-200</b:Pages>
    <b:RefOrder>53</b:RefOrder>
  </b:Source>
  <b:Source>
    <b:Tag>Smi15</b:Tag>
    <b:SourceType>InternetSite</b:SourceType>
    <b:Guid>{9CE59965-F9A8-42B5-B616-DDDDC308B376}</b:Guid>
    <b:Title>Workforce Planning in the NHS</b:Title>
    <b:Year>2015</b:Year>
    <b:Author>
      <b:Author>
        <b:NameList>
          <b:Person>
            <b:Last>Smithson</b:Last>
            <b:First>Rachel</b:First>
          </b:Person>
          <b:Person>
            <b:Last>Maguire</b:Last>
            <b:First>David</b:First>
          </b:Person>
          <b:Person>
            <b:Last>Honeyman</b:Last>
            <b:First>Matthew</b:First>
          </b:Person>
          <b:Person>
            <b:Last>Jabbal</b:Last>
            <b:First>Joni</b:First>
          </b:Person>
        </b:NameList>
      </b:Author>
    </b:Author>
    <b:InternetSiteTitle>The Kings Fund</b:InternetSiteTitle>
    <b:Month>April</b:Month>
    <b:Day>29</b:Day>
    <b:URL>https://www.kingsfund.org.uk/publications/workforce-planning-nhs</b:URL>
    <b:RefOrder>54</b:RefOrder>
  </b:Source>
  <b:Source>
    <b:Tag>Sle19</b:Tag>
    <b:SourceType>ArticleInAPeriodical</b:SourceType>
    <b:Guid>{85BBD5AB-684F-47A6-AD4E-DAFDC7EA3A0D}</b:Guid>
    <b:Title>The Moderating Role of Individual Resilience in Refugee and Dutch</b:Title>
    <b:Year>2019</b:Year>
    <b:Pages>Vol.11 (7); p. 732-742</b:Pages>
    <b:Author>
      <b:Author>
        <b:NameList>
          <b:Person>
            <b:Last>Sleijpen</b:Last>
            <b:First>Marieke</b:First>
          </b:Person>
          <b:Person>
            <b:Last>Aa</b:Last>
            <b:First>Niels</b:First>
            <b:Middle>van der</b:Middle>
          </b:Person>
          <b:Person>
            <b:Last>Mooren</b:Last>
            <b:First>Trudy</b:First>
          </b:Person>
          <b:Person>
            <b:Last>Laban</b:Last>
            <b:First>Cornelis</b:First>
            <b:Middle>J.</b:Middle>
          </b:Person>
        </b:NameList>
      </b:Author>
    </b:Author>
    <b:PeriodicalTitle>Psychological Trauma: Theory, Research, Practice, and Policy</b:PeriodicalTitle>
    <b:RefOrder>55</b:RefOrder>
  </b:Source>
  <b:Source>
    <b:Tag>Sil97</b:Tag>
    <b:SourceType>ArticleInAPeriodical</b:SourceType>
    <b:Guid>{5A1F6705-4E66-4784-9441-BBE41E7F72DA}</b:Guid>
    <b:Title>Integrating learning styles and multipleintelligences</b:Title>
    <b:Year>1997</b:Year>
    <b:Pages>55 (1), 22</b:Pages>
    <b:Author>
      <b:Author>
        <b:NameList>
          <b:Person>
            <b:Last>Silver</b:Last>
            <b:First>H.,</b:First>
            <b:Middle>Strong, R., &amp; Perini, M.</b:Middle>
          </b:Person>
        </b:NameList>
      </b:Author>
    </b:Author>
    <b:PeriodicalTitle>Educational Leadership</b:PeriodicalTitle>
    <b:Month>September</b:Month>
    <b:RefOrder>56</b:RefOrder>
  </b:Source>
  <b:Source>
    <b:Tag>Rob14</b:Tag>
    <b:SourceType>InternetSite</b:SourceType>
    <b:Guid>{8F2D1334-18BA-47CA-90F7-53A00144303B}</b:Guid>
    <b:Author>
      <b:Author>
        <b:NameList>
          <b:Person>
            <b:Last>Shimonski</b:Last>
            <b:First>Robert</b:First>
          </b:Person>
        </b:NameList>
      </b:Author>
    </b:Author>
    <b:Title>Leadership Identity: Brand Yourself, Team and Organization</b:Title>
    <b:InternetSiteTitle>Linkedin</b:InternetSiteTitle>
    <b:Year>2014</b:Year>
    <b:Month>December</b:Month>
    <b:Day>22</b:Day>
    <b:URL>https://www.linkedin.com/pulse/leadership-identity-brand-yourself-team-organization-robert-shimonski/</b:URL>
    <b:RefOrder>57</b:RefOrder>
  </b:Source>
  <b:Source>
    <b:Tag>Sch11</b:Tag>
    <b:SourceType>JournalArticle</b:SourceType>
    <b:Guid>{A600F114-7B28-415D-9157-E67D0C28074B}</b:Guid>
    <b:Author>
      <b:Author>
        <b:NameList>
          <b:Person>
            <b:Last>Schwind</b:Last>
            <b:First>Jasna</b:First>
            <b:Middle>K.</b:Middle>
          </b:Person>
          <b:Person>
            <b:Last>Cameron</b:Last>
            <b:First>Debbie</b:First>
          </b:Person>
          <b:Person>
            <b:Last>Franks</b:Last>
            <b:First>Judith</b:First>
          </b:Person>
          <b:Person>
            <b:Last>Graham</b:Last>
            <b:First>Cathy</b:First>
          </b:Person>
          <b:Person>
            <b:Last>Robinson</b:Last>
            <b:First>Trish</b:First>
          </b:Person>
        </b:NameList>
      </b:Author>
    </b:Author>
    <b:Title>Engaging in narrative reflective process to fine tune self-as-instrument-of-care</b:Title>
    <b:JournalName>Reflective Practice</b:JournalName>
    <b:Year>2011</b:Year>
    <b:Pages>1:1; pages 223</b:Pages>
    <b:RefOrder>60</b:RefOrder>
  </b:Source>
  <b:Source>
    <b:Tag>Ing09</b:Tag>
    <b:SourceType>Book</b:SourceType>
    <b:Guid>{C08D7489-B97D-438F-80BC-C98021E5EA40}</b:Guid>
    <b:Title>Risk and Resilience - Adaptations in Changing Times</b:Title>
    <b:Year>2009</b:Year>
    <b:Author>
      <b:Author>
        <b:NameList>
          <b:Person>
            <b:Last>Schoon</b:Last>
            <b:First>Ingrid</b:First>
          </b:Person>
        </b:NameList>
      </b:Author>
    </b:Author>
    <b:City>London</b:City>
    <b:Publisher>Cambridge University Press</b:Publisher>
    <b:RefOrder>61</b:RefOrder>
  </b:Source>
  <b:Source>
    <b:Tag>Sch09</b:Tag>
    <b:SourceType>Book</b:SourceType>
    <b:Guid>{3F0D5446-F049-4AF4-A7BE-31F0BB3D755C}</b:Guid>
    <b:Title>Public Health Textbook</b:Title>
    <b:Year>2009</b:Year>
    <b:Author>
      <b:Author>
        <b:NameList>
          <b:Person>
            <b:Last>Schmidt</b:Last>
            <b:First>Jurgen</b:First>
            <b:Middle>C.</b:Middle>
          </b:Person>
          <b:Person>
            <b:Last>Laycock</b:Last>
            <b:First>Martyn</b:First>
          </b:Person>
        </b:NameList>
      </b:Author>
    </b:Author>
    <b:City>London</b:City>
    <b:Publisher>Faculty of Public Health</b:Publisher>
    <b:RefOrder>62</b:RefOrder>
  </b:Source>
  <b:Source>
    <b:Tag>Jan18</b:Tag>
    <b:SourceType>InternetSite</b:SourceType>
    <b:Guid>{F7E60BD5-3D2A-4D03-812D-7AE29F81E6F7}</b:Guid>
    <b:Author>
      <b:Author>
        <b:NameList>
          <b:Person>
            <b:Last>Schindler</b:Last>
            <b:First>Janine</b:First>
          </b:Person>
        </b:NameList>
      </b:Author>
    </b:Author>
    <b:Title>The Power of a Team</b:Title>
    <b:InternetSiteTitle>Forbes</b:InternetSiteTitle>
    <b:Year>2018</b:Year>
    <b:Month>October</b:Month>
    <b:Day>1</b:Day>
    <b:URL>https://www.forbes.com/sites/forbescoachescouncil/2018/10/01/the-power-of-a-team/?sh=655f1ac75612</b:URL>
    <b:RefOrder>63</b:RefOrder>
  </b:Source>
  <b:Source>
    <b:Tag>Sad10</b:Tag>
    <b:SourceType>ArticleInAPeriodical</b:SourceType>
    <b:Guid>{1D5379C2-50EA-46F8-9E03-348191DC91E5}</b:Guid>
    <b:Title>‘Learning Style’: frameworks and instruments</b:Title>
    <b:Year>2010</b:Year>
    <b:Month>November</b:Month>
    <b:Day>25</b:Day>
    <b:Author>
      <b:Author>
        <b:NameList>
          <b:Person>
            <b:Last>Sadler-Smith</b:Last>
            <b:First>Eugene</b:First>
          </b:Person>
        </b:NameList>
      </b:Author>
    </b:Author>
    <b:PeriodicalTitle>An International Journal of Experimental Educational Psychology</b:PeriodicalTitle>
    <b:Pages>Vol. 17; pg 51-63</b:Pages>
    <b:RefOrder>64</b:RefOrder>
  </b:Source>
  <b:Source>
    <b:Tag>Jen22</b:Tag>
    <b:SourceType>InternetSite</b:SourceType>
    <b:Guid>{A40A4427-BA41-4C5F-98F1-A9754E53C5E7}</b:Guid>
    <b:Author>
      <b:Author>
        <b:NameList>
          <b:Person>
            <b:Last>Roper</b:Last>
            <b:First>Jenny</b:First>
          </b:Person>
        </b:NameList>
      </b:Author>
    </b:Author>
    <b:Title>Using Digital Comms Better: Top Tips</b:Title>
    <b:InternetSiteTitle>HR Magazine</b:InternetSiteTitle>
    <b:Year>22</b:Year>
    <b:Month>November</b:Month>
    <b:Day>22</b:Day>
    <b:URL>https://www.hrmagazine.co.uk/content/news/using-digital-comms-better-top-tips</b:URL>
    <b:RefOrder>67</b:RefOrder>
  </b:Source>
  <b:Source>
    <b:Tag>ITR15</b:Tag>
    <b:SourceType>JournalArticle</b:SourceType>
    <b:Guid>{FF0DB63C-72AF-46C1-9C36-0E14CF1996C5}</b:Guid>
    <b:Author>
      <b:Author>
        <b:NameList>
          <b:Person>
            <b:Last>Robertson</b:Last>
            <b:First>I.T.</b:First>
          </b:Person>
          <b:Person>
            <b:Last>Cooper</b:Last>
            <b:First>C.L.</b:First>
          </b:Person>
          <b:Person>
            <b:Last>M. Sarkar</b:Last>
            <b:First>T.</b:First>
            <b:Middle>Curran</b:Middle>
          </b:Person>
        </b:NameList>
      </b:Author>
    </b:Author>
    <b:Title>Resilience Training in the Workplace from 2003-2014: A Systematic Review</b:Title>
    <b:JournalName>Journal of Occupational and Organisational Psychology</b:JournalName>
    <b:Year>2015</b:Year>
    <b:Pages>Vol.88 (3); P. 533-562</b:Pages>
    <b:RefOrder>68</b:RefOrder>
  </b:Source>
  <b:Source>
    <b:Tag>Hyw14</b:Tag>
    <b:SourceType>InternetSite</b:SourceType>
    <b:Guid>{825A572A-DC95-48A7-83E5-778515456FDA}</b:Guid>
    <b:Author>
      <b:Author>
        <b:NameList>
          <b:Person>
            <b:Last>Roberts</b:Last>
            <b:First>Hywel</b:First>
          </b:Person>
        </b:NameList>
      </b:Author>
    </b:Author>
    <b:Title>Communication Vital in Change Management </b:Title>
    <b:InternetSiteTitle>HR Magazine</b:InternetSiteTitle>
    <b:Year>2014</b:Year>
    <b:Month>May</b:Month>
    <b:Day>23</b:Day>
    <b:URL>https://www.hrmagazine.co.uk/content/news/communication-vital-in-change-management-study-finds</b:URL>
    <b:RefOrder>69</b:RefOrder>
  </b:Source>
  <b:Source>
    <b:Tag>Rit16</b:Tag>
    <b:SourceType>JournalArticle</b:SourceType>
    <b:Guid>{04A09787-15AB-4114-9E28-923F6EC5C14F}</b:Guid>
    <b:Author>
      <b:Author>
        <b:NameList>
          <b:Person>
            <b:Last>Ritsema</b:Last>
            <b:First>Tamara</b:First>
            <b:Middle>S.</b:Middle>
          </b:Person>
          <b:Person>
            <b:Last>Roberts</b:Last>
            <b:First>Karen,</b:First>
            <b:Middle>A.</b:Middle>
          </b:Person>
        </b:NameList>
      </b:Author>
    </b:Author>
    <b:Title>Job satisfaction among British physician associates </b:Title>
    <b:JournalName>Clinical Medicine</b:JournalName>
    <b:Year>2016</b:Year>
    <b:Pages>Vol. 16; No. 6; Pages 511-513</b:Pages>
    <b:RefOrder>70</b:RefOrder>
  </b:Source>
  <b:Source>
    <b:Tag>Hol21</b:Tag>
    <b:SourceType>InternetSite</b:SourceType>
    <b:Guid>{1BA5E02A-CEE4-4C2C-AB81-8D12E9B10DCA}</b:Guid>
    <b:Author>
      <b:Author>
        <b:NameList>
          <b:Person>
            <b:Last>Risden</b:Last>
            <b:First>Holly</b:First>
          </b:Person>
        </b:NameList>
      </b:Author>
    </b:Author>
    <b:Title>Clinical Psychology Community UK</b:Title>
    <b:InternetSiteTitle>YouTube</b:InternetSiteTitle>
    <b:Year>2021</b:Year>
    <b:URL>https://youtu.be/2sTKxSvsySk</b:URL>
    <b:RefOrder>71</b:RefOrder>
  </b:Source>
  <b:Source>
    <b:Tag>Ric17</b:Tag>
    <b:SourceType>JournalArticle</b:SourceType>
    <b:Guid>{360EDC66-A577-4BC7-9CD7-A2C7DBC90475}</b:Guid>
    <b:Author>
      <b:Author>
        <b:NameList>
          <b:Person>
            <b:Last>Rick</b:Last>
            <b:First>Tara</b:First>
            <b:Middle>J.</b:Middle>
          </b:Person>
          <b:Person>
            <b:Last>Bullwag</b:Last>
            <b:First>Ruth</b:First>
          </b:Person>
        </b:NameList>
      </b:Author>
    </b:Author>
    <b:Title>Physician Assistants and the Expanding Global Health-Care Workforce</b:Title>
    <b:JournalName>American Journal of Tropical Medicine and Hygiene</b:JournalName>
    <b:Year>2017</b:Year>
    <b:Pages>633-634</b:Pages>
    <b:RefOrder>72</b:RefOrder>
  </b:Source>
  <b:Source>
    <b:Tag>Pet22</b:Tag>
    <b:SourceType>InternetSite</b:SourceType>
    <b:Guid>{A9FA09A0-0958-42BB-A353-6EBE0A551E61}</b:Guid>
    <b:Author>
      <b:Author>
        <b:NameList>
          <b:Person>
            <b:Last>Remon</b:Last>
            <b:First>Peter</b:First>
          </b:Person>
        </b:NameList>
      </b:Author>
    </b:Author>
    <b:Title>Key Challenges of Strategic Workforce Planning</b:Title>
    <b:InternetSiteTitle>HR Zone</b:InternetSiteTitle>
    <b:Year>2022</b:Year>
    <b:Month>June</b:Month>
    <b:Day>22</b:Day>
    <b:URL>https://www.hrzone.com/community/blogs/peter-remon/the-key-challenges-of-strategic-workforce-planning</b:URL>
    <b:RefOrder>73</b:RefOrder>
  </b:Source>
  <b:Source>
    <b:Tag>Pri13</b:Tag>
    <b:SourceType>Book</b:SourceType>
    <b:Guid>{FBF9ECFB-E252-46ED-944A-EA601434BFC5}</b:Guid>
    <b:Title>Ways of Learning: Learning Theories and Learning Styles in the Classroom</b:Title>
    <b:Year>2013</b:Year>
    <b:City>Abingdon, Oxon</b:City>
    <b:Publisher>Routledge</b:Publisher>
    <b:Author>
      <b:Author>
        <b:NameList>
          <b:Person>
            <b:Last>Pritchard</b:Last>
            <b:First>Alan</b:First>
          </b:Person>
        </b:NameList>
      </b:Author>
    </b:Author>
    <b:RefOrder>74</b:RefOrder>
  </b:Source>
  <b:Source>
    <b:Tag>DrJ21</b:Tag>
    <b:SourceType>DocumentFromInternetSite</b:SourceType>
    <b:Guid>{1AACB80B-DB0C-453E-AE77-108275B06BC4}</b:Guid>
    <b:Author>
      <b:Author>
        <b:NameList>
          <b:Person>
            <b:Last>Peterson</b:Last>
            <b:First>Dr</b:First>
            <b:Middle>Jordan P.</b:Middle>
          </b:Person>
        </b:NameList>
      </b:Author>
    </b:Author>
    <b:Title>The Secret to Becoming Mentally Strong</b:Title>
    <b:InternetSiteTitle>YouTube</b:InternetSiteTitle>
    <b:Year>2021</b:Year>
    <b:Month>March</b:Month>
    <b:Day>25</b:Day>
    <b:URL>https://www.youtube.com/watch?v=fIEKfr9CaZA</b:URL>
    <b:RefOrder>75</b:RefOrder>
  </b:Source>
  <b:Source>
    <b:Tag>Nic</b:Tag>
    <b:SourceType>InternetSite</b:SourceType>
    <b:Guid>{827554F2-DDDA-489D-AA25-A5A7732DE672}</b:Guid>
    <b:Author>
      <b:Author>
        <b:NameList>
          <b:Person>
            <b:Last>Papa</b:Last>
            <b:First>Nicole</b:First>
          </b:Person>
        </b:NameList>
      </b:Author>
    </b:Author>
    <b:Title>Advantages &amp; disadvantages of self assessment</b:Title>
    <b:InternetSiteTitle>eHow</b:InternetSiteTitle>
    <b:URL>https://www.ehow.co.uk/list_6718905_advantages-disadvantages-self-assessment.html</b:URL>
    <b:RefOrder>76</b:RefOrder>
  </b:Source>
  <b:Source>
    <b:Tag>Tad14</b:Tag>
    <b:SourceType>Book</b:SourceType>
    <b:Guid>{9CAC3653-C555-4842-8181-ED66FBB382EC}</b:Guid>
    <b:Title>Health and Resilience</b:Title>
    <b:Year>2014</b:Year>
    <b:Publisher>Jagiellonian University Press</b:Publisher>
    <b:City>Poland</b:City>
    <b:Author>
      <b:Author>
        <b:NameList>
          <b:Person>
            <b:Last>Ostrowski</b:Last>
            <b:First>Tadeusz</b:First>
            <b:Middle>Marian</b:Middle>
          </b:Person>
          <b:Person>
            <b:Last>Sikorska</b:Last>
            <b:First>Iwona</b:First>
          </b:Person>
        </b:NameList>
      </b:Author>
    </b:Author>
    <b:RefOrder>79</b:RefOrder>
  </b:Source>
  <b:Source>
    <b:Tag>ONS22</b:Tag>
    <b:SourceType>InternetSite</b:SourceType>
    <b:Guid>{EC287367-412C-4DF3-A37C-B3F31CE8BD86}</b:Guid>
    <b:Author>
      <b:Author>
        <b:NameList>
          <b:Person>
            <b:Last>ONS</b:Last>
          </b:Person>
        </b:NameList>
      </b:Author>
    </b:Author>
    <b:Title>Census 2021</b:Title>
    <b:InternetSiteTitle>Office for National Statistics</b:InternetSiteTitle>
    <b:Year>2022</b:Year>
    <b:Month>June</b:Month>
    <b:Day>28</b:Day>
    <b:URL>https://www.ons.gov.uk/peoplepopulationandcommunity/populationandmigration/populationestimates/bulletins/populationandhouseholdestimateswales/census2021</b:URL>
    <b:RefOrder>80</b:RefOrder>
  </b:Source>
  <b:Source>
    <b:Tag>Rac1</b:Tag>
    <b:SourceType>InternetSite</b:SourceType>
    <b:Guid>{6D0E332F-05BB-4ADB-B21C-9DE1CACC56A0}</b:Guid>
    <b:Author>
      <b:Author>
        <b:NameList>
          <b:Person>
            <b:Last>Muller-Heyndyk</b:Last>
            <b:First>Rachel</b:First>
          </b:Person>
        </b:NameList>
      </b:Author>
    </b:Author>
    <b:Title>Top Employers Involve Managers in Workforce Planning</b:Title>
    <b:InternetSiteTitle>HR Magazine</b:InternetSiteTitle>
    <b:Year>2019</b:Year>
    <b:Month>April</b:Month>
    <b:Day>1</b:Day>
    <b:URL>https://www.hrmagazine.co.uk/content/news/top-employers-involve-managers-in-workforce-planning</b:URL>
    <b:RefOrder>83</b:RefOrder>
  </b:Source>
  <b:Source>
    <b:Tag>Tom17</b:Tag>
    <b:SourceType>InternetSite</b:SourceType>
    <b:Guid>{CD4AF7DA-83DD-4CA5-A528-AAECC1C9F5B5}</b:Guid>
    <b:Title>Why Building A Strong Team Should Be One Of Your Biggest Business Investments</b:Title>
    <b:InternetSiteTitle>Forbes</b:InternetSiteTitle>
    <b:Year>2017</b:Year>
    <b:Month>May</b:Month>
    <b:Day>16</b:Day>
    <b:URL>https://www.forbes.com/sites/theyec/2017/05/16/why-building-a-strong-team-should-be-one-of-your-biggest-business-investments/?sh=170c2e882ca3</b:URL>
    <b:Author>
      <b:Author>
        <b:NameList>
          <b:Person>
            <b:Last>Mello</b:Last>
            <b:First>Tommy</b:First>
          </b:Person>
        </b:NameList>
      </b:Author>
    </b:Author>
    <b:RefOrder>84</b:RefOrder>
  </b:Source>
  <b:Source>
    <b:Tag>Mas99</b:Tag>
    <b:SourceType>ArticleInAPeriodical</b:SourceType>
    <b:Guid>{95BC50FC-1AA1-48A9-BC7D-EDB859501EBB}</b:Guid>
    <b:Author>
      <b:Author>
        <b:NameList>
          <b:Person>
            <b:Last>Masten et al.</b:Last>
          </b:Person>
        </b:NameList>
      </b:Author>
    </b:Author>
    <b:Title>Competence in the context of adversity: Pathways to resilience and maladaptation from childhood to late adolescence</b:Title>
    <b:Year>1999</b:Year>
    <b:JournalName>Development and Psychopathology</b:JournalName>
    <b:Pages>143-169</b:Pages>
    <b:PeriodicalTitle>Development and Psychopathology</b:PeriodicalTitle>
    <b:Month>Nov</b:Month>
    <b:RefOrder>85</b:RefOrder>
  </b:Source>
  <b:Source>
    <b:Tag>Ann13</b:Tag>
    <b:SourceType>JournalArticle</b:SourceType>
    <b:Guid>{18956978-53CB-4791-8B89-B5B5EED6E784}</b:Guid>
    <b:Title>Risk and Resilience in Development and Psychopathology: The Legacy of Norman Garmezy</b:Title>
    <b:Year>2013</b:Year>
    <b:Pages>Vol.21; Iss. 2; p. 333-334</b:Pages>
    <b:Author>
      <b:Author>
        <b:NameList>
          <b:Person>
            <b:Last>Masten</b:Last>
            <b:First>Ann</b:First>
            <b:Middle>S.</b:Middle>
          </b:Person>
          <b:Person>
            <b:Last>Ciccheti</b:Last>
            <b:First>Dante</b:First>
          </b:Person>
        </b:NameList>
      </b:Author>
    </b:Author>
    <b:JournalName>Development and Psychopathology</b:JournalName>
    <b:RefOrder>86</b:RefOrder>
  </b:Source>
  <b:Source>
    <b:Tag>Bar15</b:Tag>
    <b:SourceType>InternetSite</b:SourceType>
    <b:Guid>{DD43E951-B4F8-4138-9A3F-52FC5473E7E5}</b:Guid>
    <b:Author>
      <b:Author>
        <b:NameList>
          <b:Person>
            <b:Last>Markway</b:Last>
            <b:First>Barbara</b:First>
          </b:Person>
        </b:NameList>
      </b:Author>
    </b:Author>
    <b:Title>20 Expert Tactics for Dealing With Difficult People</b:Title>
    <b:InternetSiteTitle>Psychology Today</b:InternetSiteTitle>
    <b:Year>2015</b:Year>
    <b:Month>March</b:Month>
    <b:Day>3</b:Day>
    <b:URL>https://www.psychologytoday.com/us/blog/living-the-questions/201503/20-expert-tactics-for-dealing-with-difficult-people</b:URL>
    <b:RefOrder>87</b:RefOrder>
  </b:Source>
  <b:Source>
    <b:Tag>BLo03</b:Tag>
    <b:SourceType>ArticleInAPeriodical</b:SourceType>
    <b:Guid>{D3424FDE-98FB-495D-AB09-DFE1D44A9072}</b:Guid>
    <b:Author>
      <b:Author>
        <b:NameList>
          <b:Person>
            <b:Last>Lohri-Posey</b:Last>
            <b:First>Brenda</b:First>
          </b:Person>
        </b:NameList>
      </b:Author>
    </b:Author>
    <b:Title>Determining learning style preferences of students</b:Title>
    <b:PeriodicalTitle>Nurse Education</b:PeriodicalTitle>
    <b:Year>2003</b:Year>
    <b:Month>March-April</b:Month>
    <b:Pages>Vol (2); pg 54</b:Pages>
    <b:JournalName>Lohri-Posey B. Determining learning style preferences of students. Nurse Educ. 2003 Mar-Apr;28(2):54. doi: 10.1097/00006223-200303000-00002. PMID: 12646819.</b:JournalName>
    <b:RefOrder>90</b:RefOrder>
  </b:Source>
  <b:Source>
    <b:Tag>Bre03</b:Tag>
    <b:SourceType>JournalArticle</b:SourceType>
    <b:Guid>{CC0B5A8E-E5C6-4F1F-A5E8-FF8510188B61}</b:Guid>
    <b:Author>
      <b:Author>
        <b:NameList>
          <b:Person>
            <b:Last>Lohri-Posey</b:Last>
            <b:First>Brenda</b:First>
          </b:Person>
        </b:NameList>
      </b:Author>
    </b:Author>
    <b:Title>Determining learning style preferences of students</b:Title>
    <b:JournalName>Nurse Educator; March Volume 28 Issue 2</b:JournalName>
    <b:Year>2003</b:Year>
    <b:Pages>54</b:Pages>
    <b:RefOrder>91</b:RefOrder>
  </b:Source>
  <b:Source>
    <b:Tag>Zhe22</b:Tag>
    <b:SourceType>DocumentFromInternetSite</b:SourceType>
    <b:Guid>{4D7678E2-7B4C-4EF9-8D93-BEBFA1193358}</b:Guid>
    <b:Author>
      <b:Author>
        <b:NameList>
          <b:Person>
            <b:Last>Lin</b:Last>
            <b:First>Zhenli</b:First>
          </b:Person>
        </b:NameList>
      </b:Author>
    </b:Author>
    <b:Title>6 Keys to Strategic Workforce Planning in Turbulent Times</b:Title>
    <b:InternetSiteTitle>Gartner</b:InternetSiteTitle>
    <b:Year>2022</b:Year>
    <b:Month>February</b:Month>
    <b:Day>9</b:Day>
    <b:URL>https://www.gartner.com/en/articles/6-keys-to-strategic-workforce-planning-in-turbulent-times</b:URL>
    <b:RefOrder>92</b:RefOrder>
  </b:Source>
  <b:Source>
    <b:Tag>Uni20</b:Tag>
    <b:SourceType>InternetSite</b:SourceType>
    <b:Guid>{6F2EC13E-064D-4119-872C-503DBF807531}</b:Guid>
    <b:Author>
      <b:Author>
        <b:NameList>
          <b:Person>
            <b:Last>Library</b:Last>
            <b:First>University</b:First>
            <b:Middle>of Hertfordshire</b:Middle>
          </b:Person>
        </b:NameList>
      </b:Author>
    </b:Author>
    <b:Title>Gibbs' Reflective Cycle Explained</b:Title>
    <b:InternetSiteTitle>YouTube</b:InternetSiteTitle>
    <b:Year>2020</b:Year>
    <b:URL>http://youtu.be/ZXKBc7kqQ7A</b:URL>
    <b:RefOrder>93</b:RefOrder>
  </b:Source>
  <b:Source>
    <b:Tag>Phi14</b:Tag>
    <b:SourceType>InternetSite</b:SourceType>
    <b:Guid>{B67E125A-DD82-4AC7-AF09-614300DB059C}</b:Guid>
    <b:Author>
      <b:Author>
        <b:NameList>
          <b:Person>
            <b:Last>Lamb</b:Last>
            <b:First>Phillipa</b:First>
          </b:Person>
        </b:NameList>
      </b:Author>
    </b:Author>
    <b:Title>Building the Best Team</b:Title>
    <b:InternetSiteTitle>CIPD</b:InternetSiteTitle>
    <b:Year>2014</b:Year>
    <b:Month>11</b:Month>
    <b:Day>4</b:Day>
    <b:URL>https://www.cipd.co.uk/podcasts/building-best-team</b:URL>
    <b:RefOrder>94</b:RefOrder>
  </b:Source>
  <b:Source>
    <b:Tag>Jer18</b:Tag>
    <b:SourceType>InternetSite</b:SourceType>
    <b:Guid>{A12318A9-824B-4F48-A105-C9297307F98C}</b:Guid>
    <b:Author>
      <b:Author>
        <b:NameList>
          <b:Person>
            <b:Last>Kraaijenbrink</b:Last>
            <b:First>Jeroen</b:First>
          </b:Person>
        </b:NameList>
      </b:Author>
    </b:Author>
    <b:Title>What does VUCA really mean?</b:Title>
    <b:InternetSiteTitle>Forbes</b:InternetSiteTitle>
    <b:Year>2018</b:Year>
    <b:Month>December</b:Month>
    <b:Day>19</b:Day>
    <b:URL>https://www.forbes.com/sites/jeroenkraaijenbrink/2018/12/19/what-does-vuca-really-mean/?sh=6288de8917d6</b:URL>
    <b:RefOrder>95</b:RefOrder>
  </b:Source>
  <b:Source>
    <b:Tag>Mar02</b:Tag>
    <b:SourceType>DocumentFromInternetSite</b:SourceType>
    <b:Guid>{98AB00FA-82EB-4B09-AD70-257680A0C7C5}</b:Guid>
    <b:Title>Revising the Visualizer Verbalizer Dimension Evidence for Two Types of Visualizers</b:Title>
    <b:InternetSiteTitle>Research Gate</b:InternetSiteTitle>
    <b:Year>2002</b:Year>
    <b:Month>March</b:Month>
    <b:URL>https://www.researchgate.net/publication/254752021_Revising_the_Visualizer-Verbalizer_Dimension_Evidence_for_Two_Types_of_Visualizers</b:URL>
    <b:Author>
      <b:Author>
        <b:NameList>
          <b:Person>
            <b:Last>Kozhevnikov</b:Last>
            <b:First>Maria</b:First>
          </b:Person>
          <b:Person>
            <b:Last>Hegarty</b:Last>
            <b:First>Mary</b:First>
          </b:Person>
          <b:Person>
            <b:Last>Mayer</b:Last>
            <b:First>Richard</b:First>
          </b:Person>
        </b:NameList>
      </b:Author>
    </b:Author>
    <b:RefOrder>96</b:RefOrder>
  </b:Source>
  <b:Source>
    <b:Tag>MKo02</b:Tag>
    <b:SourceType>ArticleInAPeriodical</b:SourceType>
    <b:Guid>{9B69C3D0-9AEC-41A4-A8F1-8B4E34C62393}</b:Guid>
    <b:Title>Revising the Visualizer-Verbalizer Dimension: Evidence for Two Types of Visualizers</b:Title>
    <b:Year>2002</b:Year>
    <b:Pages>20(1), 47–77</b:Pages>
    <b:Author>
      <b:Author>
        <b:NameList>
          <b:Person>
            <b:Last>Kozhevnikov</b:Last>
            <b:First>M.</b:First>
          </b:Person>
          <b:Person>
            <b:Last>Hegarty</b:Last>
            <b:First>M.</b:First>
          </b:Person>
          <b:Person>
            <b:Last>Mayer</b:Last>
            <b:First>R.</b:First>
          </b:Person>
        </b:NameList>
      </b:Author>
    </b:Author>
    <b:PeriodicalTitle>COGNITION AND INSTRUCTION</b:PeriodicalTitle>
    <b:Month>March</b:Month>
    <b:Day>1</b:Day>
    <b:RefOrder>97</b:RefOrder>
  </b:Source>
  <b:Source>
    <b:Tag>Kee87</b:Tag>
    <b:SourceType>Book</b:SourceType>
    <b:Guid>{96B7D256-7367-48DE-BA03-40B803E5B96E}</b:Guid>
    <b:Author>
      <b:Author>
        <b:NameList>
          <b:Person>
            <b:Last>Keefe</b:Last>
            <b:First>James</b:First>
          </b:Person>
        </b:NameList>
      </b:Author>
    </b:Author>
    <b:Title>Learning Style: Theory and Practice</b:Title>
    <b:Year>1987</b:Year>
    <b:Month>December</b:Month>
    <b:Day>1</b:Day>
    <b:Pages>Volume 45; Issue 3; pg 753-754</b:Pages>
    <b:City>Reston, VA</b:City>
    <b:Publisher>National Association of Secondary School Principals</b:Publisher>
    <b:RefOrder>98</b:RefOrder>
  </b:Source>
  <b:Source>
    <b:Tag>Jam79</b:Tag>
    <b:SourceType>Book</b:SourceType>
    <b:Guid>{191E4B79-953C-4235-9E73-5797E8282272}</b:Guid>
    <b:Author>
      <b:Author>
        <b:NameList>
          <b:Person>
            <b:Last>Keefe</b:Last>
            <b:First>James</b:First>
          </b:Person>
        </b:NameList>
      </b:Author>
    </b:Author>
    <b:Title> Student learning styles: Diagnosing and prescribing programs</b:Title>
    <b:Year>1979</b:Year>
    <b:City>Reston, VA</b:City>
    <b:Publisher>National Association of Secondary School Principals</b:Publisher>
    <b:RefOrder>99</b:RefOrder>
  </b:Source>
  <b:Source>
    <b:Tag>Aji10</b:Tag>
    <b:SourceType>InternetSite</b:SourceType>
    <b:Guid>{F22D58EA-AA42-4FC3-ACF6-95CE9CF40E3C}</b:Guid>
    <b:Author>
      <b:Author>
        <b:NameList>
          <b:Person>
            <b:Last>Kambil</b:Last>
            <b:First>Ajit</b:First>
          </b:Person>
        </b:NameList>
      </b:Author>
    </b:Author>
    <b:Title>Executive transitions: Your team is your brand</b:Title>
    <b:InternetSiteTitle>Deloitte</b:InternetSiteTitle>
    <b:Year>2015</b:Year>
    <b:Month>November</b:Month>
    <b:Day>10</b:Day>
    <b:URL>https://www2.deloitte.com/us/en/insights/topics/talent/building-leadership-brand-with-your-team.html</b:URL>
    <b:RefOrder>100</b:RefOrder>
  </b:Source>
  <b:Source>
    <b:Tag>htt</b:Tag>
    <b:SourceType>InternetSite</b:SourceType>
    <b:Guid>{BDF0AF60-2481-4DF3-8EA6-7BF1087D06AC}</b:Guid>
    <b:URL>https://www.managementstudyguide.com/berlo-model-of-communication.htm</b:URL>
    <b:Author>
      <b:Author>
        <b:NameList>
          <b:Person>
            <b:Last>Juneja</b:Last>
            <b:First>Prachi</b:First>
          </b:Person>
        </b:NameList>
      </b:Author>
    </b:Author>
    <b:Title>Management Study Guide</b:Title>
    <b:InternetSiteTitle>Berlo Model of Communication</b:InternetSiteTitle>
    <b:RefOrder>101</b:RefOrder>
  </b:Source>
  <b:Source>
    <b:Tag>Jep15</b:Tag>
    <b:SourceType>ArticleInAPeriodical</b:SourceType>
    <b:Guid>{ED241C34-2121-4879-B3D7-4A31BD7DC653}</b:Guid>
    <b:Author>
      <b:Author>
        <b:NameList>
          <b:Person>
            <b:Last>Jepsen</b:Last>
            <b:First>Denise</b:First>
            <b:Middle>M</b:Middle>
          </b:Person>
          <b:Person>
            <b:Last>Varhegyi</b:Last>
            <b:First>Melinda</b:First>
            <b:Middle>M</b:Middle>
          </b:Person>
          <b:Person>
            <b:Last>Teo</b:Last>
            <b:First>Stephen</b:First>
            <b:Middle>TT</b:Middle>
          </b:Person>
        </b:NameList>
      </b:Author>
    </b:Author>
    <b:Title>The association between learning styles and perception of teaching quality</b:Title>
    <b:PeriodicalTitle>Education and Training</b:PeriodicalTitle>
    <b:Year>2015</b:Year>
    <b:Pages>Vol. 7; Iss. 5</b:Pages>
    <b:RefOrder>102</b:RefOrder>
  </b:Source>
  <b:Source>
    <b:Tag>Emi21</b:Tag>
    <b:SourceType>InternetSite</b:SourceType>
    <b:Guid>{D5563726-DF86-46DD-9A99-F25EA5626DC5}</b:Guid>
    <b:Author>
      <b:Author>
        <b:NameList>
          <b:Person>
            <b:Last>James</b:Last>
            <b:First>Emily</b:First>
          </b:Person>
        </b:NameList>
      </b:Author>
    </b:Author>
    <b:Title>How strong is your insights team branding?</b:Title>
    <b:InternetSiteTitle>World Research Archive</b:InternetSiteTitle>
    <b:Year>2021</b:Year>
    <b:Month>May</b:Month>
    <b:Day>5</b:Day>
    <b:URL>https://archive.researchworld.com/how-strong-is-your-insights-team-branding/</b:URL>
    <b:RefOrder>103</b:RefOrder>
  </b:Source>
  <b:Source>
    <b:Tag>Bea20</b:Tag>
    <b:SourceType>InternetSite</b:SourceType>
    <b:Guid>{6F53ED64-47DD-4337-9842-AA50A66A7E6D}</b:Guid>
    <b:Author>
      <b:Author>
        <b:NameList>
          <b:Person>
            <b:Last>Jackson</b:Last>
            <b:First>Beau</b:First>
          </b:Person>
        </b:NameList>
      </b:Author>
    </b:Author>
    <b:Title>Communication with Colleagues Named Biggest Challenge of Remote Working</b:Title>
    <b:InternetSiteTitle>HR Magazine</b:InternetSiteTitle>
    <b:Year>2020</b:Year>
    <b:Month>July</b:Month>
    <b:Day>13</b:Day>
    <b:URL>https://www.hrmagazine.co.uk/content/news/communication-with-colleagues-named-biggest-challenge-of-remote-working</b:URL>
    <b:RefOrder>104</b:RefOrder>
  </b:Source>
  <b:Source>
    <b:Tag>Ric18</b:Tag>
    <b:SourceType>Book</b:SourceType>
    <b:Guid>{1B0DB83F-BE7D-481A-8D6D-AD35B74D1892}</b:Guid>
    <b:Title>The Wellbeing Workout: How to Manage Stress and Develop Resilience</b:Title>
    <b:Year>2018</b:Year>
    <b:City>Brighton</b:City>
    <b:Publisher>Springer International Publishing AG</b:Publisher>
    <b:Author>
      <b:Author>
        <b:NameList>
          <b:Person>
            <b:Last>Hughes</b:Last>
            <b:First>Rick</b:First>
          </b:Person>
          <b:Person>
            <b:Last>Kinder</b:Last>
            <b:First>Andrew</b:First>
          </b:Person>
          <b:Person>
            <b:Last>Cooper</b:Last>
            <b:First>Cary</b:First>
            <b:Middle>L.</b:Middle>
          </b:Person>
        </b:NameList>
      </b:Author>
    </b:Author>
    <b:RefOrder>105</b:RefOrder>
  </b:Source>
  <b:Source>
    <b:Tag>HSE21</b:Tag>
    <b:SourceType>InternetSite</b:SourceType>
    <b:Guid>{9929771D-A215-4738-8DBE-0100D8D20C76}</b:Guid>
    <b:Title>Work-Related Stress, Anxiety or Depression Statistics in Great Britain, 2021</b:Title>
    <b:Year>2021</b:Year>
    <b:Month>March</b:Month>
    <b:Day>16</b:Day>
    <b:InternetSiteTitle>HSE</b:InternetSiteTitle>
    <b:URL>https://www.hse.gov.uk/statistics/causdis/stress.pdf</b:URL>
    <b:Author>
      <b:Author>
        <b:NameList>
          <b:Person>
            <b:Last>HSE</b:Last>
          </b:Person>
        </b:NameList>
      </b:Author>
    </b:Author>
    <b:RefOrder>106</b:RefOrder>
  </b:Source>
  <b:Source>
    <b:Tag>AHo12</b:Tag>
    <b:SourceType>JournalArticle</b:SourceType>
    <b:Guid>{EB4E033A-58D9-4366-9CFA-D85D457F4A21}</b:Guid>
    <b:Author>
      <b:Author>
        <b:NameList>
          <b:Person>
            <b:Last>Howe</b:Last>
            <b:First>A.</b:First>
          </b:Person>
          <b:Person>
            <b:Last>Smajdor</b:Last>
            <b:First>A.</b:First>
          </b:Person>
          <b:Person>
            <b:Last>Stockl</b:Last>
            <b:First>A.</b:First>
          </b:Person>
        </b:NameList>
      </b:Author>
    </b:Author>
    <b:Title>Towards an Understanding of Resilience and its Relevance to Medical Training</b:Title>
    <b:JournalName>Medical Education</b:JournalName>
    <b:Year>2012</b:Year>
    <b:Pages>Vol.46 (4); p.349-356</b:Pages>
    <b:RefOrder>107</b:RefOrder>
  </b:Source>
  <b:Source>
    <b:Tag>Dar21</b:Tag>
    <b:SourceType>InternetSite</b:SourceType>
    <b:Guid>{B373BF7C-ED9E-4C7E-AF00-340F72D696F8}</b:Guid>
    <b:Author>
      <b:Author>
        <b:NameList>
          <b:Person>
            <b:Last>Hepburn</b:Last>
            <b:First>Darren</b:First>
          </b:Person>
        </b:NameList>
      </b:Author>
    </b:Author>
    <b:Title>Internal Comms Terminology Divides the Workforce</b:Title>
    <b:InternetSiteTitle>HR Magazine</b:InternetSiteTitle>
    <b:Year>2021</b:Year>
    <b:Month>July</b:Month>
    <b:Day>27</b:Day>
    <b:URL>https://www.hrmagazine.co.uk/content/comment/internal-comms-terminology-divides-the-workforce</b:URL>
    <b:RefOrder>108</b:RefOrder>
  </b:Source>
  <b:Source>
    <b:Tag>HDd1</b:Tag>
    <b:SourceType>InternetSite</b:SourceType>
    <b:Guid>{0A31F5FE-E0F6-4745-8121-6B3FF8E7B853}</b:Guid>
    <b:Author>
      <b:Author>
        <b:NameList>
          <b:Person>
            <b:Last>HDdUHB</b:Last>
          </b:Person>
        </b:NameList>
      </b:Author>
    </b:Author>
    <b:Title>Hospitals and Centres</b:Title>
    <b:InternetSiteTitle>Hywel Dda University Health Board</b:InternetSiteTitle>
    <b:URL>https://hduhb.nhs.wales/healthcare/hospitals-and-centres/</b:URL>
    <b:RefOrder>109</b:RefOrder>
  </b:Source>
  <b:Source>
    <b:Tag>Sea17</b:Tag>
    <b:SourceType>DocumentFromInternetSite</b:SourceType>
    <b:Guid>{A3416404-CD8C-427F-94D9-BFE0A9C3FA85}</b:Guid>
    <b:Title>Resilience Theory</b:Title>
    <b:Year>2017</b:Year>
    <b:Month>November</b:Month>
    <b:Day>10</b:Day>
    <b:InternetSiteTitle>YouTube</b:InternetSiteTitle>
    <b:URL>https://www.youtube.com/watch?v=-DfStNZtUjE&amp;t=391s</b:URL>
    <b:Author>
      <b:Author>
        <b:NameList>
          <b:Person>
            <b:Last>Hansen</b:Last>
            <b:First>Sean</b:First>
          </b:Person>
        </b:NameList>
      </b:Author>
    </b:Author>
    <b:RefOrder>110</b:RefOrder>
  </b:Source>
  <b:Source>
    <b:Tag>Gre95</b:Tag>
    <b:SourceType>Book</b:SourceType>
    <b:Guid>{6159A14D-3026-448B-8CDF-1DB9A62B4D00}</b:Guid>
    <b:Author>
      <b:Author>
        <b:NameList>
          <b:Person>
            <b:Last>Greenberger</b:Last>
            <b:First>D.</b:First>
          </b:Person>
          <b:Person>
            <b:Last>Padesky</b:Last>
            <b:First>C.A.</b:First>
          </b:Person>
        </b:NameList>
      </b:Author>
    </b:Author>
    <b:Title>Mind Over Mood: A Cognitive Therapy Treatment Manual for Clients</b:Title>
    <b:Year>1995</b:Year>
    <b:City>New York</b:City>
    <b:Publisher>Guildford Press</b:Publisher>
    <b:RefOrder>111</b:RefOrder>
  </b:Source>
  <b:Source>
    <b:Tag>Wel21</b:Tag>
    <b:SourceType>InternetSite</b:SourceType>
    <b:Guid>{63232DD9-DD2D-4427-8688-547C46C4B68D}</b:Guid>
    <b:Author>
      <b:Author>
        <b:NameList>
          <b:Person>
            <b:Last>Government</b:Last>
            <b:First>Welsh</b:First>
          </b:Person>
        </b:NameList>
      </b:Author>
    </b:Author>
    <b:Title>Nurse Staffing Levels (Wales) Act 2016: statutory guidance (version 2)</b:Title>
    <b:InternetSiteTitle>Gov.Wales</b:InternetSiteTitle>
    <b:Year>2021</b:Year>
    <b:Month>March</b:Month>
    <b:Day>4</b:Day>
    <b:URL>https://www.gov.wales/sites/default/files/pdf-versions/2021/3/5/1614936011/nurse-staffing-levels-wales-act-2016-statutory-guidance-version-2.pdf</b:URL>
    <b:RefOrder>112</b:RefOrder>
  </b:Source>
  <b:Source>
    <b:Tag>Pau09</b:Tag>
    <b:SourceType>BookSection</b:SourceType>
    <b:Guid>{AE853E9F-9AA7-4C58-9333-B9CFF968AA45}</b:Guid>
    <b:Title>Exploring the Role of Self-Compassion in Self-Harm and Suicidal Ideation</b:Title>
    <b:Year>2009</b:Year>
    <b:Publisher>Constable</b:Publisher>
    <b:City>London</b:City>
    <b:Author>
      <b:Author>
        <b:NameList>
          <b:Person>
            <b:Last>Gilbert</b:Last>
            <b:First>Paul</b:First>
            <b:Middle>A.</b:Middle>
          </b:Person>
        </b:NameList>
      </b:Author>
      <b:BookAuthor>
        <b:NameList>
          <b:Person>
            <b:Last>Gilbert</b:Last>
            <b:First>Paul</b:First>
            <b:Middle>A.</b:Middle>
          </b:Person>
        </b:NameList>
      </b:BookAuthor>
    </b:Author>
    <b:BookTitle>The Compassionate Mind</b:BookTitle>
    <b:Pages>36-39</b:Pages>
    <b:RefOrder>114</b:RefOrder>
  </b:Source>
  <b:Source>
    <b:Tag>NGa74</b:Tag>
    <b:SourceType>BookSection</b:SourceType>
    <b:Guid>{4E61F601-72DF-4124-AC21-7842130B247B}</b:Guid>
    <b:Author>
      <b:Author>
        <b:NameList>
          <b:Person>
            <b:Last>Garmezy</b:Last>
            <b:First>N.</b:First>
          </b:Person>
        </b:NameList>
      </b:Author>
      <b:BookAuthor>
        <b:NameList>
          <b:Person>
            <b:Last>Anthony</b:Last>
            <b:First>E.J.</b:First>
          </b:Person>
          <b:Person>
            <b:Last>Koupernick</b:Last>
            <b:First>C.</b:First>
          </b:Person>
        </b:NameList>
      </b:BookAuthor>
    </b:Author>
    <b:Title>The Study of Competence in Children at Risk for Severe Psychopathology</b:Title>
    <b:BookTitle>The Child in His Family: Children at Psychiatric Risk</b:BookTitle>
    <b:Year>1974</b:Year>
    <b:Pages>77-79</b:Pages>
    <b:City>New York</b:City>
    <b:Publisher>Wiley</b:Publisher>
    <b:RefOrder>115</b:RefOrder>
  </b:Source>
  <b:Source>
    <b:Tag>Gar73</b:Tag>
    <b:SourceType>BookSection</b:SourceType>
    <b:Guid>{FAD35B6F-A461-41D6-9987-28A76B03D9DC}</b:Guid>
    <b:Title>Competence and Adaptation in Adult Schizophrenic Patients and Children at Risk</b:Title>
    <b:Year>1973</b:Year>
    <b:Author>
      <b:Author>
        <b:NameList>
          <b:Person>
            <b:Last>Garmezy</b:Last>
            <b:First>N.</b:First>
          </b:Person>
        </b:NameList>
      </b:Author>
      <b:BookAuthor>
        <b:NameList>
          <b:Person>
            <b:Last>Dean</b:Last>
            <b:First>S.R.</b:First>
          </b:Person>
        </b:NameList>
      </b:BookAuthor>
    </b:Author>
    <b:City>New York</b:City>
    <b:Publisher>MSS Information</b:Publisher>
    <b:BookTitle>Schizophrenia: The First Ten Dean Award Lectures</b:BookTitle>
    <b:Pages>163-204</b:Pages>
    <b:RefOrder>116</b:RefOrder>
  </b:Source>
  <b:Source>
    <b:Tag>BLF03</b:Tag>
    <b:SourceType>JournalArticle</b:SourceType>
    <b:Guid>{DDEAABB6-1EB5-4F4C-99DC-AC4EA38E83EB}</b:Guid>
    <b:Author>
      <b:Author>
        <b:NameList>
          <b:Person>
            <b:Last>Fredrickson</b:Last>
            <b:First>B.L.</b:First>
          </b:Person>
          <b:Person>
            <b:Last>Tugade</b:Last>
            <b:First>M.M.</b:First>
          </b:Person>
          <b:Person>
            <b:Last>Waugh</b:Last>
            <b:First>C.E.</b:First>
          </b:Person>
          <b:Person>
            <b:Last>Larkin</b:Last>
            <b:First>G.R.</b:First>
          </b:Person>
        </b:NameList>
      </b:Author>
    </b:Author>
    <b:Title>What Good Are Positive Emotions in Crisis? A Prospective Study of Resilience and Emotions Following Terrorist Attacks on the United States on September 11th, 2001</b:Title>
    <b:JournalName>Journal of Personality and Psychology</b:JournalName>
    <b:Year>2003</b:Year>
    <b:Pages>Vol.84 (2), p. 365-376</b:Pages>
    <b:RefOrder>117</b:RefOrder>
  </b:Source>
  <b:Source>
    <b:Tag>BLF55</b:Tag>
    <b:SourceType>JournalArticle</b:SourceType>
    <b:Guid>{6153F7E0-8938-46DF-A051-3B021FC24A86}</b:Guid>
    <b:Author>
      <b:Author>
        <b:NameList>
          <b:Person>
            <b:Last>Fredrickson</b:Last>
            <b:First>B.L.</b:First>
          </b:Person>
          <b:Person>
            <b:Last>Cohn</b:Last>
            <b:First>M.A.</b:First>
          </b:Person>
          <b:Person>
            <b:Last>Coffey</b:Last>
            <b:First>K.A.</b:First>
          </b:Person>
          <b:Person>
            <b:Last>Pek</b:Last>
            <b:First>J.</b:First>
          </b:Person>
          <b:Person>
            <b:Last>Finkel</b:Last>
            <b:First>S.M.</b:First>
          </b:Person>
        </b:NameList>
      </b:Author>
    </b:Author>
    <b:Title>Open Hearts Build Lives: Positive Emotions, Induced Through Loving-Kindness Meditation, Build Consequential Personal Resource</b:Title>
    <b:JournalName>Personality and Social Psychology</b:JournalName>
    <b:Year>1995 (5)</b:Year>
    <b:Pages>1045-1062</b:Pages>
    <b:RefOrder>118</b:RefOrder>
  </b:Source>
  <b:Source>
    <b:Tag>Oli23</b:Tag>
    <b:SourceType>InternetSite</b:SourceType>
    <b:Guid>{F18F4FD8-41AF-42F1-99FA-F1A016CD1330}</b:Guid>
    <b:Author>
      <b:Author>
        <b:NameList>
          <b:Person>
            <b:Last>Evans</b:Last>
            <b:First>Olivia</b:First>
            <b:Middle>Guy</b:Middle>
          </b:Person>
        </b:NameList>
      </b:Author>
    </b:Author>
    <b:Title>Kolb’s Learning Styles And Experiential Learning Cycle</b:Title>
    <b:InternetSiteTitle>Simply Psychology</b:InternetSiteTitle>
    <b:Year>2023</b:Year>
    <b:Month>February</b:Month>
    <b:Day>16</b:Day>
    <b:URL>https://www.simplypsychology.org/learning-kolb.html</b:URL>
    <b:RefOrder>2</b:RefOrder>
  </b:Source>
  <b:Source>
    <b:Tag>NHS1</b:Tag>
    <b:SourceType>InternetSite</b:SourceType>
    <b:Guid>{B9C4DD4F-6167-44E0-942D-57A233D5608F}</b:Guid>
    <b:Author>
      <b:Author>
        <b:NameList>
          <b:Person>
            <b:Last>England</b:Last>
            <b:First>NHS</b:First>
          </b:Person>
        </b:NameList>
      </b:Author>
    </b:Author>
    <b:Title>Workforce planning and resource management</b:Title>
    <b:InternetSiteTitle>NHS England</b:InternetSiteTitle>
    <b:URL>https://www.england.nhs.uk/mat-transformation/matrons-handbook/workforce-planning-and-resource-management/</b:URL>
    <b:RefOrder>119</b:RefOrder>
  </b:Source>
  <b:Source>
    <b:Tag>Dan18</b:Tag>
    <b:SourceType>DocumentFromInternetSite</b:SourceType>
    <b:Guid>{68B39F11-C35A-4699-8602-AE76FBC5B258}</b:Guid>
    <b:Title>What is a Reading List for?</b:Title>
    <b:Year>2018</b:Year>
    <b:Author>
      <b:Author>
        <b:NameList>
          <b:Person>
            <b:Last>Croft</b:Last>
            <b:First>Dan</b:First>
          </b:Person>
        </b:NameList>
      </b:Author>
    </b:Author>
    <b:InternetSiteTitle>Oxford Brookes University</b:InternetSiteTitle>
    <b:Month>June</b:Month>
    <b:URL>https://radar.brookes.ac.uk/radar/file/fe7ecca9-3a7f-4aa3-b70c-368d66d8a174/1/Reading%20list%20guide.pdf</b:URL>
    <b:RefOrder>124</b:RefOrder>
  </b:Source>
  <b:Source>
    <b:Tag>Coo12</b:Tag>
    <b:SourceType>ArticleInAPeriodical</b:SourceType>
    <b:Guid>{FDDA1996-FF96-4DB8-BD45-87A5FA4F3497}</b:Guid>
    <b:Title>The onion model: Myth or reality in the field of individual differences psychology?</b:Title>
    <b:Year>2012</b:Year>
    <b:Pages>Volume 22, Issue 4, Pages 455-462</b:Pages>
    <b:Author>
      <b:Author>
        <b:NameList>
          <b:Person>
            <b:Last>Cools</b:Last>
            <b:First>Eva</b:First>
          </b:Person>
          <b:Person>
            <b:Last>Bellens</b:Last>
            <b:First>Joseph</b:First>
          </b:Person>
        </b:NameList>
      </b:Author>
    </b:Author>
    <b:PeriodicalTitle>Learning and Individual Differences</b:PeriodicalTitle>
    <b:Month>August</b:Month>
    <b:RefOrder>125</b:RefOrder>
  </b:Source>
  <b:Source>
    <b:Tag>CIP212</b:Tag>
    <b:SourceType>InternetSite</b:SourceType>
    <b:Guid>{0636A9E5-D822-4835-9BC0-410687EDAD6B}</b:Guid>
    <b:Title>Competence and Competency Frameworks</b:Title>
    <b:Year>2021</b:Year>
    <b:Author>
      <b:Author>
        <b:NameList>
          <b:Person>
            <b:Last>CIPD</b:Last>
          </b:Person>
        </b:NameList>
      </b:Author>
    </b:Author>
    <b:InternetSiteTitle>CIPD</b:InternetSiteTitle>
    <b:Month>December</b:Month>
    <b:Day>15</b:Day>
    <b:URL>https://www.cipd.co.uk/knowledge/fundamentals/people/performance/competency-factsheet</b:URL>
    <b:RefOrder>126</b:RefOrder>
  </b:Source>
  <b:Source>
    <b:Tag>Chr18</b:Tag>
    <b:SourceType>InternetSite</b:SourceType>
    <b:Guid>{19AD9B90-48ED-49FC-8AC3-5B7A6347C571}</b:Guid>
    <b:Author>
      <b:Author>
        <b:NameList>
          <b:Person>
            <b:Last>Cancialosi</b:Last>
            <b:First>Chris</b:First>
          </b:Person>
        </b:NameList>
      </b:Author>
    </b:Author>
    <b:Title>A Guide To Dealing With Difficult People</b:Title>
    <b:InternetSiteTitle>Forbes</b:InternetSiteTitle>
    <b:Year>2018</b:Year>
    <b:Month>March</b:Month>
    <b:Day>5</b:Day>
    <b:URL>https://www.forbes.com/sites/chriscancialosi/2018/03/05/a-guide-to-dealing-with-difficult-people/?sh=7df5dde62293</b:URL>
    <b:RefOrder>128</b:RefOrder>
  </b:Source>
  <b:Source>
    <b:Tag>DrR18</b:Tag>
    <b:SourceType>DocumentFromInternetSite</b:SourceType>
    <b:Guid>{5847ACE0-67C5-46A0-9189-C36D6C57E69F}</b:Guid>
    <b:Title>The Power of Resilience</b:Title>
    <b:Year>2018</b:Year>
    <b:Author>
      <b:Author>
        <b:NameList>
          <b:Person>
            <b:Last>Brooks</b:Last>
            <b:First>Dr</b:First>
            <b:Middle>Robert</b:Middle>
          </b:Person>
        </b:NameList>
      </b:Author>
    </b:Author>
    <b:InternetSiteTitle>YouTube</b:InternetSiteTitle>
    <b:Month>November</b:Month>
    <b:Day>14</b:Day>
    <b:URL>https://www.youtube.com/watch?v=3z6vQFHcPiw&amp;t=307s</b:URL>
    <b:RefOrder>129</b:RefOrder>
  </b:Source>
  <b:Source>
    <b:Tag>Bou90</b:Tag>
    <b:SourceType>JournalArticle</b:SourceType>
    <b:Guid>{20C2FE77-CAD9-4D4E-9584-95F4AD3CA531}</b:Guid>
    <b:Author>
      <b:Author>
        <b:NameList>
          <b:Person>
            <b:Last>Boud</b:Last>
            <b:First>D.</b:First>
          </b:Person>
        </b:NameList>
      </b:Author>
    </b:Author>
    <b:Title>Assessment and the Promotion of Academic Values</b:Title>
    <b:Year>1990</b:Year>
    <b:Pages>Volume 15(1), pp. 101-111 </b:Pages>
    <b:JournalName>Studies in Higher Education</b:JournalName>
    <b:RefOrder>130</b:RefOrder>
  </b:Source>
  <b:Source>
    <b:Tag>Fel21</b:Tag>
    <b:SourceType>JournalArticle</b:SourceType>
    <b:Guid>{00398F4E-DAFE-4644-9225-ABDC86F71EC9}</b:Guid>
    <b:Title>Introducing the skills-based model of personal resilience: Drawing on content and process factors to build resilience in the workplace</b:Title>
    <b:Year>2021</b:Year>
    <b:Pages>Vol94 (2), p.458-481</b:Pages>
    <b:Author>
      <b:Author>
        <b:NameList>
          <b:Person>
            <b:Last>Baker</b:Last>
            <b:First>Felicity</b:First>
            <b:Middle>R. L.</b:Middle>
          </b:Person>
          <b:Person>
            <b:Last>Baker</b:Last>
            <b:First>Kevin</b:First>
            <b:Middle>L.</b:Middle>
          </b:Person>
          <b:Person>
            <b:Last>Burrell</b:Last>
            <b:First>Jo</b:First>
          </b:Person>
        </b:NameList>
      </b:Author>
    </b:Author>
    <b:JournalName>Journal of Occupational and Organizational Psychology</b:JournalName>
    <b:RefOrder>131</b:RefOrder>
  </b:Source>
  <b:Source>
    <b:Tag>Haz</b:Tag>
    <b:SourceType>InternetSite</b:SourceType>
    <b:Guid>{4D71C1B3-FA42-42D3-9811-3B16ED586961}</b:Guid>
    <b:Author>
      <b:Author>
        <b:NameList>
          <b:Person>
            <b:Last>Ali</b:Last>
            <b:First>Hazera</b:First>
          </b:Person>
        </b:NameList>
      </b:Author>
    </b:Author>
    <b:Title>The benefits and challenges of peer and self assessment in a formative and summative context (Literature Review)</b:Title>
    <b:InternetSiteTitle>City University of London</b:InternetSiteTitle>
    <b:URL>https://staffhub.city.ac.uk/__data/assets/pdf_file/0016/440242/Literature-Review-The-benefits-and-challenges-of-peer-and-self-assessment-in-a-formative-and-summative-context.pdf</b:URL>
    <b:RefOrder>132</b:RefOrder>
  </b:Source>
  <b:Source>
    <b:Tag>Hal17</b:Tag>
    <b:SourceType>JournalArticle</b:SourceType>
    <b:Guid>{C472CDB4-7C77-4EE3-A5A8-4FF77C3FA3F4}</b:Guid>
    <b:Author>
      <b:Author>
        <b:NameList>
          <b:Person>
            <b:First>Halter et. al</b:First>
          </b:Person>
        </b:NameList>
      </b:Author>
    </b:Author>
    <b:Title>Physician associates in England’s hospitals: a survey of medical directors exploring current usage and factors affecting recruitment</b:Title>
    <b:JournalName>Clinical Medicine</b:JournalName>
    <b:Year>2017 (2)</b:Year>
    <b:Pages>Vol. 17; No. 2; Page 126-131</b:Pages>
    <b:RefOrder>133</b:RefOrder>
  </b:Source>
  <b:Source>
    <b:Tag>Hal171</b:Tag>
    <b:SourceType>JournalArticle</b:SourceType>
    <b:Guid>{3A9F4FEE-8B9C-4FBA-B9C6-E114152A1305}</b:Guid>
    <b:Author>
      <b:Author>
        <b:NameList>
          <b:Person>
            <b:First>Halter et. al</b:First>
          </b:Person>
        </b:NameList>
      </b:Author>
    </b:Author>
    <b:Title>Patients’ experiences of consultations with physician associates in primary care in England: A qualitative study</b:Title>
    <b:JournalName>Health Expectations</b:JournalName>
    <b:Year>2017</b:Year>
    <b:Pages>Vol. 20; Pages 1011-1019</b:Pages>
    <b:RefOrder>134</b:RefOrder>
  </b:Source>
  <b:Source>
    <b:Tag>Dre19</b:Tag>
    <b:SourceType>InternetSite</b:SourceType>
    <b:Guid>{DE9A9EDF-96E5-4563-819B-96A9BA2D9414}</b:Guid>
    <b:Author>
      <b:Author>
        <b:NameList>
          <b:Person>
            <b:First>Drennan et. al</b:First>
          </b:Person>
        </b:NameList>
      </b:Author>
    </b:Author>
    <b:Title>What is the contribution of physician associates in hospital care in England? A mixed methods, multiple case study</b:Title>
    <b:InternetSiteTitle>BMJ Open</b:InternetSiteTitle>
    <b:Year>2019 (2)</b:Year>
    <b:Month>January</b:Month>
    <b:Day>30</b:Day>
    <b:URL>https://bmjopen.bmj.com/content/bmjopen/9/1/e027012.full.pdf</b:URL>
    <b:RefOrder>135</b:RefOrder>
  </b:Source>
  <b:Source>
    <b:Tag>Dre191</b:Tag>
    <b:SourceType>JournalArticle</b:SourceType>
    <b:Guid>{A007C12F-AB18-42A6-B12B-223C8EDF5807}</b:Guid>
    <b:Title>The role of physician associates in secondary care: the PA-SCER mixed-methods study</b:Title>
    <b:Year>2019</b:Year>
    <b:Author>
      <b:Author>
        <b:NameList>
          <b:Person>
            <b:First>Drennan et. al</b:First>
          </b:Person>
        </b:NameList>
      </b:Author>
    </b:Author>
    <b:JournalName>HEALTH SERVICES AND DELIVERY RESEARCH </b:JournalName>
    <b:Pages>Vol. 7; Issue. 19</b:Pages>
    <b:RefOrder>136</b:RefOrder>
  </b:Source>
  <b:Source>
    <b:Tag>HES23</b:Tag>
    <b:SourceType>InternetSite</b:SourceType>
    <b:Guid>{79CB1C57-8EF7-4427-B119-0D6727DADD34}</b:Guid>
    <b:Author>
      <b:Author>
        <b:Corporate>HESA</b:Corporate>
      </b:Author>
    </b:Author>
    <b:Title>Where do HE students come from?</b:Title>
    <b:InternetSiteTitle>HESA</b:InternetSiteTitle>
    <b:Year>2023</b:Year>
    <b:Month>January</b:Month>
    <b:Day>31</b:Day>
    <b:URL>https://www.hesa.ac.uk/data-and-analysis/students/where-from</b:URL>
    <b:RefOrder>137</b:RefOrder>
  </b:Source>
  <b:Source>
    <b:Tag>Cha16</b:Tag>
    <b:SourceType>InternetSite</b:SourceType>
    <b:Guid>{0AC28982-7085-4101-8784-393BBF70D5BF}</b:Guid>
    <b:Author>
      <b:Author>
        <b:Corporate>Changeboard</b:Corporate>
      </b:Author>
    </b:Author>
    <b:Title>Whats your team brand and why does it matter?</b:Title>
    <b:InternetSiteTitle>Changeboard</b:InternetSiteTitle>
    <b:Year>2016</b:Year>
    <b:Month>May</b:Month>
    <b:Day>23</b:Day>
    <b:URL>https://www.changeboard.com/article-details/14395/whats-your-team-brand-and-why-does-it-matter-/</b:URL>
    <b:RefOrder>138</b:RefOrder>
  </b:Source>
  <b:Source>
    <b:Tag>CIP30</b:Tag>
    <b:SourceType>InternetSite</b:SourceType>
    <b:Guid>{9848C4B7-AAE7-42DB-AE10-34E751A8D7CB}</b:Guid>
    <b:Author>
      <b:Author>
        <b:Corporate>CIPD</b:Corporate>
      </b:Author>
    </b:Author>
    <b:Title>What’s the secret to successful digital communications at work</b:Title>
    <b:InternetSiteTitle>CIPD</b:InternetSiteTitle>
    <b:Year>21</b:Year>
    <b:Month>July</b:Month>
    <b:Day>30</b:Day>
    <b:URL>https://www.cipd.co.uk/news-views/nutshell/issue-109/digital-communications</b:URL>
    <b:RefOrder>139</b:RefOrder>
  </b:Source>
  <b:Source>
    <b:Tag>HES231</b:Tag>
    <b:SourceType>InternetSite</b:SourceType>
    <b:Guid>{B3247104-876E-4889-BF6A-488FB6B4B84C}</b:Guid>
    <b:Author>
      <b:Author>
        <b:Corporate>HESA</b:Corporate>
      </b:Author>
    </b:Author>
    <b:Title>What do HE students study?</b:Title>
    <b:InternetSiteTitle>HESA</b:InternetSiteTitle>
    <b:Year>2023</b:Year>
    <b:Month>January</b:Month>
    <b:Day>31</b:Day>
    <b:URL>https://www.hesa.ac.uk/data-and-analysis/students/what-study</b:URL>
    <b:RefOrder>140</b:RefOrder>
  </b:Source>
  <b:Source>
    <b:Tag>Tru22</b:Tag>
    <b:SourceType>InternetSite</b:SourceType>
    <b:Guid>{69ED7F85-F791-4996-883C-A067F54BED40}</b:Guid>
    <b:Author>
      <b:Author>
        <b:Corporate>Truity</b:Corporate>
      </b:Author>
    </b:Author>
    <b:Title>Type Finder Personality Assessment</b:Title>
    <b:InternetSiteTitle>Truity</b:InternetSiteTitle>
    <b:Year>2022</b:Year>
    <b:Month>April</b:Month>
    <b:Day>20</b:Day>
    <b:URL>https://www.truity.com/test-results/typefinder/17870/30329734</b:URL>
    <b:RefOrder>141</b:RefOrder>
  </b:Source>
  <b:Source>
    <b:Tag>Ski21</b:Tag>
    <b:SourceType>DocumentFromInternetSite</b:SourceType>
    <b:Guid>{80FDB302-BC53-4F94-9034-ED6A2CE4E96D}</b:Guid>
    <b:Title>The Principles of Workforce Integration</b:Title>
    <b:InternetSiteTitle>Skills for Care</b:InternetSiteTitle>
    <b:Year>2021</b:Year>
    <b:Month>June</b:Month>
    <b:URL>https://www.skillsforcare.org.uk/resources/documents/Support-for-leaders-and-managers/Workforce-commissioning-planning/Integration/The-principles-of-workforce-integration.pdf</b:URL>
    <b:Author>
      <b:Author>
        <b:Corporate>Skills for Care</b:Corporate>
      </b:Author>
    </b:Author>
    <b:RefOrder>142</b:RefOrder>
  </b:Source>
  <b:Source>
    <b:Tag>Cam</b:Tag>
    <b:SourceType>InternetSite</b:SourceType>
    <b:Guid>{7C9FE796-F4CC-4152-858F-099B1D773D99}</b:Guid>
    <b:Title>Supporting Education at Cambridge: Reading Lists Online</b:Title>
    <b:InternetSiteTitle>Cambridge University</b:InternetSiteTitle>
    <b:URL>https://libguides.cam.ac.uk/Leganto/home</b:URL>
    <b:Author>
      <b:Author>
        <b:Corporate>Cambridge University Libraries</b:Corporate>
      </b:Author>
    </b:Author>
    <b:RefOrder>143</b:RefOrder>
  </b:Source>
  <b:Source>
    <b:Tag>Gov221</b:Tag>
    <b:SourceType>InternetSite</b:SourceType>
    <b:Guid>{9911F664-B786-4E53-A78C-2441F206CA5B}</b:Guid>
    <b:Author>
      <b:Author>
        <b:Corporate>Gov.UK</b:Corporate>
      </b:Author>
    </b:Author>
    <b:Title>Skilled Worker Visa - Eligible Occupations</b:Title>
    <b:InternetSiteTitle>Gov.UK</b:InternetSiteTitle>
    <b:Year>2022</b:Year>
    <b:Month>February</b:Month>
    <b:Day>15</b:Day>
    <b:URL>https://www.gov.uk/government/publications/skilled-worker-visa-eligible-occupations/skilled-worker-visa-eligible-occupations-and-codes</b:URL>
    <b:RefOrder>144</b:RefOrder>
  </b:Source>
  <b:Source>
    <b:Tag>Gov</b:Tag>
    <b:SourceType>InternetSite</b:SourceType>
    <b:Guid>{C08380D9-B9FF-443A-A581-2D8BE1CD4392}</b:Guid>
    <b:Author>
      <b:Author>
        <b:Corporate>Gov.UK</b:Corporate>
      </b:Author>
    </b:Author>
    <b:Title>Skilled Worker Visa</b:Title>
    <b:InternetSiteTitle>Gov.UK</b:InternetSiteTitle>
    <b:URL>https://www.gov.uk/skilled-worker-visa</b:URL>
    <b:RefOrder>145</b:RefOrder>
  </b:Source>
  <b:Source>
    <b:Tag>Uni201</b:Tag>
    <b:SourceType>InternetSite</b:SourceType>
    <b:Guid>{1DFE7D99-27F3-4F86-A6AB-FC74407DEC78}</b:Guid>
    <b:Author>
      <b:Author>
        <b:Corporate>University of Edinburgh</b:Corporate>
      </b:Author>
    </b:Author>
    <b:Title>Reflection Toolkit: Gibbs' Reflective Cycle</b:Title>
    <b:InternetSiteTitle>University of Edinburgh</b:InternetSiteTitle>
    <b:Year>2020</b:Year>
    <b:Month>November</b:Month>
    <b:Day>11</b:Day>
    <b:URL>https://www.ed.ac.uk/reflection/reflectors-toolkit/reflecting-on-experience/gibbs-reflective-cycle</b:URL>
    <b:RefOrder>146</b:RefOrder>
  </b:Source>
  <b:Source>
    <b:Tag>CIP211</b:Tag>
    <b:SourceType>InternetSite</b:SourceType>
    <b:Guid>{956ADD3F-4C19-4EFD-8369-A22AE7A29C7A}</b:Guid>
    <b:Author>
      <b:Author>
        <b:Corporate>CIPD</b:Corporate>
      </b:Author>
    </b:Author>
    <b:Title>Planning for hybrid working</b:Title>
    <b:InternetSiteTitle>CIPD</b:InternetSiteTitle>
    <b:Year>2021</b:Year>
    <b:Month>September</b:Month>
    <b:Day>30</b:Day>
    <b:URL>https://www.cipd.co.uk/knowledge/fundamentals/relations/flexible-working/planning-hybrid-working</b:URL>
    <b:RefOrder>147</b:RefOrder>
  </b:Source>
  <b:Source>
    <b:Tag>NHS</b:Tag>
    <b:SourceType>DocumentFromInternetSite</b:SourceType>
    <b:Guid>{C25F7ECB-CD0A-4958-A6A8-BF3C80BA4D50}</b:Guid>
    <b:Author>
      <b:Author>
        <b:Corporate>NHS Improving Quality</b:Corporate>
      </b:Author>
    </b:Author>
    <b:Title>Learning Handbook: Five Whys</b:Title>
    <b:InternetSiteTitle>NHS Englans</b:InternetSiteTitle>
    <b:URL>https://www.england.nhs.uk/improvement-hub/wp-content/uploads/sites/44/2015/08/learning-handbook-five-whys.pdf</b:URL>
    <b:RefOrder>148</b:RefOrder>
  </b:Source>
  <b:Source>
    <b:Tag>Uni23</b:Tag>
    <b:SourceType>InternetSite</b:SourceType>
    <b:Guid>{C3A784D9-D0EA-45F1-9AA4-D2798D653368}</b:Guid>
    <b:Author>
      <b:Author>
        <b:Corporate>Universities UK</b:Corporate>
      </b:Author>
    </b:Author>
    <b:Title>International student recruitment data</b:Title>
    <b:InternetSiteTitle>Universities UK</b:InternetSiteTitle>
    <b:Year>2023</b:Year>
    <b:Month>February</b:Month>
    <b:Day>10</b:Day>
    <b:URL>https://www.universitiesuk.ac.uk/universities-uk-international/explore-uuki/international-student-recruitment/international-student-recruitment-data</b:URL>
    <b:RefOrder>149</b:RefOrder>
  </b:Source>
  <b:Source>
    <b:Tag>ONS191</b:Tag>
    <b:SourceType>DocumentFromInternetSite</b:SourceType>
    <b:Guid>{0B668BB6-60C0-4E3B-80C4-AA37D758EF0E}</b:Guid>
    <b:Title>International Migration and the Healthcare Workforce</b:Title>
    <b:Year>2019</b:Year>
    <b:Author>
      <b:Author>
        <b:Corporate>ONS</b:Corporate>
      </b:Author>
    </b:Author>
    <b:InternetSiteTitle>ONS</b:InternetSiteTitle>
    <b:Month>August</b:Month>
    <b:Day>15</b:Day>
    <b:URL>https://www.ons.gov.uk/peoplepopulationandcommunity/populationandmigration/internationalmigration/articles/internationalmigrationandthehealthcareworkforce/2019-08-15</b:URL>
    <b:RefOrder>150</b:RefOrder>
  </b:Source>
  <b:Source>
    <b:Tag>ONS19</b:Tag>
    <b:SourceType>InternetSite</b:SourceType>
    <b:Guid>{16DD4525-888A-4956-B4EE-0C7F577CCA6D}</b:Guid>
    <b:Author>
      <b:Author>
        <b:Corporate>ONS</b:Corporate>
      </b:Author>
    </b:Author>
    <b:Title>International migration and the health care workforce</b:Title>
    <b:InternetSiteTitle>Office for National Statistics</b:InternetSiteTitle>
    <b:Year>2019</b:Year>
    <b:Month>August</b:Month>
    <b:Day>15</b:Day>
    <b:URL>https://www.ons.gov.uk/peoplepopulationandcommunity/populationandmigration/internationalmigration/datasets/internationalmigrationandthehealthcareworkforce</b:URL>
    <b:RefOrder>151</b:RefOrder>
  </b:Source>
  <b:Source>
    <b:Tag>HDd</b:Tag>
    <b:SourceType>InternetSite</b:SourceType>
    <b:Guid>{1E96C211-840C-495B-A7AE-570BE11B92C8}</b:Guid>
    <b:Title>Healthier Mid and West Wales</b:Title>
    <b:Author>
      <b:Author>
        <b:Corporate>HDdUHB</b:Corporate>
      </b:Author>
    </b:Author>
    <b:InternetSiteTitle>Hywel Dda University Health Board</b:InternetSiteTitle>
    <b:URL>https://hduhb.nhs.wales/about-us/healthier-mid-and-west-wales/</b:URL>
    <b:RefOrder>152</b:RefOrder>
  </b:Source>
  <b:Source>
    <b:Tag>Lea</b:Tag>
    <b:SourceType>InternetSite</b:SourceType>
    <b:Guid>{3004704A-FE4C-40C2-B5E5-E6DC4BACF75F}</b:Guid>
    <b:Author>
      <b:Author>
        <b:Corporate>Learning Theories</b:Corporate>
      </b:Author>
    </b:Author>
    <b:Title>Experiential Learning (Kolb)</b:Title>
    <b:InternetSiteTitle>Learning Theories</b:InternetSiteTitle>
    <b:URL>https://learning-theories.com/experiential-learning-kolb.html</b:URL>
    <b:RefOrder>1</b:RefOrder>
  </b:Source>
  <b:Source>
    <b:Tag>Oxf21</b:Tag>
    <b:SourceType>DocumentFromInternetSite</b:SourceType>
    <b:Guid>{052DC78A-F529-4C5A-9B50-ACCD4089B3E0}</b:Guid>
    <b:Author>
      <b:Author>
        <b:Corporate>Oxford Teaching Ideas</b:Corporate>
      </b:Author>
    </b:Author>
    <b:Title>Designing effective reading lists</b:Title>
    <b:InternetSiteTitle>Oxford University</b:InternetSiteTitle>
    <b:Year>2021</b:Year>
    <b:URL>https://www.ctl.ox.ac.uk/effective-reading-lists</b:URL>
    <b:RefOrder>154</b:RefOrder>
  </b:Source>
  <b:Source>
    <b:Tag>the</b:Tag>
    <b:SourceType>InternetSite</b:SourceType>
    <b:Guid>{008CAFF7-F023-46A6-8E71-049BBA9130E8}</b:Guid>
    <b:Author>
      <b:Author>
        <b:Corporate>theTeam</b:Corporate>
      </b:Author>
    </b:Author>
    <b:Title>Brand Strategy</b:Title>
    <b:InternetSiteTitle>theTeam</b:InternetSiteTitle>
    <b:URL>https://theteam.co.uk/services/brand-strategy/</b:URL>
    <b:RefOrder>156</b:RefOrder>
  </b:Source>
  <b:Source>
    <b:Tag>Rob</b:Tag>
    <b:SourceType>InternetSite</b:SourceType>
    <b:Guid>{11945754-C88E-4518-8352-EB5459EB9B21}</b:Guid>
    <b:Title>About Us - Facts and Figures</b:Title>
    <b:InternetSiteTitle>Robert Gordon University</b:InternetSiteTitle>
    <b:URL>https://www.rgu.ac.uk/about/facts-figures</b:URL>
    <b:Author>
      <b:Author>
        <b:Corporate>Robert Gordon University</b:Corporate>
      </b:Author>
    </b:Author>
    <b:RefOrder>157</b:RefOrder>
  </b:Source>
  <b:Source>
    <b:Tag>Min02</b:Tag>
    <b:SourceType>InternetSite</b:SourceType>
    <b:Guid>{31948F71-F482-48A2-B547-9AFA872AF8A7}</b:Guid>
    <b:Title>5 Whys</b:Title>
    <b:InternetSiteTitle>MindTools</b:InternetSiteTitle>
    <b:Year>2002</b:Year>
    <b:URL>https://www.mindtools.com/a3mi00v/5-whys</b:URL>
    <b:Author>
      <b:Author>
        <b:Corporate>Mind Tools Content Team</b:Corporate>
      </b:Author>
    </b:Author>
    <b:RefOrder>158</b:RefOrder>
  </b:Source>
  <b:Source>
    <b:Tag>Min1</b:Tag>
    <b:SourceType>InternetSite</b:SourceType>
    <b:Guid>{27107E68-8DD1-4C7C-93CF-4E96FEBE3FEC}</b:Guid>
    <b:Author>
      <b:Author>
        <b:NameList>
          <b:Person>
            <b:Last>MTCT</b:Last>
          </b:Person>
        </b:NameList>
      </b:Author>
    </b:Author>
    <b:Title>The ADKAR® Change Management Model</b:Title>
    <b:InternetSiteTitle>Mind Tools</b:InternetSiteTitle>
    <b:URL>https://www.mindtools.com/aou2mjr/the-adkar-change-management-model</b:URL>
    <b:RefOrder>3</b:RefOrder>
  </b:Source>
  <b:Source>
    <b:Tag>MTC</b:Tag>
    <b:SourceType>InternetSite</b:SourceType>
    <b:Guid>{3531B48A-BA35-4BC2-9FF4-3FF4389630E0}</b:Guid>
    <b:Author>
      <b:Author>
        <b:Corporate>MTCT</b:Corporate>
      </b:Author>
    </b:Author>
    <b:Title>Six Sigma</b:Title>
    <b:InternetSiteTitle>Mind Tools</b:InternetSiteTitle>
    <b:URL>https://www.mindtools.com/aoafmra/six-sigma</b:URL>
    <b:RefOrder>9</b:RefOrder>
  </b:Source>
  <b:Source>
    <b:Tag>MTC1</b:Tag>
    <b:SourceType>InternetSite</b:SourceType>
    <b:Guid>{B4A61A43-3600-4B27-A013-2B1400732EA6}</b:Guid>
    <b:Author>
      <b:Author>
        <b:Corporate>MTCT</b:Corporate>
      </b:Author>
    </b:Author>
    <b:Title>McKinsey 7S Framework</b:Title>
    <b:InternetSiteTitle>Mind Tools</b:InternetSiteTitle>
    <b:URL>https://www.mindtools.com/aicks4s/the-mckinsey-7-s-framework</b:URL>
    <b:RefOrder>6</b:RefOrder>
  </b:Source>
  <b:Source>
    <b:Tag>MTC2</b:Tag>
    <b:SourceType>InternetSite</b:SourceType>
    <b:Guid>{D4A4513F-E1D8-4765-B844-6124DB148B6A}</b:Guid>
    <b:Author>
      <b:Author>
        <b:Corporate>MTCT</b:Corporate>
      </b:Author>
    </b:Author>
    <b:Title>GROW Model of Coaching and Mentoring</b:Title>
    <b:InternetSiteTitle>Mind Tools</b:InternetSiteTitle>
    <b:URL>https://www.mindtools.com/an0fzpz/the-grow-model-of-coaching-and-mentoring</b:URL>
    <b:RefOrder>8</b:RefOrder>
  </b:Source>
  <b:Source>
    <b:Tag>Emi211</b:Tag>
    <b:SourceType>InternetSite</b:SourceType>
    <b:Guid>{C64A89B0-4DFB-4B1A-8BE6-5E642F3DE937}</b:Guid>
    <b:Author>
      <b:Author>
        <b:NameList>
          <b:Person>
            <b:Last>Stevens</b:Last>
            <b:First>Emily</b:First>
          </b:Person>
        </b:NameList>
      </b:Author>
    </b:Author>
    <b:Title>The Fascinating History of UX Design: A Definitive Timeline</b:Title>
    <b:InternetSiteTitle>Career Foundary</b:InternetSiteTitle>
    <b:Year>2021</b:Year>
    <b:Month>July</b:Month>
    <b:Day>28</b:Day>
    <b:URL>https://careerfoundry.com/en/blog/ux-design/the-fascinating-history-of-ux-design-a-definitive-timeline/</b:URL>
    <b:RefOrder>7</b:RefOrder>
  </b:Source>
  <b:Source>
    <b:Tag>MTC3</b:Tag>
    <b:SourceType>InternetSite</b:SourceType>
    <b:Guid>{156D1583-E79D-4575-9D90-F04F43A31426}</b:Guid>
    <b:Author>
      <b:Author>
        <b:Corporate>MTCT</b:Corporate>
      </b:Author>
    </b:Author>
    <b:Title>Porter's Five Forces</b:Title>
    <b:InternetSiteTitle>Mind Tools</b:InternetSiteTitle>
    <b:URL>https://www.mindtools.com/at7k8my/porter-s-five-forces</b:URL>
    <b:RefOrder>5</b:RefOrder>
  </b:Source>
  <b:Source>
    <b:Tag>MTC22</b:Tag>
    <b:SourceType>InternetSite</b:SourceType>
    <b:Guid>{95EE2D63-4EF6-462D-B068-2EA427A9B070}</b:Guid>
    <b:Author>
      <b:Author>
        <b:Corporate>MTCT</b:Corporate>
      </b:Author>
    </b:Author>
    <b:Title>LEAN Methodology</b:Title>
    <b:InternetSiteTitle>Masterclass</b:InternetSiteTitle>
    <b:Year>2022</b:Year>
    <b:Month>June</b:Month>
    <b:Day>15</b:Day>
    <b:URL>https://www.masterclass.com/articles/lean-methodology</b:URL>
    <b:RefOrder>4</b:RefOrder>
  </b:Source>
  <b:Source>
    <b:Tag>Mor20</b:Tag>
    <b:SourceType>JournalArticle</b:SourceType>
    <b:Guid>{64FBB790-02CB-40A7-A91A-26CECCB026A0}</b:Guid>
    <b:Title>Challenges and barriers in virtual teams: a literature review</b:Title>
    <b:Year>2020</b:Year>
    <b:Pages>V2; Article Number 1096</b:Pages>
    <b:Author>
      <b:Author>
        <b:NameList>
          <b:Person>
            <b:Last>Morrison-Smith</b:Last>
            <b:First>S.</b:First>
          </b:Person>
          <b:Person>
            <b:Last>Ruiz</b:Last>
            <b:First>J.</b:First>
          </b:Person>
        </b:NameList>
      </b:Author>
    </b:Author>
    <b:JournalName>SN Applied Science</b:JournalName>
    <b:RefOrder>159</b:RefOrder>
  </b:Source>
  <b:Source>
    <b:Tag>Add15</b:Tag>
    <b:SourceType>DocumentFromInternetSite</b:SourceType>
    <b:Guid>{CF1854FE-A8DA-4949-AD2E-A59099D07E24}</b:Guid>
    <b:Title>Workforce Planning in the NHS</b:Title>
    <b:Year>2015</b:Year>
    <b:Author>
      <b:Author>
        <b:NameList>
          <b:Person>
            <b:Last>Addicott</b:Last>
            <b:First>R.</b:First>
          </b:Person>
          <b:Person>
            <b:Last>Maguire</b:Last>
            <b:First>D.</b:First>
          </b:Person>
          <b:Person>
            <b:Last>Honeyman</b:Last>
            <b:First>M.</b:First>
          </b:Person>
          <b:Person>
            <b:Last>Jabbal</b:Last>
            <b:First>J.</b:First>
          </b:Person>
        </b:NameList>
      </b:Author>
    </b:Author>
    <b:InternetSiteTitle>The King's Fund</b:InternetSiteTitle>
    <b:Month>April</b:Month>
    <b:URL>https://www.kingsfund.org.uk/sites/default/files/field/field_publication_file/Workforce-planning-NHS-Kings-Fund-Apr-15.pdf</b:URL>
    <b:RefOrder>12</b:RefOrder>
  </b:Source>
  <b:Source>
    <b:Tag>Wor20</b:Tag>
    <b:SourceType>InternetSite</b:SourceType>
    <b:Guid>{F360DB88-1F69-4345-B904-9C8BDC41E723}</b:Guid>
    <b:Title>5 Key Issues to Avoid When Creating a Workforce Plan</b:Title>
    <b:Year>2020</b:Year>
    <b:Author>
      <b:Author>
        <b:Corporate>Workforce Group</b:Corporate>
      </b:Author>
    </b:Author>
    <b:InternetSiteTitle>Workforce Group</b:InternetSiteTitle>
    <b:Month>July</b:Month>
    <b:Day>21</b:Day>
    <b:URL>https://workforcegroup.com/how-to-create-a-workforce-plan/</b:URL>
    <b:RefOrder>14</b:RefOrder>
  </b:Source>
  <b:Source>
    <b:Tag>Wel211</b:Tag>
    <b:SourceType>DocumentFromInternetSite</b:SourceType>
    <b:Guid>{626E631E-EEC8-4F54-BC16-7966534E93B7}</b:Guid>
    <b:Title>Nurse Staffing Levels (Wales) Act 2016: statutory guidance (version 2)</b:Title>
    <b:Year>2021</b:Year>
    <b:Author>
      <b:Author>
        <b:Corporate>Welsh Government</b:Corporate>
      </b:Author>
    </b:Author>
    <b:InternetSiteTitle>GOV.co.uk</b:InternetSiteTitle>
    <b:Month>March</b:Month>
    <b:Day>4</b:Day>
    <b:URL>https://www.gov.wales/sites/default/files/pdf-versions/2021/3/5/1614936011/nurse-staffing-levels-wales-act-2016-statutory-guidance-version-2.pdf</b:URL>
    <b:RefOrder>10</b:RefOrder>
  </b:Source>
  <b:Source>
    <b:Tag>Ass20</b:Tag>
    <b:SourceType>BookSection</b:SourceType>
    <b:Guid>{9C9C8E94-D527-491F-8ABA-D8A549AAE68F}</b:Guid>
    <b:Title>THE POWER AND POLITICS IN ORGANIZATIONS</b:Title>
    <b:InternetSiteTitle>Research Gate</b:InternetSiteTitle>
    <b:Year>2020</b:Year>
    <b:Month>December</b:Month>
    <b:URL>https://www.researchgate.net/publication/347342951_THE_POWER_AND_POLITICS_IN_ORGANIZATIONS</b:URL>
    <b:BookTitle>DISCUSSIONS BETWEEN ECONOMIC AGENTS SOCIO-ECONOMIC STUDIES</b:BookTitle>
    <b:Pages>221-245</b:Pages>
    <b:Publisher>Iksad Publications</b:Publisher>
    <b:Author>
      <b:Author>
        <b:NameList>
          <b:Person>
            <b:Last>Asst. Prof. Dr. Bicer, C.</b:Last>
          </b:Person>
        </b:NameList>
      </b:Author>
      <b:BookAuthor>
        <b:NameList>
          <b:Person>
            <b:Last>Asst. Prof. Dr. Bicer</b:Last>
            <b:First>C.</b:First>
          </b:Person>
        </b:NameList>
      </b:BookAuthor>
    </b:Author>
    <b:RefOrder>160</b:RefOrder>
  </b:Source>
  <b:Source>
    <b:Tag>Sen</b:Tag>
    <b:SourceType>BookSection</b:SourceType>
    <b:Guid>{F28AAC29-C579-404B-BF61-FDB74A40DB57}</b:Guid>
    <b:Title>Power and Politics</b:Title>
    <b:BookTitle>Organizational Behaviour</b:BookTitle>
    <b:City>Toronto</b:City>
    <b:Publisher>Pressbooks</b:Publisher>
    <b:URL>https://www.roberthalf.ca/en/blog/management-tips/how-to-manage-organisational-politics</b:URL>
    <b:Author>
      <b:Author>
        <b:Corporate>Seneca College</b:Corporate>
      </b:Author>
      <b:BookAuthor>
        <b:NameList>
          <b:Person>
            <b:Last>College</b:Last>
            <b:First>Seneca</b:First>
          </b:Person>
        </b:NameList>
      </b:BookAuthor>
    </b:Author>
    <b:RefOrder>161</b:RefOrder>
  </b:Source>
  <b:Source>
    <b:Tag>Buš13</b:Tag>
    <b:SourceType>JournalArticle</b:SourceType>
    <b:Guid>{0468F1F4-2CD8-4788-AD33-CF088CA74BA1}</b:Guid>
    <b:Title>Effective Use of Teaching and Learning Resources</b:Title>
    <b:Year>2013</b:Year>
    <b:Pages>Vol. 5; 2; pg 55-70</b:Pages>
    <b:InternetSiteTitle>Researchgate</b:InternetSiteTitle>
    <b:Author>
      <b:Author>
        <b:NameList>
          <b:Person>
            <b:Last>Bušljeta</b:Last>
            <b:First>Dr</b:First>
            <b:Middle>Rona</b:Middle>
          </b:Person>
        </b:NameList>
      </b:Author>
    </b:Author>
    <b:JournalName>Czech-Polish Historical and Pedagogical Journal</b:JournalName>
    <b:RefOrder>15</b:RefOrder>
  </b:Source>
  <b:Source>
    <b:Tag>All19</b:Tag>
    <b:SourceType>JournalArticle</b:SourceType>
    <b:Guid>{72AAFA7D-60DF-4A2B-BF52-A96B29B95CB2}</b:Guid>
    <b:Author>
      <b:Author>
        <b:NameList>
          <b:Person>
            <b:Last>Allen</b:Last>
          </b:Person>
          <b:Person>
            <b:Last>Kate</b:Last>
          </b:Person>
          <b:Person>
            <b:Last>Marquez</b:Last>
            <b:First>Annie</b:First>
          </b:Person>
        </b:NameList>
      </b:Author>
    </b:Author>
    <b:Title>Teaching Vocabulary with Visual aids</b:Title>
    <b:JournalName>Journal of Kao Ying Industrial &amp; Commercial Vocational High School</b:JournalName>
    <b:Year>2019</b:Year>
    <b:Pages>01-05</b:Pages>
    <b:RefOrder>19</b:RefOrder>
  </b:Source>
  <b:Source>
    <b:Tag>Shr17</b:Tag>
    <b:SourceType>InternetSite</b:SourceType>
    <b:Guid>{DE774BE5-F14D-499C-80C0-1F20CF251A85}</b:Guid>
    <b:Title>Teaching Materials and Teaching Aids</b:Title>
    <b:Year>2017</b:Year>
    <b:Author>
      <b:Author>
        <b:NameList>
          <b:Person>
            <b:Last>Kumar</b:Last>
            <b:First>Shravan</b:First>
          </b:Person>
        </b:NameList>
      </b:Author>
    </b:Author>
    <b:InternetSiteTitle>Research Gate</b:InternetSiteTitle>
    <b:Month>May</b:Month>
    <b:URL>https://www.researchgate.net/publication/318215081_Teaching_materials_and_teaching_aids_-_1_teaching_material</b:URL>
    <b:RefOrder>162</b:RefOrder>
  </b:Source>
  <b:Source>
    <b:Tag>Uch21</b:Tag>
    <b:SourceType>JournalArticle</b:SourceType>
    <b:Guid>{31D16156-AB11-4542-AB1F-297EF898404E}</b:Guid>
    <b:Title>The Role of Teaching and Learning Aids/Methods in a Changing World</b:Title>
    <b:Year>2021</b:Year>
    <b:Author>
      <b:Author>
        <b:NameList>
          <b:Person>
            <b:Last>Ordu</b:Last>
            <b:First>Uchechi</b:First>
            <b:Middle>Bel-Ann</b:Middle>
          </b:Person>
        </b:NameList>
      </b:Author>
    </b:Author>
    <b:JournalName>New Challenges to Education: Lessons from Around the World</b:JournalName>
    <b:Pages>Vol. 19; pg 210-216</b:Pages>
    <b:RefOrder>20</b:RefOrder>
  </b:Source>
  <b:Source>
    <b:Tag>Kud</b:Tag>
    <b:SourceType>InternetSite</b:SourceType>
    <b:Guid>{19E029E4-E571-49E1-8911-42E05069B7AD}</b:Guid>
    <b:Title>Toolkits: A guide to developing toolkits that work</b:Title>
    <b:Author>
      <b:Author>
        <b:NameList>
          <b:Person>
            <b:Last>Derera</b:Last>
            <b:First>Kudzai</b:First>
          </b:Person>
        </b:NameList>
      </b:Author>
    </b:Author>
    <b:InternetSiteTitle>The Human Capital Hub</b:InternetSiteTitle>
    <b:URL>https://www.thehumancapitalhub.com/articles/Toolkits-A-Guide-To-Developing-Toolkits-That-Work</b:URL>
    <b:RefOrder>16</b:RefOrder>
  </b:Source>
  <b:Source>
    <b:Tag>Col13</b:Tag>
    <b:SourceType>JournalArticle</b:SourceType>
    <b:Guid>{F8F50075-FE24-4C04-9BA5-DE1FEAC34784}</b:Guid>
    <b:Title>Reassessing the impact of teaching assistants: how research challenges practice and policy</b:Title>
    <b:Year>2013</b:Year>
    <b:Pages>39:1; 159-162</b:Pages>
    <b:Author>
      <b:Author>
        <b:NameList>
          <b:Person>
            <b:Last>Jackson</b:Last>
            <b:First>Coleen</b:First>
            <b:Middle>R.</b:Middle>
          </b:Person>
        </b:NameList>
      </b:Author>
    </b:Author>
    <b:JournalName>Professional Development in Education</b:JournalName>
    <b:RefOrder>18</b:RefOrder>
  </b:Source>
  <b:Source>
    <b:Tag>Cha22</b:Tag>
    <b:SourceType>InternetSite</b:SourceType>
    <b:Guid>{FA4A4083-877D-4D31-9E74-829E8D04F49C}</b:Guid>
    <b:Title>Lessons from the pandemic: making the most of technologies in teaching</b:Title>
    <b:Year>2022</b:Year>
    <b:Month>December</b:Month>
    <b:Day>20</b:Day>
    <b:InternetSiteTitle>Universities UK</b:InternetSiteTitle>
    <b:URL>https://www.universitiesuk.ac.uk/what-we-do/policy-and-research/publications/lessons-pandemic-making-most</b:URL>
    <b:Author>
      <b:Author>
        <b:NameList>
          <b:Person>
            <b:Last>Snelling</b:Last>
            <b:First>Charlotte</b:First>
          </b:Person>
        </b:NameList>
      </b:Author>
    </b:Author>
    <b:RefOrder>17</b:RefOrder>
  </b:Source>
  <b:Source>
    <b:Tag>Con</b:Tag>
    <b:SourceType>InternetSite</b:SourceType>
    <b:Guid>{D8831318-3EFC-4C9D-8797-BF2210BC5776}</b:Guid>
    <b:Author>
      <b:Author>
        <b:NameList>
          <b:Person>
            <b:Last>Malamed</b:Last>
            <b:First>Connie</b:First>
          </b:Person>
        </b:NameList>
      </b:Author>
    </b:Author>
    <b:Title>Writing and Formatting Voiceover Scripts</b:Title>
    <b:InternetSiteTitle>eLearning Coach</b:InternetSiteTitle>
    <b:URL>https://www.bing.com/search?q=what+to+bear+in+mind+when+recording+teaching&amp;qs=n&amp;form=QBRE&amp;sp=-1&amp;lq=0&amp;pq=what+to+bear+in+mind+when+recording+&amp;sc=6-36&amp;sk=&amp;cvid=D4E29E8A7B8045DC86ADDF1AD8448FB8&amp;ghsh=0&amp;ghacc=0&amp;ghpl=</b:URL>
    <b:RefOrder>163</b:RefOrder>
  </b:Source>
  <b:Source>
    <b:Tag>Cam1</b:Tag>
    <b:SourceType>InternetSite</b:SourceType>
    <b:Guid>{384D8447-AF77-4A4E-AC9E-316491B2AF6B}</b:Guid>
    <b:Author>
      <b:Author>
        <b:NameList>
          <b:Person>
            <b:Last>Learning</b:Last>
            <b:First>Cambridge</b:First>
            <b:Middle>Centre for Teaching and</b:Middle>
          </b:Person>
        </b:NameList>
      </b:Author>
    </b:Author>
    <b:Title>Guidance on Recording</b:Title>
    <b:InternetSiteTitle>Cambridge University</b:InternetSiteTitle>
    <b:URL>https://www.cctl.cam.ac.uk/technology-enabled-learning/guidance-recording</b:URL>
    <b:RefOrder>164</b:RefOrder>
  </b:Source>
  <b:Source>
    <b:Tag>Gen</b:Tag>
    <b:SourceType>InternetSite</b:SourceType>
    <b:Guid>{EBF67663-2BCF-4CCB-8ED4-27DF1F51AEF5}</b:Guid>
    <b:Title>Our History</b:Title>
    <b:Author>
      <b:Author>
        <b:NameList>
          <b:Person>
            <b:Last>General Medical Council</b:Last>
          </b:Person>
        </b:NameList>
      </b:Author>
    </b:Author>
    <b:InternetSiteTitle>General Medical Council</b:InternetSiteTitle>
    <b:URL>https://www.gmc-uk.org/about/who-we-are/our-history</b:URL>
    <b:RefOrder>21</b:RefOrder>
  </b:Source>
  <b:Source>
    <b:Tag>Wil141</b:Tag>
    <b:SourceType>JournalArticle</b:SourceType>
    <b:Guid>{347EA65B-5A4D-4443-A327-18F45722E587}</b:Guid>
    <b:Title>Satisfaction of doctors with the role of physician associates</b:Title>
    <b:Year>2014 </b:Year>
    <b:Author>
      <b:Author>
        <b:NameList>
          <b:Person>
            <b:Last>Williams</b:Last>
            <b:First>L.</b:First>
            <b:Middle>E.</b:Middle>
          </b:Person>
          <b:Person>
            <b:Last>Ritsema</b:Last>
            <b:First>T.</b:First>
            <b:Middle>R.</b:Middle>
          </b:Person>
        </b:NameList>
      </b:Author>
    </b:Author>
    <b:JournalName>Clinical Medicine </b:JournalName>
    <b:Pages>Vol 14, No 2: 113–16</b:Pages>
    <b:RefOrder>22</b:RefOrder>
  </b:Source>
  <b:Source>
    <b:Tag>Dre192</b:Tag>
    <b:SourceType>JournalArticle</b:SourceType>
    <b:Guid>{7CDC0FF8-20C5-4930-AB1E-6D9522355F60}</b:Guid>
    <b:Author>
      <b:Author>
        <b:NameList>
          <b:Person>
            <b:Last>Drennan</b:Last>
            <b:First>V.</b:First>
            <b:Middle>M.</b:Middle>
          </b:Person>
          <b:Person>
            <b:Last>Halter</b:Last>
            <b:First>M.</b:First>
          </b:Person>
          <b:Person>
            <b:Last>Wheeler</b:Last>
            <b:First>C.</b:First>
          </b:Person>
          <b:Person>
            <b:Last>Nice</b:Last>
            <b:First>L.</b:First>
          </b:Person>
          <b:Person>
            <b:Last>Brearley</b:Last>
            <b:First>S.</b:First>
          </b:Person>
          <b:Person>
            <b:Last>Ennis</b:Last>
            <b:First>J.</b:First>
          </b:Person>
          <b:Person>
            <b:Last>Gabe</b:Last>
            <b:First>J.</b:First>
          </b:Person>
          <b:Person>
            <b:Last>Gage</b:Last>
            <b:First>H</b:First>
          </b:Person>
          <b:Person>
            <b:Last>Levenson</b:Last>
            <b:First>R.</b:First>
          </b:Person>
          <b:Person>
            <b:Last>Lusignan</b:Last>
            <b:First>S.</b:First>
          </b:Person>
          <b:Person>
            <b:Last>Begg</b:Last>
            <b:First>P.</b:First>
          </b:Person>
          <b:Person>
            <b:Last>Parle</b:Last>
            <b:First>J.</b:First>
          </b:Person>
        </b:NameList>
      </b:Author>
    </b:Author>
    <b:Title>What is the contribution of Physicians Associates in hospital care in England? A mixed methods, multiple case study</b:Title>
    <b:JournalName>BMJ Open</b:JournalName>
    <b:Year>2019</b:Year>
    <b:Pages>10.1136</b:Pages>
    <b:RefOrder>23</b:RefOrder>
  </b:Source>
  <b:Source>
    <b:Tag>Owa18</b:Tag>
    <b:SourceType>InternetSite</b:SourceType>
    <b:Guid>{E4B45FE5-5490-4F1A-8AAE-6F49BAE1C505}</b:Guid>
    <b:Author>
      <b:Author>
        <b:NameList>
          <b:Person>
            <b:Last>Simpson</b:Last>
            <b:First>Owain</b:First>
          </b:Person>
        </b:NameList>
      </b:Author>
    </b:Author>
    <b:Title>10 Steps to Effective Job Evaluation</b:Title>
    <b:InternetSiteTitle>Perkbox</b:InternetSiteTitle>
    <b:Year>2018</b:Year>
    <b:Month>October</b:Month>
    <b:Day>3</b:Day>
    <b:URL>https://www.perkbox.com/uk/resources/blog/10-steps-to-effective-job-evaluation</b:URL>
    <b:RefOrder>24</b:RefOrder>
  </b:Source>
  <b:Source>
    <b:Tag>Ama22</b:Tag>
    <b:SourceType>Report</b:SourceType>
    <b:Guid>{BDC61190-3DB9-4D3D-B2C5-E1C5548C0208}</b:Guid>
    <b:Title>The Effects of Resilience and Burnout on Wellness in Medical Residents</b:Title>
    <b:Year>2022</b:Year>
    <b:City>Saint Louis</b:City>
    <b:Publisher>ProQuest Dissertations</b:Publisher>
    <b:Author>
      <b:Author>
        <b:NameList>
          <b:Person>
            <b:Last>Barnard</b:Last>
            <b:First>Amanda</b:First>
            <b:Middle>L.</b:Middle>
          </b:Person>
        </b:NameList>
      </b:Author>
    </b:Author>
    <b:RefOrder>165</b:RefOrder>
  </b:Source>
  <b:Source>
    <b:Tag>Can</b:Tag>
    <b:SourceType>InternetSite</b:SourceType>
    <b:Guid>{785AE4B9-BCC4-4482-BF6A-51162863598E}</b:Guid>
    <b:Author>
      <b:Author>
        <b:Corporate>Canadian PA</b:Corporate>
      </b:Author>
    </b:Author>
    <b:Title>Learn about the PA Profession in Canada</b:Title>
    <b:InternetSiteTitle>Canadian PA</b:InternetSiteTitle>
    <b:URL>https://canadianpa.ca/whatisapa/</b:URL>
    <b:RefOrder>166</b:RefOrder>
  </b:Source>
  <b:Source>
    <b:Tag>FPA3</b:Tag>
    <b:SourceType>InternetSite</b:SourceType>
    <b:Guid>{E05976F4-4183-411E-96D5-9067F15015ED}</b:Guid>
    <b:Author>
      <b:Author>
        <b:Corporate>FPARCP</b:Corporate>
      </b:Author>
    </b:Author>
    <b:Title>Continuing Professional Development</b:Title>
    <b:InternetSiteTitle>Faculty of Physicians Associates Royal College of Physicians</b:InternetSiteTitle>
    <b:URL>https://www.fparcp.co.uk/professional-development/cpd</b:URL>
    <b:RefOrder>167</b:RefOrder>
  </b:Source>
  <b:Source>
    <b:Tag>FPA2</b:Tag>
    <b:SourceType>InternetSite</b:SourceType>
    <b:Guid>{186A0A6A-0A7C-4752-AC15-754AD4250A9B}</b:Guid>
    <b:Author>
      <b:Author>
        <b:Corporate>FPARCP</b:Corporate>
      </b:Author>
    </b:Author>
    <b:Title>Guidance for Employers and Supervisors</b:Title>
    <b:InternetSiteTitle>Faculty of Physicians Associates Royal College of Physicians</b:InternetSiteTitle>
    <b:URL>https://www.fparcp.co.uk/employers/guidance</b:URL>
    <b:RefOrder>168</b:RefOrder>
  </b:Source>
  <b:Source>
    <b:Tag>FPA1</b:Tag>
    <b:SourceType>InternetSite</b:SourceType>
    <b:Guid>{E0A58466-7C4F-405E-98F6-BE55D17EF5F8}</b:Guid>
    <b:Author>
      <b:Author>
        <b:Corporate>FPARCP</b:Corporate>
      </b:Author>
    </b:Author>
    <b:Title>The Physician Associate National Examination</b:Title>
    <b:InternetSiteTitle>Faculty of Physicians Associates Royal College of Physicians</b:InternetSiteTitle>
    <b:URL>https://www.fparcp.co.uk/examinations/overview</b:URL>
    <b:RefOrder>169</b:RefOrder>
  </b:Source>
  <b:Source>
    <b:Tag>Gov22</b:Tag>
    <b:SourceType>InternetSite</b:SourceType>
    <b:Guid>{D77E080E-6E4B-48CC-817B-257F619D278C}</b:Guid>
    <b:Author>
      <b:Author>
        <b:Corporate>Gov.UK</b:Corporate>
      </b:Author>
    </b:Author>
    <b:Title>Graduate Route</b:Title>
    <b:InternetSiteTitle>Gov.UK</b:InternetSiteTitle>
    <b:Year>2022</b:Year>
    <b:Month>February</b:Month>
    <b:Day>22</b:Day>
    <b:URL>https://www.gov.uk/government/publications/the-graduate-route-information-for-international-students/the-points-based-immigration-system-the-graduate-immigration-route-accessible-version</b:URL>
    <b:RefOrder>170</b:RefOrder>
  </b:Source>
  <b:Source>
    <b:Tag>Hea2</b:Tag>
    <b:SourceType>InternetSite</b:SourceType>
    <b:Guid>{B4A92583-3B4D-4ACC-8E37-8F4A87DEEB0A}</b:Guid>
    <b:Author>
      <b:Author>
        <b:Corporate>Health Careers NHS</b:Corporate>
      </b:Author>
    </b:Author>
    <b:Title>Physicians Associate</b:Title>
    <b:InternetSiteTitle>Health Careers NHS</b:InternetSiteTitle>
    <b:URL>https://www.healthcareers.nhs.uk/explore-roles/medical-associate-professions/roles-medical-associate-professions/physician-associate</b:URL>
    <b:RefOrder>171</b:RefOrder>
  </b:Source>
  <b:Source>
    <b:Tag>Hea</b:Tag>
    <b:SourceType>InternetSite</b:SourceType>
    <b:Guid>{0DC74FA3-B690-4FCB-A64A-984DE0EDA54E}</b:Guid>
    <b:Title>Physician associate</b:Title>
    <b:Author>
      <b:Author>
        <b:Corporate>Health Careers NHS</b:Corporate>
      </b:Author>
    </b:Author>
    <b:InternetSiteTitle>Health Careers NHS</b:InternetSiteTitle>
    <b:URL>https://www.healthcareers.nhs.uk/explore-roles/medical-associate-professions/roles-medical-associate-professions/physician-associate</b:URL>
    <b:RefOrder>172</b:RefOrder>
  </b:Source>
  <b:Source>
    <b:Tag>NHS192</b:Tag>
    <b:SourceType>InternetSite</b:SourceType>
    <b:Guid>{B9611B29-61C9-4D4B-8851-43CA65F3E6A2}</b:Guid>
    <b:Author>
      <b:Author>
        <b:NameList>
          <b:Person>
            <b:Last>NHS Employers</b:Last>
          </b:Person>
        </b:NameList>
      </b:Author>
    </b:Author>
    <b:Title>Physicians Associates</b:Title>
    <b:InternetSiteTitle>NHS Employers</b:InternetSiteTitle>
    <b:Year>2019</b:Year>
    <b:Month>March</b:Month>
    <b:Day>14</b:Day>
    <b:URL>https://www.nhsemployers.org/articles/physician-associates</b:URL>
    <b:RefOrder>173</b:RefOrder>
  </b:Source>
  <b:Source>
    <b:Tag>NHS19</b:Tag>
    <b:SourceType>InternetSite</b:SourceType>
    <b:Guid>{4FE3B35F-1B8D-4D22-8F36-530743C21D91}</b:Guid>
    <b:Author>
      <b:Author>
        <b:NameList>
          <b:Person>
            <b:Last>NHS Employers</b:Last>
          </b:Person>
        </b:NameList>
      </b:Author>
    </b:Author>
    <b:Title>Physicians Associates</b:Title>
    <b:InternetSiteTitle>NHS Employers</b:InternetSiteTitle>
    <b:Year>2019</b:Year>
    <b:Month>March</b:Month>
    <b:Day>14</b:Day>
    <b:URL>https://www.nhsemployers.org/articles/physician-associates</b:URL>
    <b:RefOrder>174</b:RefOrder>
  </b:Source>
  <b:Source>
    <b:Tag>NHS191</b:Tag>
    <b:SourceType>InternetSite</b:SourceType>
    <b:Guid>{862F64C7-AB3B-4E43-BF0E-A37B079093D4}</b:Guid>
    <b:Author>
      <b:Author>
        <b:NameList>
          <b:Person>
            <b:Last>NHS Employers</b:Last>
          </b:Person>
        </b:NameList>
      </b:Author>
    </b:Author>
    <b:Title>Medical Associate Professions</b:Title>
    <b:InternetSiteTitle>NHS Employers</b:InternetSiteTitle>
    <b:Year>2019</b:Year>
    <b:Month>June</b:Month>
    <b:Day>14</b:Day>
    <b:URL>https://www.nhsemployers.org/articles/medical-associate-professions</b:URL>
    <b:RefOrder>175</b:RefOrder>
  </b:Source>
  <b:Source>
    <b:Tag>Placeholder1</b:Tag>
    <b:SourceType>InternetSite</b:SourceType>
    <b:Guid>{1B996722-10BB-4DC7-AD06-AD2711F8C404}</b:Guid>
    <b:Author>
      <b:Author>
        <b:NameList>
          <b:Person>
            <b:Last>Skills</b:Last>
            <b:First>Cambridge</b:First>
            <b:Middle>Library Study</b:Middle>
          </b:Person>
        </b:NameList>
      </b:Author>
    </b:Author>
    <b:Title>Reflective Practice Toolkit</b:Title>
    <b:InternetSiteTitle>Cambidge University</b:InternetSiteTitle>
    <b:URL>https://libguides.cam.ac.uk/reflectivepracticetoolkit/models</b:URL>
    <b:RefOrder>176</b:RefOrder>
  </b:Source>
  <b:Source>
    <b:Tag>GMC</b:Tag>
    <b:SourceType>InternetSite</b:SourceType>
    <b:Guid>{BBFE9B04-9B04-49A8-8AFB-4DD1C638BE35}</b:Guid>
    <b:Author>
      <b:Author>
        <b:NameList>
          <b:Person>
            <b:Last>GMC</b:Last>
          </b:Person>
        </b:NameList>
      </b:Author>
    </b:Author>
    <b:Title>Introducing the roles and regulation</b:Title>
    <b:InternetSiteTitle>General Medical Council</b:InternetSiteTitle>
    <b:URL>https://www.gmc-uk.org/pa-and-aa-regulation-hub/map-regulation/introducing-the-roles-and-regulation</b:URL>
    <b:RefOrder>25</b:RefOrder>
  </b:Source>
  <b:Source>
    <b:Tag>DrR13</b:Tag>
    <b:SourceType>InternetSite</b:SourceType>
    <b:Guid>{ADA3059F-518B-4A55-A27F-3C247C156C0F}</b:Guid>
    <b:Author>
      <b:Author>
        <b:NameList>
          <b:Person>
            <b:Last>Waite</b:Last>
            <b:First>Dr</b:First>
            <b:Middle>R. K.</b:Middle>
          </b:Person>
        </b:NameList>
      </b:Author>
    </b:Author>
    <b:Title>Horizon Scanning - A Strategice Review of the Future of the Healthcare Workforce</b:Title>
    <b:InternetSiteTitle>Gov.org</b:InternetSiteTitle>
    <b:Year>2013</b:Year>
    <b:Month>August</b:Month>
    <b:URL>https://assets.publishing.service.gov.uk/media/5a74871ee5274a7f9c586b47/CfWI_strategic_review_future_nursing_workforce.pdf</b:URL>
    <b:RefOrder>26</b:RefOrder>
  </b:Source>
  <b:Source>
    <b:Tag>Jen18</b:Tag>
    <b:SourceType>InternetSite</b:SourceType>
    <b:Guid>{C8FBC5AF-C167-41D7-AE27-D80D5E2ED079}</b:Guid>
    <b:Title>Surrounding yourself with the right people changes everything</b:Title>
    <b:Year>2018</b:Year>
    <b:Author>
      <b:Author>
        <b:NameList>
          <b:Person>
            <b:Last>Cohen</b:Last>
            <b:First>Jennifer</b:First>
          </b:Person>
        </b:NameList>
      </b:Author>
    </b:Author>
    <b:InternetSiteTitle>Forbes</b:InternetSiteTitle>
    <b:Month>December</b:Month>
    <b:Day>4</b:Day>
    <b:URL>https://www.forbes.com/sites/jennifercohen/2018/12/04/surrounding-yourself-with-the-right-people-changes-everything/</b:URL>
    <b:RefOrder>27</b:RefOrder>
  </b:Source>
  <b:Source>
    <b:Tag>NHS22</b:Tag>
    <b:SourceType>InternetSite</b:SourceType>
    <b:Guid>{73951ECC-C363-4A30-BEC8-53B1399D018C}</b:Guid>
    <b:Author>
      <b:Author>
        <b:Corporate>NHS England</b:Corporate>
      </b:Author>
    </b:Author>
    <b:Title>Working in Partnership with People</b:Title>
    <b:InternetSiteTitle>NHS England</b:InternetSiteTitle>
    <b:Year>2022</b:Year>
    <b:Month>October</b:Month>
    <b:Day>10</b:Day>
    <b:URL>https://www.england.nhs.uk/long-read/working-in-partnership-with-people-and-communities-statutory-guidance/</b:URL>
    <b:RefOrder>28</b:RefOrder>
  </b:Source>
  <b:Source>
    <b:Tag>FPA4</b:Tag>
    <b:SourceType>InternetSite</b:SourceType>
    <b:Guid>{252969DE-AB10-48DB-B425-7034B7E35FE7}</b:Guid>
    <b:Author>
      <b:Author>
        <b:NameList>
          <b:Person>
            <b:Last>FPA</b:Last>
          </b:Person>
        </b:NameList>
      </b:Author>
    </b:Author>
    <b:Title>Continuing Professional Development</b:Title>
    <b:InternetSiteTitle>Faculty of Physicians Associates</b:InternetSiteTitle>
    <b:URL>https://www.fparcp.co.uk/professional-development/cpd</b:URL>
    <b:RefOrder>29</b:RefOrder>
  </b:Source>
  <b:Source>
    <b:Tag>Mic17</b:Tag>
    <b:SourceType>InternetSite</b:SourceType>
    <b:Guid>{CEE7EC8B-4784-4604-A7F3-7ADA6DDCB8A0}</b:Guid>
    <b:Author>
      <b:Author>
        <b:NameList>
          <b:Person>
            <b:Last>Jarrett</b:Last>
            <b:First>Michael</b:First>
          </b:Person>
        </b:NameList>
      </b:Author>
    </b:Author>
    <b:Title>The 4 Types of Organisational Politics</b:Title>
    <b:InternetSiteTitle>Harvard Business Review</b:InternetSiteTitle>
    <b:Year>2017</b:Year>
    <b:Month>April</b:Month>
    <b:Day>24</b:Day>
    <b:URL>https://hbr.org/2017/04/the-4-types-of-organizational-politics?registration=success</b:URL>
    <b:RefOrder>30</b:RefOrder>
  </b:Source>
  <b:Source>
    <b:Tag>CIP</b:Tag>
    <b:SourceType>InternetSite</b:SourceType>
    <b:Guid>{7FBD9A02-85C8-4AFC-B38D-41C506084681}</b:Guid>
    <b:Author>
      <b:Author>
        <b:Corporate>CIPD</b:Corporate>
      </b:Author>
    </b:Author>
    <b:Title>HR Roles</b:Title>
    <b:InternetSiteTitle>CIPD</b:InternetSiteTitle>
    <b:URL>https://www.cipd.org/uk/topics/hr-role/</b:URL>
    <b:RefOrder>31</b:RefOrder>
  </b:Source>
  <b:Source>
    <b:Tag>Kri18</b:Tag>
    <b:SourceType>InternetSite</b:SourceType>
    <b:Guid>{363F0DD7-D5F2-409B-8F2D-B14418A945D3}</b:Guid>
    <b:Author>
      <b:Author>
        <b:NameList>
          <b:Person>
            <b:Last>Garcia</b:Last>
            <b:First>Krista</b:First>
          </b:Person>
        </b:NameList>
      </b:Author>
    </b:Author>
    <b:Title>Consumers Prefer People to Bots</b:Title>
    <b:InternetSiteTitle>Insider Intelligence</b:InternetSiteTitle>
    <b:Year>2018</b:Year>
    <b:Month>March</b:Month>
    <b:Day>29</b:Day>
    <b:URL>https://www.insiderintelligence.com/content/for-customer-experience-consumers-prefer-people-to-bots</b:URL>
    <b:RefOrder>32</b:RefOrder>
  </b:Source>
  <b:Source>
    <b:Tag>Ben22</b:Tag>
    <b:SourceType>InternetSite</b:SourceType>
    <b:Guid>{553A660C-28B9-41B9-96BE-B634A84C455B}</b:Guid>
    <b:Author>
      <b:Author>
        <b:NameList>
          <b:Person>
            <b:Last>Schwartz</b:Last>
            <b:First>Ben</b:First>
          </b:Person>
        </b:NameList>
      </b:Author>
    </b:Author>
    <b:Title>HOW TO DEVELOP A HOLISTIC APPROACH TO DATA AND KNOWLEDGE MANAGEMENT</b:Title>
    <b:InternetSiteTitle>Tesla</b:InternetSiteTitle>
    <b:Year>2022</b:Year>
    <b:Month>May</b:Month>
    <b:Day>6</b:Day>
    <b:URL>https://teslagov.com/how-to-develop-a-holistic-approach-to-data-and-knowledge-management/</b:URL>
    <b:RefOrder>33</b:RefOrder>
  </b:Source>
  <b:Source>
    <b:Tag>Jef</b:Tag>
    <b:SourceType>InternetSite</b:SourceType>
    <b:Guid>{343E1D53-0716-4DD7-8718-A47DC59F0F12}</b:Guid>
    <b:Author>
      <b:Author>
        <b:NameList>
          <b:Person>
            <b:Last>Schmidt</b:Last>
            <b:First>Jeff</b:First>
          </b:Person>
        </b:NameList>
      </b:Author>
    </b:Author>
    <b:Title>Budgetting</b:Title>
    <b:InternetSiteTitle>Corporate Finance Institute</b:InternetSiteTitle>
    <b:URL>https://corporatefinanceinstitute.com/resources/fpa/budgeting/</b:URL>
    <b:RefOrder>34</b:RefOrder>
  </b:Source>
  <b:Source>
    <b:Tag>Lau07</b:Tag>
    <b:SourceType>JournalArticle</b:SourceType>
    <b:Guid>{695119EC-986D-47E1-837F-3E7C72A8BB0A}</b:Guid>
    <b:Title>You and Your Manager: Reducing Workplace Stress by Creating and Maintaining a Good Relationship</b:Title>
    <b:Year>2007</b:Year>
    <b:Pages>23(2); 119-122</b:Pages>
    <b:Author>
      <b:Author>
        <b:NameList>
          <b:Person>
            <b:Last>Hills</b:Last>
            <b:First>Laura</b:First>
            <b:Middle>Sachs</b:Middle>
          </b:Person>
        </b:NameList>
      </b:Author>
    </b:Author>
    <b:JournalName>The Journal of Medical Practice Management</b:JournalName>
    <b:RefOrder>219</b:RefOrder>
  </b:Source>
</b:Sources>
</file>

<file path=customXml/itemProps1.xml><?xml version="1.0" encoding="utf-8"?>
<ds:datastoreItem xmlns:ds="http://schemas.openxmlformats.org/officeDocument/2006/customXml" ds:itemID="{BA2BEBFD-D39E-40D6-95D8-BA2D77FA8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1360</TotalTime>
  <Pages>6</Pages>
  <Words>6639</Words>
  <Characters>37847</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Loxdale</dc:creator>
  <cp:keywords/>
  <dc:description/>
  <cp:lastModifiedBy>Shelley Dony (Hywel Dda UHB - Project Manager - Workforce Planning)</cp:lastModifiedBy>
  <cp:revision>257</cp:revision>
  <dcterms:created xsi:type="dcterms:W3CDTF">2023-11-20T13:15:00Z</dcterms:created>
  <dcterms:modified xsi:type="dcterms:W3CDTF">2023-11-24T10:33:00Z</dcterms:modified>
</cp:coreProperties>
</file>