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985BA4" w14:textId="6DB3B162" w:rsidR="00D47902" w:rsidRDefault="00D47902" w:rsidP="00FB75C3">
      <w:pPr>
        <w:spacing w:line="360" w:lineRule="auto"/>
        <w:jc w:val="center"/>
        <w:rPr>
          <w:rFonts w:ascii="Arial" w:hAnsi="Arial" w:cs="Arial"/>
          <w:b/>
          <w:bCs/>
        </w:rPr>
      </w:pPr>
      <w:r>
        <w:rPr>
          <w:noProof/>
        </w:rPr>
        <w:drawing>
          <wp:inline distT="0" distB="0" distL="0" distR="0" wp14:anchorId="1EC6D086" wp14:editId="076FF918">
            <wp:extent cx="1905000" cy="1905000"/>
            <wp:effectExtent l="0" t="0" r="0" b="0"/>
            <wp:docPr id="506436545" name="Picture 1" descr="UWTSD Birmingham Campus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Birmingham Campus | LinkedI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14:paraId="67F2432B" w14:textId="1F5D4121" w:rsidR="000F6387" w:rsidRPr="000F6387" w:rsidRDefault="000F6387" w:rsidP="00FB75C3">
      <w:pPr>
        <w:spacing w:line="360" w:lineRule="auto"/>
        <w:jc w:val="center"/>
        <w:rPr>
          <w:rFonts w:ascii="Arial" w:hAnsi="Arial" w:cs="Arial"/>
          <w:b/>
          <w:bCs/>
        </w:rPr>
      </w:pPr>
      <w:r w:rsidRPr="000F6387">
        <w:rPr>
          <w:rFonts w:ascii="Arial" w:hAnsi="Arial" w:cs="Arial"/>
          <w:b/>
          <w:bCs/>
        </w:rPr>
        <w:t>University of Wales Trinity Saint David Birmingham</w:t>
      </w:r>
    </w:p>
    <w:p w14:paraId="48236A2C" w14:textId="77777777" w:rsidR="000F6387" w:rsidRPr="000F6387" w:rsidRDefault="000F6387" w:rsidP="00FB75C3">
      <w:pPr>
        <w:spacing w:line="360" w:lineRule="auto"/>
        <w:jc w:val="center"/>
        <w:rPr>
          <w:rFonts w:ascii="Arial" w:hAnsi="Arial" w:cs="Arial"/>
          <w:b/>
          <w:bCs/>
        </w:rPr>
      </w:pPr>
    </w:p>
    <w:p w14:paraId="08CBE0C2" w14:textId="377F454A" w:rsidR="000F6387" w:rsidRPr="000F6387" w:rsidRDefault="000F6387" w:rsidP="00FB75C3">
      <w:pPr>
        <w:spacing w:line="360" w:lineRule="auto"/>
        <w:jc w:val="center"/>
        <w:rPr>
          <w:rFonts w:ascii="Arial" w:hAnsi="Arial" w:cs="Arial"/>
          <w:b/>
          <w:bCs/>
        </w:rPr>
      </w:pPr>
      <w:r w:rsidRPr="000F6387">
        <w:rPr>
          <w:rFonts w:ascii="Arial" w:hAnsi="Arial" w:cs="Arial"/>
          <w:b/>
          <w:bCs/>
        </w:rPr>
        <w:t>Module: Digital Skills and Research Methods</w:t>
      </w:r>
    </w:p>
    <w:p w14:paraId="3850CD31"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Module Code: LCHS4007</w:t>
      </w:r>
    </w:p>
    <w:p w14:paraId="6EBEA483" w14:textId="41216CF7" w:rsidR="000F6387" w:rsidRDefault="000F6387" w:rsidP="00FB75C3">
      <w:pPr>
        <w:spacing w:line="360" w:lineRule="auto"/>
        <w:jc w:val="center"/>
        <w:rPr>
          <w:rFonts w:ascii="Arial" w:hAnsi="Arial" w:cs="Arial"/>
          <w:b/>
          <w:bCs/>
        </w:rPr>
      </w:pPr>
      <w:r w:rsidRPr="000F6387">
        <w:rPr>
          <w:rFonts w:ascii="Arial" w:hAnsi="Arial" w:cs="Arial"/>
          <w:b/>
          <w:bCs/>
        </w:rPr>
        <w:t xml:space="preserve">Task </w:t>
      </w:r>
      <w:r w:rsidR="00676E35">
        <w:rPr>
          <w:rFonts w:ascii="Arial" w:hAnsi="Arial" w:cs="Arial"/>
          <w:b/>
          <w:bCs/>
        </w:rPr>
        <w:t>2</w:t>
      </w:r>
      <w:r w:rsidRPr="000F6387">
        <w:rPr>
          <w:rFonts w:ascii="Arial" w:hAnsi="Arial" w:cs="Arial"/>
          <w:b/>
          <w:bCs/>
        </w:rPr>
        <w:t xml:space="preserve"> (Research report)</w:t>
      </w:r>
      <w:r w:rsidR="00676E35">
        <w:rPr>
          <w:rFonts w:ascii="Arial" w:hAnsi="Arial" w:cs="Arial"/>
          <w:b/>
          <w:bCs/>
        </w:rPr>
        <w:t xml:space="preserve"> on</w:t>
      </w:r>
    </w:p>
    <w:p w14:paraId="474FA47A" w14:textId="77777777" w:rsidR="00676E35" w:rsidRDefault="00676E35" w:rsidP="00FB75C3">
      <w:pPr>
        <w:spacing w:line="360" w:lineRule="auto"/>
        <w:jc w:val="center"/>
        <w:rPr>
          <w:rFonts w:ascii="Arial" w:hAnsi="Arial" w:cs="Arial"/>
          <w:b/>
          <w:bCs/>
        </w:rPr>
      </w:pPr>
    </w:p>
    <w:p w14:paraId="3BC7A085" w14:textId="436EBCD9" w:rsidR="00676E35" w:rsidRPr="000F6387" w:rsidRDefault="00676E35" w:rsidP="00FB75C3">
      <w:pPr>
        <w:spacing w:line="360" w:lineRule="auto"/>
        <w:jc w:val="center"/>
        <w:rPr>
          <w:rFonts w:ascii="Arial" w:hAnsi="Arial" w:cs="Arial"/>
          <w:b/>
          <w:bCs/>
        </w:rPr>
      </w:pPr>
      <w:r>
        <w:rPr>
          <w:rFonts w:ascii="Arial" w:hAnsi="Arial" w:cs="Arial"/>
          <w:b/>
          <w:bCs/>
        </w:rPr>
        <w:t xml:space="preserve"> </w:t>
      </w:r>
      <w:r w:rsidR="006341CA">
        <w:rPr>
          <w:rFonts w:ascii="Arial" w:hAnsi="Arial" w:cs="Arial"/>
          <w:b/>
          <w:bCs/>
        </w:rPr>
        <w:t>The UK ambulance crisis: A system under pressure</w:t>
      </w:r>
    </w:p>
    <w:p w14:paraId="5CEADBB3" w14:textId="77777777" w:rsidR="000F6387" w:rsidRPr="000F6387" w:rsidRDefault="000F6387" w:rsidP="00FB75C3">
      <w:pPr>
        <w:spacing w:line="360" w:lineRule="auto"/>
        <w:jc w:val="center"/>
        <w:rPr>
          <w:rFonts w:ascii="Arial" w:hAnsi="Arial" w:cs="Arial"/>
          <w:b/>
          <w:bCs/>
        </w:rPr>
      </w:pPr>
    </w:p>
    <w:p w14:paraId="1D6A74D3" w14:textId="77777777" w:rsidR="000F6387" w:rsidRPr="000F6387" w:rsidRDefault="000F6387" w:rsidP="00FB75C3">
      <w:pPr>
        <w:spacing w:line="360" w:lineRule="auto"/>
        <w:jc w:val="center"/>
        <w:rPr>
          <w:rFonts w:ascii="Arial" w:hAnsi="Arial" w:cs="Arial"/>
          <w:b/>
          <w:bCs/>
        </w:rPr>
      </w:pPr>
    </w:p>
    <w:p w14:paraId="0FE1AAB0"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Submitted by</w:t>
      </w:r>
    </w:p>
    <w:p w14:paraId="66E8837A" w14:textId="52EC3F30" w:rsidR="000F6387" w:rsidRDefault="000F6387" w:rsidP="00FB75C3">
      <w:pPr>
        <w:spacing w:line="360" w:lineRule="auto"/>
        <w:jc w:val="center"/>
        <w:rPr>
          <w:rFonts w:ascii="Arial" w:hAnsi="Arial" w:cs="Arial"/>
          <w:b/>
          <w:bCs/>
        </w:rPr>
      </w:pPr>
      <w:r w:rsidRPr="000F6387">
        <w:rPr>
          <w:rFonts w:ascii="Arial" w:hAnsi="Arial" w:cs="Arial"/>
          <w:b/>
          <w:bCs/>
        </w:rPr>
        <w:t>Name of the student:</w:t>
      </w:r>
      <w:r w:rsidR="00676E35">
        <w:rPr>
          <w:rFonts w:ascii="Arial" w:hAnsi="Arial" w:cs="Arial"/>
          <w:b/>
          <w:bCs/>
        </w:rPr>
        <w:t xml:space="preserve"> </w:t>
      </w:r>
      <w:r w:rsidR="0065496E">
        <w:rPr>
          <w:rFonts w:ascii="Arial" w:hAnsi="Arial" w:cs="Arial"/>
          <w:b/>
          <w:bCs/>
        </w:rPr>
        <w:t>Sansha Nastasia Gordon</w:t>
      </w:r>
    </w:p>
    <w:p w14:paraId="73E4D5BC" w14:textId="77777777" w:rsidR="0065496E" w:rsidRPr="000F6387" w:rsidRDefault="0065496E" w:rsidP="00FB75C3">
      <w:pPr>
        <w:spacing w:line="360" w:lineRule="auto"/>
        <w:jc w:val="center"/>
        <w:rPr>
          <w:rFonts w:ascii="Arial" w:hAnsi="Arial" w:cs="Arial"/>
          <w:b/>
          <w:bCs/>
        </w:rPr>
      </w:pPr>
    </w:p>
    <w:p w14:paraId="6F60BD0E" w14:textId="7325A353" w:rsidR="000F6387" w:rsidRPr="000F6387" w:rsidRDefault="000F6387" w:rsidP="00FB75C3">
      <w:pPr>
        <w:spacing w:line="360" w:lineRule="auto"/>
        <w:jc w:val="center"/>
        <w:rPr>
          <w:rFonts w:ascii="Arial" w:hAnsi="Arial" w:cs="Arial"/>
          <w:b/>
          <w:bCs/>
        </w:rPr>
      </w:pPr>
      <w:r w:rsidRPr="000F6387">
        <w:rPr>
          <w:rFonts w:ascii="Arial" w:hAnsi="Arial" w:cs="Arial"/>
          <w:b/>
          <w:bCs/>
        </w:rPr>
        <w:t>ID number:</w:t>
      </w:r>
      <w:r w:rsidR="00676E35">
        <w:rPr>
          <w:rFonts w:ascii="Arial" w:hAnsi="Arial" w:cs="Arial"/>
          <w:b/>
          <w:bCs/>
        </w:rPr>
        <w:t xml:space="preserve"> </w:t>
      </w:r>
      <w:r w:rsidR="006341CA">
        <w:rPr>
          <w:rFonts w:ascii="Arial" w:hAnsi="Arial" w:cs="Arial"/>
          <w:b/>
          <w:bCs/>
        </w:rPr>
        <w:t>2508270</w:t>
      </w:r>
    </w:p>
    <w:p w14:paraId="0A40F6AD" w14:textId="77777777" w:rsidR="000F6387" w:rsidRPr="000F6387" w:rsidRDefault="000F6387" w:rsidP="00FB75C3">
      <w:pPr>
        <w:spacing w:line="360" w:lineRule="auto"/>
        <w:jc w:val="center"/>
        <w:rPr>
          <w:rFonts w:ascii="Arial" w:hAnsi="Arial" w:cs="Arial"/>
          <w:b/>
          <w:bCs/>
        </w:rPr>
      </w:pPr>
    </w:p>
    <w:p w14:paraId="2FB7F6F7"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Submitted to</w:t>
      </w:r>
    </w:p>
    <w:p w14:paraId="16F5D9CE"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Name of the lecturer: Masud Siddiqui</w:t>
      </w:r>
    </w:p>
    <w:p w14:paraId="63DD6DD1" w14:textId="77777777" w:rsidR="000F6387" w:rsidRPr="000F6387" w:rsidRDefault="000F6387" w:rsidP="00FB75C3">
      <w:pPr>
        <w:spacing w:line="360" w:lineRule="auto"/>
        <w:jc w:val="center"/>
        <w:rPr>
          <w:rFonts w:ascii="Arial" w:hAnsi="Arial" w:cs="Arial"/>
          <w:b/>
          <w:bCs/>
        </w:rPr>
      </w:pPr>
    </w:p>
    <w:p w14:paraId="47D8CDAB"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Submitted on</w:t>
      </w:r>
    </w:p>
    <w:p w14:paraId="69971C76" w14:textId="0CB818EA" w:rsidR="00D47902" w:rsidRDefault="003C1E35" w:rsidP="00FB75C3">
      <w:pPr>
        <w:spacing w:line="360" w:lineRule="auto"/>
        <w:jc w:val="center"/>
        <w:rPr>
          <w:rFonts w:ascii="Arial" w:hAnsi="Arial" w:cs="Arial"/>
          <w:b/>
          <w:bCs/>
        </w:rPr>
      </w:pPr>
      <w:r>
        <w:rPr>
          <w:rFonts w:ascii="Arial" w:hAnsi="Arial" w:cs="Arial"/>
          <w:b/>
          <w:bCs/>
        </w:rPr>
        <w:t xml:space="preserve">Date: </w:t>
      </w:r>
      <w:r w:rsidR="00243555">
        <w:rPr>
          <w:rFonts w:ascii="Arial" w:hAnsi="Arial" w:cs="Arial"/>
          <w:b/>
          <w:bCs/>
        </w:rPr>
        <w:t>1</w:t>
      </w:r>
      <w:r w:rsidR="00CD4F6D">
        <w:rPr>
          <w:rFonts w:ascii="Arial" w:hAnsi="Arial" w:cs="Arial"/>
          <w:b/>
          <w:bCs/>
        </w:rPr>
        <w:t>8</w:t>
      </w:r>
      <w:r w:rsidR="00243555">
        <w:rPr>
          <w:rFonts w:ascii="Arial" w:hAnsi="Arial" w:cs="Arial"/>
          <w:b/>
          <w:bCs/>
        </w:rPr>
        <w:t xml:space="preserve"> November 2025</w:t>
      </w:r>
    </w:p>
    <w:p w14:paraId="5B2A599F" w14:textId="77777777" w:rsidR="00D47902" w:rsidRDefault="00D47902" w:rsidP="00FB75C3">
      <w:pPr>
        <w:spacing w:line="360" w:lineRule="auto"/>
        <w:rPr>
          <w:rFonts w:ascii="Arial" w:hAnsi="Arial" w:cs="Arial"/>
          <w:b/>
          <w:bCs/>
        </w:rPr>
      </w:pPr>
      <w:r>
        <w:rPr>
          <w:rFonts w:ascii="Arial" w:hAnsi="Arial" w:cs="Arial"/>
          <w:b/>
          <w:bCs/>
        </w:rPr>
        <w:br w:type="page"/>
      </w:r>
    </w:p>
    <w:sdt>
      <w:sdtPr>
        <w:rPr>
          <w:rFonts w:asciiTheme="minorHAnsi" w:eastAsiaTheme="minorHAnsi" w:hAnsiTheme="minorHAnsi" w:cstheme="minorBidi"/>
          <w:color w:val="auto"/>
          <w:kern w:val="2"/>
          <w:sz w:val="22"/>
          <w:szCs w:val="22"/>
          <w:lang w:val="en-GB"/>
          <w14:ligatures w14:val="standardContextual"/>
        </w:rPr>
        <w:id w:val="-1670168939"/>
        <w:docPartObj>
          <w:docPartGallery w:val="Table of Contents"/>
          <w:docPartUnique/>
        </w:docPartObj>
      </w:sdtPr>
      <w:sdtEndPr>
        <w:rPr>
          <w:b/>
          <w:bCs/>
          <w:noProof/>
        </w:rPr>
      </w:sdtEndPr>
      <w:sdtContent>
        <w:p w14:paraId="5944FE45" w14:textId="398AE969" w:rsidR="00512D76" w:rsidRDefault="00512D76" w:rsidP="00FB75C3">
          <w:pPr>
            <w:pStyle w:val="TOCHeading"/>
            <w:spacing w:line="360" w:lineRule="auto"/>
            <w:jc w:val="center"/>
          </w:pPr>
          <w:r w:rsidRPr="00512D76">
            <w:rPr>
              <w:rStyle w:val="Heading1Char"/>
            </w:rPr>
            <w:t>Table of contents</w:t>
          </w:r>
        </w:p>
        <w:p w14:paraId="4FA22421" w14:textId="0A0CD3A9" w:rsidR="00512D76" w:rsidRDefault="00512D76" w:rsidP="00FB75C3">
          <w:pPr>
            <w:pStyle w:val="TOC1"/>
            <w:tabs>
              <w:tab w:val="right" w:leader="dot" w:pos="9016"/>
            </w:tabs>
            <w:spacing w:line="360" w:lineRule="auto"/>
            <w:rPr>
              <w:rFonts w:eastAsiaTheme="minorEastAsia"/>
              <w:noProof/>
              <w:sz w:val="24"/>
              <w:szCs w:val="24"/>
              <w:lang w:eastAsia="en-GB"/>
            </w:rPr>
          </w:pPr>
          <w:r>
            <w:fldChar w:fldCharType="begin"/>
          </w:r>
          <w:r>
            <w:instrText xml:space="preserve"> TOC \o "1-3" \h \z \u </w:instrText>
          </w:r>
          <w:r>
            <w:fldChar w:fldCharType="separate"/>
          </w:r>
          <w:hyperlink w:anchor="_Toc212640866" w:history="1">
            <w:r w:rsidRPr="003F66B9">
              <w:rPr>
                <w:rStyle w:val="Hyperlink"/>
                <w:noProof/>
              </w:rPr>
              <w:t>1. Introduction</w:t>
            </w:r>
            <w:r>
              <w:rPr>
                <w:noProof/>
                <w:webHidden/>
              </w:rPr>
              <w:tab/>
            </w:r>
            <w:r>
              <w:rPr>
                <w:noProof/>
                <w:webHidden/>
              </w:rPr>
              <w:fldChar w:fldCharType="begin"/>
            </w:r>
            <w:r>
              <w:rPr>
                <w:noProof/>
                <w:webHidden/>
              </w:rPr>
              <w:instrText xml:space="preserve"> PAGEREF _Toc212640866 \h </w:instrText>
            </w:r>
            <w:r>
              <w:rPr>
                <w:noProof/>
                <w:webHidden/>
              </w:rPr>
            </w:r>
            <w:r>
              <w:rPr>
                <w:noProof/>
                <w:webHidden/>
              </w:rPr>
              <w:fldChar w:fldCharType="separate"/>
            </w:r>
            <w:r w:rsidR="003C1E35">
              <w:rPr>
                <w:noProof/>
                <w:webHidden/>
              </w:rPr>
              <w:t>3</w:t>
            </w:r>
            <w:r>
              <w:rPr>
                <w:noProof/>
                <w:webHidden/>
              </w:rPr>
              <w:fldChar w:fldCharType="end"/>
            </w:r>
          </w:hyperlink>
        </w:p>
        <w:p w14:paraId="1A50D7E3" w14:textId="0F455DB1" w:rsidR="00512D76" w:rsidRDefault="00512D76" w:rsidP="00FB75C3">
          <w:pPr>
            <w:pStyle w:val="TOC1"/>
            <w:tabs>
              <w:tab w:val="right" w:leader="dot" w:pos="9016"/>
            </w:tabs>
            <w:spacing w:line="360" w:lineRule="auto"/>
            <w:rPr>
              <w:rFonts w:eastAsiaTheme="minorEastAsia"/>
              <w:noProof/>
              <w:sz w:val="24"/>
              <w:szCs w:val="24"/>
              <w:lang w:eastAsia="en-GB"/>
            </w:rPr>
          </w:pPr>
          <w:hyperlink w:anchor="_Toc212640867" w:history="1">
            <w:r w:rsidRPr="003F66B9">
              <w:rPr>
                <w:rStyle w:val="Hyperlink"/>
                <w:noProof/>
              </w:rPr>
              <w:t>2. Research topic identification</w:t>
            </w:r>
            <w:r>
              <w:rPr>
                <w:noProof/>
                <w:webHidden/>
              </w:rPr>
              <w:tab/>
            </w:r>
            <w:r>
              <w:rPr>
                <w:noProof/>
                <w:webHidden/>
              </w:rPr>
              <w:fldChar w:fldCharType="begin"/>
            </w:r>
            <w:r>
              <w:rPr>
                <w:noProof/>
                <w:webHidden/>
              </w:rPr>
              <w:instrText xml:space="preserve"> PAGEREF _Toc212640867 \h </w:instrText>
            </w:r>
            <w:r>
              <w:rPr>
                <w:noProof/>
                <w:webHidden/>
              </w:rPr>
            </w:r>
            <w:r>
              <w:rPr>
                <w:noProof/>
                <w:webHidden/>
              </w:rPr>
              <w:fldChar w:fldCharType="separate"/>
            </w:r>
            <w:r w:rsidR="003C1E35">
              <w:rPr>
                <w:noProof/>
                <w:webHidden/>
              </w:rPr>
              <w:t>3</w:t>
            </w:r>
            <w:r>
              <w:rPr>
                <w:noProof/>
                <w:webHidden/>
              </w:rPr>
              <w:fldChar w:fldCharType="end"/>
            </w:r>
          </w:hyperlink>
        </w:p>
        <w:p w14:paraId="2A76E766" w14:textId="72B1187D" w:rsidR="00512D76" w:rsidRDefault="00512D76" w:rsidP="00FB75C3">
          <w:pPr>
            <w:pStyle w:val="TOC2"/>
            <w:tabs>
              <w:tab w:val="right" w:leader="dot" w:pos="9016"/>
            </w:tabs>
            <w:spacing w:line="360" w:lineRule="auto"/>
            <w:rPr>
              <w:rFonts w:eastAsiaTheme="minorEastAsia"/>
              <w:noProof/>
              <w:sz w:val="24"/>
              <w:szCs w:val="24"/>
              <w:lang w:eastAsia="en-GB"/>
            </w:rPr>
          </w:pPr>
          <w:hyperlink w:anchor="_Toc212640868" w:history="1">
            <w:r w:rsidRPr="003F66B9">
              <w:rPr>
                <w:rStyle w:val="Hyperlink"/>
                <w:noProof/>
              </w:rPr>
              <w:t>2.1 Identifying the problem/issue</w:t>
            </w:r>
            <w:r>
              <w:rPr>
                <w:noProof/>
                <w:webHidden/>
              </w:rPr>
              <w:tab/>
            </w:r>
            <w:r>
              <w:rPr>
                <w:noProof/>
                <w:webHidden/>
              </w:rPr>
              <w:fldChar w:fldCharType="begin"/>
            </w:r>
            <w:r>
              <w:rPr>
                <w:noProof/>
                <w:webHidden/>
              </w:rPr>
              <w:instrText xml:space="preserve"> PAGEREF _Toc212640868 \h </w:instrText>
            </w:r>
            <w:r>
              <w:rPr>
                <w:noProof/>
                <w:webHidden/>
              </w:rPr>
            </w:r>
            <w:r>
              <w:rPr>
                <w:noProof/>
                <w:webHidden/>
              </w:rPr>
              <w:fldChar w:fldCharType="separate"/>
            </w:r>
            <w:r w:rsidR="003C1E35">
              <w:rPr>
                <w:noProof/>
                <w:webHidden/>
              </w:rPr>
              <w:t>3</w:t>
            </w:r>
            <w:r>
              <w:rPr>
                <w:noProof/>
                <w:webHidden/>
              </w:rPr>
              <w:fldChar w:fldCharType="end"/>
            </w:r>
          </w:hyperlink>
        </w:p>
        <w:p w14:paraId="2E97F5EB" w14:textId="63D54B8A" w:rsidR="00512D76" w:rsidRDefault="00512D76" w:rsidP="00FB75C3">
          <w:pPr>
            <w:pStyle w:val="TOC2"/>
            <w:tabs>
              <w:tab w:val="right" w:leader="dot" w:pos="9016"/>
            </w:tabs>
            <w:spacing w:line="360" w:lineRule="auto"/>
            <w:rPr>
              <w:rFonts w:eastAsiaTheme="minorEastAsia"/>
              <w:noProof/>
              <w:sz w:val="24"/>
              <w:szCs w:val="24"/>
              <w:lang w:eastAsia="en-GB"/>
            </w:rPr>
          </w:pPr>
          <w:hyperlink w:anchor="_Toc212640869" w:history="1">
            <w:r w:rsidRPr="003F66B9">
              <w:rPr>
                <w:rStyle w:val="Hyperlink"/>
                <w:noProof/>
              </w:rPr>
              <w:t>2.2 Justification for the research</w:t>
            </w:r>
            <w:r>
              <w:rPr>
                <w:noProof/>
                <w:webHidden/>
              </w:rPr>
              <w:tab/>
            </w:r>
            <w:r w:rsidR="00E45BFD">
              <w:rPr>
                <w:noProof/>
                <w:webHidden/>
              </w:rPr>
              <w:t>4</w:t>
            </w:r>
          </w:hyperlink>
        </w:p>
        <w:p w14:paraId="16C20540" w14:textId="0A1C39E8" w:rsidR="00512D76" w:rsidRDefault="00512D76" w:rsidP="00FB75C3">
          <w:pPr>
            <w:pStyle w:val="TOC2"/>
            <w:tabs>
              <w:tab w:val="right" w:leader="dot" w:pos="9016"/>
            </w:tabs>
            <w:spacing w:line="360" w:lineRule="auto"/>
            <w:rPr>
              <w:rFonts w:eastAsiaTheme="minorEastAsia"/>
              <w:noProof/>
              <w:sz w:val="24"/>
              <w:szCs w:val="24"/>
              <w:lang w:eastAsia="en-GB"/>
            </w:rPr>
          </w:pPr>
          <w:hyperlink w:anchor="_Toc212640870" w:history="1">
            <w:r w:rsidRPr="003F66B9">
              <w:rPr>
                <w:rStyle w:val="Hyperlink"/>
                <w:noProof/>
              </w:rPr>
              <w:t>2.3 Literature review</w:t>
            </w:r>
            <w:r>
              <w:rPr>
                <w:noProof/>
                <w:webHidden/>
              </w:rPr>
              <w:tab/>
            </w:r>
            <w:r w:rsidR="00CD4F6D">
              <w:rPr>
                <w:noProof/>
                <w:webHidden/>
              </w:rPr>
              <w:t>5</w:t>
            </w:r>
          </w:hyperlink>
        </w:p>
        <w:p w14:paraId="2C5029AA" w14:textId="55DF6E2C" w:rsidR="00512D76" w:rsidRDefault="00512D76" w:rsidP="00FB75C3">
          <w:pPr>
            <w:pStyle w:val="TOC2"/>
            <w:tabs>
              <w:tab w:val="right" w:leader="dot" w:pos="9016"/>
            </w:tabs>
            <w:spacing w:line="360" w:lineRule="auto"/>
            <w:rPr>
              <w:rFonts w:eastAsiaTheme="minorEastAsia"/>
              <w:noProof/>
              <w:sz w:val="24"/>
              <w:szCs w:val="24"/>
              <w:lang w:eastAsia="en-GB"/>
            </w:rPr>
          </w:pPr>
          <w:hyperlink w:anchor="_Toc212640871" w:history="1">
            <w:r w:rsidRPr="003F66B9">
              <w:rPr>
                <w:rStyle w:val="Hyperlink"/>
                <w:noProof/>
              </w:rPr>
              <w:t>2.4 Research methodology</w:t>
            </w:r>
            <w:r>
              <w:rPr>
                <w:noProof/>
                <w:webHidden/>
              </w:rPr>
              <w:tab/>
            </w:r>
            <w:r w:rsidR="00CD4F6D">
              <w:rPr>
                <w:noProof/>
                <w:webHidden/>
              </w:rPr>
              <w:t>6</w:t>
            </w:r>
          </w:hyperlink>
        </w:p>
        <w:p w14:paraId="1A5B2831" w14:textId="57531268" w:rsidR="00512D76" w:rsidRDefault="00512D76" w:rsidP="00FB75C3">
          <w:pPr>
            <w:pStyle w:val="TOC1"/>
            <w:tabs>
              <w:tab w:val="right" w:leader="dot" w:pos="9016"/>
            </w:tabs>
            <w:spacing w:line="360" w:lineRule="auto"/>
            <w:rPr>
              <w:rFonts w:eastAsiaTheme="minorEastAsia"/>
              <w:noProof/>
              <w:sz w:val="24"/>
              <w:szCs w:val="24"/>
              <w:lang w:eastAsia="en-GB"/>
            </w:rPr>
          </w:pPr>
          <w:hyperlink w:anchor="_Toc212640872" w:history="1">
            <w:r w:rsidRPr="003F66B9">
              <w:rPr>
                <w:rStyle w:val="Hyperlink"/>
                <w:noProof/>
              </w:rPr>
              <w:t>3. Data collection</w:t>
            </w:r>
            <w:r>
              <w:rPr>
                <w:noProof/>
                <w:webHidden/>
              </w:rPr>
              <w:tab/>
            </w:r>
            <w:r w:rsidR="00CD4F6D">
              <w:rPr>
                <w:noProof/>
                <w:webHidden/>
              </w:rPr>
              <w:t>7</w:t>
            </w:r>
          </w:hyperlink>
        </w:p>
        <w:p w14:paraId="36219394" w14:textId="4E88207C" w:rsidR="00512D76" w:rsidRDefault="00512D76" w:rsidP="00FB75C3">
          <w:pPr>
            <w:pStyle w:val="TOC2"/>
            <w:tabs>
              <w:tab w:val="right" w:leader="dot" w:pos="9016"/>
            </w:tabs>
            <w:spacing w:line="360" w:lineRule="auto"/>
            <w:rPr>
              <w:rFonts w:eastAsiaTheme="minorEastAsia"/>
              <w:noProof/>
              <w:sz w:val="24"/>
              <w:szCs w:val="24"/>
              <w:lang w:eastAsia="en-GB"/>
            </w:rPr>
          </w:pPr>
          <w:hyperlink w:anchor="_Toc212640873" w:history="1">
            <w:r w:rsidRPr="003F66B9">
              <w:rPr>
                <w:rStyle w:val="Hyperlink"/>
                <w:noProof/>
              </w:rPr>
              <w:t>3.1 Primary vs. Secondary Data</w:t>
            </w:r>
            <w:r>
              <w:rPr>
                <w:noProof/>
                <w:webHidden/>
              </w:rPr>
              <w:tab/>
            </w:r>
            <w:r w:rsidR="00CD4F6D">
              <w:rPr>
                <w:noProof/>
                <w:webHidden/>
              </w:rPr>
              <w:t>7</w:t>
            </w:r>
          </w:hyperlink>
        </w:p>
        <w:p w14:paraId="41275BF3" w14:textId="348ADE8A" w:rsidR="00512D76" w:rsidRDefault="00512D76" w:rsidP="00FB75C3">
          <w:pPr>
            <w:pStyle w:val="TOC2"/>
            <w:tabs>
              <w:tab w:val="right" w:leader="dot" w:pos="9016"/>
            </w:tabs>
            <w:spacing w:line="360" w:lineRule="auto"/>
            <w:rPr>
              <w:rFonts w:eastAsiaTheme="minorEastAsia"/>
              <w:noProof/>
              <w:sz w:val="24"/>
              <w:szCs w:val="24"/>
              <w:lang w:eastAsia="en-GB"/>
            </w:rPr>
          </w:pPr>
          <w:hyperlink w:anchor="_Toc212640874" w:history="1">
            <w:r w:rsidRPr="003F66B9">
              <w:rPr>
                <w:rStyle w:val="Hyperlink"/>
                <w:noProof/>
              </w:rPr>
              <w:t>3.2 Data choice for this research</w:t>
            </w:r>
            <w:r>
              <w:rPr>
                <w:noProof/>
                <w:webHidden/>
              </w:rPr>
              <w:tab/>
            </w:r>
            <w:r w:rsidR="00CD4F6D">
              <w:rPr>
                <w:noProof/>
                <w:webHidden/>
              </w:rPr>
              <w:t>7</w:t>
            </w:r>
          </w:hyperlink>
        </w:p>
        <w:p w14:paraId="1DFF422F" w14:textId="195A3408" w:rsidR="00512D76" w:rsidRDefault="00512D76" w:rsidP="00FB75C3">
          <w:pPr>
            <w:pStyle w:val="TOC1"/>
            <w:tabs>
              <w:tab w:val="right" w:leader="dot" w:pos="9016"/>
            </w:tabs>
            <w:spacing w:line="360" w:lineRule="auto"/>
            <w:rPr>
              <w:rFonts w:eastAsiaTheme="minorEastAsia"/>
              <w:noProof/>
              <w:sz w:val="24"/>
              <w:szCs w:val="24"/>
              <w:lang w:eastAsia="en-GB"/>
            </w:rPr>
          </w:pPr>
          <w:hyperlink w:anchor="_Toc212640875" w:history="1">
            <w:r w:rsidRPr="003F66B9">
              <w:rPr>
                <w:rStyle w:val="Hyperlink"/>
                <w:noProof/>
              </w:rPr>
              <w:t>4. Conclusion</w:t>
            </w:r>
            <w:r>
              <w:rPr>
                <w:noProof/>
                <w:webHidden/>
              </w:rPr>
              <w:tab/>
            </w:r>
            <w:r w:rsidR="00CD4F6D">
              <w:rPr>
                <w:noProof/>
                <w:webHidden/>
              </w:rPr>
              <w:t>8</w:t>
            </w:r>
          </w:hyperlink>
        </w:p>
        <w:p w14:paraId="649AD4CC" w14:textId="6980DFC1" w:rsidR="00512D76" w:rsidRDefault="00512D76" w:rsidP="00FB75C3">
          <w:pPr>
            <w:pStyle w:val="TOC1"/>
            <w:tabs>
              <w:tab w:val="right" w:leader="dot" w:pos="9016"/>
            </w:tabs>
            <w:spacing w:line="360" w:lineRule="auto"/>
            <w:rPr>
              <w:rFonts w:eastAsiaTheme="minorEastAsia"/>
              <w:noProof/>
              <w:sz w:val="24"/>
              <w:szCs w:val="24"/>
              <w:lang w:eastAsia="en-GB"/>
            </w:rPr>
          </w:pPr>
          <w:hyperlink w:anchor="_Toc212640876" w:history="1">
            <w:r w:rsidRPr="003F66B9">
              <w:rPr>
                <w:rStyle w:val="Hyperlink"/>
                <w:noProof/>
              </w:rPr>
              <w:t>5. References</w:t>
            </w:r>
            <w:r>
              <w:rPr>
                <w:noProof/>
                <w:webHidden/>
              </w:rPr>
              <w:tab/>
            </w:r>
            <w:r w:rsidR="00CD4F6D">
              <w:rPr>
                <w:noProof/>
                <w:webHidden/>
              </w:rPr>
              <w:t>8</w:t>
            </w:r>
          </w:hyperlink>
        </w:p>
        <w:p w14:paraId="46DB8032" w14:textId="22E27A24" w:rsidR="00512D76" w:rsidRDefault="00512D76" w:rsidP="00FB75C3">
          <w:pPr>
            <w:spacing w:line="360" w:lineRule="auto"/>
          </w:pPr>
          <w:r>
            <w:rPr>
              <w:b/>
              <w:bCs/>
              <w:noProof/>
            </w:rPr>
            <w:fldChar w:fldCharType="end"/>
          </w:r>
        </w:p>
      </w:sdtContent>
    </w:sdt>
    <w:p w14:paraId="5005338C" w14:textId="3A465F85" w:rsidR="00C82FE1" w:rsidRPr="001A45D2" w:rsidRDefault="000F6387" w:rsidP="001A45D2">
      <w:pPr>
        <w:spacing w:line="360" w:lineRule="auto"/>
        <w:jc w:val="center"/>
        <w:rPr>
          <w:rFonts w:ascii="Arial" w:hAnsi="Arial" w:cs="Arial"/>
          <w:b/>
          <w:bCs/>
        </w:rPr>
      </w:pPr>
      <w:r w:rsidRPr="000F6387">
        <w:rPr>
          <w:rFonts w:ascii="Arial" w:hAnsi="Arial" w:cs="Arial"/>
          <w:b/>
          <w:bCs/>
        </w:rPr>
        <w:br w:type="page"/>
      </w:r>
    </w:p>
    <w:p w14:paraId="39768A46" w14:textId="77777777" w:rsidR="001A45D2" w:rsidRPr="001A45D2" w:rsidRDefault="001A45D2" w:rsidP="001A45D2">
      <w:pPr>
        <w:spacing w:line="360" w:lineRule="auto"/>
        <w:rPr>
          <w:rFonts w:ascii="Arial" w:eastAsiaTheme="majorEastAsia" w:hAnsi="Arial" w:cstheme="majorBidi"/>
          <w:b/>
          <w:bCs/>
          <w:szCs w:val="40"/>
        </w:rPr>
      </w:pPr>
      <w:bookmarkStart w:id="0" w:name="_Toc212640866"/>
      <w:r w:rsidRPr="001A45D2">
        <w:rPr>
          <w:rFonts w:ascii="Arial" w:eastAsiaTheme="majorEastAsia" w:hAnsi="Arial" w:cstheme="majorBidi"/>
          <w:b/>
          <w:bCs/>
          <w:szCs w:val="40"/>
        </w:rPr>
        <w:lastRenderedPageBreak/>
        <w:t>Research topic: The UK ambulance crisis: A system under pressure  </w:t>
      </w:r>
    </w:p>
    <w:p w14:paraId="13A36D95" w14:textId="77777777" w:rsidR="001A45D2" w:rsidRPr="001A45D2" w:rsidRDefault="001A45D2" w:rsidP="001A45D2">
      <w:pPr>
        <w:spacing w:line="360" w:lineRule="auto"/>
        <w:rPr>
          <w:rFonts w:ascii="Arial" w:eastAsiaTheme="majorEastAsia" w:hAnsi="Arial" w:cstheme="majorBidi"/>
          <w:b/>
          <w:bCs/>
          <w:szCs w:val="40"/>
        </w:rPr>
      </w:pPr>
      <w:r w:rsidRPr="001A45D2">
        <w:rPr>
          <w:rFonts w:ascii="Arial" w:eastAsiaTheme="majorEastAsia" w:hAnsi="Arial" w:cstheme="majorBidi"/>
          <w:szCs w:val="40"/>
        </w:rPr>
        <w:t>  </w:t>
      </w:r>
    </w:p>
    <w:p w14:paraId="7FAFB1E9" w14:textId="77777777" w:rsidR="001A45D2" w:rsidRPr="001A45D2" w:rsidRDefault="001A45D2" w:rsidP="001A45D2">
      <w:pPr>
        <w:spacing w:line="360" w:lineRule="auto"/>
        <w:rPr>
          <w:rFonts w:ascii="Arial" w:eastAsiaTheme="majorEastAsia" w:hAnsi="Arial" w:cstheme="majorBidi"/>
          <w:b/>
          <w:bCs/>
          <w:szCs w:val="40"/>
        </w:rPr>
      </w:pPr>
      <w:r w:rsidRPr="001A45D2">
        <w:rPr>
          <w:rFonts w:ascii="Arial" w:eastAsiaTheme="majorEastAsia" w:hAnsi="Arial" w:cstheme="majorBidi"/>
          <w:b/>
          <w:bCs/>
          <w:szCs w:val="40"/>
        </w:rPr>
        <w:t>1. Introduction  </w:t>
      </w:r>
    </w:p>
    <w:p w14:paraId="12492E1C" w14:textId="77777777" w:rsidR="001A45D2" w:rsidRPr="001A45D2" w:rsidRDefault="001A45D2" w:rsidP="001A45D2">
      <w:pPr>
        <w:spacing w:line="360" w:lineRule="auto"/>
        <w:rPr>
          <w:rFonts w:ascii="Arial" w:eastAsiaTheme="majorEastAsia" w:hAnsi="Arial" w:cstheme="majorBidi"/>
          <w:szCs w:val="40"/>
        </w:rPr>
      </w:pPr>
      <w:r w:rsidRPr="001A45D2">
        <w:rPr>
          <w:rFonts w:ascii="Arial" w:eastAsiaTheme="majorEastAsia" w:hAnsi="Arial" w:cstheme="majorBidi"/>
          <w:szCs w:val="40"/>
        </w:rPr>
        <w:t>While ambulance services are a key component of health and social care systems, the UK’s ambulance service is facing a significant crisis, with the increasing demands, staff shortages, and funding constraints pushing the system to its limits. The aim of this research is to investigate the multifaceted challenges contributing to the UK ambulance crisis. This report will cover background and context to investigate into the crisis. The report is organised in five sections. After the introduction, I will focus on the research topic identification that includes (1) identification of the issue, (2) justification for the research, (3) literature review, and (4) research methodology. After this, I will present my data collection plan highlighting primary and secondary data, and my data choice for the study. Finally, a concluding section will sum up the report. </w:t>
      </w:r>
    </w:p>
    <w:p w14:paraId="1C7AA265" w14:textId="77777777" w:rsidR="001A45D2" w:rsidRPr="001A45D2" w:rsidRDefault="001A45D2" w:rsidP="001A45D2">
      <w:pPr>
        <w:spacing w:line="360" w:lineRule="auto"/>
        <w:rPr>
          <w:rFonts w:ascii="Arial" w:eastAsiaTheme="majorEastAsia" w:hAnsi="Arial" w:cstheme="majorBidi"/>
          <w:szCs w:val="40"/>
        </w:rPr>
      </w:pPr>
      <w:r w:rsidRPr="001A45D2">
        <w:rPr>
          <w:rFonts w:ascii="Arial" w:eastAsiaTheme="majorEastAsia" w:hAnsi="Arial" w:cstheme="majorBidi"/>
          <w:szCs w:val="40"/>
        </w:rPr>
        <w:t>  </w:t>
      </w:r>
    </w:p>
    <w:p w14:paraId="27B4B557" w14:textId="77777777" w:rsidR="001A45D2" w:rsidRPr="001A45D2" w:rsidRDefault="001A45D2" w:rsidP="001A45D2">
      <w:pPr>
        <w:spacing w:line="360" w:lineRule="auto"/>
        <w:rPr>
          <w:rFonts w:ascii="Arial" w:eastAsiaTheme="majorEastAsia" w:hAnsi="Arial" w:cstheme="majorBidi"/>
          <w:b/>
          <w:bCs/>
          <w:szCs w:val="40"/>
        </w:rPr>
      </w:pPr>
      <w:r w:rsidRPr="001A45D2">
        <w:rPr>
          <w:rFonts w:ascii="Arial" w:eastAsiaTheme="majorEastAsia" w:hAnsi="Arial" w:cstheme="majorBidi"/>
          <w:b/>
          <w:bCs/>
          <w:szCs w:val="40"/>
        </w:rPr>
        <w:t>2. Research topic identification </w:t>
      </w:r>
    </w:p>
    <w:p w14:paraId="5A9D8A5E" w14:textId="77777777" w:rsidR="001A45D2" w:rsidRPr="001A45D2" w:rsidRDefault="001A45D2" w:rsidP="001A45D2">
      <w:pPr>
        <w:spacing w:line="360" w:lineRule="auto"/>
        <w:rPr>
          <w:rFonts w:ascii="Arial" w:eastAsiaTheme="majorEastAsia" w:hAnsi="Arial" w:cstheme="majorBidi"/>
          <w:szCs w:val="40"/>
        </w:rPr>
      </w:pPr>
      <w:r w:rsidRPr="001A45D2">
        <w:rPr>
          <w:rFonts w:ascii="Arial" w:eastAsiaTheme="majorEastAsia" w:hAnsi="Arial" w:cstheme="majorBidi"/>
          <w:i/>
          <w:iCs/>
          <w:szCs w:val="40"/>
        </w:rPr>
        <w:t> </w:t>
      </w:r>
      <w:r w:rsidRPr="001A45D2">
        <w:rPr>
          <w:rFonts w:ascii="Arial" w:eastAsiaTheme="majorEastAsia" w:hAnsi="Arial" w:cstheme="majorBidi"/>
          <w:szCs w:val="40"/>
        </w:rPr>
        <w:t> </w:t>
      </w:r>
    </w:p>
    <w:p w14:paraId="68D22817" w14:textId="77777777" w:rsidR="001A45D2" w:rsidRPr="001A45D2" w:rsidRDefault="001A45D2" w:rsidP="001A45D2">
      <w:pPr>
        <w:spacing w:line="360" w:lineRule="auto"/>
        <w:rPr>
          <w:rFonts w:ascii="Arial" w:eastAsiaTheme="majorEastAsia" w:hAnsi="Arial" w:cstheme="majorBidi"/>
          <w:szCs w:val="40"/>
        </w:rPr>
      </w:pPr>
      <w:r w:rsidRPr="001A45D2">
        <w:rPr>
          <w:rFonts w:ascii="Arial" w:eastAsiaTheme="majorEastAsia" w:hAnsi="Arial" w:cstheme="majorBidi"/>
          <w:i/>
          <w:iCs/>
          <w:szCs w:val="40"/>
        </w:rPr>
        <w:t>2.1 Identifying the problem/ issue</w:t>
      </w:r>
      <w:r w:rsidRPr="001A45D2">
        <w:rPr>
          <w:rFonts w:ascii="Arial" w:eastAsiaTheme="majorEastAsia" w:hAnsi="Arial" w:cstheme="majorBidi"/>
          <w:szCs w:val="40"/>
        </w:rPr>
        <w:t> </w:t>
      </w:r>
    </w:p>
    <w:p w14:paraId="6158E26E" w14:textId="77777777" w:rsidR="001A45D2" w:rsidRPr="001A45D2" w:rsidRDefault="001A45D2" w:rsidP="001A45D2">
      <w:pPr>
        <w:spacing w:line="360" w:lineRule="auto"/>
        <w:rPr>
          <w:rFonts w:ascii="Arial" w:eastAsiaTheme="majorEastAsia" w:hAnsi="Arial" w:cstheme="majorBidi"/>
          <w:szCs w:val="40"/>
        </w:rPr>
      </w:pPr>
      <w:r w:rsidRPr="001A45D2">
        <w:rPr>
          <w:rFonts w:ascii="Arial" w:eastAsiaTheme="majorEastAsia" w:hAnsi="Arial" w:cstheme="majorBidi"/>
          <w:szCs w:val="40"/>
        </w:rPr>
        <w:t>According to the NHS (n.d.), “ambulance services are at the heart of the urgent and emergency care system”. Delays in ambulance response time can lead to a matter of life and death, every second counts. This issue is important in the UK because of the impact it has on patient safety, it put strain on the NHS, economic costs, public trust, equality and access and workforce wellbeing. Increased demand, due to the aging population and the rising incidence of chronic diseases that have led to a surge in emergency calls, the inappropriate use of ambulance call out services for a none-emergency circumstances put a strain on the resources. Staff shortages, this puts a high level of stress, exhaustion and insufficient recruitment that resulted in a storage of paramedics and other ambulance workers, this exacerbates the response time and will impact the care quality. Hospital delays, the delays in transferring patients from the ambulances to hospital, is often due to the overcrowding and shortages of beds, tie up the ambulance crews and then it prevents them from responding to new call out. Funding constraints, despite the increasing demand, the funding for the ambulance service has not kept pace, which leads to the budget deficits and limitations on resources. The underfunding affects staffing levels, the maintenance of the equipment and training programs. </w:t>
      </w:r>
    </w:p>
    <w:p w14:paraId="29F37B44" w14:textId="77777777" w:rsidR="001A45D2" w:rsidRPr="001A45D2" w:rsidRDefault="001A45D2" w:rsidP="001A45D2">
      <w:pPr>
        <w:spacing w:line="360" w:lineRule="auto"/>
        <w:rPr>
          <w:rFonts w:ascii="Arial" w:eastAsiaTheme="majorEastAsia" w:hAnsi="Arial" w:cstheme="majorBidi"/>
          <w:szCs w:val="40"/>
        </w:rPr>
      </w:pPr>
      <w:r w:rsidRPr="001A45D2">
        <w:rPr>
          <w:rFonts w:ascii="Arial" w:eastAsiaTheme="majorEastAsia" w:hAnsi="Arial" w:cstheme="majorBidi"/>
          <w:szCs w:val="40"/>
        </w:rPr>
        <w:lastRenderedPageBreak/>
        <w:t> </w:t>
      </w:r>
    </w:p>
    <w:p w14:paraId="7CCCA95B" w14:textId="77777777" w:rsidR="001A45D2" w:rsidRPr="001A45D2" w:rsidRDefault="001A45D2" w:rsidP="001A45D2">
      <w:pPr>
        <w:spacing w:line="360" w:lineRule="auto"/>
        <w:rPr>
          <w:rFonts w:ascii="Arial" w:eastAsiaTheme="majorEastAsia" w:hAnsi="Arial" w:cstheme="majorBidi"/>
          <w:szCs w:val="40"/>
        </w:rPr>
      </w:pPr>
      <w:r w:rsidRPr="001A45D2">
        <w:rPr>
          <w:rFonts w:ascii="Arial" w:eastAsiaTheme="majorEastAsia" w:hAnsi="Arial" w:cstheme="majorBidi"/>
          <w:szCs w:val="40"/>
        </w:rPr>
        <w:t> As explained by AACE (2024) has warns against accepting long hospital handover delays as normal, following new data. They estimate over 32,000 patients were potentially harmed in May 2024 alone due to these delays. The AACE calls on the new government for support in tackling this critical issue. This “system under pressure” therefore has far reaching consequences for both the health and social care, which impacting patient outcome, the hospital capacity, and overall, the well-being of community. </w:t>
      </w:r>
    </w:p>
    <w:p w14:paraId="5289F71A" w14:textId="77777777" w:rsidR="001A45D2" w:rsidRPr="001A45D2" w:rsidRDefault="001A45D2" w:rsidP="001A45D2">
      <w:pPr>
        <w:spacing w:line="360" w:lineRule="auto"/>
        <w:rPr>
          <w:rFonts w:ascii="Arial" w:eastAsiaTheme="majorEastAsia" w:hAnsi="Arial" w:cstheme="majorBidi"/>
          <w:szCs w:val="40"/>
        </w:rPr>
      </w:pPr>
      <w:r w:rsidRPr="001A45D2">
        <w:rPr>
          <w:rFonts w:ascii="Arial" w:eastAsiaTheme="majorEastAsia" w:hAnsi="Arial" w:cstheme="majorBidi"/>
          <w:szCs w:val="40"/>
        </w:rPr>
        <w:t> </w:t>
      </w:r>
    </w:p>
    <w:p w14:paraId="11D981C8" w14:textId="77777777" w:rsidR="001A45D2" w:rsidRPr="001A45D2" w:rsidRDefault="001A45D2" w:rsidP="001A45D2">
      <w:pPr>
        <w:spacing w:line="360" w:lineRule="auto"/>
        <w:rPr>
          <w:rFonts w:ascii="Arial" w:eastAsiaTheme="majorEastAsia" w:hAnsi="Arial" w:cstheme="majorBidi"/>
          <w:szCs w:val="40"/>
        </w:rPr>
      </w:pPr>
      <w:r w:rsidRPr="001A45D2">
        <w:rPr>
          <w:rFonts w:ascii="Arial" w:eastAsiaTheme="majorEastAsia" w:hAnsi="Arial" w:cstheme="majorBidi"/>
          <w:i/>
          <w:iCs/>
          <w:szCs w:val="40"/>
        </w:rPr>
        <w:t>2.2 Justification for the research</w:t>
      </w:r>
      <w:r w:rsidRPr="001A45D2">
        <w:rPr>
          <w:rFonts w:ascii="Arial" w:eastAsiaTheme="majorEastAsia" w:hAnsi="Arial" w:cstheme="majorBidi"/>
          <w:szCs w:val="40"/>
        </w:rPr>
        <w:t>  </w:t>
      </w:r>
    </w:p>
    <w:p w14:paraId="60548742" w14:textId="77777777" w:rsidR="001A45D2" w:rsidRPr="001A45D2" w:rsidRDefault="001A45D2" w:rsidP="001A45D2">
      <w:pPr>
        <w:spacing w:line="360" w:lineRule="auto"/>
        <w:rPr>
          <w:rFonts w:ascii="Arial" w:eastAsiaTheme="majorEastAsia" w:hAnsi="Arial" w:cstheme="majorBidi"/>
          <w:szCs w:val="40"/>
        </w:rPr>
      </w:pPr>
      <w:r w:rsidRPr="001A45D2">
        <w:rPr>
          <w:rFonts w:ascii="Arial" w:eastAsiaTheme="majorEastAsia" w:hAnsi="Arial" w:cstheme="majorBidi"/>
          <w:szCs w:val="40"/>
        </w:rPr>
        <w:t>This research is crucial for identifying ways to improve ambulance service performance, such as reducing hospital handover delays, increasing ambulance capacity, and decreasing demand through better community service, ultimately enhancing patient care and outcomes. </w:t>
      </w:r>
    </w:p>
    <w:p w14:paraId="25D5D242" w14:textId="77777777" w:rsidR="001A45D2" w:rsidRPr="001A45D2" w:rsidRDefault="001A45D2" w:rsidP="001A45D2">
      <w:pPr>
        <w:spacing w:line="360" w:lineRule="auto"/>
        <w:rPr>
          <w:rFonts w:ascii="Arial" w:eastAsiaTheme="majorEastAsia" w:hAnsi="Arial" w:cstheme="majorBidi"/>
          <w:i/>
          <w:iCs/>
          <w:szCs w:val="40"/>
        </w:rPr>
      </w:pPr>
      <w:r w:rsidRPr="001A45D2">
        <w:rPr>
          <w:rFonts w:ascii="Arial" w:eastAsiaTheme="majorEastAsia" w:hAnsi="Arial" w:cstheme="majorBidi"/>
          <w:i/>
          <w:iCs/>
          <w:szCs w:val="40"/>
        </w:rPr>
        <w:t>Social importance: </w:t>
      </w:r>
    </w:p>
    <w:p w14:paraId="16EFFB4E" w14:textId="77777777" w:rsidR="001A45D2" w:rsidRPr="001A45D2" w:rsidRDefault="001A45D2" w:rsidP="001A45D2">
      <w:pPr>
        <w:spacing w:line="360" w:lineRule="auto"/>
        <w:rPr>
          <w:rFonts w:ascii="Arial" w:eastAsiaTheme="majorEastAsia" w:hAnsi="Arial" w:cstheme="majorBidi"/>
          <w:szCs w:val="40"/>
        </w:rPr>
      </w:pPr>
      <w:r w:rsidRPr="001A45D2">
        <w:rPr>
          <w:rFonts w:ascii="Arial" w:eastAsiaTheme="majorEastAsia" w:hAnsi="Arial" w:cstheme="majorBidi"/>
          <w:szCs w:val="40"/>
        </w:rPr>
        <w:t>Ambulance waits in England have worsened. Life</w:t>
      </w:r>
      <w:r w:rsidRPr="001A45D2">
        <w:rPr>
          <w:rFonts w:ascii="Arial" w:eastAsiaTheme="majorEastAsia" w:hAnsi="Arial" w:cstheme="majorBidi"/>
          <w:szCs w:val="40"/>
        </w:rPr>
        <w:noBreakHyphen/>
        <w:t>threatening calls now average over eight minutes, emergencies nearly 40, and less urgent cases exceed two hours. Rising demand, staff shortages, and sickness absence strain services. Hospital handover delays cut capacity by about 20%. These pressures affect patients, who face dangerous delays, and staff, who endure burnout, stress, and moral injury from being unable to deliver timely, safe care (Health Foundation, 2022). </w:t>
      </w:r>
    </w:p>
    <w:p w14:paraId="0F88A433" w14:textId="77777777" w:rsidR="001A45D2" w:rsidRPr="001A45D2" w:rsidRDefault="001A45D2" w:rsidP="001A45D2">
      <w:pPr>
        <w:spacing w:line="360" w:lineRule="auto"/>
        <w:rPr>
          <w:rFonts w:ascii="Arial" w:eastAsiaTheme="majorEastAsia" w:hAnsi="Arial" w:cstheme="majorBidi"/>
          <w:i/>
          <w:iCs/>
          <w:szCs w:val="40"/>
        </w:rPr>
      </w:pPr>
      <w:r w:rsidRPr="001A45D2">
        <w:rPr>
          <w:rFonts w:ascii="Arial" w:eastAsiaTheme="majorEastAsia" w:hAnsi="Arial" w:cstheme="majorBidi"/>
          <w:i/>
          <w:iCs/>
          <w:szCs w:val="40"/>
        </w:rPr>
        <w:t>Practical importance:  </w:t>
      </w:r>
    </w:p>
    <w:p w14:paraId="080FE93C" w14:textId="77777777" w:rsidR="001A45D2" w:rsidRPr="001A45D2" w:rsidRDefault="001A45D2" w:rsidP="001A45D2">
      <w:pPr>
        <w:spacing w:line="360" w:lineRule="auto"/>
        <w:rPr>
          <w:rFonts w:ascii="Arial" w:eastAsiaTheme="majorEastAsia" w:hAnsi="Arial" w:cstheme="majorBidi"/>
          <w:szCs w:val="40"/>
        </w:rPr>
      </w:pPr>
      <w:r w:rsidRPr="001A45D2">
        <w:rPr>
          <w:rFonts w:ascii="Arial" w:eastAsiaTheme="majorEastAsia" w:hAnsi="Arial" w:cstheme="majorBidi"/>
          <w:szCs w:val="40"/>
        </w:rPr>
        <w:t>Ambulance services need stronger policies, advanced training, and greater resources to meet rising demand. Paramedics require specialist education for roles in mental health, trauma, and community care. Hospital handover delays and poor discharge planning reduce capacity, while staff face burnout and stress. Investment in mobile clinics, telehealth, and integrated records can ease pressure. Recognising ambulances as mobile healthcare hubs is vital to improve patient safety and support staff wellbeing across the system (Association of Ambulance Chief Executives, 2015). </w:t>
      </w:r>
    </w:p>
    <w:p w14:paraId="657358D1" w14:textId="77777777" w:rsidR="001A45D2" w:rsidRPr="001A45D2" w:rsidRDefault="001A45D2" w:rsidP="001A45D2">
      <w:pPr>
        <w:spacing w:line="360" w:lineRule="auto"/>
        <w:rPr>
          <w:rFonts w:ascii="Arial" w:eastAsiaTheme="majorEastAsia" w:hAnsi="Arial" w:cstheme="majorBidi"/>
          <w:i/>
          <w:iCs/>
          <w:szCs w:val="40"/>
        </w:rPr>
      </w:pPr>
      <w:r w:rsidRPr="001A45D2">
        <w:rPr>
          <w:rFonts w:ascii="Arial" w:eastAsiaTheme="majorEastAsia" w:hAnsi="Arial" w:cstheme="majorBidi"/>
          <w:i/>
          <w:iCs/>
          <w:szCs w:val="40"/>
        </w:rPr>
        <w:t>Research gap:  </w:t>
      </w:r>
    </w:p>
    <w:p w14:paraId="152348B5" w14:textId="77777777" w:rsidR="001A45D2" w:rsidRPr="001A45D2" w:rsidRDefault="001A45D2" w:rsidP="001A45D2">
      <w:pPr>
        <w:spacing w:line="360" w:lineRule="auto"/>
        <w:rPr>
          <w:rFonts w:ascii="Arial" w:eastAsiaTheme="majorEastAsia" w:hAnsi="Arial" w:cstheme="majorBidi"/>
          <w:szCs w:val="40"/>
        </w:rPr>
      </w:pPr>
      <w:r w:rsidRPr="001A45D2">
        <w:rPr>
          <w:rFonts w:ascii="Arial" w:eastAsiaTheme="majorEastAsia" w:hAnsi="Arial" w:cstheme="majorBidi"/>
          <w:szCs w:val="40"/>
        </w:rPr>
        <w:t xml:space="preserve">NHS ambulance services face critical research gaps. Workforce retention strategies remain unclear, with high attrition among paramedics. Rising mental health demands highlight the need for integrated support models. Commissioning frameworks are </w:t>
      </w:r>
      <w:r w:rsidRPr="001A45D2">
        <w:rPr>
          <w:rFonts w:ascii="Arial" w:eastAsiaTheme="majorEastAsia" w:hAnsi="Arial" w:cstheme="majorBidi"/>
          <w:szCs w:val="40"/>
        </w:rPr>
        <w:lastRenderedPageBreak/>
        <w:t>fragmented, requiring evaluation of consistency and outcomes. Outdated 999 triage systems need testing of alternatives. Data integration between ambulances and hospitals is limited, while funding models lack sustainability. Evidence is essential to design modern, resilient services that meet growing patient needs (Wankhade, 2023). </w:t>
      </w:r>
    </w:p>
    <w:p w14:paraId="05A9081F" w14:textId="77777777" w:rsidR="001A45D2" w:rsidRPr="001A45D2" w:rsidRDefault="001A45D2" w:rsidP="001A45D2">
      <w:pPr>
        <w:spacing w:line="360" w:lineRule="auto"/>
        <w:rPr>
          <w:rFonts w:ascii="Arial" w:eastAsiaTheme="majorEastAsia" w:hAnsi="Arial" w:cstheme="majorBidi"/>
          <w:szCs w:val="40"/>
        </w:rPr>
      </w:pPr>
      <w:r w:rsidRPr="001A45D2">
        <w:rPr>
          <w:rFonts w:ascii="Arial" w:eastAsiaTheme="majorEastAsia" w:hAnsi="Arial" w:cstheme="majorBidi"/>
          <w:szCs w:val="40"/>
        </w:rPr>
        <w:t>Understanding ambulance service issues reveals root causes, guiding better policies, workforce support, resource allocation, and safer, more resilient patient care. </w:t>
      </w:r>
    </w:p>
    <w:p w14:paraId="40A941DD" w14:textId="77777777" w:rsidR="001A45D2" w:rsidRPr="001A45D2" w:rsidRDefault="001A45D2" w:rsidP="001A45D2">
      <w:pPr>
        <w:spacing w:line="360" w:lineRule="auto"/>
        <w:rPr>
          <w:rFonts w:ascii="Arial" w:eastAsiaTheme="majorEastAsia" w:hAnsi="Arial" w:cstheme="majorBidi"/>
          <w:szCs w:val="40"/>
        </w:rPr>
      </w:pPr>
      <w:r w:rsidRPr="001A45D2">
        <w:rPr>
          <w:rFonts w:ascii="Arial" w:eastAsiaTheme="majorEastAsia" w:hAnsi="Arial" w:cstheme="majorBidi"/>
          <w:i/>
          <w:iCs/>
          <w:szCs w:val="40"/>
        </w:rPr>
        <w:t> </w:t>
      </w:r>
      <w:r w:rsidRPr="001A45D2">
        <w:rPr>
          <w:rFonts w:ascii="Arial" w:eastAsiaTheme="majorEastAsia" w:hAnsi="Arial" w:cstheme="majorBidi"/>
          <w:szCs w:val="40"/>
        </w:rPr>
        <w:t> </w:t>
      </w:r>
    </w:p>
    <w:p w14:paraId="03A71EA2" w14:textId="567FE520" w:rsidR="001A45D2" w:rsidRPr="001A45D2" w:rsidRDefault="001A45D2" w:rsidP="001A45D2">
      <w:pPr>
        <w:spacing w:line="360" w:lineRule="auto"/>
        <w:rPr>
          <w:rFonts w:ascii="Arial" w:eastAsiaTheme="majorEastAsia" w:hAnsi="Arial" w:cstheme="majorBidi"/>
          <w:szCs w:val="40"/>
        </w:rPr>
      </w:pPr>
      <w:r w:rsidRPr="001A45D2">
        <w:rPr>
          <w:rFonts w:ascii="Arial" w:eastAsiaTheme="majorEastAsia" w:hAnsi="Arial" w:cstheme="majorBidi"/>
          <w:i/>
          <w:iCs/>
          <w:szCs w:val="40"/>
        </w:rPr>
        <w:t>2.3 Literature review</w:t>
      </w:r>
      <w:r w:rsidRPr="001A45D2">
        <w:rPr>
          <w:rFonts w:ascii="Arial" w:eastAsiaTheme="majorEastAsia" w:hAnsi="Arial" w:cstheme="majorBidi"/>
          <w:szCs w:val="40"/>
        </w:rPr>
        <w:t>  </w:t>
      </w:r>
    </w:p>
    <w:p w14:paraId="3D4EDA55" w14:textId="61848CE1" w:rsidR="001A45D2" w:rsidRDefault="001A45D2" w:rsidP="001A45D2">
      <w:pPr>
        <w:spacing w:line="360" w:lineRule="auto"/>
        <w:rPr>
          <w:rFonts w:ascii="Arial" w:eastAsiaTheme="majorEastAsia" w:hAnsi="Arial" w:cstheme="majorBidi"/>
          <w:szCs w:val="40"/>
        </w:rPr>
      </w:pPr>
      <w:r w:rsidRPr="001A45D2">
        <w:rPr>
          <w:rFonts w:ascii="Arial" w:eastAsiaTheme="majorEastAsia" w:hAnsi="Arial" w:cstheme="majorBidi"/>
          <w:szCs w:val="40"/>
        </w:rPr>
        <w:t>Source 1</w:t>
      </w:r>
      <w:r w:rsidR="001F0D90">
        <w:rPr>
          <w:rFonts w:ascii="Arial" w:eastAsiaTheme="majorEastAsia" w:hAnsi="Arial" w:cstheme="majorBidi"/>
          <w:szCs w:val="40"/>
        </w:rPr>
        <w:t xml:space="preserve">: </w:t>
      </w:r>
      <w:r w:rsidR="001F0D90" w:rsidRPr="001F0D90">
        <w:rPr>
          <w:rFonts w:ascii="Arial" w:eastAsiaTheme="majorEastAsia" w:hAnsi="Arial" w:cstheme="majorBidi"/>
          <w:szCs w:val="40"/>
        </w:rPr>
        <w:t>House of Commons Library</w:t>
      </w:r>
      <w:r w:rsidR="001F0D90">
        <w:rPr>
          <w:rFonts w:ascii="Arial" w:eastAsiaTheme="majorEastAsia" w:hAnsi="Arial" w:cstheme="majorBidi"/>
          <w:szCs w:val="40"/>
        </w:rPr>
        <w:t xml:space="preserve"> (</w:t>
      </w:r>
      <w:r w:rsidR="001F0D90" w:rsidRPr="001F0D90">
        <w:rPr>
          <w:rFonts w:ascii="Arial" w:eastAsiaTheme="majorEastAsia" w:hAnsi="Arial" w:cstheme="majorBidi"/>
          <w:szCs w:val="40"/>
        </w:rPr>
        <w:t>2025).</w:t>
      </w:r>
      <w:r w:rsidR="00815506">
        <w:rPr>
          <w:rFonts w:ascii="Arial" w:eastAsiaTheme="majorEastAsia" w:hAnsi="Arial" w:cstheme="majorBidi"/>
          <w:szCs w:val="40"/>
        </w:rPr>
        <w:t xml:space="preserve"> – Government Report </w:t>
      </w:r>
    </w:p>
    <w:p w14:paraId="5F2332DB" w14:textId="19F69634" w:rsidR="001F0D90" w:rsidRDefault="001F0D90" w:rsidP="001A45D2">
      <w:pPr>
        <w:spacing w:line="360" w:lineRule="auto"/>
        <w:rPr>
          <w:rFonts w:ascii="Arial" w:eastAsiaTheme="majorEastAsia" w:hAnsi="Arial" w:cstheme="majorBidi"/>
          <w:szCs w:val="40"/>
        </w:rPr>
      </w:pPr>
      <w:r w:rsidRPr="001F0D90">
        <w:rPr>
          <w:rFonts w:ascii="Arial" w:eastAsiaTheme="majorEastAsia" w:hAnsi="Arial" w:cstheme="majorBidi"/>
          <w:szCs w:val="40"/>
        </w:rPr>
        <w:t>The House of Commons Library briefing “Ambulance service response times” (CDP-2025-0042) outlines the persistent failure of ambulance services in England to meet national response time targets. In January 2025, most categories</w:t>
      </w:r>
      <w:r w:rsidR="00D27379">
        <w:rPr>
          <w:rFonts w:ascii="Arial" w:eastAsiaTheme="majorEastAsia" w:hAnsi="Arial" w:cstheme="majorBidi"/>
          <w:szCs w:val="40"/>
        </w:rPr>
        <w:t xml:space="preserve"> </w:t>
      </w:r>
      <w:r w:rsidRPr="001F0D90">
        <w:rPr>
          <w:rFonts w:ascii="Arial" w:eastAsiaTheme="majorEastAsia" w:hAnsi="Arial" w:cstheme="majorBidi"/>
          <w:szCs w:val="40"/>
        </w:rPr>
        <w:t>including life-threatening emergencies</w:t>
      </w:r>
      <w:r w:rsidR="00D27379">
        <w:rPr>
          <w:rFonts w:ascii="Arial" w:eastAsiaTheme="majorEastAsia" w:hAnsi="Arial" w:cstheme="majorBidi"/>
          <w:szCs w:val="40"/>
        </w:rPr>
        <w:t xml:space="preserve">, which </w:t>
      </w:r>
      <w:r w:rsidRPr="001F0D90">
        <w:rPr>
          <w:rFonts w:ascii="Arial" w:eastAsiaTheme="majorEastAsia" w:hAnsi="Arial" w:cstheme="majorBidi"/>
          <w:szCs w:val="40"/>
        </w:rPr>
        <w:t>f</w:t>
      </w:r>
      <w:r w:rsidR="00D27379">
        <w:rPr>
          <w:rFonts w:ascii="Arial" w:eastAsiaTheme="majorEastAsia" w:hAnsi="Arial" w:cstheme="majorBidi"/>
          <w:szCs w:val="40"/>
        </w:rPr>
        <w:t>a</w:t>
      </w:r>
      <w:r w:rsidRPr="001F0D90">
        <w:rPr>
          <w:rFonts w:ascii="Arial" w:eastAsiaTheme="majorEastAsia" w:hAnsi="Arial" w:cstheme="majorBidi"/>
          <w:szCs w:val="40"/>
        </w:rPr>
        <w:t>ll short of expected standards. The briefing highlights government and NHS responses, such as the upcoming Urgent and Emergency Care Recovery Plan, NHS England’s 2025/26 priorities, and a proposed 10-Year Health Plan. It also includes expert analysis from the Nuffield Trust and The King’s Fund, which attribute delays to systemic pressures and workforce shortages. This source is highly relevant to the study “The UK ambulance crisis: A system under pressure” as it provides current performance data, policy context, and expert commentary. It supports the research by offering credible statistics, outlining institutional responses, and reflecting parliamentary concern over emergency care delays (House of Commons Library, 2025).</w:t>
      </w:r>
    </w:p>
    <w:p w14:paraId="4175DB23" w14:textId="77777777" w:rsidR="001F0D90" w:rsidRPr="001A45D2" w:rsidRDefault="001F0D90" w:rsidP="001A45D2">
      <w:pPr>
        <w:spacing w:line="360" w:lineRule="auto"/>
        <w:rPr>
          <w:rFonts w:ascii="Arial" w:eastAsiaTheme="majorEastAsia" w:hAnsi="Arial" w:cstheme="majorBidi"/>
          <w:szCs w:val="40"/>
        </w:rPr>
      </w:pPr>
    </w:p>
    <w:p w14:paraId="151AD289" w14:textId="2FB0D38B" w:rsidR="001A45D2" w:rsidRDefault="001A45D2" w:rsidP="001A45D2">
      <w:pPr>
        <w:spacing w:line="360" w:lineRule="auto"/>
        <w:rPr>
          <w:rFonts w:ascii="Arial" w:eastAsiaTheme="majorEastAsia" w:hAnsi="Arial" w:cstheme="majorBidi"/>
          <w:szCs w:val="40"/>
        </w:rPr>
      </w:pPr>
      <w:r w:rsidRPr="001A45D2">
        <w:rPr>
          <w:rFonts w:ascii="Arial" w:eastAsiaTheme="majorEastAsia" w:hAnsi="Arial" w:cstheme="majorBidi"/>
          <w:szCs w:val="40"/>
        </w:rPr>
        <w:t>Source 2: </w:t>
      </w:r>
      <w:r w:rsidR="00851A54" w:rsidRPr="00851A54">
        <w:rPr>
          <w:rFonts w:ascii="Arial" w:eastAsiaTheme="majorEastAsia" w:hAnsi="Arial" w:cstheme="majorBidi"/>
          <w:szCs w:val="40"/>
        </w:rPr>
        <w:t>(Fisher et al., 2015)</w:t>
      </w:r>
      <w:r w:rsidR="00851A54">
        <w:rPr>
          <w:rFonts w:ascii="Arial" w:eastAsiaTheme="majorEastAsia" w:hAnsi="Arial" w:cstheme="majorBidi"/>
          <w:szCs w:val="40"/>
        </w:rPr>
        <w:t xml:space="preserve"> - Journal Article</w:t>
      </w:r>
    </w:p>
    <w:p w14:paraId="3AAEC942" w14:textId="77777777" w:rsidR="00851A54" w:rsidRDefault="00851A54" w:rsidP="001A45D2">
      <w:pPr>
        <w:spacing w:line="360" w:lineRule="auto"/>
        <w:rPr>
          <w:rFonts w:ascii="Arial" w:eastAsiaTheme="majorEastAsia" w:hAnsi="Arial" w:cstheme="majorBidi"/>
          <w:szCs w:val="40"/>
        </w:rPr>
      </w:pPr>
      <w:r w:rsidRPr="00851A54">
        <w:rPr>
          <w:rFonts w:ascii="Arial" w:eastAsiaTheme="majorEastAsia" w:hAnsi="Arial" w:cstheme="majorBidi"/>
          <w:szCs w:val="40"/>
        </w:rPr>
        <w:t>The NIHR report Patient safety in ambulance services: a scoping review examines safety risks in UK ambulance care, highlighting fragmented practices and limited evidence guiding current procedures. It identifies key concerns such as delayed hospital transfers, poor handovers, equipment failures, and risks in discharge and diagnosis. The study emphasizes the need for improved training, systematic monitoring, and evidence-based care models. This source is highly relevant to the research “The UK ambulance crisis: A system under pressure” as it reveals structural weaknesses contributing to patient harm and operational strain (Fisher et al., 2015).</w:t>
      </w:r>
    </w:p>
    <w:p w14:paraId="410B9B93" w14:textId="1DA80F40" w:rsidR="001A45D2" w:rsidRDefault="001A45D2" w:rsidP="001A45D2">
      <w:pPr>
        <w:spacing w:line="360" w:lineRule="auto"/>
        <w:rPr>
          <w:rFonts w:ascii="Arial" w:eastAsiaTheme="majorEastAsia" w:hAnsi="Arial" w:cstheme="majorBidi"/>
          <w:szCs w:val="40"/>
        </w:rPr>
      </w:pPr>
      <w:r w:rsidRPr="001A45D2">
        <w:rPr>
          <w:rFonts w:ascii="Arial" w:eastAsiaTheme="majorEastAsia" w:hAnsi="Arial" w:cstheme="majorBidi"/>
          <w:szCs w:val="40"/>
        </w:rPr>
        <w:t>Source 3: </w:t>
      </w:r>
      <w:r w:rsidR="00C07956" w:rsidRPr="00C07956">
        <w:rPr>
          <w:rFonts w:ascii="Arial" w:eastAsiaTheme="majorEastAsia" w:hAnsi="Arial" w:cstheme="majorBidi"/>
          <w:szCs w:val="40"/>
        </w:rPr>
        <w:t xml:space="preserve">NHS England, </w:t>
      </w:r>
      <w:r w:rsidR="00C07956">
        <w:rPr>
          <w:rFonts w:ascii="Arial" w:eastAsiaTheme="majorEastAsia" w:hAnsi="Arial" w:cstheme="majorBidi"/>
          <w:szCs w:val="40"/>
        </w:rPr>
        <w:t>(</w:t>
      </w:r>
      <w:r w:rsidR="00C07956" w:rsidRPr="00C07956">
        <w:rPr>
          <w:rFonts w:ascii="Arial" w:eastAsiaTheme="majorEastAsia" w:hAnsi="Arial" w:cstheme="majorBidi"/>
          <w:szCs w:val="40"/>
        </w:rPr>
        <w:t>2024).</w:t>
      </w:r>
      <w:r w:rsidR="002F19D2">
        <w:rPr>
          <w:rFonts w:ascii="Arial" w:eastAsiaTheme="majorEastAsia" w:hAnsi="Arial" w:cstheme="majorBidi"/>
          <w:szCs w:val="40"/>
        </w:rPr>
        <w:t xml:space="preserve"> - Website</w:t>
      </w:r>
    </w:p>
    <w:p w14:paraId="43F6040A" w14:textId="5428E7FC" w:rsidR="001A45D2" w:rsidRPr="001A45D2" w:rsidRDefault="00C07956" w:rsidP="001A45D2">
      <w:pPr>
        <w:spacing w:line="360" w:lineRule="auto"/>
        <w:rPr>
          <w:rFonts w:ascii="Arial" w:eastAsiaTheme="majorEastAsia" w:hAnsi="Arial" w:cstheme="majorBidi"/>
          <w:szCs w:val="40"/>
        </w:rPr>
      </w:pPr>
      <w:r w:rsidRPr="00C07956">
        <w:rPr>
          <w:rFonts w:ascii="Arial" w:eastAsiaTheme="majorEastAsia" w:hAnsi="Arial" w:cstheme="majorBidi"/>
          <w:szCs w:val="40"/>
        </w:rPr>
        <w:lastRenderedPageBreak/>
        <w:t>The NHS England Monthly Operational Statistics – September 2024 report presents key data on ambulance and emergency care performance. Category 2 ambulance response times averaged 27 minutes 25 seconds—below the 30-minute annual target but still exceeding the 18-minute standard. A&amp;E departments saw 76.3% of patients treated within four hours, far below the 95% benchmark. Over 754,000 999 calls were made, with 371,492 patients conveyed to A&amp;E. This source is highly relevant to “The UK ambulance crisis: A system under pressure” as it provides current statistics that illustrate systemic delays and demand pressures (NHS England, 2024).</w:t>
      </w:r>
      <w:r w:rsidR="001A45D2" w:rsidRPr="001A45D2">
        <w:rPr>
          <w:rFonts w:ascii="Arial" w:eastAsiaTheme="majorEastAsia" w:hAnsi="Arial" w:cstheme="majorBidi"/>
          <w:szCs w:val="40"/>
        </w:rPr>
        <w:t> </w:t>
      </w:r>
    </w:p>
    <w:p w14:paraId="5005C035" w14:textId="77777777" w:rsidR="001A45D2" w:rsidRPr="001A45D2" w:rsidRDefault="001A45D2" w:rsidP="001A45D2">
      <w:pPr>
        <w:spacing w:line="360" w:lineRule="auto"/>
        <w:rPr>
          <w:rFonts w:ascii="Arial" w:eastAsiaTheme="majorEastAsia" w:hAnsi="Arial" w:cstheme="majorBidi"/>
          <w:szCs w:val="40"/>
        </w:rPr>
      </w:pPr>
      <w:r w:rsidRPr="001A45D2">
        <w:rPr>
          <w:rFonts w:ascii="Arial" w:eastAsiaTheme="majorEastAsia" w:hAnsi="Arial" w:cstheme="majorBidi"/>
          <w:szCs w:val="40"/>
        </w:rPr>
        <w:t>  </w:t>
      </w:r>
    </w:p>
    <w:p w14:paraId="07ABA386" w14:textId="77777777" w:rsidR="001A45D2" w:rsidRPr="001A45D2" w:rsidRDefault="001A45D2" w:rsidP="001A45D2">
      <w:pPr>
        <w:spacing w:line="360" w:lineRule="auto"/>
        <w:rPr>
          <w:rFonts w:ascii="Arial" w:eastAsiaTheme="majorEastAsia" w:hAnsi="Arial" w:cstheme="majorBidi"/>
          <w:szCs w:val="40"/>
        </w:rPr>
      </w:pPr>
      <w:r w:rsidRPr="001A45D2">
        <w:rPr>
          <w:rFonts w:ascii="Arial" w:eastAsiaTheme="majorEastAsia" w:hAnsi="Arial" w:cstheme="majorBidi"/>
          <w:i/>
          <w:iCs/>
          <w:szCs w:val="40"/>
        </w:rPr>
        <w:t>2.4 Research methodology</w:t>
      </w:r>
      <w:r w:rsidRPr="001A45D2">
        <w:rPr>
          <w:rFonts w:ascii="Arial" w:eastAsiaTheme="majorEastAsia" w:hAnsi="Arial" w:cstheme="majorBidi"/>
          <w:szCs w:val="40"/>
        </w:rPr>
        <w:t>  </w:t>
      </w:r>
    </w:p>
    <w:p w14:paraId="5EACFF3B" w14:textId="77777777" w:rsidR="001A45D2" w:rsidRPr="001A45D2" w:rsidRDefault="001A45D2" w:rsidP="001A45D2">
      <w:pPr>
        <w:spacing w:line="360" w:lineRule="auto"/>
        <w:rPr>
          <w:rFonts w:ascii="Arial" w:eastAsiaTheme="majorEastAsia" w:hAnsi="Arial" w:cstheme="majorBidi"/>
          <w:szCs w:val="40"/>
        </w:rPr>
      </w:pPr>
      <w:r w:rsidRPr="001A45D2">
        <w:rPr>
          <w:rFonts w:ascii="Arial" w:eastAsiaTheme="majorEastAsia" w:hAnsi="Arial" w:cstheme="majorBidi"/>
          <w:szCs w:val="40"/>
        </w:rPr>
        <w:t>Research methodology is the systematic and organised approach to conduct research. It encompassed the technique used to gather and collect information, analyse the information and interpret the information. (slide 5, week9, Digital skills and research methods, UWSTD, 2025) </w:t>
      </w:r>
    </w:p>
    <w:p w14:paraId="2DC85313" w14:textId="77777777" w:rsidR="001A45D2" w:rsidRPr="001A45D2" w:rsidRDefault="001A45D2" w:rsidP="001A45D2">
      <w:pPr>
        <w:spacing w:line="360" w:lineRule="auto"/>
        <w:rPr>
          <w:rFonts w:ascii="Arial" w:eastAsiaTheme="majorEastAsia" w:hAnsi="Arial" w:cstheme="majorBidi"/>
          <w:szCs w:val="40"/>
        </w:rPr>
      </w:pPr>
      <w:r w:rsidRPr="001A45D2">
        <w:rPr>
          <w:rFonts w:ascii="Arial" w:eastAsiaTheme="majorEastAsia" w:hAnsi="Arial" w:cstheme="majorBidi"/>
          <w:szCs w:val="40"/>
        </w:rPr>
        <w:t>Qualitative research: According to Scribbr “Qualitative research involves collecting and analysing non-numerical data (e.g., text, video, or audio) to understand concepts, opinions, or experiences. It can be used to gather in-depth insights into a problem or generate new ideas for research.” </w:t>
      </w:r>
    </w:p>
    <w:p w14:paraId="7927D52B" w14:textId="77777777" w:rsidR="001A45D2" w:rsidRPr="001A45D2" w:rsidRDefault="001A45D2" w:rsidP="001A45D2">
      <w:pPr>
        <w:spacing w:line="360" w:lineRule="auto"/>
        <w:rPr>
          <w:rFonts w:ascii="Arial" w:eastAsiaTheme="majorEastAsia" w:hAnsi="Arial" w:cstheme="majorBidi"/>
          <w:szCs w:val="40"/>
        </w:rPr>
      </w:pPr>
      <w:r w:rsidRPr="001A45D2">
        <w:rPr>
          <w:rFonts w:ascii="Arial" w:eastAsiaTheme="majorEastAsia" w:hAnsi="Arial" w:cstheme="majorBidi"/>
          <w:szCs w:val="40"/>
        </w:rPr>
        <w:t>Quantitative research: As indicated by ProQuest quantitative research employs various methods focused on the systematic study of social phenomena, utilizing statistical or numerical data. Thus, quantitative research includes measurement and presumes that the phenomena. </w:t>
      </w:r>
    </w:p>
    <w:p w14:paraId="0829C797" w14:textId="77777777" w:rsidR="001A45D2" w:rsidRPr="001A45D2" w:rsidRDefault="001A45D2" w:rsidP="001A45D2">
      <w:pPr>
        <w:spacing w:line="360" w:lineRule="auto"/>
        <w:rPr>
          <w:rFonts w:ascii="Arial" w:eastAsiaTheme="majorEastAsia" w:hAnsi="Arial" w:cstheme="majorBidi"/>
          <w:szCs w:val="40"/>
        </w:rPr>
      </w:pPr>
      <w:r w:rsidRPr="001A45D2">
        <w:rPr>
          <w:rFonts w:ascii="Arial" w:eastAsiaTheme="majorEastAsia" w:hAnsi="Arial" w:cstheme="majorBidi"/>
          <w:szCs w:val="40"/>
        </w:rPr>
        <w:t>Mixed-Methods research: Mixed methods research integrates quantitative and qualitative approaches, combining numerical measurement with contextual insights to comprehensively address research questions (</w:t>
      </w:r>
      <w:proofErr w:type="spellStart"/>
      <w:r w:rsidRPr="001A45D2">
        <w:rPr>
          <w:rFonts w:ascii="Arial" w:eastAsiaTheme="majorEastAsia" w:hAnsi="Arial" w:cstheme="majorBidi"/>
          <w:szCs w:val="40"/>
        </w:rPr>
        <w:t>Scribbr</w:t>
      </w:r>
      <w:proofErr w:type="spellEnd"/>
      <w:r w:rsidRPr="001A45D2">
        <w:rPr>
          <w:rFonts w:ascii="Arial" w:eastAsiaTheme="majorEastAsia" w:hAnsi="Arial" w:cstheme="majorBidi"/>
          <w:szCs w:val="40"/>
        </w:rPr>
        <w:t>, 2022). </w:t>
      </w:r>
    </w:p>
    <w:p w14:paraId="45DA8DCC" w14:textId="77777777" w:rsidR="001A45D2" w:rsidRPr="001A45D2" w:rsidRDefault="001A45D2" w:rsidP="001A45D2">
      <w:pPr>
        <w:spacing w:line="360" w:lineRule="auto"/>
        <w:rPr>
          <w:rFonts w:ascii="Arial" w:eastAsiaTheme="majorEastAsia" w:hAnsi="Arial" w:cstheme="majorBidi"/>
          <w:szCs w:val="40"/>
        </w:rPr>
      </w:pPr>
      <w:r w:rsidRPr="001A45D2">
        <w:rPr>
          <w:rFonts w:ascii="Arial" w:eastAsiaTheme="majorEastAsia" w:hAnsi="Arial" w:cstheme="majorBidi"/>
          <w:szCs w:val="40"/>
        </w:rPr>
        <w:t>In this report </w:t>
      </w:r>
      <w:proofErr w:type="gramStart"/>
      <w:r w:rsidRPr="001A45D2">
        <w:rPr>
          <w:rFonts w:ascii="Arial" w:eastAsiaTheme="majorEastAsia" w:hAnsi="Arial" w:cstheme="majorBidi"/>
          <w:szCs w:val="40"/>
        </w:rPr>
        <w:t>mixed-methods</w:t>
      </w:r>
      <w:proofErr w:type="gramEnd"/>
      <w:r w:rsidRPr="001A45D2">
        <w:rPr>
          <w:rFonts w:ascii="Arial" w:eastAsiaTheme="majorEastAsia" w:hAnsi="Arial" w:cstheme="majorBidi"/>
          <w:szCs w:val="40"/>
        </w:rPr>
        <w:t> is the methodology that is being used as mixed methods can help to gain a more complete picture than a standalone quantitative or qualitative study, as it integrates benefits of both methods (</w:t>
      </w:r>
      <w:proofErr w:type="spellStart"/>
      <w:r w:rsidRPr="001A45D2">
        <w:rPr>
          <w:rFonts w:ascii="Arial" w:eastAsiaTheme="majorEastAsia" w:hAnsi="Arial" w:cstheme="majorBidi"/>
          <w:szCs w:val="40"/>
        </w:rPr>
        <w:t>Scribbr</w:t>
      </w:r>
      <w:proofErr w:type="spellEnd"/>
      <w:r w:rsidRPr="001A45D2">
        <w:rPr>
          <w:rFonts w:ascii="Arial" w:eastAsiaTheme="majorEastAsia" w:hAnsi="Arial" w:cstheme="majorBidi"/>
          <w:szCs w:val="40"/>
        </w:rPr>
        <w:t>, 2022). Mixed methods research integrates quantitative data with qualitative insights, enabling a fuller understanding of complex issues like the UK ambulance crisis by combining measurable trends with human experiences and contextual explanations. </w:t>
      </w:r>
    </w:p>
    <w:p w14:paraId="6C7EAFD0" w14:textId="77777777" w:rsidR="001A45D2" w:rsidRPr="001A45D2" w:rsidRDefault="001A45D2" w:rsidP="001A45D2">
      <w:pPr>
        <w:spacing w:line="360" w:lineRule="auto"/>
        <w:rPr>
          <w:rFonts w:ascii="Arial" w:eastAsiaTheme="majorEastAsia" w:hAnsi="Arial" w:cstheme="majorBidi"/>
          <w:szCs w:val="40"/>
        </w:rPr>
      </w:pPr>
      <w:r w:rsidRPr="001A45D2">
        <w:rPr>
          <w:rFonts w:ascii="Arial" w:eastAsiaTheme="majorEastAsia" w:hAnsi="Arial" w:cstheme="majorBidi"/>
          <w:szCs w:val="40"/>
        </w:rPr>
        <w:t>Mixed</w:t>
      </w:r>
      <w:r w:rsidRPr="001A45D2">
        <w:rPr>
          <w:rFonts w:ascii="Arial" w:eastAsiaTheme="majorEastAsia" w:hAnsi="Arial" w:cstheme="majorBidi"/>
          <w:szCs w:val="40"/>
        </w:rPr>
        <w:noBreakHyphen/>
        <w:t xml:space="preserve">methods integration combines quantitative and qualitative approaches to provide a holistic understanding of the UK ambulance crisis. Statistical data highlights the scale of </w:t>
      </w:r>
      <w:r w:rsidRPr="001A45D2">
        <w:rPr>
          <w:rFonts w:ascii="Arial" w:eastAsiaTheme="majorEastAsia" w:hAnsi="Arial" w:cstheme="majorBidi"/>
          <w:szCs w:val="40"/>
        </w:rPr>
        <w:lastRenderedPageBreak/>
        <w:t>delays, workforce shortages, and rising demand, while interviews and case studies explain underlying causes and human impacts. Together, these perspectives strengthen evidence, ensuring more robust analysis and actionable recommendations for policy and practice. </w:t>
      </w:r>
    </w:p>
    <w:p w14:paraId="088E7DCC" w14:textId="77777777" w:rsidR="00E45BFD" w:rsidRDefault="00E45BFD" w:rsidP="001A45D2">
      <w:pPr>
        <w:spacing w:line="360" w:lineRule="auto"/>
        <w:rPr>
          <w:rFonts w:ascii="Arial" w:eastAsiaTheme="majorEastAsia" w:hAnsi="Arial" w:cstheme="majorBidi"/>
          <w:b/>
          <w:bCs/>
          <w:szCs w:val="40"/>
        </w:rPr>
      </w:pPr>
    </w:p>
    <w:p w14:paraId="532B9D32" w14:textId="38FE22EC" w:rsidR="001A45D2" w:rsidRPr="001A45D2" w:rsidRDefault="001A45D2" w:rsidP="001A45D2">
      <w:pPr>
        <w:spacing w:line="360" w:lineRule="auto"/>
        <w:rPr>
          <w:rFonts w:ascii="Arial" w:eastAsiaTheme="majorEastAsia" w:hAnsi="Arial" w:cstheme="majorBidi"/>
          <w:b/>
          <w:bCs/>
          <w:szCs w:val="40"/>
        </w:rPr>
      </w:pPr>
      <w:r w:rsidRPr="001A45D2">
        <w:rPr>
          <w:rFonts w:ascii="Arial" w:eastAsiaTheme="majorEastAsia" w:hAnsi="Arial" w:cstheme="majorBidi"/>
          <w:b/>
          <w:bCs/>
          <w:szCs w:val="40"/>
        </w:rPr>
        <w:t>3. Data collection </w:t>
      </w:r>
    </w:p>
    <w:p w14:paraId="1C09999F" w14:textId="3D3B5066" w:rsidR="001A45D2" w:rsidRPr="001A45D2" w:rsidRDefault="001A45D2" w:rsidP="001A45D2">
      <w:pPr>
        <w:spacing w:line="360" w:lineRule="auto"/>
        <w:rPr>
          <w:rFonts w:ascii="Arial" w:eastAsiaTheme="majorEastAsia" w:hAnsi="Arial" w:cstheme="majorBidi"/>
          <w:szCs w:val="40"/>
        </w:rPr>
      </w:pPr>
      <w:r w:rsidRPr="001A45D2">
        <w:rPr>
          <w:rFonts w:ascii="Arial" w:eastAsiaTheme="majorEastAsia" w:hAnsi="Arial" w:cstheme="majorBidi"/>
          <w:i/>
          <w:iCs/>
          <w:szCs w:val="40"/>
        </w:rPr>
        <w:t>3.1 Primary vs. Secondary Data</w:t>
      </w:r>
      <w:r w:rsidRPr="001A45D2">
        <w:rPr>
          <w:rFonts w:ascii="Arial" w:eastAsiaTheme="majorEastAsia" w:hAnsi="Arial" w:cstheme="majorBidi"/>
          <w:szCs w:val="40"/>
        </w:rPr>
        <w:t>  </w:t>
      </w:r>
    </w:p>
    <w:p w14:paraId="251F539C" w14:textId="77777777" w:rsidR="001A45D2" w:rsidRPr="001A45D2" w:rsidRDefault="001A45D2" w:rsidP="001A45D2">
      <w:pPr>
        <w:spacing w:line="360" w:lineRule="auto"/>
        <w:rPr>
          <w:rFonts w:ascii="Arial" w:eastAsiaTheme="majorEastAsia" w:hAnsi="Arial" w:cstheme="majorBidi"/>
          <w:szCs w:val="40"/>
        </w:rPr>
      </w:pPr>
      <w:r w:rsidRPr="001A45D2">
        <w:rPr>
          <w:rFonts w:ascii="Arial" w:eastAsiaTheme="majorEastAsia" w:hAnsi="Arial" w:cstheme="majorBidi"/>
          <w:szCs w:val="40"/>
        </w:rPr>
        <w:t>Primary data refers to information collected directly by the researcher rather than obtained from other sources (Cambridge University Press, 2025), in other words data that has been collected by the individual who is looking for information. Primary data on the UK ambulance crisis includes interviews, surveys, observations, and focus groups capturing firsthand experiences. It can also include lived experiences from ambulance workers.  </w:t>
      </w:r>
    </w:p>
    <w:p w14:paraId="0601E71A" w14:textId="77777777" w:rsidR="001A45D2" w:rsidRPr="001A45D2" w:rsidRDefault="001A45D2" w:rsidP="001A45D2">
      <w:pPr>
        <w:spacing w:line="360" w:lineRule="auto"/>
        <w:rPr>
          <w:rFonts w:ascii="Arial" w:eastAsiaTheme="majorEastAsia" w:hAnsi="Arial" w:cstheme="majorBidi"/>
          <w:szCs w:val="40"/>
        </w:rPr>
      </w:pPr>
      <w:r w:rsidRPr="001A45D2">
        <w:rPr>
          <w:rFonts w:ascii="Arial" w:eastAsiaTheme="majorEastAsia" w:hAnsi="Arial" w:cstheme="majorBidi"/>
          <w:szCs w:val="40"/>
        </w:rPr>
        <w:t>Secondary data refers to information that is publicly available rather than collected directly by an organisation (Cambridge University Press, 2025), in other words data that is collected by a third party that relates closely to the report. Secondary data on the UK ambulance crisis includes NHS reports, Health Foundation analyses, AACE publications, and government statistics. </w:t>
      </w:r>
    </w:p>
    <w:p w14:paraId="120B7217" w14:textId="77777777" w:rsidR="001A45D2" w:rsidRPr="001A45D2" w:rsidRDefault="001A45D2" w:rsidP="001A45D2">
      <w:pPr>
        <w:spacing w:line="360" w:lineRule="auto"/>
        <w:rPr>
          <w:rFonts w:ascii="Arial" w:eastAsiaTheme="majorEastAsia" w:hAnsi="Arial" w:cstheme="majorBidi"/>
          <w:szCs w:val="40"/>
        </w:rPr>
      </w:pPr>
      <w:r w:rsidRPr="001A45D2">
        <w:rPr>
          <w:rFonts w:ascii="Arial" w:eastAsiaTheme="majorEastAsia" w:hAnsi="Arial" w:cstheme="majorBidi"/>
          <w:szCs w:val="40"/>
        </w:rPr>
        <w:t> </w:t>
      </w:r>
    </w:p>
    <w:p w14:paraId="5C24A52F" w14:textId="77777777" w:rsidR="001A45D2" w:rsidRPr="001A45D2" w:rsidRDefault="001A45D2" w:rsidP="001A45D2">
      <w:pPr>
        <w:spacing w:line="360" w:lineRule="auto"/>
        <w:rPr>
          <w:rFonts w:ascii="Arial" w:eastAsiaTheme="majorEastAsia" w:hAnsi="Arial" w:cstheme="majorBidi"/>
          <w:szCs w:val="40"/>
        </w:rPr>
      </w:pPr>
      <w:r w:rsidRPr="001A45D2">
        <w:rPr>
          <w:rFonts w:ascii="Arial" w:eastAsiaTheme="majorEastAsia" w:hAnsi="Arial" w:cstheme="majorBidi"/>
          <w:i/>
          <w:iCs/>
          <w:szCs w:val="40"/>
        </w:rPr>
        <w:t>3.2 Data choice for this research</w:t>
      </w:r>
      <w:r w:rsidRPr="001A45D2">
        <w:rPr>
          <w:rFonts w:ascii="Arial" w:eastAsiaTheme="majorEastAsia" w:hAnsi="Arial" w:cstheme="majorBidi"/>
          <w:szCs w:val="40"/>
        </w:rPr>
        <w:t>  </w:t>
      </w:r>
    </w:p>
    <w:p w14:paraId="04E1EB32" w14:textId="77777777" w:rsidR="001A45D2" w:rsidRPr="001A45D2" w:rsidRDefault="001A45D2" w:rsidP="001A45D2">
      <w:pPr>
        <w:spacing w:line="360" w:lineRule="auto"/>
        <w:rPr>
          <w:rFonts w:ascii="Arial" w:eastAsiaTheme="majorEastAsia" w:hAnsi="Arial" w:cstheme="majorBidi"/>
          <w:szCs w:val="40"/>
        </w:rPr>
      </w:pPr>
      <w:r w:rsidRPr="001A45D2">
        <w:rPr>
          <w:rFonts w:ascii="Arial" w:eastAsiaTheme="majorEastAsia" w:hAnsi="Arial" w:cstheme="majorBidi"/>
          <w:szCs w:val="40"/>
        </w:rPr>
        <w:t>In this report the type of data that is used is secondary research. Using secondary data allows the research to build on existing knowledge and evidence already collected by organisations, scholars, and policymakers. Literature, reports, and studies provide a foundation for understanding the scale and complexity of the ambulance crisis. For example, NHS England performance reports highlight response times and handover delays, while analyses from the Health Foundation and the Association of Ambulance Chief Executives (AACE) offer insight into systemic pressures, workforce challenges, and patient outcomes. Recent AACE data shows that hospital handover delays equated to 183 years of lost ambulance capacity, underlining the severity of inefficiencies within the system (Association of Ambulance Chief Executives, 2024). These sources contextualise primary findings, identify gaps in current practice, and strengthen the reliability of conclusions. </w:t>
      </w:r>
    </w:p>
    <w:p w14:paraId="67C6BC8C" w14:textId="35F283B1" w:rsidR="001A45D2" w:rsidRDefault="001A45D2" w:rsidP="001A45D2">
      <w:pPr>
        <w:spacing w:line="360" w:lineRule="auto"/>
        <w:rPr>
          <w:rFonts w:ascii="Arial" w:eastAsiaTheme="majorEastAsia" w:hAnsi="Arial" w:cstheme="majorBidi"/>
          <w:szCs w:val="40"/>
        </w:rPr>
      </w:pPr>
      <w:r w:rsidRPr="001A45D2">
        <w:rPr>
          <w:rFonts w:ascii="Arial" w:eastAsiaTheme="majorEastAsia" w:hAnsi="Arial" w:cstheme="majorBidi"/>
          <w:szCs w:val="40"/>
        </w:rPr>
        <w:t>  </w:t>
      </w:r>
    </w:p>
    <w:p w14:paraId="015344F8" w14:textId="77777777" w:rsidR="00CD4F6D" w:rsidRDefault="00CD4F6D" w:rsidP="001A45D2">
      <w:pPr>
        <w:spacing w:line="360" w:lineRule="auto"/>
        <w:rPr>
          <w:rFonts w:ascii="Arial" w:eastAsiaTheme="majorEastAsia" w:hAnsi="Arial" w:cstheme="majorBidi"/>
          <w:szCs w:val="40"/>
        </w:rPr>
      </w:pPr>
    </w:p>
    <w:p w14:paraId="2388555E" w14:textId="77777777" w:rsidR="00CD4F6D" w:rsidRPr="001A45D2" w:rsidRDefault="00CD4F6D" w:rsidP="001A45D2">
      <w:pPr>
        <w:spacing w:line="360" w:lineRule="auto"/>
        <w:rPr>
          <w:rFonts w:ascii="Arial" w:eastAsiaTheme="majorEastAsia" w:hAnsi="Arial" w:cstheme="majorBidi"/>
          <w:szCs w:val="40"/>
        </w:rPr>
      </w:pPr>
    </w:p>
    <w:p w14:paraId="4946381D" w14:textId="04ED23ED" w:rsidR="001A45D2" w:rsidRDefault="001A45D2" w:rsidP="00177EA6">
      <w:pPr>
        <w:spacing w:line="360" w:lineRule="auto"/>
        <w:rPr>
          <w:rFonts w:ascii="Arial" w:eastAsiaTheme="majorEastAsia" w:hAnsi="Arial" w:cstheme="majorBidi"/>
          <w:b/>
          <w:bCs/>
          <w:szCs w:val="40"/>
        </w:rPr>
      </w:pPr>
      <w:r w:rsidRPr="001A45D2">
        <w:rPr>
          <w:rFonts w:ascii="Arial" w:eastAsiaTheme="majorEastAsia" w:hAnsi="Arial" w:cstheme="majorBidi"/>
          <w:b/>
          <w:bCs/>
          <w:szCs w:val="40"/>
        </w:rPr>
        <w:lastRenderedPageBreak/>
        <w:t>4. Conclusion </w:t>
      </w:r>
    </w:p>
    <w:p w14:paraId="32AA25A2" w14:textId="7FE2BAC0" w:rsidR="00177EA6" w:rsidRPr="001A45D2" w:rsidRDefault="00177EA6" w:rsidP="00177EA6">
      <w:pPr>
        <w:spacing w:line="360" w:lineRule="auto"/>
        <w:rPr>
          <w:rFonts w:ascii="Arial" w:eastAsiaTheme="majorEastAsia" w:hAnsi="Arial" w:cstheme="majorBidi"/>
          <w:szCs w:val="40"/>
        </w:rPr>
      </w:pPr>
      <w:r w:rsidRPr="00177EA6">
        <w:rPr>
          <w:rFonts w:ascii="Arial" w:eastAsiaTheme="majorEastAsia" w:hAnsi="Arial" w:cstheme="majorBidi"/>
          <w:szCs w:val="40"/>
        </w:rPr>
        <w:t>This research has examined the UK ambulance crisis through secondary data, revealing systemic pressures such as delayed response times, hospital handover inefficiencies, and workforce challenges. Sources including NHS England, the Health Foundation, and AACE provide critical insights into the scale and complexity of the issue. Understanding this crisis is essential in health and social care, as ambulance delays directly impact patient safety, service efficiency, and public trust. The findings highlight the need for improved resource allocation, better coordination between emergency and hospital services, and enhanced workforce support. Future research should explore regional disparities, patient outcomes, and the effectiveness of recent policy interventions. Policymakers are encouraged to prioritise data transparency, invest in capacity-building, and implement evidence-based reforms. Practical improvements</w:t>
      </w:r>
      <w:r w:rsidR="00E45BFD">
        <w:rPr>
          <w:rFonts w:ascii="Arial" w:eastAsiaTheme="majorEastAsia" w:hAnsi="Arial" w:cstheme="majorBidi"/>
          <w:szCs w:val="40"/>
        </w:rPr>
        <w:t xml:space="preserve">, </w:t>
      </w:r>
      <w:r w:rsidRPr="00177EA6">
        <w:rPr>
          <w:rFonts w:ascii="Arial" w:eastAsiaTheme="majorEastAsia" w:hAnsi="Arial" w:cstheme="majorBidi"/>
          <w:szCs w:val="40"/>
        </w:rPr>
        <w:t>such as streamlining handover protocols and expanding community-based urgent care</w:t>
      </w:r>
      <w:r w:rsidR="00E45BFD">
        <w:rPr>
          <w:rFonts w:ascii="Arial" w:eastAsiaTheme="majorEastAsia" w:hAnsi="Arial" w:cstheme="majorBidi"/>
          <w:szCs w:val="40"/>
        </w:rPr>
        <w:t xml:space="preserve">, </w:t>
      </w:r>
      <w:r w:rsidRPr="00177EA6">
        <w:rPr>
          <w:rFonts w:ascii="Arial" w:eastAsiaTheme="majorEastAsia" w:hAnsi="Arial" w:cstheme="majorBidi"/>
          <w:szCs w:val="40"/>
        </w:rPr>
        <w:t>could alleviate pressure and improve system resilience. Addressing this crisis is vital to safeguarding emergency care and ensuring equitable access across the UK.</w:t>
      </w:r>
    </w:p>
    <w:p w14:paraId="25E38581" w14:textId="77777777" w:rsidR="001A45D2" w:rsidRPr="001A45D2" w:rsidRDefault="001A45D2" w:rsidP="001A45D2">
      <w:pPr>
        <w:spacing w:line="360" w:lineRule="auto"/>
        <w:rPr>
          <w:rFonts w:ascii="Arial" w:eastAsiaTheme="majorEastAsia" w:hAnsi="Arial" w:cstheme="majorBidi"/>
          <w:szCs w:val="40"/>
        </w:rPr>
      </w:pPr>
      <w:r w:rsidRPr="001A45D2">
        <w:rPr>
          <w:rFonts w:ascii="Arial" w:eastAsiaTheme="majorEastAsia" w:hAnsi="Arial" w:cstheme="majorBidi"/>
          <w:szCs w:val="40"/>
        </w:rPr>
        <w:t>  </w:t>
      </w:r>
    </w:p>
    <w:p w14:paraId="3E046784" w14:textId="44E6DEA3" w:rsidR="0058087E" w:rsidRDefault="001A45D2" w:rsidP="001A45D2">
      <w:pPr>
        <w:spacing w:line="360" w:lineRule="auto"/>
        <w:rPr>
          <w:rFonts w:ascii="Arial" w:eastAsiaTheme="majorEastAsia" w:hAnsi="Arial" w:cstheme="majorBidi"/>
          <w:b/>
          <w:bCs/>
          <w:szCs w:val="40"/>
        </w:rPr>
      </w:pPr>
      <w:r w:rsidRPr="001A45D2">
        <w:rPr>
          <w:rFonts w:ascii="Arial" w:eastAsiaTheme="majorEastAsia" w:hAnsi="Arial" w:cstheme="majorBidi"/>
          <w:b/>
          <w:bCs/>
          <w:szCs w:val="40"/>
        </w:rPr>
        <w:t>5. References </w:t>
      </w:r>
      <w:r w:rsidRPr="001A45D2">
        <w:rPr>
          <w:rFonts w:ascii="Arial" w:eastAsiaTheme="majorEastAsia" w:hAnsi="Arial" w:cstheme="majorBidi"/>
          <w:szCs w:val="40"/>
        </w:rPr>
        <w:t> </w:t>
      </w:r>
    </w:p>
    <w:p w14:paraId="2D81C16E" w14:textId="77777777" w:rsidR="0058087E" w:rsidRPr="001A45D2" w:rsidRDefault="0058087E" w:rsidP="001A45D2">
      <w:pPr>
        <w:spacing w:line="360" w:lineRule="auto"/>
        <w:rPr>
          <w:rFonts w:ascii="Arial" w:eastAsiaTheme="majorEastAsia" w:hAnsi="Arial" w:cstheme="majorBidi"/>
          <w:b/>
          <w:bCs/>
          <w:szCs w:val="40"/>
        </w:rPr>
      </w:pPr>
    </w:p>
    <w:p w14:paraId="4A04060C" w14:textId="77777777" w:rsidR="0058087E" w:rsidRPr="001A45D2" w:rsidRDefault="0058087E" w:rsidP="001A45D2">
      <w:pPr>
        <w:spacing w:line="360" w:lineRule="auto"/>
        <w:rPr>
          <w:rFonts w:ascii="Arial" w:eastAsiaTheme="majorEastAsia" w:hAnsi="Arial" w:cstheme="majorBidi"/>
          <w:bCs/>
          <w:szCs w:val="40"/>
        </w:rPr>
      </w:pPr>
      <w:r w:rsidRPr="001A45D2">
        <w:rPr>
          <w:rFonts w:ascii="Arial" w:eastAsiaTheme="majorEastAsia" w:hAnsi="Arial" w:cstheme="majorBidi"/>
          <w:bCs/>
          <w:szCs w:val="40"/>
        </w:rPr>
        <w:t>Association of Ambulance Chief Executives (2024) </w:t>
      </w:r>
      <w:r w:rsidRPr="001A45D2">
        <w:rPr>
          <w:rFonts w:ascii="Arial" w:eastAsiaTheme="majorEastAsia" w:hAnsi="Arial" w:cstheme="majorBidi"/>
          <w:bCs/>
          <w:i/>
          <w:iCs/>
          <w:szCs w:val="40"/>
        </w:rPr>
        <w:t>Latest UK NHS ambulance sector data shows there can be no complacency over hospital handover delays as 32, 000 people estimated to have come to potential harm in May 2024</w:t>
      </w:r>
      <w:r w:rsidRPr="001A45D2">
        <w:rPr>
          <w:rFonts w:ascii="Arial" w:eastAsiaTheme="majorEastAsia" w:hAnsi="Arial" w:cstheme="majorBidi"/>
          <w:bCs/>
          <w:szCs w:val="40"/>
        </w:rPr>
        <w:t>. Available at: </w:t>
      </w:r>
      <w:hyperlink r:id="rId9" w:tgtFrame="_blank" w:history="1">
        <w:r w:rsidRPr="001A45D2">
          <w:rPr>
            <w:rStyle w:val="Hyperlink"/>
            <w:rFonts w:ascii="Arial" w:eastAsiaTheme="majorEastAsia" w:hAnsi="Arial" w:cstheme="majorBidi"/>
            <w:b/>
            <w:szCs w:val="40"/>
          </w:rPr>
          <w:t>https://aace.org.uk/news/latest-uk-nhs-ambulance-sector-data-shows-there-can-be-no-complacency-over-hospital-handover-delays-as-32000-people-estimated-to-have-come-to-potential-harm-in-may-2024/</w:t>
        </w:r>
      </w:hyperlink>
      <w:r w:rsidRPr="001A45D2">
        <w:rPr>
          <w:rFonts w:ascii="Arial" w:eastAsiaTheme="majorEastAsia" w:hAnsi="Arial" w:cstheme="majorBidi"/>
          <w:b/>
          <w:color w:val="0F4761" w:themeColor="accent1" w:themeShade="BF"/>
          <w:szCs w:val="40"/>
        </w:rPr>
        <w:t> </w:t>
      </w:r>
      <w:r w:rsidRPr="001A45D2">
        <w:rPr>
          <w:rFonts w:ascii="Arial" w:eastAsiaTheme="majorEastAsia" w:hAnsi="Arial" w:cstheme="majorBidi"/>
          <w:bCs/>
          <w:szCs w:val="40"/>
        </w:rPr>
        <w:t>(Accessed: 16 November). </w:t>
      </w:r>
    </w:p>
    <w:p w14:paraId="1768E50F" w14:textId="77777777" w:rsidR="0058087E" w:rsidRPr="001A45D2" w:rsidRDefault="0058087E" w:rsidP="001A45D2">
      <w:pPr>
        <w:spacing w:line="360" w:lineRule="auto"/>
        <w:rPr>
          <w:rFonts w:ascii="Arial" w:eastAsiaTheme="majorEastAsia" w:hAnsi="Arial" w:cstheme="majorBidi"/>
          <w:b/>
          <w:color w:val="0F4761" w:themeColor="accent1" w:themeShade="BF"/>
          <w:szCs w:val="40"/>
        </w:rPr>
      </w:pPr>
      <w:r w:rsidRPr="001A45D2">
        <w:rPr>
          <w:rFonts w:ascii="Arial" w:eastAsiaTheme="majorEastAsia" w:hAnsi="Arial" w:cstheme="majorBidi"/>
          <w:bCs/>
          <w:szCs w:val="40"/>
        </w:rPr>
        <w:t>Association of Ambulance Chief Executives (2024) </w:t>
      </w:r>
      <w:r w:rsidRPr="001A45D2">
        <w:rPr>
          <w:rFonts w:ascii="Arial" w:eastAsiaTheme="majorEastAsia" w:hAnsi="Arial" w:cstheme="majorBidi"/>
          <w:bCs/>
          <w:i/>
          <w:iCs/>
          <w:szCs w:val="40"/>
        </w:rPr>
        <w:t>NHS ambulance services achieve performance improvements despite significant growth in demand and handover delays equating to 183 years of lost ambulance capacity</w:t>
      </w:r>
      <w:r w:rsidRPr="001A45D2">
        <w:rPr>
          <w:rFonts w:ascii="Arial" w:eastAsiaTheme="majorEastAsia" w:hAnsi="Arial" w:cstheme="majorBidi"/>
          <w:bCs/>
          <w:szCs w:val="40"/>
        </w:rPr>
        <w:t>. Available at:</w:t>
      </w:r>
      <w:r w:rsidRPr="001A45D2">
        <w:rPr>
          <w:rFonts w:ascii="Arial" w:eastAsiaTheme="majorEastAsia" w:hAnsi="Arial" w:cstheme="majorBidi"/>
          <w:b/>
          <w:szCs w:val="40"/>
        </w:rPr>
        <w:t> </w:t>
      </w:r>
      <w:hyperlink r:id="rId10" w:anchor=":~:text=Volume%20of%20delays%20of%20over,and%20improving%20experiences%20for%20patients" w:tgtFrame="_blank" w:history="1">
        <w:r w:rsidRPr="001A45D2">
          <w:rPr>
            <w:rStyle w:val="Hyperlink"/>
            <w:rFonts w:ascii="Arial" w:eastAsiaTheme="majorEastAsia" w:hAnsi="Arial" w:cstheme="majorBidi"/>
            <w:b/>
            <w:szCs w:val="40"/>
          </w:rPr>
          <w:t>NHS ambulance services achieve performance improvements despite significant growth in demand and handover delays equating to 183 years of lost ambulance capacity - aace.org.uk</w:t>
        </w:r>
      </w:hyperlink>
      <w:r w:rsidRPr="001A45D2">
        <w:rPr>
          <w:rFonts w:ascii="Arial" w:eastAsiaTheme="majorEastAsia" w:hAnsi="Arial" w:cstheme="majorBidi"/>
          <w:b/>
          <w:color w:val="0F4761" w:themeColor="accent1" w:themeShade="BF"/>
          <w:szCs w:val="40"/>
        </w:rPr>
        <w:t> </w:t>
      </w:r>
      <w:r w:rsidRPr="001A45D2">
        <w:rPr>
          <w:rFonts w:ascii="Arial" w:eastAsiaTheme="majorEastAsia" w:hAnsi="Arial" w:cstheme="majorBidi"/>
          <w:bCs/>
          <w:szCs w:val="40"/>
        </w:rPr>
        <w:t>(Accessed: 17 November 2025)</w:t>
      </w:r>
      <w:r w:rsidRPr="001A45D2">
        <w:rPr>
          <w:rFonts w:ascii="Arial" w:eastAsiaTheme="majorEastAsia" w:hAnsi="Arial" w:cstheme="majorBidi"/>
          <w:b/>
          <w:szCs w:val="40"/>
        </w:rPr>
        <w:t> </w:t>
      </w:r>
    </w:p>
    <w:p w14:paraId="2E283D1A" w14:textId="77777777" w:rsidR="0058087E" w:rsidRPr="001A45D2" w:rsidRDefault="0058087E" w:rsidP="001A45D2">
      <w:pPr>
        <w:spacing w:line="360" w:lineRule="auto"/>
        <w:rPr>
          <w:rFonts w:ascii="Arial" w:eastAsiaTheme="majorEastAsia" w:hAnsi="Arial" w:cstheme="majorBidi"/>
          <w:bCs/>
          <w:szCs w:val="40"/>
        </w:rPr>
      </w:pPr>
      <w:r w:rsidRPr="001A45D2">
        <w:rPr>
          <w:rFonts w:ascii="Arial" w:eastAsiaTheme="majorEastAsia" w:hAnsi="Arial" w:cstheme="majorBidi"/>
          <w:bCs/>
          <w:szCs w:val="40"/>
        </w:rPr>
        <w:t>Association of Ambulance Chief Executives (AACE) (2015) </w:t>
      </w:r>
      <w:r w:rsidRPr="001A45D2">
        <w:rPr>
          <w:rFonts w:ascii="Arial" w:eastAsiaTheme="majorEastAsia" w:hAnsi="Arial" w:cstheme="majorBidi"/>
          <w:bCs/>
          <w:i/>
          <w:iCs/>
          <w:szCs w:val="40"/>
        </w:rPr>
        <w:t>Leading the way to care</w:t>
      </w:r>
      <w:r w:rsidRPr="001A45D2">
        <w:rPr>
          <w:rFonts w:ascii="Arial" w:eastAsiaTheme="majorEastAsia" w:hAnsi="Arial" w:cstheme="majorBidi"/>
          <w:bCs/>
          <w:szCs w:val="40"/>
        </w:rPr>
        <w:t>. London: AACE. Available at: </w:t>
      </w:r>
      <w:hyperlink r:id="rId11" w:tgtFrame="_blank" w:history="1">
        <w:r w:rsidRPr="001A45D2">
          <w:rPr>
            <w:rStyle w:val="Hyperlink"/>
            <w:rFonts w:ascii="Arial" w:eastAsiaTheme="majorEastAsia" w:hAnsi="Arial" w:cstheme="majorBidi"/>
            <w:b/>
            <w:szCs w:val="40"/>
          </w:rPr>
          <w:t>Layout 1</w:t>
        </w:r>
      </w:hyperlink>
      <w:r w:rsidRPr="001A45D2">
        <w:rPr>
          <w:rFonts w:ascii="Arial" w:eastAsiaTheme="majorEastAsia" w:hAnsi="Arial" w:cstheme="majorBidi"/>
          <w:bCs/>
          <w:szCs w:val="40"/>
        </w:rPr>
        <w:t> (Accessed: 17 November 2025). </w:t>
      </w:r>
    </w:p>
    <w:p w14:paraId="58BCE151" w14:textId="77777777" w:rsidR="0058087E" w:rsidRPr="001A45D2" w:rsidRDefault="0058087E" w:rsidP="001A45D2">
      <w:pPr>
        <w:spacing w:line="360" w:lineRule="auto"/>
        <w:rPr>
          <w:rFonts w:ascii="Arial" w:eastAsiaTheme="majorEastAsia" w:hAnsi="Arial" w:cstheme="majorBidi"/>
          <w:b/>
          <w:color w:val="0F4761" w:themeColor="accent1" w:themeShade="BF"/>
          <w:szCs w:val="40"/>
        </w:rPr>
      </w:pPr>
      <w:r w:rsidRPr="001A45D2">
        <w:rPr>
          <w:rFonts w:ascii="Arial" w:eastAsiaTheme="majorEastAsia" w:hAnsi="Arial" w:cstheme="majorBidi"/>
          <w:bCs/>
          <w:szCs w:val="40"/>
        </w:rPr>
        <w:lastRenderedPageBreak/>
        <w:t>Cambridge University Press (2025) </w:t>
      </w:r>
      <w:r w:rsidRPr="001A45D2">
        <w:rPr>
          <w:rFonts w:ascii="Arial" w:eastAsiaTheme="majorEastAsia" w:hAnsi="Arial" w:cstheme="majorBidi"/>
          <w:bCs/>
          <w:i/>
          <w:iCs/>
          <w:szCs w:val="40"/>
        </w:rPr>
        <w:t>Primary data | English meaning</w:t>
      </w:r>
      <w:r w:rsidRPr="001A45D2">
        <w:rPr>
          <w:rFonts w:ascii="Arial" w:eastAsiaTheme="majorEastAsia" w:hAnsi="Arial" w:cstheme="majorBidi"/>
          <w:bCs/>
          <w:szCs w:val="40"/>
        </w:rPr>
        <w:t>. Cambridge Dictionary. Available at:</w:t>
      </w:r>
      <w:r w:rsidRPr="001A45D2">
        <w:rPr>
          <w:rFonts w:ascii="Arial" w:eastAsiaTheme="majorEastAsia" w:hAnsi="Arial" w:cstheme="majorBidi"/>
          <w:b/>
          <w:szCs w:val="40"/>
        </w:rPr>
        <w:t> </w:t>
      </w:r>
      <w:hyperlink r:id="rId12" w:tgtFrame="_blank" w:history="1">
        <w:r w:rsidRPr="001A45D2">
          <w:rPr>
            <w:rStyle w:val="Hyperlink"/>
            <w:rFonts w:ascii="Arial" w:eastAsiaTheme="majorEastAsia" w:hAnsi="Arial" w:cstheme="majorBidi"/>
            <w:b/>
            <w:szCs w:val="40"/>
          </w:rPr>
          <w:t>PRIMARY DATA | English meaning - Cambridge Dictionary</w:t>
        </w:r>
      </w:hyperlink>
      <w:r w:rsidRPr="001A45D2">
        <w:rPr>
          <w:rFonts w:ascii="Arial" w:eastAsiaTheme="majorEastAsia" w:hAnsi="Arial" w:cstheme="majorBidi"/>
          <w:b/>
          <w:color w:val="0F4761" w:themeColor="accent1" w:themeShade="BF"/>
          <w:szCs w:val="40"/>
        </w:rPr>
        <w:t> </w:t>
      </w:r>
      <w:r w:rsidRPr="001A45D2">
        <w:rPr>
          <w:rFonts w:ascii="Arial" w:eastAsiaTheme="majorEastAsia" w:hAnsi="Arial" w:cstheme="majorBidi"/>
          <w:bCs/>
          <w:szCs w:val="40"/>
        </w:rPr>
        <w:t>(Accessed: 17 November 2025).</w:t>
      </w:r>
      <w:r w:rsidRPr="001A45D2">
        <w:rPr>
          <w:rFonts w:ascii="Arial" w:eastAsiaTheme="majorEastAsia" w:hAnsi="Arial" w:cstheme="majorBidi"/>
          <w:b/>
          <w:szCs w:val="40"/>
        </w:rPr>
        <w:t> </w:t>
      </w:r>
    </w:p>
    <w:p w14:paraId="611CB638" w14:textId="77777777" w:rsidR="0058087E" w:rsidRPr="001A45D2" w:rsidRDefault="0058087E" w:rsidP="001A45D2">
      <w:pPr>
        <w:spacing w:line="360" w:lineRule="auto"/>
        <w:rPr>
          <w:rFonts w:ascii="Arial" w:eastAsiaTheme="majorEastAsia" w:hAnsi="Arial" w:cstheme="majorBidi"/>
          <w:bCs/>
          <w:szCs w:val="40"/>
        </w:rPr>
      </w:pPr>
      <w:r w:rsidRPr="001A45D2">
        <w:rPr>
          <w:rFonts w:ascii="Arial" w:eastAsiaTheme="majorEastAsia" w:hAnsi="Arial" w:cstheme="majorBidi"/>
          <w:bCs/>
          <w:szCs w:val="40"/>
        </w:rPr>
        <w:t>Cambridge University Press (2025) </w:t>
      </w:r>
      <w:r w:rsidRPr="001A45D2">
        <w:rPr>
          <w:rFonts w:ascii="Arial" w:eastAsiaTheme="majorEastAsia" w:hAnsi="Arial" w:cstheme="majorBidi"/>
          <w:bCs/>
          <w:i/>
          <w:iCs/>
          <w:szCs w:val="40"/>
        </w:rPr>
        <w:t>Secondary data | English meaning</w:t>
      </w:r>
      <w:r w:rsidRPr="001A45D2">
        <w:rPr>
          <w:rFonts w:ascii="Arial" w:eastAsiaTheme="majorEastAsia" w:hAnsi="Arial" w:cstheme="majorBidi"/>
          <w:bCs/>
          <w:szCs w:val="40"/>
        </w:rPr>
        <w:t>. Cambridge Dictionary. Available at:</w:t>
      </w:r>
      <w:r w:rsidRPr="001A45D2">
        <w:rPr>
          <w:rFonts w:ascii="Arial" w:eastAsiaTheme="majorEastAsia" w:hAnsi="Arial" w:cstheme="majorBidi"/>
          <w:b/>
          <w:szCs w:val="40"/>
        </w:rPr>
        <w:t> </w:t>
      </w:r>
      <w:hyperlink r:id="rId13" w:tgtFrame="_blank" w:history="1">
        <w:r w:rsidRPr="001A45D2">
          <w:rPr>
            <w:rStyle w:val="Hyperlink"/>
            <w:rFonts w:ascii="Arial" w:eastAsiaTheme="majorEastAsia" w:hAnsi="Arial" w:cstheme="majorBidi"/>
            <w:b/>
            <w:szCs w:val="40"/>
          </w:rPr>
          <w:t>SECONDARY DATA | English meaning - Cambridge Dictionary</w:t>
        </w:r>
      </w:hyperlink>
      <w:r w:rsidRPr="001A45D2">
        <w:rPr>
          <w:rFonts w:ascii="Arial" w:eastAsiaTheme="majorEastAsia" w:hAnsi="Arial" w:cstheme="majorBidi"/>
          <w:b/>
          <w:color w:val="0F4761" w:themeColor="accent1" w:themeShade="BF"/>
          <w:szCs w:val="40"/>
        </w:rPr>
        <w:t> </w:t>
      </w:r>
      <w:r w:rsidRPr="001A45D2">
        <w:rPr>
          <w:rFonts w:ascii="Arial" w:eastAsiaTheme="majorEastAsia" w:hAnsi="Arial" w:cstheme="majorBidi"/>
          <w:bCs/>
          <w:szCs w:val="40"/>
        </w:rPr>
        <w:t>(Accessed: 17 November 2025). </w:t>
      </w:r>
    </w:p>
    <w:p w14:paraId="25875B5C" w14:textId="77777777" w:rsidR="0058087E" w:rsidRPr="001A45D2" w:rsidRDefault="0058087E" w:rsidP="001A45D2">
      <w:pPr>
        <w:spacing w:line="360" w:lineRule="auto"/>
        <w:rPr>
          <w:rFonts w:ascii="Arial" w:eastAsiaTheme="majorEastAsia" w:hAnsi="Arial" w:cstheme="majorBidi"/>
          <w:b/>
          <w:color w:val="0F4761" w:themeColor="accent1" w:themeShade="BF"/>
          <w:szCs w:val="40"/>
        </w:rPr>
      </w:pPr>
      <w:r w:rsidRPr="001A45D2">
        <w:rPr>
          <w:rFonts w:ascii="Arial" w:eastAsiaTheme="majorEastAsia" w:hAnsi="Arial" w:cstheme="majorBidi"/>
          <w:bCs/>
          <w:szCs w:val="40"/>
        </w:rPr>
        <w:t>Health Foundation (2022) </w:t>
      </w:r>
      <w:r w:rsidRPr="001A45D2">
        <w:rPr>
          <w:rFonts w:ascii="Arial" w:eastAsiaTheme="majorEastAsia" w:hAnsi="Arial" w:cstheme="majorBidi"/>
          <w:bCs/>
          <w:i/>
          <w:iCs/>
          <w:szCs w:val="40"/>
        </w:rPr>
        <w:t>Why have ambulance waiting times been getting worse?</w:t>
      </w:r>
      <w:r w:rsidRPr="001A45D2">
        <w:rPr>
          <w:rFonts w:ascii="Arial" w:eastAsiaTheme="majorEastAsia" w:hAnsi="Arial" w:cstheme="majorBidi"/>
          <w:bCs/>
          <w:szCs w:val="40"/>
        </w:rPr>
        <w:t> Available at:</w:t>
      </w:r>
      <w:r w:rsidRPr="001A45D2">
        <w:rPr>
          <w:rFonts w:ascii="Arial" w:eastAsiaTheme="majorEastAsia" w:hAnsi="Arial" w:cstheme="majorBidi"/>
          <w:b/>
          <w:szCs w:val="40"/>
        </w:rPr>
        <w:t> </w:t>
      </w:r>
      <w:hyperlink r:id="rId14" w:tgtFrame="_blank" w:history="1">
        <w:r w:rsidRPr="001A45D2">
          <w:rPr>
            <w:rStyle w:val="Hyperlink"/>
            <w:rFonts w:ascii="Arial" w:eastAsiaTheme="majorEastAsia" w:hAnsi="Arial" w:cstheme="majorBidi"/>
            <w:b/>
            <w:szCs w:val="40"/>
          </w:rPr>
          <w:t>Why have ambulance waiting times been getting worse? - The Health Foundation</w:t>
        </w:r>
      </w:hyperlink>
      <w:r w:rsidRPr="001A45D2">
        <w:rPr>
          <w:rFonts w:ascii="Arial" w:eastAsiaTheme="majorEastAsia" w:hAnsi="Arial" w:cstheme="majorBidi"/>
          <w:b/>
          <w:color w:val="0F4761" w:themeColor="accent1" w:themeShade="BF"/>
          <w:szCs w:val="40"/>
        </w:rPr>
        <w:t> </w:t>
      </w:r>
      <w:r w:rsidRPr="001A45D2">
        <w:rPr>
          <w:rFonts w:ascii="Arial" w:eastAsiaTheme="majorEastAsia" w:hAnsi="Arial" w:cstheme="majorBidi"/>
          <w:bCs/>
          <w:szCs w:val="40"/>
        </w:rPr>
        <w:t>(Assessed: 17 November 2025).</w:t>
      </w:r>
      <w:r w:rsidRPr="001A45D2">
        <w:rPr>
          <w:rFonts w:ascii="Arial" w:eastAsiaTheme="majorEastAsia" w:hAnsi="Arial" w:cstheme="majorBidi"/>
          <w:b/>
          <w:szCs w:val="40"/>
        </w:rPr>
        <w:t> </w:t>
      </w:r>
    </w:p>
    <w:p w14:paraId="54C8AA2B" w14:textId="77777777" w:rsidR="0058087E" w:rsidRPr="001A45D2" w:rsidRDefault="0058087E" w:rsidP="001A45D2">
      <w:pPr>
        <w:spacing w:line="360" w:lineRule="auto"/>
        <w:rPr>
          <w:rFonts w:ascii="Arial" w:eastAsiaTheme="majorEastAsia" w:hAnsi="Arial" w:cstheme="majorBidi"/>
          <w:bCs/>
          <w:szCs w:val="40"/>
        </w:rPr>
      </w:pPr>
      <w:r w:rsidRPr="001A45D2">
        <w:rPr>
          <w:rFonts w:ascii="Arial" w:eastAsiaTheme="majorEastAsia" w:hAnsi="Arial" w:cstheme="majorBidi"/>
          <w:bCs/>
          <w:szCs w:val="40"/>
        </w:rPr>
        <w:t>NHS. Available at: </w:t>
      </w:r>
      <w:hyperlink r:id="rId15" w:tgtFrame="_blank" w:history="1">
        <w:r w:rsidRPr="001A45D2">
          <w:rPr>
            <w:rStyle w:val="Hyperlink"/>
            <w:rFonts w:ascii="Arial" w:eastAsiaTheme="majorEastAsia" w:hAnsi="Arial" w:cstheme="majorBidi"/>
            <w:b/>
            <w:szCs w:val="40"/>
          </w:rPr>
          <w:t>NHS England » Ambulance</w:t>
        </w:r>
      </w:hyperlink>
      <w:r w:rsidRPr="001A45D2">
        <w:rPr>
          <w:rFonts w:ascii="Arial" w:eastAsiaTheme="majorEastAsia" w:hAnsi="Arial" w:cstheme="majorBidi"/>
          <w:bCs/>
          <w:szCs w:val="40"/>
        </w:rPr>
        <w:t> (Accessed: 05 November 2025). </w:t>
      </w:r>
    </w:p>
    <w:p w14:paraId="313513FB" w14:textId="77777777" w:rsidR="0058087E" w:rsidRPr="001A45D2" w:rsidRDefault="0058087E" w:rsidP="001A45D2">
      <w:pPr>
        <w:spacing w:line="360" w:lineRule="auto"/>
        <w:rPr>
          <w:rFonts w:ascii="Arial" w:eastAsiaTheme="majorEastAsia" w:hAnsi="Arial" w:cstheme="majorBidi"/>
          <w:b/>
          <w:color w:val="0F4761" w:themeColor="accent1" w:themeShade="BF"/>
          <w:szCs w:val="40"/>
        </w:rPr>
      </w:pPr>
      <w:proofErr w:type="spellStart"/>
      <w:r w:rsidRPr="001A45D2">
        <w:rPr>
          <w:rFonts w:ascii="Arial" w:eastAsiaTheme="majorEastAsia" w:hAnsi="Arial" w:cstheme="majorBidi"/>
          <w:szCs w:val="40"/>
        </w:rPr>
        <w:t>Scribbr</w:t>
      </w:r>
      <w:proofErr w:type="spellEnd"/>
      <w:r w:rsidRPr="001A45D2">
        <w:rPr>
          <w:rFonts w:ascii="Arial" w:eastAsiaTheme="majorEastAsia" w:hAnsi="Arial" w:cstheme="majorBidi"/>
          <w:szCs w:val="40"/>
        </w:rPr>
        <w:t> (2020) </w:t>
      </w:r>
      <w:r w:rsidRPr="001A45D2">
        <w:rPr>
          <w:rFonts w:ascii="Arial" w:eastAsiaTheme="majorEastAsia" w:hAnsi="Arial" w:cstheme="majorBidi"/>
          <w:i/>
          <w:iCs/>
          <w:szCs w:val="40"/>
        </w:rPr>
        <w:t>What is Qualitative Research? | Methods &amp; Examples</w:t>
      </w:r>
      <w:r w:rsidRPr="001A45D2">
        <w:rPr>
          <w:rFonts w:ascii="Arial" w:eastAsiaTheme="majorEastAsia" w:hAnsi="Arial" w:cstheme="majorBidi"/>
          <w:szCs w:val="40"/>
        </w:rPr>
        <w:t>. Available at:</w:t>
      </w:r>
      <w:r w:rsidRPr="001A45D2">
        <w:rPr>
          <w:rFonts w:ascii="Arial" w:eastAsiaTheme="majorEastAsia" w:hAnsi="Arial" w:cstheme="majorBidi"/>
          <w:b/>
          <w:szCs w:val="40"/>
        </w:rPr>
        <w:t> </w:t>
      </w:r>
      <w:hyperlink r:id="rId16" w:tgtFrame="_blank" w:history="1">
        <w:r w:rsidRPr="001A45D2">
          <w:rPr>
            <w:rStyle w:val="Hyperlink"/>
            <w:rFonts w:ascii="Arial" w:eastAsiaTheme="majorEastAsia" w:hAnsi="Arial" w:cstheme="majorBidi"/>
            <w:b/>
            <w:szCs w:val="40"/>
          </w:rPr>
          <w:t>What Is Qualitative Research? | Methods &amp; Examples</w:t>
        </w:r>
      </w:hyperlink>
      <w:r w:rsidRPr="001A45D2">
        <w:rPr>
          <w:rFonts w:ascii="Arial" w:eastAsiaTheme="majorEastAsia" w:hAnsi="Arial" w:cstheme="majorBidi"/>
          <w:bCs/>
          <w:szCs w:val="40"/>
        </w:rPr>
        <w:t> (Accessed: 15 November 2025).</w:t>
      </w:r>
      <w:r w:rsidRPr="001A45D2">
        <w:rPr>
          <w:rFonts w:ascii="Arial" w:eastAsiaTheme="majorEastAsia" w:hAnsi="Arial" w:cstheme="majorBidi"/>
          <w:b/>
          <w:szCs w:val="40"/>
        </w:rPr>
        <w:t> </w:t>
      </w:r>
    </w:p>
    <w:p w14:paraId="5C4C4E49" w14:textId="77777777" w:rsidR="0058087E" w:rsidRPr="001A45D2" w:rsidRDefault="0058087E" w:rsidP="001A45D2">
      <w:pPr>
        <w:spacing w:line="360" w:lineRule="auto"/>
        <w:rPr>
          <w:rFonts w:ascii="Arial" w:eastAsiaTheme="majorEastAsia" w:hAnsi="Arial" w:cstheme="majorBidi"/>
          <w:bCs/>
          <w:szCs w:val="40"/>
        </w:rPr>
      </w:pPr>
      <w:r w:rsidRPr="001A45D2">
        <w:rPr>
          <w:rFonts w:ascii="Arial" w:eastAsiaTheme="majorEastAsia" w:hAnsi="Arial" w:cstheme="majorBidi"/>
          <w:bCs/>
          <w:szCs w:val="40"/>
        </w:rPr>
        <w:t>UWSTD Birmingham (2025) </w:t>
      </w:r>
      <w:r w:rsidRPr="001A45D2">
        <w:rPr>
          <w:rFonts w:ascii="Arial" w:eastAsiaTheme="majorEastAsia" w:hAnsi="Arial" w:cstheme="majorBidi"/>
          <w:bCs/>
          <w:i/>
          <w:iCs/>
          <w:szCs w:val="40"/>
        </w:rPr>
        <w:t>Digital skills and research methods</w:t>
      </w:r>
      <w:r w:rsidRPr="001A45D2">
        <w:rPr>
          <w:rFonts w:ascii="Arial" w:eastAsiaTheme="majorEastAsia" w:hAnsi="Arial" w:cstheme="majorBidi"/>
          <w:bCs/>
          <w:szCs w:val="40"/>
        </w:rPr>
        <w:t>. slide 5, Week 9. </w:t>
      </w:r>
    </w:p>
    <w:p w14:paraId="76643902" w14:textId="77777777" w:rsidR="0058087E" w:rsidRPr="001A45D2" w:rsidRDefault="0058087E" w:rsidP="001A45D2">
      <w:pPr>
        <w:spacing w:line="360" w:lineRule="auto"/>
        <w:rPr>
          <w:rFonts w:ascii="Arial" w:eastAsiaTheme="majorEastAsia" w:hAnsi="Arial" w:cstheme="majorBidi"/>
          <w:bCs/>
          <w:szCs w:val="40"/>
        </w:rPr>
      </w:pPr>
      <w:r w:rsidRPr="001A45D2">
        <w:rPr>
          <w:rFonts w:ascii="Arial" w:eastAsiaTheme="majorEastAsia" w:hAnsi="Arial" w:cstheme="majorBidi"/>
          <w:bCs/>
          <w:szCs w:val="40"/>
        </w:rPr>
        <w:t>Wankhade, P. (2023) </w:t>
      </w:r>
      <w:r w:rsidRPr="001A45D2">
        <w:rPr>
          <w:rFonts w:ascii="Arial" w:eastAsiaTheme="majorEastAsia" w:hAnsi="Arial" w:cstheme="majorBidi"/>
          <w:bCs/>
          <w:i/>
          <w:iCs/>
          <w:szCs w:val="40"/>
        </w:rPr>
        <w:t>Seven ways to fix the broken NHS ambulance services</w:t>
      </w:r>
      <w:r w:rsidRPr="001A45D2">
        <w:rPr>
          <w:rFonts w:ascii="Arial" w:eastAsiaTheme="majorEastAsia" w:hAnsi="Arial" w:cstheme="majorBidi"/>
          <w:bCs/>
          <w:szCs w:val="40"/>
        </w:rPr>
        <w:t>. The Conversation, 29 June. Available at:</w:t>
      </w:r>
      <w:r w:rsidRPr="001A45D2">
        <w:rPr>
          <w:rFonts w:ascii="Arial" w:eastAsiaTheme="majorEastAsia" w:hAnsi="Arial" w:cstheme="majorBidi"/>
          <w:b/>
          <w:szCs w:val="40"/>
        </w:rPr>
        <w:t> </w:t>
      </w:r>
      <w:hyperlink r:id="rId17" w:anchor=":~:text=7.,that%20is%20fit%20for%20purpose." w:tgtFrame="_blank" w:history="1">
        <w:r w:rsidRPr="001A45D2">
          <w:rPr>
            <w:rStyle w:val="Hyperlink"/>
            <w:rFonts w:ascii="Arial" w:eastAsiaTheme="majorEastAsia" w:hAnsi="Arial" w:cstheme="majorBidi"/>
            <w:b/>
            <w:szCs w:val="40"/>
          </w:rPr>
          <w:t>Seven ways to fix the broken NHS ambulance services</w:t>
        </w:r>
      </w:hyperlink>
      <w:r w:rsidRPr="001A45D2">
        <w:rPr>
          <w:rFonts w:ascii="Arial" w:eastAsiaTheme="majorEastAsia" w:hAnsi="Arial" w:cstheme="majorBidi"/>
          <w:b/>
          <w:color w:val="0F4761" w:themeColor="accent1" w:themeShade="BF"/>
          <w:szCs w:val="40"/>
        </w:rPr>
        <w:t> </w:t>
      </w:r>
      <w:r w:rsidRPr="001A45D2">
        <w:rPr>
          <w:rFonts w:ascii="Arial" w:eastAsiaTheme="majorEastAsia" w:hAnsi="Arial" w:cstheme="majorBidi"/>
          <w:bCs/>
          <w:szCs w:val="40"/>
        </w:rPr>
        <w:t>(Accessed: 17 November 2025). </w:t>
      </w:r>
    </w:p>
    <w:p w14:paraId="478A51D8" w14:textId="4CAE6D4A" w:rsidR="006948C3" w:rsidRPr="002F19D2" w:rsidRDefault="0058087E" w:rsidP="006948C3">
      <w:pPr>
        <w:spacing w:line="360" w:lineRule="auto"/>
        <w:rPr>
          <w:rFonts w:ascii="Arial" w:eastAsiaTheme="majorEastAsia" w:hAnsi="Arial" w:cstheme="majorBidi"/>
          <w:b/>
          <w:szCs w:val="40"/>
        </w:rPr>
      </w:pPr>
      <w:r w:rsidRPr="001A45D2">
        <w:rPr>
          <w:rFonts w:ascii="Arial" w:eastAsiaTheme="majorEastAsia" w:hAnsi="Arial" w:cstheme="majorBidi"/>
          <w:bCs/>
          <w:szCs w:val="40"/>
        </w:rPr>
        <w:t>Watson, R. (2015) </w:t>
      </w:r>
      <w:r w:rsidRPr="001A45D2">
        <w:rPr>
          <w:rFonts w:ascii="Arial" w:eastAsiaTheme="majorEastAsia" w:hAnsi="Arial" w:cstheme="majorBidi"/>
          <w:bCs/>
          <w:i/>
          <w:iCs/>
          <w:szCs w:val="40"/>
        </w:rPr>
        <w:t>Quantitative research</w:t>
      </w:r>
      <w:r w:rsidRPr="001A45D2">
        <w:rPr>
          <w:rFonts w:ascii="Arial" w:eastAsiaTheme="majorEastAsia" w:hAnsi="Arial" w:cstheme="majorBidi"/>
          <w:bCs/>
          <w:szCs w:val="40"/>
        </w:rPr>
        <w:t>. </w:t>
      </w:r>
      <w:r w:rsidRPr="001A45D2">
        <w:rPr>
          <w:rFonts w:ascii="Arial" w:eastAsiaTheme="majorEastAsia" w:hAnsi="Arial" w:cstheme="majorBidi"/>
          <w:bCs/>
          <w:i/>
          <w:iCs/>
          <w:szCs w:val="40"/>
        </w:rPr>
        <w:t>Nursing Standard</w:t>
      </w:r>
      <w:r w:rsidRPr="001A45D2">
        <w:rPr>
          <w:rFonts w:ascii="Arial" w:eastAsiaTheme="majorEastAsia" w:hAnsi="Arial" w:cstheme="majorBidi"/>
          <w:bCs/>
          <w:szCs w:val="40"/>
        </w:rPr>
        <w:t>, 29(31), pp. 44. DOI: 10.7748/ns.29.31.</w:t>
      </w:r>
      <w:proofErr w:type="gramStart"/>
      <w:r w:rsidRPr="001A45D2">
        <w:rPr>
          <w:rFonts w:ascii="Arial" w:eastAsiaTheme="majorEastAsia" w:hAnsi="Arial" w:cstheme="majorBidi"/>
          <w:bCs/>
          <w:szCs w:val="40"/>
        </w:rPr>
        <w:t>44.e</w:t>
      </w:r>
      <w:proofErr w:type="gramEnd"/>
      <w:r w:rsidRPr="001A45D2">
        <w:rPr>
          <w:rFonts w:ascii="Arial" w:eastAsiaTheme="majorEastAsia" w:hAnsi="Arial" w:cstheme="majorBidi"/>
          <w:bCs/>
          <w:szCs w:val="40"/>
        </w:rPr>
        <w:t>8681. Available at:</w:t>
      </w:r>
      <w:r w:rsidRPr="001A45D2">
        <w:rPr>
          <w:rFonts w:ascii="Arial" w:eastAsiaTheme="majorEastAsia" w:hAnsi="Arial" w:cstheme="majorBidi"/>
          <w:b/>
          <w:szCs w:val="40"/>
        </w:rPr>
        <w:t> </w:t>
      </w:r>
      <w:hyperlink r:id="rId18" w:tgtFrame="_blank" w:history="1">
        <w:r w:rsidRPr="001A45D2">
          <w:rPr>
            <w:rStyle w:val="Hyperlink"/>
            <w:rFonts w:ascii="Arial" w:eastAsiaTheme="majorEastAsia" w:hAnsi="Arial" w:cstheme="majorBidi"/>
            <w:b/>
            <w:szCs w:val="40"/>
          </w:rPr>
          <w:t>Quantitative research - ProQuest</w:t>
        </w:r>
      </w:hyperlink>
      <w:r w:rsidRPr="001A45D2">
        <w:rPr>
          <w:rFonts w:ascii="Arial" w:eastAsiaTheme="majorEastAsia" w:hAnsi="Arial" w:cstheme="majorBidi"/>
          <w:b/>
          <w:color w:val="0F4761" w:themeColor="accent1" w:themeShade="BF"/>
          <w:szCs w:val="40"/>
        </w:rPr>
        <w:t> </w:t>
      </w:r>
      <w:r w:rsidRPr="001A45D2">
        <w:rPr>
          <w:rFonts w:ascii="Arial" w:eastAsiaTheme="majorEastAsia" w:hAnsi="Arial" w:cstheme="majorBidi"/>
          <w:bCs/>
          <w:szCs w:val="40"/>
        </w:rPr>
        <w:t>(Accessed: 17 November 2025).</w:t>
      </w:r>
      <w:r w:rsidRPr="001A45D2">
        <w:rPr>
          <w:rFonts w:ascii="Arial" w:eastAsiaTheme="majorEastAsia" w:hAnsi="Arial" w:cstheme="majorBidi"/>
          <w:b/>
          <w:szCs w:val="40"/>
        </w:rPr>
        <w:t> </w:t>
      </w:r>
    </w:p>
    <w:p w14:paraId="081CD9B2" w14:textId="4058A23D" w:rsidR="006948C3" w:rsidRDefault="006948C3" w:rsidP="006948C3">
      <w:pPr>
        <w:spacing w:line="360" w:lineRule="auto"/>
        <w:rPr>
          <w:rFonts w:ascii="Arial" w:eastAsiaTheme="majorEastAsia" w:hAnsi="Arial" w:cstheme="majorBidi"/>
          <w:bCs/>
          <w:szCs w:val="40"/>
        </w:rPr>
      </w:pPr>
      <w:r w:rsidRPr="006948C3">
        <w:rPr>
          <w:rFonts w:ascii="Arial" w:eastAsiaTheme="majorEastAsia" w:hAnsi="Arial" w:cstheme="majorBidi"/>
          <w:bCs/>
          <w:szCs w:val="40"/>
        </w:rPr>
        <w:t xml:space="preserve">House of Commons Library (2025) </w:t>
      </w:r>
      <w:r w:rsidRPr="006948C3">
        <w:rPr>
          <w:rFonts w:ascii="Arial" w:eastAsiaTheme="majorEastAsia" w:hAnsi="Arial" w:cstheme="majorBidi"/>
          <w:bCs/>
          <w:i/>
          <w:iCs/>
          <w:szCs w:val="40"/>
        </w:rPr>
        <w:t>Ambulance service response times. CDP-2025-0042.</w:t>
      </w:r>
      <w:r w:rsidRPr="006948C3">
        <w:rPr>
          <w:rFonts w:ascii="Arial" w:eastAsiaTheme="majorEastAsia" w:hAnsi="Arial" w:cstheme="majorBidi"/>
          <w:bCs/>
          <w:szCs w:val="40"/>
        </w:rPr>
        <w:t xml:space="preserve"> Available at: </w:t>
      </w:r>
      <w:hyperlink r:id="rId19" w:history="1">
        <w:r w:rsidRPr="006948C3">
          <w:rPr>
            <w:rStyle w:val="Hyperlink"/>
            <w:rFonts w:ascii="Arial" w:eastAsiaTheme="majorEastAsia" w:hAnsi="Arial" w:cstheme="majorBidi"/>
            <w:bCs/>
            <w:szCs w:val="40"/>
          </w:rPr>
          <w:t>Ambulance service respon</w:t>
        </w:r>
        <w:r w:rsidRPr="006948C3">
          <w:rPr>
            <w:rStyle w:val="Hyperlink"/>
            <w:rFonts w:ascii="Arial" w:eastAsiaTheme="majorEastAsia" w:hAnsi="Arial" w:cstheme="majorBidi"/>
            <w:bCs/>
            <w:szCs w:val="40"/>
          </w:rPr>
          <w:t>s</w:t>
        </w:r>
        <w:r w:rsidRPr="006948C3">
          <w:rPr>
            <w:rStyle w:val="Hyperlink"/>
            <w:rFonts w:ascii="Arial" w:eastAsiaTheme="majorEastAsia" w:hAnsi="Arial" w:cstheme="majorBidi"/>
            <w:bCs/>
            <w:szCs w:val="40"/>
          </w:rPr>
          <w:t>e times - House of Commons Library</w:t>
        </w:r>
      </w:hyperlink>
      <w:r>
        <w:rPr>
          <w:rFonts w:ascii="Arial" w:eastAsiaTheme="majorEastAsia" w:hAnsi="Arial" w:cstheme="majorBidi"/>
          <w:bCs/>
          <w:szCs w:val="40"/>
        </w:rPr>
        <w:t xml:space="preserve"> </w:t>
      </w:r>
      <w:r w:rsidRPr="006948C3">
        <w:rPr>
          <w:rFonts w:ascii="Arial" w:eastAsiaTheme="majorEastAsia" w:hAnsi="Arial" w:cstheme="majorBidi"/>
          <w:bCs/>
          <w:szCs w:val="40"/>
        </w:rPr>
        <w:t>(Accessed: 17 November 2025).</w:t>
      </w:r>
    </w:p>
    <w:p w14:paraId="41E6537D" w14:textId="34123168" w:rsidR="002F19D2" w:rsidRDefault="006948C3" w:rsidP="006948C3">
      <w:pPr>
        <w:spacing w:line="360" w:lineRule="auto"/>
        <w:rPr>
          <w:rFonts w:ascii="Arial" w:eastAsiaTheme="majorEastAsia" w:hAnsi="Arial" w:cstheme="majorBidi"/>
          <w:bCs/>
          <w:szCs w:val="40"/>
        </w:rPr>
      </w:pPr>
      <w:r w:rsidRPr="006948C3">
        <w:rPr>
          <w:rFonts w:ascii="Arial" w:eastAsiaTheme="majorEastAsia" w:hAnsi="Arial" w:cstheme="majorBidi"/>
          <w:bCs/>
          <w:szCs w:val="40"/>
        </w:rPr>
        <w:t xml:space="preserve">Fisher, J.D., Freeman, K., Clarke, A., Spurgeon, P., Smyth, M., Perkins, G.D., et al. (2015) </w:t>
      </w:r>
      <w:r w:rsidRPr="00815506">
        <w:rPr>
          <w:rFonts w:ascii="Arial" w:eastAsiaTheme="majorEastAsia" w:hAnsi="Arial" w:cstheme="majorBidi"/>
          <w:bCs/>
          <w:i/>
          <w:iCs/>
          <w:szCs w:val="40"/>
        </w:rPr>
        <w:t>Patient safety in ambulance services: a scoping review. Health Services and Delivery Research, 3(21).</w:t>
      </w:r>
      <w:r w:rsidRPr="006948C3">
        <w:rPr>
          <w:rFonts w:ascii="Arial" w:eastAsiaTheme="majorEastAsia" w:hAnsi="Arial" w:cstheme="majorBidi"/>
          <w:bCs/>
          <w:szCs w:val="40"/>
        </w:rPr>
        <w:t xml:space="preserve"> Available at: </w:t>
      </w:r>
      <w:hyperlink r:id="rId20" w:history="1">
        <w:r w:rsidR="00815506" w:rsidRPr="00815506">
          <w:rPr>
            <w:rStyle w:val="Hyperlink"/>
            <w:rFonts w:ascii="Arial" w:eastAsiaTheme="majorEastAsia" w:hAnsi="Arial" w:cstheme="majorBidi"/>
            <w:bCs/>
            <w:szCs w:val="40"/>
          </w:rPr>
          <w:t>Patient safety in ambulance services - a scoping review | NIHR Journals Library</w:t>
        </w:r>
      </w:hyperlink>
      <w:r w:rsidR="00815506" w:rsidRPr="00815506">
        <w:rPr>
          <w:rFonts w:ascii="Arial" w:eastAsiaTheme="majorEastAsia" w:hAnsi="Arial" w:cstheme="majorBidi"/>
          <w:bCs/>
          <w:szCs w:val="40"/>
        </w:rPr>
        <w:t xml:space="preserve"> </w:t>
      </w:r>
    </w:p>
    <w:p w14:paraId="5B951761" w14:textId="5135FFEA" w:rsidR="002F19D2" w:rsidRDefault="002F19D2" w:rsidP="002F19D2">
      <w:pPr>
        <w:spacing w:line="360" w:lineRule="auto"/>
        <w:rPr>
          <w:rFonts w:ascii="Arial" w:eastAsiaTheme="majorEastAsia" w:hAnsi="Arial" w:cstheme="majorBidi"/>
          <w:bCs/>
          <w:szCs w:val="40"/>
        </w:rPr>
      </w:pPr>
      <w:r w:rsidRPr="002F19D2">
        <w:rPr>
          <w:rFonts w:ascii="Arial" w:eastAsiaTheme="majorEastAsia" w:hAnsi="Arial" w:cstheme="majorBidi"/>
          <w:bCs/>
          <w:szCs w:val="40"/>
        </w:rPr>
        <w:t xml:space="preserve">NHS England (2024) Monthly Operational Statistics – September 2024. Available at: </w:t>
      </w:r>
      <w:hyperlink r:id="rId21" w:history="1">
        <w:r w:rsidRPr="002F19D2">
          <w:rPr>
            <w:color w:val="0000FF"/>
            <w:u w:val="single"/>
          </w:rPr>
          <w:t>NHS England » Monthly Operational Statistics – September 2024</w:t>
        </w:r>
      </w:hyperlink>
      <w:r w:rsidRPr="002F19D2">
        <w:rPr>
          <w:rFonts w:ascii="Arial" w:eastAsiaTheme="majorEastAsia" w:hAnsi="Arial" w:cstheme="majorBidi"/>
          <w:bCs/>
          <w:szCs w:val="40"/>
        </w:rPr>
        <w:t xml:space="preserve"> </w:t>
      </w:r>
      <w:r w:rsidRPr="002F19D2">
        <w:rPr>
          <w:rFonts w:ascii="Arial" w:eastAsiaTheme="majorEastAsia" w:hAnsi="Arial" w:cstheme="majorBidi"/>
          <w:bCs/>
          <w:szCs w:val="40"/>
        </w:rPr>
        <w:t>(Accessed: 17 November 2025).</w:t>
      </w:r>
    </w:p>
    <w:p w14:paraId="1074B87F" w14:textId="77777777" w:rsidR="002F19D2" w:rsidRPr="001A45D2" w:rsidRDefault="002F19D2" w:rsidP="002F19D2">
      <w:pPr>
        <w:spacing w:line="360" w:lineRule="auto"/>
        <w:rPr>
          <w:rFonts w:ascii="Arial" w:eastAsiaTheme="majorEastAsia" w:hAnsi="Arial" w:cstheme="majorBidi"/>
          <w:bCs/>
          <w:szCs w:val="40"/>
        </w:rPr>
      </w:pPr>
    </w:p>
    <w:p w14:paraId="32D73DF7" w14:textId="08B68D4D" w:rsidR="00493F61" w:rsidRPr="001A45D2" w:rsidRDefault="001A45D2">
      <w:pPr>
        <w:spacing w:line="360" w:lineRule="auto"/>
        <w:rPr>
          <w:rFonts w:ascii="Arial" w:eastAsiaTheme="majorEastAsia" w:hAnsi="Arial" w:cstheme="majorBidi"/>
          <w:b/>
          <w:color w:val="0F4761" w:themeColor="accent1" w:themeShade="BF"/>
          <w:szCs w:val="40"/>
        </w:rPr>
      </w:pPr>
      <w:r w:rsidRPr="001A45D2">
        <w:rPr>
          <w:rFonts w:ascii="Arial" w:eastAsiaTheme="majorEastAsia" w:hAnsi="Arial" w:cstheme="majorBidi"/>
          <w:b/>
          <w:color w:val="0F4761" w:themeColor="accent1" w:themeShade="BF"/>
          <w:szCs w:val="40"/>
        </w:rPr>
        <w:t> </w:t>
      </w:r>
      <w:bookmarkEnd w:id="0"/>
    </w:p>
    <w:sectPr w:rsidR="00493F61" w:rsidRPr="001A45D2">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F06659" w14:textId="77777777" w:rsidR="00290E67" w:rsidRDefault="00290E67" w:rsidP="00C82FE1">
      <w:pPr>
        <w:spacing w:after="0" w:line="240" w:lineRule="auto"/>
      </w:pPr>
      <w:r>
        <w:separator/>
      </w:r>
    </w:p>
  </w:endnote>
  <w:endnote w:type="continuationSeparator" w:id="0">
    <w:p w14:paraId="57A4FA0F" w14:textId="77777777" w:rsidR="00290E67" w:rsidRDefault="00290E67" w:rsidP="00C82F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7466536"/>
      <w:docPartObj>
        <w:docPartGallery w:val="Page Numbers (Bottom of Page)"/>
        <w:docPartUnique/>
      </w:docPartObj>
    </w:sdtPr>
    <w:sdtContent>
      <w:sdt>
        <w:sdtPr>
          <w:id w:val="-1769616900"/>
          <w:docPartObj>
            <w:docPartGallery w:val="Page Numbers (Top of Page)"/>
            <w:docPartUnique/>
          </w:docPartObj>
        </w:sdtPr>
        <w:sdtContent>
          <w:p w14:paraId="774D07CE" w14:textId="2176551D" w:rsidR="00C82FE1" w:rsidRDefault="00C82FE1">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413F2D3" w14:textId="77777777" w:rsidR="00C82FE1" w:rsidRDefault="00C82F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005498" w14:textId="77777777" w:rsidR="00290E67" w:rsidRDefault="00290E67" w:rsidP="00C82FE1">
      <w:pPr>
        <w:spacing w:after="0" w:line="240" w:lineRule="auto"/>
      </w:pPr>
      <w:r>
        <w:separator/>
      </w:r>
    </w:p>
  </w:footnote>
  <w:footnote w:type="continuationSeparator" w:id="0">
    <w:p w14:paraId="7C2744E8" w14:textId="77777777" w:rsidR="00290E67" w:rsidRDefault="00290E67" w:rsidP="00C82F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A2103"/>
    <w:multiLevelType w:val="multilevel"/>
    <w:tmpl w:val="69F8D7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F45374"/>
    <w:multiLevelType w:val="multilevel"/>
    <w:tmpl w:val="94DEA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315C8B"/>
    <w:multiLevelType w:val="multilevel"/>
    <w:tmpl w:val="F5EE3F68"/>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 w15:restartNumberingAfterBreak="0">
    <w:nsid w:val="1EC21CFE"/>
    <w:multiLevelType w:val="multilevel"/>
    <w:tmpl w:val="08F85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F87F7B"/>
    <w:multiLevelType w:val="multilevel"/>
    <w:tmpl w:val="BEC2BB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0F7677"/>
    <w:multiLevelType w:val="multilevel"/>
    <w:tmpl w:val="07E054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B50010"/>
    <w:multiLevelType w:val="multilevel"/>
    <w:tmpl w:val="120232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236650"/>
    <w:multiLevelType w:val="multilevel"/>
    <w:tmpl w:val="93F2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9C0D2A"/>
    <w:multiLevelType w:val="multilevel"/>
    <w:tmpl w:val="8DD6B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307B9B"/>
    <w:multiLevelType w:val="multilevel"/>
    <w:tmpl w:val="62D4B9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7153871">
    <w:abstractNumId w:val="4"/>
  </w:num>
  <w:num w:numId="2" w16cid:durableId="142504706">
    <w:abstractNumId w:val="7"/>
  </w:num>
  <w:num w:numId="3" w16cid:durableId="1084103864">
    <w:abstractNumId w:val="8"/>
  </w:num>
  <w:num w:numId="4" w16cid:durableId="134375611">
    <w:abstractNumId w:val="9"/>
  </w:num>
  <w:num w:numId="5" w16cid:durableId="1915161953">
    <w:abstractNumId w:val="2"/>
  </w:num>
  <w:num w:numId="6" w16cid:durableId="306203730">
    <w:abstractNumId w:val="0"/>
  </w:num>
  <w:num w:numId="7" w16cid:durableId="947128791">
    <w:abstractNumId w:val="5"/>
  </w:num>
  <w:num w:numId="8" w16cid:durableId="693842974">
    <w:abstractNumId w:val="6"/>
  </w:num>
  <w:num w:numId="9" w16cid:durableId="584269751">
    <w:abstractNumId w:val="3"/>
  </w:num>
  <w:num w:numId="10" w16cid:durableId="17163487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FE1"/>
    <w:rsid w:val="00075320"/>
    <w:rsid w:val="000A4D39"/>
    <w:rsid w:val="000C1C23"/>
    <w:rsid w:val="000C67EA"/>
    <w:rsid w:val="000F6387"/>
    <w:rsid w:val="00177EA6"/>
    <w:rsid w:val="001A45D2"/>
    <w:rsid w:val="001C372A"/>
    <w:rsid w:val="001F0D90"/>
    <w:rsid w:val="001F7DF5"/>
    <w:rsid w:val="002037BB"/>
    <w:rsid w:val="00222839"/>
    <w:rsid w:val="00243555"/>
    <w:rsid w:val="00290E67"/>
    <w:rsid w:val="002A0A3D"/>
    <w:rsid w:val="002C6BC7"/>
    <w:rsid w:val="002E1784"/>
    <w:rsid w:val="002F06BD"/>
    <w:rsid w:val="002F19D2"/>
    <w:rsid w:val="00322395"/>
    <w:rsid w:val="00325996"/>
    <w:rsid w:val="00332E27"/>
    <w:rsid w:val="00335FE4"/>
    <w:rsid w:val="00337175"/>
    <w:rsid w:val="003C1E35"/>
    <w:rsid w:val="00456012"/>
    <w:rsid w:val="0048043F"/>
    <w:rsid w:val="00493F61"/>
    <w:rsid w:val="004A7099"/>
    <w:rsid w:val="004B7B75"/>
    <w:rsid w:val="004D372D"/>
    <w:rsid w:val="00512D76"/>
    <w:rsid w:val="00513560"/>
    <w:rsid w:val="005579BB"/>
    <w:rsid w:val="0058087E"/>
    <w:rsid w:val="005C5E9B"/>
    <w:rsid w:val="005D3873"/>
    <w:rsid w:val="006341CA"/>
    <w:rsid w:val="0065496E"/>
    <w:rsid w:val="00663AE8"/>
    <w:rsid w:val="00676E35"/>
    <w:rsid w:val="006948C3"/>
    <w:rsid w:val="006A6F65"/>
    <w:rsid w:val="00745432"/>
    <w:rsid w:val="007A078E"/>
    <w:rsid w:val="00802412"/>
    <w:rsid w:val="00811DD7"/>
    <w:rsid w:val="00815506"/>
    <w:rsid w:val="0081556B"/>
    <w:rsid w:val="008453BF"/>
    <w:rsid w:val="00851A54"/>
    <w:rsid w:val="00897B3B"/>
    <w:rsid w:val="00905DE6"/>
    <w:rsid w:val="00976503"/>
    <w:rsid w:val="00982720"/>
    <w:rsid w:val="009A0761"/>
    <w:rsid w:val="009A6750"/>
    <w:rsid w:val="00A97A7C"/>
    <w:rsid w:val="00AD4844"/>
    <w:rsid w:val="00B23D10"/>
    <w:rsid w:val="00B33576"/>
    <w:rsid w:val="00B606AC"/>
    <w:rsid w:val="00B83C72"/>
    <w:rsid w:val="00BA3605"/>
    <w:rsid w:val="00C07956"/>
    <w:rsid w:val="00C52E62"/>
    <w:rsid w:val="00C6443A"/>
    <w:rsid w:val="00C82FE1"/>
    <w:rsid w:val="00C93D11"/>
    <w:rsid w:val="00CD4F6D"/>
    <w:rsid w:val="00D00C2E"/>
    <w:rsid w:val="00D02A2D"/>
    <w:rsid w:val="00D27379"/>
    <w:rsid w:val="00D47902"/>
    <w:rsid w:val="00D57220"/>
    <w:rsid w:val="00E0784F"/>
    <w:rsid w:val="00E15FCC"/>
    <w:rsid w:val="00E45BFD"/>
    <w:rsid w:val="00F735B1"/>
    <w:rsid w:val="00F74142"/>
    <w:rsid w:val="00FB5D7C"/>
    <w:rsid w:val="00FB75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69B21"/>
  <w15:chartTrackingRefBased/>
  <w15:docId w15:val="{AA57CCBD-687A-4ED5-A9EC-CC64149CA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2FE1"/>
  </w:style>
  <w:style w:type="paragraph" w:styleId="Heading1">
    <w:name w:val="heading 1"/>
    <w:basedOn w:val="Normal"/>
    <w:next w:val="Normal"/>
    <w:link w:val="Heading1Char"/>
    <w:uiPriority w:val="9"/>
    <w:qFormat/>
    <w:rsid w:val="00D47902"/>
    <w:pPr>
      <w:keepNext/>
      <w:keepLines/>
      <w:spacing w:before="360" w:after="80"/>
      <w:outlineLvl w:val="0"/>
    </w:pPr>
    <w:rPr>
      <w:rFonts w:ascii="Arial" w:eastAsiaTheme="majorEastAsia" w:hAnsi="Arial" w:cstheme="majorBidi"/>
      <w:b/>
      <w:color w:val="0F4761" w:themeColor="accent1" w:themeShade="BF"/>
      <w:szCs w:val="40"/>
    </w:rPr>
  </w:style>
  <w:style w:type="paragraph" w:styleId="Heading2">
    <w:name w:val="heading 2"/>
    <w:basedOn w:val="Normal"/>
    <w:next w:val="Normal"/>
    <w:link w:val="Heading2Char"/>
    <w:uiPriority w:val="9"/>
    <w:unhideWhenUsed/>
    <w:qFormat/>
    <w:rsid w:val="00D47902"/>
    <w:pPr>
      <w:keepNext/>
      <w:keepLines/>
      <w:spacing w:before="160" w:after="80"/>
      <w:outlineLvl w:val="1"/>
    </w:pPr>
    <w:rPr>
      <w:rFonts w:ascii="Arial" w:eastAsiaTheme="majorEastAsia" w:hAnsi="Arial" w:cstheme="majorBidi"/>
      <w:i/>
      <w:color w:val="0F4761" w:themeColor="accent1" w:themeShade="BF"/>
      <w:szCs w:val="32"/>
    </w:rPr>
  </w:style>
  <w:style w:type="paragraph" w:styleId="Heading3">
    <w:name w:val="heading 3"/>
    <w:basedOn w:val="Normal"/>
    <w:next w:val="Normal"/>
    <w:link w:val="Heading3Char"/>
    <w:uiPriority w:val="9"/>
    <w:semiHidden/>
    <w:unhideWhenUsed/>
    <w:qFormat/>
    <w:rsid w:val="00C82F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2F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2F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2F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2F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2F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2F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7902"/>
    <w:rPr>
      <w:rFonts w:ascii="Arial" w:eastAsiaTheme="majorEastAsia" w:hAnsi="Arial" w:cstheme="majorBidi"/>
      <w:b/>
      <w:color w:val="0F4761" w:themeColor="accent1" w:themeShade="BF"/>
      <w:szCs w:val="40"/>
    </w:rPr>
  </w:style>
  <w:style w:type="character" w:customStyle="1" w:styleId="Heading2Char">
    <w:name w:val="Heading 2 Char"/>
    <w:basedOn w:val="DefaultParagraphFont"/>
    <w:link w:val="Heading2"/>
    <w:uiPriority w:val="9"/>
    <w:rsid w:val="00D47902"/>
    <w:rPr>
      <w:rFonts w:ascii="Arial" w:eastAsiaTheme="majorEastAsia" w:hAnsi="Arial" w:cstheme="majorBidi"/>
      <w:i/>
      <w:color w:val="0F4761" w:themeColor="accent1" w:themeShade="BF"/>
      <w:szCs w:val="32"/>
    </w:rPr>
  </w:style>
  <w:style w:type="character" w:customStyle="1" w:styleId="Heading3Char">
    <w:name w:val="Heading 3 Char"/>
    <w:basedOn w:val="DefaultParagraphFont"/>
    <w:link w:val="Heading3"/>
    <w:uiPriority w:val="9"/>
    <w:semiHidden/>
    <w:rsid w:val="00C82F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2F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2F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2F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2F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2F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2FE1"/>
    <w:rPr>
      <w:rFonts w:eastAsiaTheme="majorEastAsia" w:cstheme="majorBidi"/>
      <w:color w:val="272727" w:themeColor="text1" w:themeTint="D8"/>
    </w:rPr>
  </w:style>
  <w:style w:type="paragraph" w:styleId="Title">
    <w:name w:val="Title"/>
    <w:basedOn w:val="Normal"/>
    <w:next w:val="Normal"/>
    <w:link w:val="TitleChar"/>
    <w:uiPriority w:val="10"/>
    <w:qFormat/>
    <w:rsid w:val="00C82F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2F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2F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2F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2FE1"/>
    <w:pPr>
      <w:spacing w:before="160"/>
      <w:jc w:val="center"/>
    </w:pPr>
    <w:rPr>
      <w:i/>
      <w:iCs/>
      <w:color w:val="404040" w:themeColor="text1" w:themeTint="BF"/>
    </w:rPr>
  </w:style>
  <w:style w:type="character" w:customStyle="1" w:styleId="QuoteChar">
    <w:name w:val="Quote Char"/>
    <w:basedOn w:val="DefaultParagraphFont"/>
    <w:link w:val="Quote"/>
    <w:uiPriority w:val="29"/>
    <w:rsid w:val="00C82FE1"/>
    <w:rPr>
      <w:i/>
      <w:iCs/>
      <w:color w:val="404040" w:themeColor="text1" w:themeTint="BF"/>
    </w:rPr>
  </w:style>
  <w:style w:type="paragraph" w:styleId="ListParagraph">
    <w:name w:val="List Paragraph"/>
    <w:basedOn w:val="Normal"/>
    <w:uiPriority w:val="34"/>
    <w:qFormat/>
    <w:rsid w:val="00C82FE1"/>
    <w:pPr>
      <w:ind w:left="720"/>
      <w:contextualSpacing/>
    </w:pPr>
  </w:style>
  <w:style w:type="character" w:styleId="IntenseEmphasis">
    <w:name w:val="Intense Emphasis"/>
    <w:basedOn w:val="DefaultParagraphFont"/>
    <w:uiPriority w:val="21"/>
    <w:qFormat/>
    <w:rsid w:val="00C82FE1"/>
    <w:rPr>
      <w:i/>
      <w:iCs/>
      <w:color w:val="0F4761" w:themeColor="accent1" w:themeShade="BF"/>
    </w:rPr>
  </w:style>
  <w:style w:type="paragraph" w:styleId="IntenseQuote">
    <w:name w:val="Intense Quote"/>
    <w:basedOn w:val="Normal"/>
    <w:next w:val="Normal"/>
    <w:link w:val="IntenseQuoteChar"/>
    <w:uiPriority w:val="30"/>
    <w:qFormat/>
    <w:rsid w:val="00C82F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2FE1"/>
    <w:rPr>
      <w:i/>
      <w:iCs/>
      <w:color w:val="0F4761" w:themeColor="accent1" w:themeShade="BF"/>
    </w:rPr>
  </w:style>
  <w:style w:type="character" w:styleId="IntenseReference">
    <w:name w:val="Intense Reference"/>
    <w:basedOn w:val="DefaultParagraphFont"/>
    <w:uiPriority w:val="32"/>
    <w:qFormat/>
    <w:rsid w:val="00C82FE1"/>
    <w:rPr>
      <w:b/>
      <w:bCs/>
      <w:smallCaps/>
      <w:color w:val="0F4761" w:themeColor="accent1" w:themeShade="BF"/>
      <w:spacing w:val="5"/>
    </w:rPr>
  </w:style>
  <w:style w:type="paragraph" w:styleId="Header">
    <w:name w:val="header"/>
    <w:basedOn w:val="Normal"/>
    <w:link w:val="HeaderChar"/>
    <w:uiPriority w:val="99"/>
    <w:unhideWhenUsed/>
    <w:rsid w:val="00C82F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2FE1"/>
  </w:style>
  <w:style w:type="paragraph" w:styleId="Footer">
    <w:name w:val="footer"/>
    <w:basedOn w:val="Normal"/>
    <w:link w:val="FooterChar"/>
    <w:uiPriority w:val="99"/>
    <w:unhideWhenUsed/>
    <w:rsid w:val="00C82F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2FE1"/>
  </w:style>
  <w:style w:type="paragraph" w:styleId="TOCHeading">
    <w:name w:val="TOC Heading"/>
    <w:basedOn w:val="Heading1"/>
    <w:next w:val="Normal"/>
    <w:uiPriority w:val="39"/>
    <w:unhideWhenUsed/>
    <w:qFormat/>
    <w:rsid w:val="00512D76"/>
    <w:pPr>
      <w:spacing w:before="240" w:after="0"/>
      <w:outlineLvl w:val="9"/>
    </w:pPr>
    <w:rPr>
      <w:rFonts w:asciiTheme="majorHAnsi" w:hAnsiTheme="majorHAnsi"/>
      <w:b w:val="0"/>
      <w:kern w:val="0"/>
      <w:sz w:val="32"/>
      <w:szCs w:val="32"/>
      <w:lang w:val="en-US"/>
      <w14:ligatures w14:val="none"/>
    </w:rPr>
  </w:style>
  <w:style w:type="paragraph" w:styleId="TOC1">
    <w:name w:val="toc 1"/>
    <w:basedOn w:val="Normal"/>
    <w:next w:val="Normal"/>
    <w:autoRedefine/>
    <w:uiPriority w:val="39"/>
    <w:unhideWhenUsed/>
    <w:rsid w:val="00512D76"/>
    <w:pPr>
      <w:spacing w:after="100"/>
    </w:pPr>
  </w:style>
  <w:style w:type="paragraph" w:styleId="TOC2">
    <w:name w:val="toc 2"/>
    <w:basedOn w:val="Normal"/>
    <w:next w:val="Normal"/>
    <w:autoRedefine/>
    <w:uiPriority w:val="39"/>
    <w:unhideWhenUsed/>
    <w:rsid w:val="00512D76"/>
    <w:pPr>
      <w:spacing w:after="100"/>
      <w:ind w:left="220"/>
    </w:pPr>
  </w:style>
  <w:style w:type="character" w:styleId="Hyperlink">
    <w:name w:val="Hyperlink"/>
    <w:basedOn w:val="DefaultParagraphFont"/>
    <w:uiPriority w:val="99"/>
    <w:unhideWhenUsed/>
    <w:rsid w:val="00512D76"/>
    <w:rPr>
      <w:color w:val="467886" w:themeColor="hyperlink"/>
      <w:u w:val="single"/>
    </w:rPr>
  </w:style>
  <w:style w:type="character" w:styleId="Strong">
    <w:name w:val="Strong"/>
    <w:basedOn w:val="DefaultParagraphFont"/>
    <w:uiPriority w:val="22"/>
    <w:qFormat/>
    <w:rsid w:val="00513560"/>
    <w:rPr>
      <w:b/>
      <w:bCs/>
    </w:rPr>
  </w:style>
  <w:style w:type="paragraph" w:customStyle="1" w:styleId="paragraph">
    <w:name w:val="paragraph"/>
    <w:basedOn w:val="Normal"/>
    <w:rsid w:val="00C93D1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C93D11"/>
  </w:style>
  <w:style w:type="character" w:customStyle="1" w:styleId="eop">
    <w:name w:val="eop"/>
    <w:basedOn w:val="DefaultParagraphFont"/>
    <w:rsid w:val="00C93D11"/>
  </w:style>
  <w:style w:type="character" w:styleId="UnresolvedMention">
    <w:name w:val="Unresolved Mention"/>
    <w:basedOn w:val="DefaultParagraphFont"/>
    <w:uiPriority w:val="99"/>
    <w:semiHidden/>
    <w:unhideWhenUsed/>
    <w:rsid w:val="001A45D2"/>
    <w:rPr>
      <w:color w:val="605E5C"/>
      <w:shd w:val="clear" w:color="auto" w:fill="E1DFDD"/>
    </w:rPr>
  </w:style>
  <w:style w:type="character" w:styleId="FollowedHyperlink">
    <w:name w:val="FollowedHyperlink"/>
    <w:basedOn w:val="DefaultParagraphFont"/>
    <w:uiPriority w:val="99"/>
    <w:semiHidden/>
    <w:unhideWhenUsed/>
    <w:rsid w:val="0081550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ictionary.cambridge.org/dictionary/english/secondary-data" TargetMode="External"/><Relationship Id="rId18" Type="http://schemas.openxmlformats.org/officeDocument/2006/relationships/hyperlink" Target="https://www.proquest.com/openview/058c84ecfd436cf965eacb1556000ab0/1?pq-origsite=gscholar&amp;cbl=2042228" TargetMode="External"/><Relationship Id="rId3" Type="http://schemas.openxmlformats.org/officeDocument/2006/relationships/styles" Target="styles.xml"/><Relationship Id="rId21" Type="http://schemas.openxmlformats.org/officeDocument/2006/relationships/hyperlink" Target="https://www.england.nhs.uk/long-read/monthly-operational-statistics-september-2024/" TargetMode="External"/><Relationship Id="rId7" Type="http://schemas.openxmlformats.org/officeDocument/2006/relationships/endnotes" Target="endnotes.xml"/><Relationship Id="rId12" Type="http://schemas.openxmlformats.org/officeDocument/2006/relationships/hyperlink" Target="https://dictionary.cambridge.org/dictionary/english/primary-data" TargetMode="External"/><Relationship Id="rId17" Type="http://schemas.openxmlformats.org/officeDocument/2006/relationships/hyperlink" Target="https://theconversation.com/seven-ways-to-fix-the-broken-nhs-ambulance-services-207069" TargetMode="External"/><Relationship Id="rId2" Type="http://schemas.openxmlformats.org/officeDocument/2006/relationships/numbering" Target="numbering.xml"/><Relationship Id="rId16" Type="http://schemas.openxmlformats.org/officeDocument/2006/relationships/hyperlink" Target="https://www.scribbr.com/methodology/qualitative-research/" TargetMode="External"/><Relationship Id="rId20" Type="http://schemas.openxmlformats.org/officeDocument/2006/relationships/hyperlink" Target="https://www.journalslibrary.nihr.ac.uk/hsdr/HSDR0321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ace.org.uk/wp-content/uploads/2015/10/AACE-Leading-the-way-to-care-FINAL-W.pdf"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ngland.nhs.uk/urgent-emergency-care/improving-ambulance-services/" TargetMode="External"/><Relationship Id="rId23" Type="http://schemas.openxmlformats.org/officeDocument/2006/relationships/fontTable" Target="fontTable.xml"/><Relationship Id="rId10" Type="http://schemas.openxmlformats.org/officeDocument/2006/relationships/hyperlink" Target="https://aace.org.uk/news/nhs-ambulance-services-achieve-performance-improvements-despite-significant-growth-in-demand-and-handover-delays-equating-to-183-years-of-lost-ambulance-capacity/" TargetMode="External"/><Relationship Id="rId19" Type="http://schemas.openxmlformats.org/officeDocument/2006/relationships/hyperlink" Target="https://commonslibrary.parliament.uk/research-briefings/cdp-2025-0042/" TargetMode="External"/><Relationship Id="rId4" Type="http://schemas.openxmlformats.org/officeDocument/2006/relationships/settings" Target="settings.xml"/><Relationship Id="rId9" Type="http://schemas.openxmlformats.org/officeDocument/2006/relationships/hyperlink" Target="https://aace.org.uk/news/latest-uk-nhs-ambulance-sector-data-shows-there-can-be-no-complacency-over-hospital-handover-delays-as-32000-people-estimated-to-have-come-to-potential-harm-in-may-2024/" TargetMode="External"/><Relationship Id="rId14" Type="http://schemas.openxmlformats.org/officeDocument/2006/relationships/hyperlink" Target="https://www.health.org.uk/reports-and-analysis/analysis/why-have-ambulance-waiting-times-been-getting-worse"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6A6BD1-3BE4-44CA-83DB-8420439A8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2755</Words>
  <Characters>15708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Masud Siddiqui</dc:creator>
  <cp:keywords/>
  <dc:description/>
  <cp:lastModifiedBy>Sansha Nastasia Gordon (2508270)</cp:lastModifiedBy>
  <cp:revision>2</cp:revision>
  <cp:lastPrinted>2025-03-06T15:22:00Z</cp:lastPrinted>
  <dcterms:created xsi:type="dcterms:W3CDTF">2025-11-18T00:05:00Z</dcterms:created>
  <dcterms:modified xsi:type="dcterms:W3CDTF">2025-11-18T00:05:00Z</dcterms:modified>
</cp:coreProperties>
</file>