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9156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6C56">
              <w:rPr>
                <w:b/>
                <w:color w:val="auto"/>
                <w:sz w:val="32"/>
              </w:rPr>
              <w:t>ALICIA DEMERY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2EA0A9" w:rsidR="005A1BA3" w:rsidRDefault="000F6C56" w:rsidP="00340E9A">
            <w:pPr>
              <w:overflowPunct/>
              <w:autoSpaceDE/>
              <w:autoSpaceDN/>
              <w:adjustRightInd/>
              <w:ind w:right="237"/>
              <w:textAlignment w:val="auto"/>
              <w:rPr>
                <w:b/>
                <w:color w:val="auto"/>
                <w:sz w:val="32"/>
              </w:rPr>
            </w:pPr>
            <w:r>
              <w:rPr>
                <w:b/>
                <w:color w:val="auto"/>
                <w:sz w:val="32"/>
              </w:rPr>
              <w:t xml:space="preserve">                          2134428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8D457EF" w14:textId="5F1AB26A" w:rsidR="007F52E2" w:rsidRPr="0028513D" w:rsidRDefault="007F52E2" w:rsidP="007F52E2">
      <w:pPr>
        <w:rPr>
          <w:sz w:val="24"/>
          <w:szCs w:val="24"/>
        </w:rPr>
      </w:pPr>
      <w:r w:rsidRPr="0028513D">
        <w:rPr>
          <w:sz w:val="24"/>
          <w:szCs w:val="24"/>
        </w:rPr>
        <w:t>To critically evaluate the strategic role of the College of Policing in professional policing in the UK, and to reflect on my experiences as a police officer in the final year of probation, it is essential to first understand the context within which the College operates. The College of Policing, established in 2012, serves as the professional body for policing in England and Wales. It plays a crucial role in shaping the standards, ethics, and professionalism of the police force. (College Of Policing, 2012).</w:t>
      </w:r>
    </w:p>
    <w:p w14:paraId="69422573" w14:textId="77777777" w:rsidR="007F52E2" w:rsidRPr="0028513D" w:rsidRDefault="007F52E2" w:rsidP="007F52E2">
      <w:pPr>
        <w:rPr>
          <w:sz w:val="24"/>
          <w:szCs w:val="24"/>
        </w:rPr>
      </w:pPr>
    </w:p>
    <w:p w14:paraId="45C11228" w14:textId="77777777" w:rsidR="007F52E2" w:rsidRPr="0028513D" w:rsidRDefault="007F52E2" w:rsidP="007F52E2">
      <w:pPr>
        <w:rPr>
          <w:sz w:val="24"/>
          <w:szCs w:val="24"/>
        </w:rPr>
      </w:pPr>
      <w:r w:rsidRPr="0028513D">
        <w:rPr>
          <w:sz w:val="24"/>
          <w:szCs w:val="24"/>
        </w:rPr>
        <w:t>Part of the strategic role of the college of policing setting professional standards. The College of Policing is responsible for establishing and maintaining high professional standards within the police service. It does so by developing and disseminating guidelines, codes of conduct, and best practices. The College ensures that police officers are well-trained, knowledgeable, and adhere to ethical standards. This focus on professionalism is key to building public trust and enhancing the effectiveness of policing. (Home Office, 2020)</w:t>
      </w:r>
    </w:p>
    <w:p w14:paraId="02CEDD4C" w14:textId="77777777" w:rsidR="007F52E2" w:rsidRPr="0028513D" w:rsidRDefault="007F52E2" w:rsidP="007F52E2">
      <w:pPr>
        <w:rPr>
          <w:sz w:val="24"/>
          <w:szCs w:val="24"/>
        </w:rPr>
      </w:pPr>
    </w:p>
    <w:p w14:paraId="1AE26FB6" w14:textId="77777777" w:rsidR="007F52E2" w:rsidRPr="0028513D" w:rsidRDefault="007F52E2" w:rsidP="007F52E2">
      <w:pPr>
        <w:rPr>
          <w:sz w:val="24"/>
          <w:szCs w:val="24"/>
        </w:rPr>
      </w:pPr>
      <w:r w:rsidRPr="0028513D">
        <w:rPr>
          <w:sz w:val="24"/>
          <w:szCs w:val="24"/>
        </w:rPr>
        <w:t xml:space="preserve">The College also plays a crucial role in police education and continuous professional development (CPD). By means of programs such as the Policing Education Qualifications Framework (PEQF), Strong (2019) explains the College guarantees </w:t>
      </w:r>
      <w:r w:rsidRPr="0028513D">
        <w:rPr>
          <w:sz w:val="24"/>
          <w:szCs w:val="24"/>
        </w:rPr>
        <w:lastRenderedPageBreak/>
        <w:t>that incoming recruits possess all necessary academic and practical competencies. It also supports lifelong learning within the police, ensuring that officers remain up to date with the latest policing practices and legal frameworks.</w:t>
      </w:r>
    </w:p>
    <w:p w14:paraId="56F566A9" w14:textId="77777777" w:rsidR="00517B18" w:rsidRPr="0028513D" w:rsidRDefault="00517B18" w:rsidP="007F52E2">
      <w:pPr>
        <w:rPr>
          <w:sz w:val="24"/>
          <w:szCs w:val="24"/>
        </w:rPr>
      </w:pPr>
    </w:p>
    <w:p w14:paraId="7BE45129" w14:textId="77777777" w:rsidR="007F52E2" w:rsidRPr="0028513D" w:rsidRDefault="007F52E2" w:rsidP="007F52E2">
      <w:pPr>
        <w:rPr>
          <w:sz w:val="24"/>
          <w:szCs w:val="24"/>
        </w:rPr>
      </w:pPr>
      <w:r w:rsidRPr="0028513D">
        <w:rPr>
          <w:sz w:val="24"/>
          <w:szCs w:val="24"/>
        </w:rPr>
        <w:t>Through the promotion of an evidence-based policing culture, the College guarantees that tactics and interventions have a solid scientific foundation and have demonstrated that they are effective. The College's focus on research enables the police force to make well-informed decisions that improve community safety and crime reduction. (College of Policing, 2024)</w:t>
      </w:r>
    </w:p>
    <w:p w14:paraId="010A8D02" w14:textId="77777777" w:rsidR="007F52E2" w:rsidRPr="0028513D" w:rsidRDefault="007F52E2" w:rsidP="007F52E2">
      <w:pPr>
        <w:rPr>
          <w:sz w:val="24"/>
          <w:szCs w:val="24"/>
        </w:rPr>
      </w:pPr>
      <w:r w:rsidRPr="0028513D">
        <w:rPr>
          <w:sz w:val="24"/>
          <w:szCs w:val="24"/>
        </w:rPr>
        <w:t xml:space="preserve">The College of Policing champions diversity and inclusion within the police force, recognising that a diverse workforce is better equipped to serve a diverse population. Each police force across the UK has diversity and inclusion policies such as the Metropolitan Police (Metropolitan Police, 2022), This a component of the College's strategy, seeks to create a more representative police force that can address the varying needs of different communities. </w:t>
      </w:r>
    </w:p>
    <w:p w14:paraId="33EFECAE" w14:textId="77777777" w:rsidR="00517B18" w:rsidRPr="0028513D" w:rsidRDefault="00517B18" w:rsidP="007F52E2">
      <w:pPr>
        <w:rPr>
          <w:sz w:val="24"/>
          <w:szCs w:val="24"/>
        </w:rPr>
      </w:pPr>
    </w:p>
    <w:p w14:paraId="0CD023A0" w14:textId="77777777" w:rsidR="007F52E2" w:rsidRPr="0028513D" w:rsidRDefault="007F52E2" w:rsidP="007F52E2">
      <w:pPr>
        <w:rPr>
          <w:sz w:val="24"/>
          <w:szCs w:val="24"/>
        </w:rPr>
      </w:pPr>
      <w:r w:rsidRPr="0028513D">
        <w:rPr>
          <w:sz w:val="24"/>
          <w:szCs w:val="24"/>
        </w:rPr>
        <w:t xml:space="preserve"> The College aligns its initiatives with broader strategic priorities, such as the Strategic Policing Requirement (SPR) and Policing Vision 2025. (National Police Chiefs' Council, 2016) These frameworks emphasise the need for police forces to adapt to emerging threats, such as cybercrime and terrorism, and to work collaboratively across regional and national boundaries.</w:t>
      </w:r>
    </w:p>
    <w:p w14:paraId="39DDE1D6" w14:textId="77777777" w:rsidR="00517B18" w:rsidRPr="0028513D" w:rsidRDefault="00517B18" w:rsidP="007F52E2">
      <w:pPr>
        <w:rPr>
          <w:sz w:val="24"/>
          <w:szCs w:val="24"/>
        </w:rPr>
      </w:pPr>
    </w:p>
    <w:p w14:paraId="27F376D0" w14:textId="77777777" w:rsidR="007F52E2" w:rsidRPr="0028513D" w:rsidRDefault="007F52E2" w:rsidP="007F52E2">
      <w:pPr>
        <w:rPr>
          <w:sz w:val="24"/>
          <w:szCs w:val="24"/>
        </w:rPr>
      </w:pPr>
      <w:r w:rsidRPr="0028513D">
        <w:rPr>
          <w:sz w:val="24"/>
          <w:szCs w:val="24"/>
        </w:rPr>
        <w:t>As I approach the final year of my police probation, I’ve had the opportunity to reflect on my personal development over the past three years. This period has been one of immense growth, both professionally and personally, as I’ve gained firsthand experience in various aspects of policing. Moving forward, I will explore how the strategic role of the College of Policing has played a critical part in shaping my skills, knowledge, and approach, providing the framework and guidance necessary to meet the evolving demands of modern policing.</w:t>
      </w:r>
    </w:p>
    <w:p w14:paraId="44557A88" w14:textId="77777777" w:rsidR="00517B18" w:rsidRPr="0028513D" w:rsidRDefault="00517B18" w:rsidP="007F52E2">
      <w:pPr>
        <w:rPr>
          <w:sz w:val="24"/>
          <w:szCs w:val="24"/>
        </w:rPr>
      </w:pPr>
    </w:p>
    <w:p w14:paraId="4221C5B1" w14:textId="77777777" w:rsidR="007F52E2" w:rsidRPr="0028513D" w:rsidRDefault="007F52E2" w:rsidP="007F52E2">
      <w:pPr>
        <w:rPr>
          <w:sz w:val="24"/>
          <w:szCs w:val="24"/>
        </w:rPr>
      </w:pPr>
      <w:r w:rsidRPr="0028513D">
        <w:rPr>
          <w:sz w:val="24"/>
          <w:szCs w:val="24"/>
        </w:rPr>
        <w:t>Maintaining professional standards is a key responsibility guided by the College of Policing. Throughout my training, I have participated in multiple advanced sessions that focus on upholding the values and principles set forth by the College. These sessions have not only enhanced my operational skills but also emphasised the importance of ethical conduct in all aspects of policing (</w:t>
      </w:r>
      <w:proofErr w:type="spellStart"/>
      <w:r w:rsidRPr="0028513D">
        <w:rPr>
          <w:sz w:val="24"/>
          <w:szCs w:val="24"/>
        </w:rPr>
        <w:t>Westmarland</w:t>
      </w:r>
      <w:proofErr w:type="spellEnd"/>
      <w:r w:rsidRPr="0028513D">
        <w:rPr>
          <w:sz w:val="24"/>
          <w:szCs w:val="24"/>
        </w:rPr>
        <w:t xml:space="preserve"> and Conway, 2020).  Regular feedback has been encouraged, ensuring that my behaviour consistently aligns with the professional and ethical guidelines provided. This process of continual reflection and adherence to these standards has strengthened my commitment to integrity and accountability within the force. Lyons (2015) explains the benefits of regularly receiving feedback and the constant improvement it has on staff.</w:t>
      </w:r>
    </w:p>
    <w:p w14:paraId="2CFF9CB9" w14:textId="77777777" w:rsidR="00517B18" w:rsidRPr="0028513D" w:rsidRDefault="00517B18" w:rsidP="007F52E2">
      <w:pPr>
        <w:rPr>
          <w:sz w:val="24"/>
          <w:szCs w:val="24"/>
        </w:rPr>
      </w:pPr>
    </w:p>
    <w:p w14:paraId="24A9FB5F" w14:textId="77777777" w:rsidR="007F52E2" w:rsidRPr="0028513D" w:rsidRDefault="007F52E2" w:rsidP="007F52E2">
      <w:pPr>
        <w:rPr>
          <w:sz w:val="24"/>
          <w:szCs w:val="24"/>
        </w:rPr>
      </w:pPr>
      <w:r w:rsidRPr="0028513D">
        <w:rPr>
          <w:sz w:val="24"/>
          <w:szCs w:val="24"/>
        </w:rPr>
        <w:t xml:space="preserve">By participating in further training and education courses, I have been actively embracing the Continuing Professional Development (CPD) model promoted by the College of Policing (College of Policing, 2020). This model encourages a proactive approach to learning, ensuring that my skills and knowledge remain up to date in this ever-evolving profession. By committing to ongoing further education, I have demonstrated my dedication to maintaining competence and effectiveness in my role as a modern-day police officer. This approach not only enhances my professional </w:t>
      </w:r>
      <w:r w:rsidRPr="0028513D">
        <w:rPr>
          <w:sz w:val="24"/>
          <w:szCs w:val="24"/>
        </w:rPr>
        <w:lastRenderedPageBreak/>
        <w:t>growth but also ensures that I am able to meet the high standards expected within modern policing, ultimately contributing to better service for the general public.</w:t>
      </w:r>
    </w:p>
    <w:p w14:paraId="6D396401" w14:textId="77777777" w:rsidR="00517B18" w:rsidRPr="0028513D" w:rsidRDefault="00517B18" w:rsidP="007F52E2">
      <w:pPr>
        <w:rPr>
          <w:sz w:val="24"/>
          <w:szCs w:val="24"/>
        </w:rPr>
      </w:pPr>
    </w:p>
    <w:p w14:paraId="281D2210" w14:textId="77777777" w:rsidR="007F52E2" w:rsidRPr="0028513D" w:rsidRDefault="007F52E2" w:rsidP="007F52E2">
      <w:pPr>
        <w:spacing w:after="160" w:line="259" w:lineRule="auto"/>
        <w:rPr>
          <w:sz w:val="24"/>
          <w:szCs w:val="24"/>
        </w:rPr>
      </w:pPr>
      <w:r w:rsidRPr="0028513D">
        <w:rPr>
          <w:sz w:val="24"/>
          <w:szCs w:val="24"/>
        </w:rPr>
        <w:t>The application of evidence-based practices has become central to my approach in handling complex issues like drug-related crime. For instance, research suggests that using a problem-oriented approach, such as the SARA model (Scanning, Analysis, Response, and Assessment), is effective in identifying and addressing the root causes of drug-related issues within local communities (Goldstein, 1990). Through this method, I and local neighbourhood officers are able to easily analyse crime patterns, implement targeted interventions, and continuously assess outcomes to better refine their approach to ongoing issues (Anthony Allan Braga and Weisburd, 2010). Evidence-based practices, such as intelligence-led policing, also supports the proactive gathering of intelligence to disrupt drug networks and prevent further criminal activities (Ratcliffe, 2016). Adopting these strategies through-out investigations aligns with the College of Policing’s goal of promoting methods proven to encourage positive outcomes, thereby enhancing community trust and the efficacy of policing efforts (College of Policing, 2022).</w:t>
      </w:r>
    </w:p>
    <w:p w14:paraId="00B07C49" w14:textId="77777777" w:rsidR="007F52E2" w:rsidRPr="0028513D" w:rsidRDefault="007F52E2" w:rsidP="007F52E2">
      <w:pPr>
        <w:rPr>
          <w:sz w:val="24"/>
          <w:szCs w:val="24"/>
        </w:rPr>
      </w:pPr>
      <w:r w:rsidRPr="0028513D">
        <w:rPr>
          <w:sz w:val="24"/>
          <w:szCs w:val="24"/>
        </w:rPr>
        <w:t>I've actively worked to improve my knowledge of and support for various communities, especially the LGBT community, of which I am a member. Through my participation in diversity and inclusion training and interactions with neighbourhood advocacy groups, I have been able to build mutual understanding and trust between the police and under-represented populations. According to research, when police officers are sympathetic to the cultural concerns of LGBT people, they build stronger relationships, lessen the possibility of prejudice, and encourage underserved populations to report crimes and seek help. (Miles-Johnson, 2013). As demonstrated by programs like the National Police LGBT+ Network, which assists officers in dealing with to community-specific needs, which are in line with the College of Policing's mission to develop a police force that is both representative of the society it serves and sensitive to its particular challenges (O’Driscoll, 2018). Officers' ability to properly address complicated social issues is further enhanced by their dedication to inclusivity, creating safer and more welcoming environments for everyone (Bradford and Loader, 2015).</w:t>
      </w:r>
    </w:p>
    <w:p w14:paraId="1C54A253" w14:textId="77777777" w:rsidR="00517B18" w:rsidRPr="0028513D" w:rsidRDefault="00517B18" w:rsidP="007F52E2">
      <w:pPr>
        <w:rPr>
          <w:sz w:val="24"/>
          <w:szCs w:val="24"/>
        </w:rPr>
      </w:pPr>
    </w:p>
    <w:p w14:paraId="0D9CA00A" w14:textId="77777777" w:rsidR="007F52E2" w:rsidRPr="0028513D" w:rsidRDefault="007F52E2" w:rsidP="007F52E2">
      <w:pPr>
        <w:spacing w:after="160" w:line="259" w:lineRule="auto"/>
        <w:rPr>
          <w:sz w:val="24"/>
          <w:szCs w:val="24"/>
        </w:rPr>
      </w:pPr>
      <w:r w:rsidRPr="0028513D">
        <w:rPr>
          <w:sz w:val="24"/>
          <w:szCs w:val="24"/>
        </w:rPr>
        <w:t>Since beginning the final year of my probation period, I have taken on a lot more responsibility within my team and had exposure to the broader strategic priorities of policing, such as understanding the implications of Policing Vision 2025 (NPCC, 2016). I have engaged with multiple inter-agency collaborations such as social services and community groups and contributed to initiatives within local neighbourhoods that address national threats such as terrorism and the drug trade, by doing this I have been growing my role in supporting strategic policing requirements throughout the UK.</w:t>
      </w:r>
    </w:p>
    <w:p w14:paraId="4CB456DB" w14:textId="77777777" w:rsidR="007F52E2" w:rsidRPr="0028513D" w:rsidRDefault="007F52E2" w:rsidP="007F52E2">
      <w:pPr>
        <w:spacing w:after="160" w:line="259" w:lineRule="auto"/>
        <w:rPr>
          <w:sz w:val="24"/>
          <w:szCs w:val="24"/>
        </w:rPr>
      </w:pPr>
      <w:r w:rsidRPr="0028513D">
        <w:rPr>
          <w:sz w:val="24"/>
          <w:szCs w:val="24"/>
        </w:rPr>
        <w:t>Throughout probation, I have moved from a closely supervised position to one with greater autonomy, requiring me to exercise more judgment and make independent decisions whilst at calls and during investigations. This shift not only reflects the growing trust that my supervisors place in me but also encourages my own accountability and confidence. The development of decisionmaking abilities necessary for efficient policing depends</w:t>
      </w:r>
      <w:r w:rsidRPr="0028513D">
        <w:rPr>
          <w:sz w:val="24"/>
          <w:szCs w:val="24"/>
        </w:rPr>
        <w:lastRenderedPageBreak/>
        <w:t> on independence according to policing research (Brown, 1981). Since having this independence, I feel more equipped to manage challenging circumstances when I take on greater responsibility, which helps me to effectively support my team and the community.</w:t>
      </w:r>
    </w:p>
    <w:p w14:paraId="3D74EFE1" w14:textId="77777777" w:rsidR="007F52E2" w:rsidRPr="0028513D" w:rsidRDefault="007F52E2" w:rsidP="007F52E2">
      <w:pPr>
        <w:spacing w:after="160" w:line="259" w:lineRule="auto"/>
        <w:rPr>
          <w:sz w:val="24"/>
          <w:szCs w:val="24"/>
        </w:rPr>
      </w:pPr>
      <w:r w:rsidRPr="0028513D">
        <w:rPr>
          <w:sz w:val="24"/>
          <w:szCs w:val="24"/>
        </w:rPr>
        <w:t>Community policing has become integral to my work, as I have developed relationships that go beyond basic interactions with persons in my communities. I have learned that community trust is a cornerstone of effective policing, essential for both crime prevention and resolution (</w:t>
      </w:r>
      <w:proofErr w:type="spellStart"/>
      <w:r w:rsidRPr="0028513D">
        <w:rPr>
          <w:sz w:val="24"/>
          <w:szCs w:val="24"/>
        </w:rPr>
        <w:t>Signori</w:t>
      </w:r>
      <w:proofErr w:type="spellEnd"/>
      <w:r w:rsidRPr="0028513D">
        <w:rPr>
          <w:sz w:val="24"/>
          <w:szCs w:val="24"/>
        </w:rPr>
        <w:t xml:space="preserve"> et al., 2023). Working closely with community groups has allowed me to understand specific challenges and needs, fostering partnerships that are mutually beneficial. This approach aligns with research advocating that community-based strategies, like neighbourhood policing, can reduce crime while building stronger community relations (Gill et al., 2014). As a member of the LGBT community, these connections carry additional personal significance, reinforcing my commitment to inclusivity and understanding of diverse populations.</w:t>
      </w:r>
    </w:p>
    <w:p w14:paraId="4A236481" w14:textId="77777777" w:rsidR="007F52E2" w:rsidRPr="0028513D" w:rsidRDefault="007F52E2" w:rsidP="007F52E2">
      <w:pPr>
        <w:spacing w:after="160" w:line="259" w:lineRule="auto"/>
        <w:rPr>
          <w:sz w:val="24"/>
          <w:szCs w:val="24"/>
        </w:rPr>
      </w:pPr>
      <w:r w:rsidRPr="0028513D">
        <w:rPr>
          <w:sz w:val="24"/>
          <w:szCs w:val="24"/>
        </w:rPr>
        <w:t>Throughout this period, I have also gained a clearer understanding of strategic priorities, particularly the Policing Vision 2025. This framework has introduced me to the necessity of adopting a proactive, collaborative approach to both community and national-level challenges (NPCC, 2016). This understanding has influenced my daily duties, motivating me to prioritise community trust and inter-agency collaboration. The College’s emphasis on technology and intelligence-led policing has also reinforced my focus on local data and evidence, contributing to my ability to anticipate emerging trends in crime and develop better strategies. This perspective aligns with academic research on proactive policing’s role in early intervention and reducing repeat offending (Ratcliffe, 2016).</w:t>
      </w:r>
    </w:p>
    <w:p w14:paraId="4AD37391" w14:textId="77777777" w:rsidR="007F52E2" w:rsidRPr="0028513D" w:rsidRDefault="007F52E2" w:rsidP="007F52E2">
      <w:pPr>
        <w:spacing w:after="160" w:line="259" w:lineRule="auto"/>
        <w:rPr>
          <w:sz w:val="24"/>
          <w:szCs w:val="24"/>
        </w:rPr>
      </w:pPr>
      <w:r w:rsidRPr="0028513D">
        <w:rPr>
          <w:sz w:val="24"/>
          <w:szCs w:val="24"/>
        </w:rPr>
        <w:t>My final probationary year has brought opportunities to develop leadership skills, preparing me for a future role as a tutor or even a supervisor. Tutorship, both given and received, has proven invaluable to my development as an officer, allowing me to guide newer recruits in line with our ethical standards and organisational values (</w:t>
      </w:r>
      <w:proofErr w:type="spellStart"/>
      <w:r w:rsidRPr="0028513D">
        <w:rPr>
          <w:sz w:val="24"/>
          <w:szCs w:val="24"/>
        </w:rPr>
        <w:t>Neyroud</w:t>
      </w:r>
      <w:proofErr w:type="spellEnd"/>
      <w:r w:rsidRPr="0028513D">
        <w:rPr>
          <w:sz w:val="24"/>
          <w:szCs w:val="24"/>
        </w:rPr>
        <w:t xml:space="preserve"> QPM, 2010). While still growing in my role as a response officer, I have gained insights into team dynamics and the importance of leading by example, which research suggests is central to ethical policing (Crank, 2015). This leadership experience has given me a deeper understanding of the responsibilities I will undertake as I progress within the police service.</w:t>
      </w:r>
    </w:p>
    <w:p w14:paraId="2D055F30" w14:textId="77777777" w:rsidR="007F52E2" w:rsidRPr="0028513D" w:rsidRDefault="007F52E2" w:rsidP="007F52E2">
      <w:pPr>
        <w:spacing w:after="160" w:line="259" w:lineRule="auto"/>
        <w:rPr>
          <w:sz w:val="24"/>
          <w:szCs w:val="24"/>
        </w:rPr>
      </w:pPr>
      <w:r w:rsidRPr="0028513D">
        <w:rPr>
          <w:sz w:val="24"/>
          <w:szCs w:val="24"/>
        </w:rPr>
        <w:t>Additionally, I have aligned with Workforce Transformation 2018 as part of my ongoing professional growth. In order to fulfil modern expectations, this plan needs a police force that is both adaptable and proficient in digital skills (Home Office, 2018). My ability to handle problems like cybercrime and social media threats has improved because to training in digital and analytical abilities, which has given me the vital tools I need to meet the changing demands of modern policing. This training backs up scholarly claims that the police force has to be digitally literate in order to combat emerging forms of crime (Levi et al., 2015). I feel more equipped to make a significant contribution to the future of policing now that my skills are in line with these workforce goals.</w:t>
      </w:r>
    </w:p>
    <w:p w14:paraId="4221824A" w14:textId="77777777" w:rsidR="007F52E2" w:rsidRPr="0028513D" w:rsidRDefault="007F52E2" w:rsidP="007F52E2">
      <w:pPr>
        <w:spacing w:after="160" w:line="259" w:lineRule="auto"/>
        <w:rPr>
          <w:sz w:val="24"/>
          <w:szCs w:val="24"/>
        </w:rPr>
      </w:pPr>
      <w:r w:rsidRPr="0028513D">
        <w:rPr>
          <w:sz w:val="24"/>
          <w:szCs w:val="24"/>
        </w:rPr>
        <w:lastRenderedPageBreak/>
        <w:t>Overall, the progression in my probationary period has been instrumental in shaping my role as a modern, professional police officer. The increasing responsibility, commitment to community engagement, focus on strategic objectives, leadership opportunities, and development of digital skills collectively prepare me to serve effectively. The alignment with the College of Policing’s initiatives and strategic objectives like Policing Vision 2025 and Workforce Transformation 2018 ensures that my skills, insights, and actions contribute to a professional, inclusive, and forward-looking police service.</w:t>
      </w:r>
    </w:p>
    <w:p w14:paraId="1A902029" w14:textId="77777777" w:rsidR="007F52E2" w:rsidRDefault="007F52E2" w:rsidP="007F52E2"/>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1C72888C" w14:textId="77777777" w:rsidR="00AC13D5" w:rsidRPr="00450C83" w:rsidRDefault="00AC13D5" w:rsidP="00340E9A">
      <w:pPr>
        <w:ind w:right="237"/>
        <w:jc w:val="both"/>
        <w:rPr>
          <w:b/>
          <w:sz w:val="24"/>
          <w:szCs w:val="24"/>
        </w:rPr>
      </w:pPr>
    </w:p>
    <w:p w14:paraId="26666C2D" w14:textId="77777777" w:rsidR="00AC13D5" w:rsidRPr="0028513D" w:rsidRDefault="00AC13D5" w:rsidP="00AC13D5">
      <w:pPr>
        <w:rPr>
          <w:sz w:val="24"/>
          <w:szCs w:val="24"/>
        </w:rPr>
      </w:pPr>
      <w:r w:rsidRPr="0028513D">
        <w:rPr>
          <w:sz w:val="24"/>
          <w:szCs w:val="24"/>
        </w:rPr>
        <w:t>In the contemporary digital era, social media has become an invaluable tool in policing, allowing for rapid information dissemination, community engagement, and policy promotion. However, its use in law enforcement must balance transparency, privacy, and professional ethics. This essay will critically evaluate an incident I experienced as a police officer within South Wales Police, highlighting how social media was utilised to inform and engage the community. Additionally, it will examine South Wales Police’s policies on professional social media use, assess platform-specific advantages and risks, and reflect on the broader impact of social media in policing.</w:t>
      </w:r>
    </w:p>
    <w:p w14:paraId="270B0EF6" w14:textId="77777777" w:rsidR="00AC13D5" w:rsidRPr="0028513D" w:rsidRDefault="00AC13D5" w:rsidP="00AC13D5">
      <w:pPr>
        <w:rPr>
          <w:sz w:val="24"/>
          <w:szCs w:val="24"/>
        </w:rPr>
      </w:pPr>
    </w:p>
    <w:p w14:paraId="14C9558F" w14:textId="77777777" w:rsidR="00AC13D5" w:rsidRPr="0028513D" w:rsidRDefault="00AC13D5" w:rsidP="00AC13D5">
      <w:pPr>
        <w:rPr>
          <w:sz w:val="24"/>
          <w:szCs w:val="24"/>
        </w:rPr>
      </w:pPr>
      <w:r w:rsidRPr="0028513D">
        <w:rPr>
          <w:sz w:val="24"/>
          <w:szCs w:val="24"/>
        </w:rPr>
        <w:t>In this scenario, I was involved in an incident involving a reported case of domestic violence. A young woman, had been the victim of repeated abuse by her long-term partner, resulting in prolonged physical and emotional trauma. Responding to a call from a neighbour, I was the officer that led the team in providing immediate assistance, coordinating her immediate protection, and guiding her toward available support services in the local area.</w:t>
      </w:r>
    </w:p>
    <w:p w14:paraId="67F60480" w14:textId="77777777" w:rsidR="00AC13D5" w:rsidRPr="0028513D" w:rsidRDefault="00AC13D5" w:rsidP="00AC13D5">
      <w:pPr>
        <w:rPr>
          <w:sz w:val="24"/>
          <w:szCs w:val="24"/>
        </w:rPr>
      </w:pPr>
    </w:p>
    <w:p w14:paraId="2FEF1DDF" w14:textId="0AE4008E" w:rsidR="00AC13D5" w:rsidRPr="0028513D" w:rsidRDefault="00AC13D5" w:rsidP="00AC13D5">
      <w:pPr>
        <w:rPr>
          <w:sz w:val="24"/>
          <w:szCs w:val="24"/>
        </w:rPr>
      </w:pPr>
      <w:r w:rsidRPr="0028513D">
        <w:rPr>
          <w:sz w:val="24"/>
          <w:szCs w:val="24"/>
        </w:rPr>
        <w:t>To support the community and raise awareness, my force later posted a carefully crafted social media update about the incident without any identifying details, emphasising our commitment to supporting victims and encouraging others to come forward if they experienced similar situations. This incident highlighted both the potential of social media for promoting public awareness and the challenges in ensuring compliance with privacy and ethical standards.</w:t>
      </w:r>
    </w:p>
    <w:p w14:paraId="77E99AA8" w14:textId="77777777" w:rsidR="00AC13D5" w:rsidRPr="0028513D" w:rsidRDefault="00AC13D5" w:rsidP="00AC13D5">
      <w:pPr>
        <w:rPr>
          <w:sz w:val="24"/>
          <w:szCs w:val="24"/>
        </w:rPr>
      </w:pPr>
    </w:p>
    <w:p w14:paraId="0359C9CF" w14:textId="77777777" w:rsidR="00AC13D5" w:rsidRPr="0028513D" w:rsidRDefault="00AC13D5" w:rsidP="00AC13D5">
      <w:pPr>
        <w:rPr>
          <w:sz w:val="24"/>
          <w:szCs w:val="24"/>
        </w:rPr>
      </w:pPr>
      <w:r w:rsidRPr="0028513D">
        <w:rPr>
          <w:sz w:val="24"/>
          <w:szCs w:val="24"/>
        </w:rPr>
        <w:lastRenderedPageBreak/>
        <w:t>South Wales Police encourages social media use as a means to enhance transparency, public engagement, and trust. According to the South Wales Police Policy on Social Media Use, officers must use social media professionally, safeguarding sensitive information, and respecting victim privacy. Officers are permitted to share information on incidents if it serves a public interest, is non-identifiable, and adheres to ethical and privacy standards. (South Wales Police, 2024)</w:t>
      </w:r>
    </w:p>
    <w:p w14:paraId="2553B768" w14:textId="77777777" w:rsidR="00AC13D5" w:rsidRPr="0028513D" w:rsidRDefault="00AC13D5" w:rsidP="00AC13D5">
      <w:pPr>
        <w:rPr>
          <w:sz w:val="24"/>
          <w:szCs w:val="24"/>
        </w:rPr>
      </w:pPr>
    </w:p>
    <w:p w14:paraId="269FBCDA" w14:textId="77777777" w:rsidR="00AC13D5" w:rsidRPr="0028513D" w:rsidRDefault="00AC13D5" w:rsidP="00AC13D5">
      <w:pPr>
        <w:rPr>
          <w:sz w:val="24"/>
          <w:szCs w:val="24"/>
        </w:rPr>
      </w:pPr>
      <w:r w:rsidRPr="0028513D">
        <w:rPr>
          <w:sz w:val="24"/>
          <w:szCs w:val="24"/>
        </w:rPr>
        <w:t xml:space="preserve">The policy stresses the importance of a professional tone, avoiding any posts that could appear biased towards a certain community or insensitive, particularly in cases involving vulnerable individuals. Training is provided to all officers on the best practice, highlighting the legal considerations of the UK’s Data Protection Act 2018 and the General Data Protection Regulation (GDPR), which govern data privacy and sensitive information (Hoofnagle, Sloot and </w:t>
      </w:r>
      <w:proofErr w:type="spellStart"/>
      <w:r w:rsidRPr="0028513D">
        <w:rPr>
          <w:sz w:val="24"/>
          <w:szCs w:val="24"/>
        </w:rPr>
        <w:t>Borgesius</w:t>
      </w:r>
      <w:proofErr w:type="spellEnd"/>
      <w:r w:rsidRPr="0028513D">
        <w:rPr>
          <w:sz w:val="24"/>
          <w:szCs w:val="24"/>
        </w:rPr>
        <w:t>, 2019).</w:t>
      </w:r>
    </w:p>
    <w:p w14:paraId="4EE8F40D" w14:textId="77777777" w:rsidR="00AC13D5" w:rsidRPr="0028513D" w:rsidRDefault="00AC13D5" w:rsidP="00AC13D5">
      <w:pPr>
        <w:rPr>
          <w:sz w:val="24"/>
          <w:szCs w:val="24"/>
        </w:rPr>
      </w:pPr>
    </w:p>
    <w:p w14:paraId="591CC8F1" w14:textId="27AF6A41" w:rsidR="00AC13D5" w:rsidRPr="0028513D" w:rsidRDefault="00AC13D5" w:rsidP="00AC13D5">
      <w:pPr>
        <w:pStyle w:val="NormalWeb"/>
        <w:spacing w:before="0" w:beforeAutospacing="0" w:after="0" w:afterAutospacing="0"/>
        <w:rPr>
          <w:rFonts w:ascii="Arial" w:hAnsi="Arial" w:cs="Arial"/>
          <w:color w:val="000000"/>
        </w:rPr>
      </w:pPr>
      <w:r w:rsidRPr="0028513D">
        <w:rPr>
          <w:rFonts w:ascii="Arial" w:hAnsi="Arial" w:cs="Arial"/>
          <w:color w:val="000000"/>
        </w:rPr>
        <w:t xml:space="preserve">South Wales Police’s approach to social media aligns with research on policing and digital communication. Social media can enhance transparency and accountability, providing a platform for police to engage with the community and promote trust (Meijer &amp; </w:t>
      </w:r>
      <w:proofErr w:type="spellStart"/>
      <w:r w:rsidRPr="0028513D">
        <w:rPr>
          <w:rFonts w:ascii="Arial" w:hAnsi="Arial" w:cs="Arial"/>
          <w:color w:val="000000"/>
        </w:rPr>
        <w:t>Thaens</w:t>
      </w:r>
      <w:proofErr w:type="spellEnd"/>
      <w:r w:rsidRPr="0028513D">
        <w:rPr>
          <w:rFonts w:ascii="Arial" w:hAnsi="Arial" w:cs="Arial"/>
          <w:color w:val="000000"/>
        </w:rPr>
        <w:t>, 2013). This aligns with Tyler’s (2006) theory of procedural justice, which emphasises that when communities perceive policing efforts as fair and transparent, trust in the police increases.</w:t>
      </w:r>
    </w:p>
    <w:p w14:paraId="4055A5E9" w14:textId="77777777" w:rsidR="00AC13D5" w:rsidRPr="0028513D" w:rsidRDefault="00AC13D5" w:rsidP="00AC13D5">
      <w:pPr>
        <w:pStyle w:val="NormalWeb"/>
        <w:spacing w:before="0" w:beforeAutospacing="0" w:after="0" w:afterAutospacing="0"/>
        <w:rPr>
          <w:rFonts w:ascii="Arial" w:hAnsi="Arial" w:cs="Arial"/>
          <w:color w:val="000000"/>
        </w:rPr>
      </w:pPr>
    </w:p>
    <w:p w14:paraId="30CAA5C0" w14:textId="77777777" w:rsidR="00AC13D5" w:rsidRPr="0028513D" w:rsidRDefault="00AC13D5" w:rsidP="00AC13D5">
      <w:pPr>
        <w:pStyle w:val="NormalWeb"/>
        <w:spacing w:before="0" w:beforeAutospacing="0" w:after="0" w:afterAutospacing="0"/>
        <w:rPr>
          <w:rFonts w:ascii="Arial" w:hAnsi="Arial" w:cs="Arial"/>
          <w:color w:val="000000"/>
        </w:rPr>
      </w:pPr>
      <w:r w:rsidRPr="0028513D">
        <w:rPr>
          <w:rFonts w:ascii="Arial" w:hAnsi="Arial" w:cs="Arial"/>
          <w:color w:val="000000"/>
        </w:rPr>
        <w:t>In the incident I attended, the guidelines on privacy and ethical use were vital. Research by Trottier (2012) highlights that social media use in policing must be carefully managed to avoid privacy infringements, especially when interacting with vulnerable individuals. This approach is not only ethical but supports a more secure framework for victim engagement, as social media can often reveal sensitive information if not handled with strict guidelines.</w:t>
      </w:r>
    </w:p>
    <w:p w14:paraId="1F1DF2C1" w14:textId="77777777" w:rsidR="00AC13D5" w:rsidRPr="0028513D" w:rsidRDefault="00AC13D5" w:rsidP="00AC13D5">
      <w:pPr>
        <w:pStyle w:val="NormalWeb"/>
        <w:spacing w:before="0" w:beforeAutospacing="0" w:after="0" w:afterAutospacing="0"/>
        <w:rPr>
          <w:rFonts w:ascii="Arial" w:hAnsi="Arial" w:cs="Arial"/>
          <w:color w:val="000000"/>
        </w:rPr>
      </w:pPr>
    </w:p>
    <w:p w14:paraId="694582E0" w14:textId="4028503B" w:rsidR="00AC13D5" w:rsidRPr="0028513D" w:rsidRDefault="00AC13D5" w:rsidP="00AC13D5">
      <w:pPr>
        <w:pStyle w:val="NormalWeb"/>
        <w:spacing w:after="0"/>
        <w:rPr>
          <w:rFonts w:ascii="Arial" w:hAnsi="Arial" w:cs="Arial"/>
          <w:color w:val="000000"/>
        </w:rPr>
      </w:pPr>
      <w:r w:rsidRPr="0028513D">
        <w:rPr>
          <w:rFonts w:ascii="Arial" w:hAnsi="Arial" w:cs="Arial"/>
          <w:color w:val="000000"/>
        </w:rPr>
        <w:t xml:space="preserve">Further, studies emphasise that effective social media policies can aid investigations and community outreach while preserving the integrity of ongoing cases (Hu and Lovrich, 2024). In this case, the guidelines ensured the engagement strategy protected the victim’s privacy, which aligns with the need for sensitive handling of personal data to prevent public </w:t>
      </w:r>
      <w:r w:rsidR="00501206" w:rsidRPr="0028513D">
        <w:rPr>
          <w:rFonts w:ascii="Arial" w:hAnsi="Arial" w:cs="Arial"/>
          <w:color w:val="000000"/>
        </w:rPr>
        <w:t>exposure (</w:t>
      </w:r>
      <w:r w:rsidRPr="0028513D">
        <w:rPr>
          <w:rFonts w:ascii="Arial" w:hAnsi="Arial" w:cs="Arial"/>
          <w:color w:val="000000"/>
        </w:rPr>
        <w:t>Bradley, 1998).</w:t>
      </w:r>
    </w:p>
    <w:p w14:paraId="40C6C37B" w14:textId="77777777" w:rsidR="00AC13D5" w:rsidRPr="0028513D" w:rsidRDefault="00AC13D5" w:rsidP="00AC13D5">
      <w:pPr>
        <w:pStyle w:val="NormalWeb"/>
        <w:spacing w:after="0"/>
        <w:rPr>
          <w:rFonts w:ascii="Arial" w:hAnsi="Arial" w:cs="Arial"/>
          <w:color w:val="000000"/>
        </w:rPr>
      </w:pPr>
    </w:p>
    <w:p w14:paraId="2ABABA32" w14:textId="125CD008" w:rsidR="00AC13D5" w:rsidRPr="0028513D" w:rsidRDefault="00AC13D5" w:rsidP="00AC13D5">
      <w:pPr>
        <w:rPr>
          <w:sz w:val="24"/>
          <w:szCs w:val="24"/>
        </w:rPr>
      </w:pPr>
      <w:r w:rsidRPr="0028513D">
        <w:rPr>
          <w:sz w:val="24"/>
          <w:szCs w:val="24"/>
        </w:rPr>
        <w:t>South Wales Police’s strategic use of multiple social media platforms aligns with the varied communication preferences of the public. This multi-platform approach is consistent with findings from social media research in policing, which emphasise that different platforms serve distinct functions, allowing for tailored engagement with various demographic groups and enhancing transparency.</w:t>
      </w:r>
    </w:p>
    <w:p w14:paraId="332572FB" w14:textId="77777777" w:rsidR="00AC13D5" w:rsidRPr="0028513D" w:rsidRDefault="00AC13D5" w:rsidP="00AC13D5">
      <w:pPr>
        <w:rPr>
          <w:sz w:val="24"/>
          <w:szCs w:val="24"/>
        </w:rPr>
      </w:pPr>
    </w:p>
    <w:p w14:paraId="5885DC71" w14:textId="021FC5E5" w:rsidR="00AC13D5" w:rsidRPr="0028513D" w:rsidRDefault="0028513D" w:rsidP="00AC13D5">
      <w:pPr>
        <w:rPr>
          <w:sz w:val="24"/>
          <w:szCs w:val="24"/>
        </w:rPr>
      </w:pPr>
      <w:r w:rsidRPr="0028513D">
        <w:rPr>
          <w:sz w:val="24"/>
          <w:szCs w:val="24"/>
        </w:rPr>
        <w:t>X</w:t>
      </w:r>
      <w:r w:rsidR="00AC13D5" w:rsidRPr="0028513D">
        <w:rPr>
          <w:sz w:val="24"/>
          <w:szCs w:val="24"/>
        </w:rPr>
        <w:t xml:space="preserve">’s fast-paced, real-time communication style is particularly effective for time-sensitive updates and live incident reporting, as noted by Crump (2011). During emergencies or ongoing operations, </w:t>
      </w:r>
      <w:r w:rsidRPr="0028513D">
        <w:rPr>
          <w:sz w:val="24"/>
          <w:szCs w:val="24"/>
        </w:rPr>
        <w:t>X</w:t>
      </w:r>
      <w:r w:rsidR="00AC13D5" w:rsidRPr="0028513D">
        <w:rPr>
          <w:sz w:val="24"/>
          <w:szCs w:val="24"/>
        </w:rPr>
        <w:t xml:space="preserve"> enables the police to quickly relay information to the public, reducing uncertainty and fostering a sense of security. The platform also facilitates interactive communication, allowing the police to receive immediate public feedback, which can aid in dynamic incident management (Schneider, 2016).</w:t>
      </w:r>
    </w:p>
    <w:p w14:paraId="5230BC4C" w14:textId="77777777" w:rsidR="00AC13D5" w:rsidRPr="0028513D" w:rsidRDefault="00AC13D5" w:rsidP="00AC13D5">
      <w:pPr>
        <w:rPr>
          <w:sz w:val="24"/>
          <w:szCs w:val="24"/>
        </w:rPr>
      </w:pPr>
    </w:p>
    <w:p w14:paraId="2266B172" w14:textId="7F20FA9C" w:rsidR="00AC13D5" w:rsidRPr="0028513D" w:rsidRDefault="00AC13D5" w:rsidP="00AC13D5">
      <w:pPr>
        <w:rPr>
          <w:sz w:val="24"/>
          <w:szCs w:val="24"/>
        </w:rPr>
      </w:pPr>
      <w:r w:rsidRPr="0028513D">
        <w:rPr>
          <w:sz w:val="24"/>
          <w:szCs w:val="24"/>
        </w:rPr>
        <w:lastRenderedPageBreak/>
        <w:t>Facebook’s format supports longer</w:t>
      </w:r>
      <w:r w:rsidR="00501206">
        <w:rPr>
          <w:sz w:val="24"/>
          <w:szCs w:val="24"/>
        </w:rPr>
        <w:t xml:space="preserve"> and </w:t>
      </w:r>
      <w:r w:rsidRPr="0028513D">
        <w:rPr>
          <w:sz w:val="24"/>
          <w:szCs w:val="24"/>
        </w:rPr>
        <w:t>detailed posts, making it ideal for sharing community updates, responding to issues, and creating spaces for public dialogue. Ruddell &amp; Jones (2013) found that Facebook’s community-oriented design encourages public trust by allowing the public to communicate directly with police posts through comments. Social cohesion and community support for police initiatives can be promoted by this two-way communication strategy, which strengthens relationships and gives the public a sense of being heard (The Police Foundation, 2014).</w:t>
      </w:r>
    </w:p>
    <w:p w14:paraId="519CC2DF" w14:textId="77777777" w:rsidR="00AC13D5" w:rsidRPr="0028513D" w:rsidRDefault="00AC13D5" w:rsidP="00AC13D5">
      <w:pPr>
        <w:rPr>
          <w:sz w:val="24"/>
          <w:szCs w:val="24"/>
        </w:rPr>
      </w:pPr>
    </w:p>
    <w:p w14:paraId="58B22673" w14:textId="2F3B2C6F" w:rsidR="00AC13D5" w:rsidRPr="0028513D" w:rsidRDefault="00AC13D5" w:rsidP="00AC13D5">
      <w:pPr>
        <w:rPr>
          <w:sz w:val="24"/>
          <w:szCs w:val="24"/>
        </w:rPr>
      </w:pPr>
      <w:r w:rsidRPr="0028513D">
        <w:rPr>
          <w:sz w:val="24"/>
          <w:szCs w:val="24"/>
        </w:rPr>
        <w:t xml:space="preserve">Instagram’s visual focus is well-suited for “humanising” the police force by showcasing police-community interactions, which helps bridge gaps between officers and younger audiences who are more active on the platform. Brainard and </w:t>
      </w:r>
      <w:proofErr w:type="spellStart"/>
      <w:r w:rsidRPr="0028513D">
        <w:rPr>
          <w:sz w:val="24"/>
          <w:szCs w:val="24"/>
        </w:rPr>
        <w:t>Edlins</w:t>
      </w:r>
      <w:proofErr w:type="spellEnd"/>
      <w:r w:rsidRPr="0028513D">
        <w:rPr>
          <w:sz w:val="24"/>
          <w:szCs w:val="24"/>
        </w:rPr>
        <w:t xml:space="preserve">, (2014) highlight that storytelling through images can create a positive public image by portraying police officers as approachable and compassionate. Posts about community engagement, </w:t>
      </w:r>
      <w:r w:rsidR="00501206">
        <w:rPr>
          <w:sz w:val="24"/>
          <w:szCs w:val="24"/>
        </w:rPr>
        <w:t xml:space="preserve">and </w:t>
      </w:r>
      <w:r w:rsidRPr="0028513D">
        <w:rPr>
          <w:sz w:val="24"/>
          <w:szCs w:val="24"/>
        </w:rPr>
        <w:t>safety initiatives</w:t>
      </w:r>
      <w:r w:rsidR="00501206">
        <w:rPr>
          <w:sz w:val="24"/>
          <w:szCs w:val="24"/>
        </w:rPr>
        <w:t xml:space="preserve"> </w:t>
      </w:r>
      <w:r w:rsidRPr="0028513D">
        <w:rPr>
          <w:sz w:val="24"/>
          <w:szCs w:val="24"/>
        </w:rPr>
        <w:t>are effective in building rapport and presenting a relatable side of the police force.</w:t>
      </w:r>
    </w:p>
    <w:p w14:paraId="6A02F918" w14:textId="77777777" w:rsidR="00AC13D5" w:rsidRPr="0028513D" w:rsidRDefault="00AC13D5" w:rsidP="00AC13D5">
      <w:pPr>
        <w:rPr>
          <w:sz w:val="24"/>
          <w:szCs w:val="24"/>
        </w:rPr>
      </w:pPr>
    </w:p>
    <w:p w14:paraId="4579E0EB" w14:textId="77777777" w:rsidR="00AC13D5" w:rsidRPr="0028513D" w:rsidRDefault="00AC13D5" w:rsidP="00AC13D5">
      <w:pPr>
        <w:rPr>
          <w:sz w:val="24"/>
          <w:szCs w:val="24"/>
        </w:rPr>
      </w:pPr>
      <w:r w:rsidRPr="0028513D">
        <w:rPr>
          <w:sz w:val="24"/>
          <w:szCs w:val="24"/>
        </w:rPr>
        <w:t>The platform’s video capabilities support the sharing of longer, informative content, such as press conferences, public awareness campaigns, and instructional videos. Goldsmith (2013) points out that such content can educate the public on safety issues, policing procedures, and crime prevention, providing for an informed community. YouTube’s capacity for long videos also allows South Wales Police to reinforce its commitment to transparency by explaining policies or actions in detail, thus further supporting public trust.</w:t>
      </w:r>
    </w:p>
    <w:p w14:paraId="17DE775B" w14:textId="77777777" w:rsidR="00AC13D5" w:rsidRPr="0028513D" w:rsidRDefault="00AC13D5" w:rsidP="00AC13D5">
      <w:pPr>
        <w:rPr>
          <w:sz w:val="24"/>
          <w:szCs w:val="24"/>
        </w:rPr>
      </w:pPr>
    </w:p>
    <w:p w14:paraId="77E0D675" w14:textId="45733D6D" w:rsidR="00AC13D5" w:rsidRPr="0028513D" w:rsidRDefault="00AC13D5" w:rsidP="00AC13D5">
      <w:pPr>
        <w:rPr>
          <w:sz w:val="24"/>
          <w:szCs w:val="24"/>
        </w:rPr>
      </w:pPr>
      <w:r w:rsidRPr="0028513D">
        <w:rPr>
          <w:sz w:val="24"/>
          <w:szCs w:val="24"/>
        </w:rPr>
        <w:t>By strategically utilising each platform, South Wales Police not only reaches broader and more diverse audiences and communities but also adapts its messaging style to suit the strengths of each platform. This approach is in line with contemporary social media strategies in policing, which aim to improve accessibility, build public trust, and support open communication with the public (Fortin, Delle Donne and Knop, 2020).</w:t>
      </w:r>
    </w:p>
    <w:p w14:paraId="65F6AC39" w14:textId="77777777" w:rsidR="00AC13D5" w:rsidRPr="0028513D" w:rsidRDefault="00AC13D5" w:rsidP="00AC13D5">
      <w:pPr>
        <w:rPr>
          <w:sz w:val="24"/>
          <w:szCs w:val="24"/>
        </w:rPr>
      </w:pPr>
    </w:p>
    <w:p w14:paraId="5B21ED51" w14:textId="77777777" w:rsidR="00AC13D5" w:rsidRPr="0028513D" w:rsidRDefault="00AC13D5" w:rsidP="00AC13D5">
      <w:pPr>
        <w:rPr>
          <w:sz w:val="24"/>
          <w:szCs w:val="24"/>
        </w:rPr>
      </w:pPr>
      <w:r w:rsidRPr="0028513D">
        <w:rPr>
          <w:sz w:val="24"/>
          <w:szCs w:val="24"/>
        </w:rPr>
        <w:t xml:space="preserve">Social media allows real-time communication with the public, which can increase trust in the police force. By sharing updates, preventative tips, and local news, police can foster a sense of safety and collaboration with the community (Meijer &amp; </w:t>
      </w:r>
      <w:proofErr w:type="spellStart"/>
      <w:r w:rsidRPr="0028513D">
        <w:rPr>
          <w:sz w:val="24"/>
          <w:szCs w:val="24"/>
        </w:rPr>
        <w:t>Thaens</w:t>
      </w:r>
      <w:proofErr w:type="spellEnd"/>
      <w:r w:rsidRPr="0028513D">
        <w:rPr>
          <w:sz w:val="24"/>
          <w:szCs w:val="24"/>
        </w:rPr>
        <w:t>, 2013). Research suggests that this kind of visibility and openness enhances perceptions of procedural justice, which is essential for maintaining legitimacy and trust in the police (Tyler, 2004). Additionally, social media humanises police officers through interactive posts, breaking down traditional barriers between the police and the public (Lieberman, Koetzle and Sakiyama, 2013).</w:t>
      </w:r>
    </w:p>
    <w:p w14:paraId="21258CFA" w14:textId="77777777" w:rsidR="00AC13D5" w:rsidRPr="0028513D" w:rsidRDefault="00AC13D5" w:rsidP="00AC13D5">
      <w:pPr>
        <w:rPr>
          <w:sz w:val="24"/>
          <w:szCs w:val="24"/>
        </w:rPr>
      </w:pPr>
    </w:p>
    <w:p w14:paraId="3F9A2181" w14:textId="57A429DE" w:rsidR="00AC13D5" w:rsidRPr="0028513D" w:rsidRDefault="00AC13D5" w:rsidP="00AC13D5">
      <w:pPr>
        <w:rPr>
          <w:sz w:val="24"/>
          <w:szCs w:val="24"/>
        </w:rPr>
      </w:pPr>
      <w:r w:rsidRPr="0028513D">
        <w:rPr>
          <w:sz w:val="24"/>
          <w:szCs w:val="24"/>
        </w:rPr>
        <w:t xml:space="preserve">Platforms like </w:t>
      </w:r>
      <w:r w:rsidR="0028513D" w:rsidRPr="0028513D">
        <w:rPr>
          <w:sz w:val="24"/>
          <w:szCs w:val="24"/>
        </w:rPr>
        <w:t>X</w:t>
      </w:r>
      <w:r w:rsidRPr="0028513D">
        <w:rPr>
          <w:sz w:val="24"/>
          <w:szCs w:val="24"/>
        </w:rPr>
        <w:t xml:space="preserve"> and Facebook are valuable for quickly disseminating emergency updates, such as missing persons reports or public safety alerts, helping to mobilise the community when urgent action is needed (Palmiotto, 2011). It has been demonstrated that prompt and correct information exchange during emergencies enhances public compliance and slows the propagation of false information </w:t>
      </w:r>
      <w:bookmarkStart w:id="0" w:name="_Hlk186297073"/>
      <w:r w:rsidRPr="0028513D">
        <w:rPr>
          <w:sz w:val="24"/>
          <w:szCs w:val="24"/>
        </w:rPr>
        <w:t>(Denef, Bayerl, and Kaptein, 2013</w:t>
      </w:r>
      <w:bookmarkEnd w:id="0"/>
      <w:r w:rsidRPr="0028513D">
        <w:rPr>
          <w:sz w:val="24"/>
          <w:szCs w:val="24"/>
        </w:rPr>
        <w:t>). The usage of Twitter by South Wales Police amid flooding and storm events is a prime example of how social media can effectively direct community efforts and provide real-time updates.</w:t>
      </w:r>
    </w:p>
    <w:p w14:paraId="25DC6FD0" w14:textId="77777777" w:rsidR="00AC13D5" w:rsidRPr="0028513D" w:rsidRDefault="00AC13D5" w:rsidP="00AC13D5">
      <w:pPr>
        <w:rPr>
          <w:sz w:val="24"/>
          <w:szCs w:val="24"/>
        </w:rPr>
      </w:pPr>
    </w:p>
    <w:p w14:paraId="17042CFB" w14:textId="459994C5" w:rsidR="00AC13D5" w:rsidRPr="0028513D" w:rsidRDefault="00AC13D5" w:rsidP="00AC13D5">
      <w:pPr>
        <w:rPr>
          <w:sz w:val="24"/>
          <w:szCs w:val="24"/>
        </w:rPr>
      </w:pPr>
      <w:r w:rsidRPr="0028513D">
        <w:rPr>
          <w:sz w:val="24"/>
          <w:szCs w:val="24"/>
        </w:rPr>
        <w:lastRenderedPageBreak/>
        <w:t>Initiatives like community policing, mental health support, and domestic violence awareness can b</w:t>
      </w:r>
      <w:r w:rsidR="0028513D">
        <w:rPr>
          <w:sz w:val="24"/>
          <w:szCs w:val="24"/>
        </w:rPr>
        <w:t>e</w:t>
      </w:r>
      <w:r w:rsidRPr="0028513D">
        <w:rPr>
          <w:sz w:val="24"/>
          <w:szCs w:val="24"/>
        </w:rPr>
        <w:t xml:space="preserve"> shared on social media. Platforms like Instagram are used by campaigns like the "No Excuse for Abuse" effort to spread messages to audiences who might not otherwise use traditional channels of communication (Trottier, 2016). This method allows people to report occurrences anonymously and get support, while also increasing public awareness of police practices. Additionally, by utilising the visual nature of platforms such as TikTok, police departments are increasingly employing video content to demonstrate the impact of community safety efforts (Walsh and O'Connor, 2018).</w:t>
      </w:r>
    </w:p>
    <w:p w14:paraId="47776BC9" w14:textId="77777777" w:rsidR="00AC13D5" w:rsidRPr="0028513D" w:rsidRDefault="00AC13D5" w:rsidP="00AC13D5">
      <w:pPr>
        <w:rPr>
          <w:sz w:val="24"/>
          <w:szCs w:val="24"/>
        </w:rPr>
      </w:pPr>
    </w:p>
    <w:p w14:paraId="163E47DE" w14:textId="77777777" w:rsidR="00AC13D5" w:rsidRPr="0028513D" w:rsidRDefault="00AC13D5" w:rsidP="00AC13D5">
      <w:pPr>
        <w:rPr>
          <w:sz w:val="24"/>
          <w:szCs w:val="24"/>
        </w:rPr>
      </w:pPr>
      <w:r w:rsidRPr="0028513D">
        <w:rPr>
          <w:sz w:val="24"/>
          <w:szCs w:val="24"/>
        </w:rPr>
        <w:t xml:space="preserve">Additionally, social media offers a platform for promoting tools and assistance for crime victims. In one victim's case, for example, our department's post emphasising domestic abuse victims' support networks urged others to get help. According to studies, victims' hurdles, such their fear of being judged or their ignorance of available options, can be lessened by public, non-stigmatising internet campaigns (Hester and </w:t>
      </w:r>
      <w:proofErr w:type="spellStart"/>
      <w:r w:rsidRPr="0028513D">
        <w:rPr>
          <w:sz w:val="24"/>
          <w:szCs w:val="24"/>
        </w:rPr>
        <w:t>Westmarland</w:t>
      </w:r>
      <w:proofErr w:type="spellEnd"/>
      <w:r w:rsidRPr="0028513D">
        <w:rPr>
          <w:sz w:val="24"/>
          <w:szCs w:val="24"/>
        </w:rPr>
        <w:t>, 2006). Additionally, certain vulnerable populations can be successfully connected with the right services using social media outreach initiatives that include geographic targeting (</w:t>
      </w:r>
      <w:proofErr w:type="spellStart"/>
      <w:r w:rsidRPr="0028513D">
        <w:rPr>
          <w:sz w:val="24"/>
          <w:szCs w:val="24"/>
        </w:rPr>
        <w:t>Grimmelikhuijsen</w:t>
      </w:r>
      <w:proofErr w:type="spellEnd"/>
      <w:r w:rsidRPr="0028513D">
        <w:rPr>
          <w:sz w:val="24"/>
          <w:szCs w:val="24"/>
        </w:rPr>
        <w:t xml:space="preserve"> et al., 2013).</w:t>
      </w:r>
    </w:p>
    <w:p w14:paraId="76EB9E20" w14:textId="77777777" w:rsidR="00AC13D5" w:rsidRPr="0028513D" w:rsidRDefault="00AC13D5" w:rsidP="00AC13D5">
      <w:pPr>
        <w:rPr>
          <w:sz w:val="24"/>
          <w:szCs w:val="24"/>
        </w:rPr>
      </w:pPr>
    </w:p>
    <w:p w14:paraId="6E57C957" w14:textId="77777777" w:rsidR="00AC13D5" w:rsidRPr="0028513D" w:rsidRDefault="00AC13D5" w:rsidP="00AC13D5">
      <w:pPr>
        <w:rPr>
          <w:sz w:val="24"/>
          <w:szCs w:val="24"/>
        </w:rPr>
      </w:pPr>
      <w:r w:rsidRPr="0028513D">
        <w:rPr>
          <w:sz w:val="24"/>
          <w:szCs w:val="24"/>
        </w:rPr>
        <w:t>Social media sites serve as accountability systems in addition to being engagement tools. Forces like South Wales Police show their dedication to transparency by responding to public concerns, releasing case progress updates, and disclosing data on police performance. Such transparency, according to research by Curtin and Meijer (2006), improves public perceptions of legitimacy and closes the divide between the public and the police.</w:t>
      </w:r>
    </w:p>
    <w:p w14:paraId="4736FD1C" w14:textId="77777777" w:rsidR="00AC13D5" w:rsidRPr="0028513D" w:rsidRDefault="00AC13D5" w:rsidP="00AC13D5">
      <w:pPr>
        <w:rPr>
          <w:sz w:val="24"/>
          <w:szCs w:val="24"/>
        </w:rPr>
      </w:pPr>
    </w:p>
    <w:p w14:paraId="38D40990" w14:textId="1AD89D1D" w:rsidR="00AC13D5" w:rsidRPr="0028513D" w:rsidRDefault="00AC13D5" w:rsidP="00AC13D5">
      <w:pPr>
        <w:rPr>
          <w:sz w:val="24"/>
          <w:szCs w:val="24"/>
        </w:rPr>
      </w:pPr>
      <w:r w:rsidRPr="0028513D">
        <w:rPr>
          <w:sz w:val="24"/>
          <w:szCs w:val="24"/>
        </w:rPr>
        <w:t>These advantages highlight the tactical part social media plays in today's police work. Police forces may improve communication, build trust, and interact with the public more actively by skilfully utilising platforms. To reduce hazards like false information, offensive material, it is essential to handle these tools carefully in order to strike a balance between privacy and transparency. More study is required to assess the long-term effects of digital engagement on policing outcomes, as it becomes an important part of police strategy.</w:t>
      </w:r>
    </w:p>
    <w:p w14:paraId="3F46D6E4" w14:textId="77777777" w:rsidR="00AC13D5" w:rsidRPr="0028513D" w:rsidRDefault="00AC13D5" w:rsidP="00AC13D5">
      <w:pPr>
        <w:rPr>
          <w:sz w:val="24"/>
          <w:szCs w:val="24"/>
        </w:rPr>
      </w:pPr>
    </w:p>
    <w:p w14:paraId="397FB600" w14:textId="73900BB5" w:rsidR="00AC13D5" w:rsidRPr="0028513D" w:rsidRDefault="00AC13D5" w:rsidP="00AC13D5">
      <w:pPr>
        <w:rPr>
          <w:sz w:val="24"/>
          <w:szCs w:val="24"/>
        </w:rPr>
      </w:pPr>
      <w:r w:rsidRPr="0028513D">
        <w:rPr>
          <w:sz w:val="24"/>
          <w:szCs w:val="24"/>
        </w:rPr>
        <w:t>Despite its advantages, social media use in policing carries several risks. Protecting the privacy and confidentiality of victims and individuals involved in incidents is paramount. Sharing even basic details on platforms such as Twitter or Facebook can inadvertently reveal sensitive information, particularly in tight-knit communities where the identification of individuals is easier (Bullock, 2017). This issue aligns with discussions on data protection laws like GDPR, which emphasise the importance of minimising data exposure (Browning and Arrigo, 2020). Furthermore, secondary victimisation may result from the unintentional sharing of identifying information, which would undermine victims' confidence in the police. Strong pre-posting review procedures and specific organisational guidelines like those South Wales Police has adopted are essential for reducing these risks and guaranteeing adherence to legal and ethical requirements.</w:t>
      </w:r>
    </w:p>
    <w:p w14:paraId="185563FB" w14:textId="77777777" w:rsidR="00AC13D5" w:rsidRPr="0028513D" w:rsidRDefault="00AC13D5" w:rsidP="00AC13D5">
      <w:pPr>
        <w:rPr>
          <w:sz w:val="24"/>
          <w:szCs w:val="24"/>
        </w:rPr>
      </w:pPr>
    </w:p>
    <w:p w14:paraId="7375EBEC" w14:textId="77777777" w:rsidR="00AC13D5" w:rsidRPr="0028513D" w:rsidRDefault="00AC13D5" w:rsidP="00AC13D5">
      <w:pPr>
        <w:rPr>
          <w:sz w:val="24"/>
          <w:szCs w:val="24"/>
        </w:rPr>
      </w:pPr>
      <w:r w:rsidRPr="0028513D">
        <w:rPr>
          <w:sz w:val="24"/>
          <w:szCs w:val="24"/>
        </w:rPr>
        <w:t xml:space="preserve">Posts by police on social media platforms can be subject to scrutiny and misinterpretation, particularly in sensitive or high-profile cases. Miscommunication or poorly phrased messages can lead to public backlash, erosion of trust, and further </w:t>
      </w:r>
      <w:r w:rsidRPr="0028513D">
        <w:rPr>
          <w:sz w:val="24"/>
          <w:szCs w:val="24"/>
        </w:rPr>
        <w:lastRenderedPageBreak/>
        <w:t>polarisation in already tense situations (Ruddell &amp; Jones, 2013). For example, during incidents involving vulnerable individuals or emotionally charged scenarios, poorly framed posts may be seen as exploitative or inappropriate, intensifying criticism (Denef, Bayerl, and Kaptein, 2013). This risk underscores the importance of involving communication specialists and training officers in media literacy to craft messages that are sensitive, inclusive, and aligned with public expectations.</w:t>
      </w:r>
    </w:p>
    <w:p w14:paraId="76DF0B05" w14:textId="77777777" w:rsidR="00AC13D5" w:rsidRPr="0028513D" w:rsidRDefault="00AC13D5" w:rsidP="00AC13D5">
      <w:pPr>
        <w:rPr>
          <w:sz w:val="24"/>
          <w:szCs w:val="24"/>
        </w:rPr>
      </w:pPr>
    </w:p>
    <w:p w14:paraId="0DE8B958" w14:textId="282428A0" w:rsidR="00AC13D5" w:rsidRPr="0028513D" w:rsidRDefault="00AC13D5" w:rsidP="00AC13D5">
      <w:pPr>
        <w:rPr>
          <w:sz w:val="24"/>
          <w:szCs w:val="24"/>
        </w:rPr>
      </w:pPr>
      <w:r w:rsidRPr="0028513D">
        <w:rPr>
          <w:sz w:val="24"/>
          <w:szCs w:val="24"/>
        </w:rPr>
        <w:t>Police social media accounts are often targets for hacking, impersonation, and the propagation of misinformation. These threats can damage public trust and disrupt critical communications, particularly during crises. According to Trottier and Fuchs, (2015), the spread of false narratives on social media poses significant challenges to police efforts in maintaining the integrity of information. Concern over "deepfake" technologies and their ability to produce false material that damages police credibility is also developing (Arcos, Chiru and Ivan, 2023). Forces must use cutting-edge cybersecurity measures, search social media for false information, and interact with the public to correct errors in order to meet these challenges.</w:t>
      </w:r>
    </w:p>
    <w:p w14:paraId="2DA2E1CF" w14:textId="77777777" w:rsidR="00AC13D5" w:rsidRPr="0028513D" w:rsidRDefault="00AC13D5" w:rsidP="00AC13D5">
      <w:pPr>
        <w:rPr>
          <w:sz w:val="24"/>
          <w:szCs w:val="24"/>
        </w:rPr>
      </w:pPr>
    </w:p>
    <w:p w14:paraId="341B1B25" w14:textId="07427DD1" w:rsidR="00AC13D5" w:rsidRPr="0028513D" w:rsidRDefault="00AC13D5" w:rsidP="00AC13D5">
      <w:pPr>
        <w:rPr>
          <w:sz w:val="24"/>
          <w:szCs w:val="24"/>
        </w:rPr>
      </w:pPr>
      <w:r w:rsidRPr="0028513D">
        <w:rPr>
          <w:sz w:val="24"/>
          <w:szCs w:val="24"/>
        </w:rPr>
        <w:t xml:space="preserve">Police officers' professional boundaries may be blurred by the casual characteristics of social media platforms. Interactions that are too informal or subjective run the danger of undermining the police's reputation for objectivity and professionalism (Brainard &amp; </w:t>
      </w:r>
      <w:proofErr w:type="spellStart"/>
      <w:r w:rsidRPr="0028513D">
        <w:rPr>
          <w:sz w:val="24"/>
          <w:szCs w:val="24"/>
        </w:rPr>
        <w:t>Edlins</w:t>
      </w:r>
      <w:proofErr w:type="spellEnd"/>
      <w:r w:rsidRPr="0028513D">
        <w:rPr>
          <w:sz w:val="24"/>
          <w:szCs w:val="24"/>
        </w:rPr>
        <w:t>, 2014). For instance, although intended to engage, posts that utilise humour or informal language may offend some audience segments or come across as inappropriate. Setting clear rules for appropriate online conduct is crucial, as evidenced by South Wales Police's emphasis on upholding a professional demeanour and factual accuracy. Additionally, the idea of "digital policing ethics" has drawn interest, promoting a balanced relationship between professionalism and approachability in online communications (Hohl, Bradford and Stanko, 2010).</w:t>
      </w:r>
    </w:p>
    <w:p w14:paraId="716599CF" w14:textId="77777777" w:rsidR="00AC13D5" w:rsidRPr="0028513D" w:rsidRDefault="00AC13D5" w:rsidP="00AC13D5">
      <w:pPr>
        <w:rPr>
          <w:sz w:val="24"/>
          <w:szCs w:val="24"/>
        </w:rPr>
      </w:pPr>
    </w:p>
    <w:p w14:paraId="0EED1A6F" w14:textId="77777777" w:rsidR="00AC13D5" w:rsidRPr="0028513D" w:rsidRDefault="00AC13D5" w:rsidP="00AC13D5">
      <w:pPr>
        <w:spacing w:after="160" w:line="259" w:lineRule="auto"/>
        <w:rPr>
          <w:sz w:val="24"/>
          <w:szCs w:val="24"/>
        </w:rPr>
      </w:pPr>
      <w:r w:rsidRPr="0028513D">
        <w:rPr>
          <w:sz w:val="24"/>
          <w:szCs w:val="24"/>
        </w:rPr>
        <w:t>These challenges highlight the necessity of comprehensive policies, regular training, and ongoing evaluation of social media practices. Police forces must balance transparency and public engagement with the risks associated with online platforms. Integrating insights from interdisciplinary studies on communication, law enforcement, and technology can further refine these strategies, ensuring social media remains a valuable tool for modern policing.</w:t>
      </w:r>
    </w:p>
    <w:p w14:paraId="391BCC72" w14:textId="77777777" w:rsidR="00AC13D5" w:rsidRPr="0028513D" w:rsidRDefault="00AC13D5" w:rsidP="00AC13D5">
      <w:pPr>
        <w:rPr>
          <w:sz w:val="24"/>
          <w:szCs w:val="24"/>
        </w:rPr>
      </w:pPr>
    </w:p>
    <w:p w14:paraId="7A7F0D20" w14:textId="77777777" w:rsidR="00AC13D5" w:rsidRPr="0028513D" w:rsidRDefault="00AC13D5" w:rsidP="00AC13D5">
      <w:pPr>
        <w:rPr>
          <w:sz w:val="24"/>
          <w:szCs w:val="24"/>
        </w:rPr>
      </w:pPr>
      <w:r w:rsidRPr="0028513D">
        <w:rPr>
          <w:sz w:val="24"/>
          <w:szCs w:val="24"/>
        </w:rPr>
        <w:t xml:space="preserve">Reflecting on the incident with my victim, my experience demonstrated both the strengths and limitations of social media in policing. Social media was invaluable in raising awareness about domestic violence support services, reinforcing our community’s trust in local police forces. However, navigating the privacy considerations required constant vigilance to avoid any potential harm or misinterpretation of the post. </w:t>
      </w:r>
    </w:p>
    <w:p w14:paraId="77276B0D" w14:textId="77777777" w:rsidR="00AC13D5" w:rsidRPr="0028513D" w:rsidRDefault="00AC13D5" w:rsidP="00AC13D5">
      <w:pPr>
        <w:rPr>
          <w:sz w:val="24"/>
          <w:szCs w:val="24"/>
        </w:rPr>
      </w:pPr>
      <w:r w:rsidRPr="0028513D">
        <w:rPr>
          <w:sz w:val="24"/>
          <w:szCs w:val="24"/>
        </w:rPr>
        <w:t>While South Wales Police’s social media policy provided a solid foundation for responsible engagement, the experience revealed areas for improvement. For instance, additional training on crisis communication and managing public reactions on social media would be beneficial for officers. Policies could also be updated to include more specific guidance on handling posts related to sensitive cases, potentially requiring review from senior officers.</w:t>
      </w:r>
    </w:p>
    <w:p w14:paraId="35138D45" w14:textId="77777777" w:rsidR="00AC13D5" w:rsidRPr="0028513D" w:rsidRDefault="00AC13D5" w:rsidP="00AC13D5">
      <w:pPr>
        <w:rPr>
          <w:sz w:val="24"/>
          <w:szCs w:val="24"/>
        </w:rPr>
      </w:pPr>
    </w:p>
    <w:p w14:paraId="3E42B740" w14:textId="77777777" w:rsidR="00AC13D5" w:rsidRPr="0028513D" w:rsidRDefault="00AC13D5" w:rsidP="00AC13D5">
      <w:pPr>
        <w:rPr>
          <w:sz w:val="24"/>
          <w:szCs w:val="24"/>
        </w:rPr>
      </w:pPr>
      <w:r w:rsidRPr="0028513D">
        <w:rPr>
          <w:sz w:val="24"/>
          <w:szCs w:val="24"/>
        </w:rPr>
        <w:lastRenderedPageBreak/>
        <w:t>Overall, this incident underscored the importance of balancing social media’s transparency and engagement benefits with ethical considerations and strict adherence to privacy laws. As social media continues to evolve, ongoing policy reviews will be essential to ensure that policing practices align with public expectations and digital standards.</w:t>
      </w:r>
    </w:p>
    <w:p w14:paraId="207CF0E3" w14:textId="77777777" w:rsidR="00AC13D5" w:rsidRPr="0028513D" w:rsidRDefault="00AC13D5" w:rsidP="00AC13D5">
      <w:pPr>
        <w:rPr>
          <w:sz w:val="24"/>
          <w:szCs w:val="24"/>
        </w:rPr>
      </w:pPr>
    </w:p>
    <w:p w14:paraId="7431F7BF" w14:textId="0B86C3B9" w:rsidR="00AC13D5" w:rsidRPr="0028513D" w:rsidRDefault="00AC13D5" w:rsidP="00AC13D5">
      <w:pPr>
        <w:rPr>
          <w:sz w:val="24"/>
          <w:szCs w:val="24"/>
        </w:rPr>
      </w:pPr>
      <w:r w:rsidRPr="0028513D">
        <w:rPr>
          <w:sz w:val="24"/>
          <w:szCs w:val="24"/>
        </w:rPr>
        <w:t xml:space="preserve">Social media has become an integral part of modern policing, providing a means for rapid information dissemination, community engagement, and policy promotion. Through the case study of this victim’s domestic violence incident, this essay has explored the benefits, risks, and complexities of using social media in policing. South Wales Police’s social media policies emphasise the importance of professionalism, ethical considerations, and protecting victim privacy. </w:t>
      </w:r>
    </w:p>
    <w:p w14:paraId="3311D0BD" w14:textId="77777777" w:rsidR="00AC13D5" w:rsidRDefault="00AC13D5" w:rsidP="00AC13D5">
      <w:pPr>
        <w:rPr>
          <w:rFonts w:asciiTheme="minorHAnsi" w:hAnsiTheme="minorHAnsi" w:cstheme="minorHAnsi"/>
          <w:sz w:val="24"/>
          <w:szCs w:val="24"/>
        </w:rPr>
      </w:pPr>
    </w:p>
    <w:p w14:paraId="3BFA5EEF" w14:textId="1664EE0B" w:rsidR="00AC13D5" w:rsidRPr="00AC13D5" w:rsidRDefault="00AC13D5" w:rsidP="00AC13D5">
      <w:pPr>
        <w:rPr>
          <w:rFonts w:asciiTheme="minorHAnsi" w:hAnsiTheme="minorHAnsi" w:cstheme="minorHAnsi"/>
          <w:sz w:val="24"/>
          <w:szCs w:val="24"/>
        </w:rPr>
      </w:pPr>
      <w:r w:rsidRPr="00AC13D5">
        <w:rPr>
          <w:rFonts w:asciiTheme="minorHAnsi" w:hAnsiTheme="minorHAnsi" w:cstheme="minorHAnsi"/>
          <w:sz w:val="24"/>
          <w:szCs w:val="24"/>
        </w:rPr>
        <w:t>2</w:t>
      </w:r>
      <w:r w:rsidR="00501206">
        <w:rPr>
          <w:rFonts w:asciiTheme="minorHAnsi" w:hAnsiTheme="minorHAnsi" w:cstheme="minorHAnsi"/>
          <w:sz w:val="24"/>
          <w:szCs w:val="24"/>
        </w:rPr>
        <w:t>200</w:t>
      </w:r>
      <w:r w:rsidRPr="00AC13D5">
        <w:rPr>
          <w:rFonts w:asciiTheme="minorHAnsi" w:hAnsiTheme="minorHAnsi" w:cstheme="minorHAnsi"/>
          <w:sz w:val="24"/>
          <w:szCs w:val="24"/>
        </w:rPr>
        <w:t xml:space="preserve"> Words.</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A4A8F6F" w14:textId="77777777" w:rsidR="0099635E" w:rsidRPr="00501206" w:rsidRDefault="0099635E" w:rsidP="0099635E">
      <w:pPr>
        <w:rPr>
          <w:sz w:val="22"/>
          <w:szCs w:val="22"/>
        </w:rPr>
      </w:pPr>
      <w:bookmarkStart w:id="1" w:name="_Hlk187155170"/>
      <w:r w:rsidRPr="00501206">
        <w:rPr>
          <w:sz w:val="22"/>
          <w:szCs w:val="22"/>
        </w:rPr>
        <w:t>Leadership in policing is critical for managing dynamic and high-risk incidents, ensuring public safety, and fostering trust within communities. This essay reflects on a significant incident I was involved in, involving a violent offender who was heavily drug induced attacked their mother and later attempted to fight police officers with a large kitchen knife in a public street. Drawing on academic theories and practical experiences, the discussion evaluates my flexibility in leadership style, analyses strategies for managing operational situations, and examines how I applied leadership models to adapt to changing circumstances.</w:t>
      </w:r>
    </w:p>
    <w:p w14:paraId="0855CB98" w14:textId="77777777" w:rsidR="0099635E" w:rsidRPr="00501206" w:rsidRDefault="0099635E" w:rsidP="0099635E">
      <w:pPr>
        <w:rPr>
          <w:sz w:val="22"/>
          <w:szCs w:val="22"/>
        </w:rPr>
      </w:pPr>
    </w:p>
    <w:p w14:paraId="196D95C1" w14:textId="77777777" w:rsidR="0099635E" w:rsidRPr="00501206" w:rsidRDefault="0099635E" w:rsidP="0099635E">
      <w:pPr>
        <w:rPr>
          <w:sz w:val="22"/>
          <w:szCs w:val="22"/>
        </w:rPr>
      </w:pPr>
      <w:r w:rsidRPr="00501206">
        <w:rPr>
          <w:sz w:val="22"/>
          <w:szCs w:val="22"/>
        </w:rPr>
        <w:t>The incident began with an emergency call reporting a domestic violence situation. A male offender had severely injured his mother and fled into the street armed with a large kitchen knife. Upon arriving at the scene, the situation was volatile: the offender was agitated and threatening harm to officers and bystanders. The immediate priority was public safety, de-escalating the threat, and apprehending the offender without further injuries.</w:t>
      </w:r>
    </w:p>
    <w:p w14:paraId="11C13A95" w14:textId="77777777" w:rsidR="0099635E" w:rsidRPr="00501206" w:rsidRDefault="0099635E" w:rsidP="0099635E">
      <w:pPr>
        <w:rPr>
          <w:sz w:val="22"/>
          <w:szCs w:val="22"/>
        </w:rPr>
      </w:pPr>
    </w:p>
    <w:p w14:paraId="1C16CD7B" w14:textId="77777777" w:rsidR="0099635E" w:rsidRPr="00501206" w:rsidRDefault="0099635E" w:rsidP="0099635E">
      <w:pPr>
        <w:rPr>
          <w:sz w:val="22"/>
          <w:szCs w:val="22"/>
        </w:rPr>
      </w:pPr>
      <w:r w:rsidRPr="00501206">
        <w:rPr>
          <w:sz w:val="22"/>
          <w:szCs w:val="22"/>
        </w:rPr>
        <w:t>Initially, I adopted a directive leadership style (</w:t>
      </w:r>
      <w:proofErr w:type="spellStart"/>
      <w:r w:rsidRPr="00501206">
        <w:rPr>
          <w:sz w:val="22"/>
          <w:szCs w:val="22"/>
        </w:rPr>
        <w:t>Muczyk</w:t>
      </w:r>
      <w:proofErr w:type="spellEnd"/>
      <w:r w:rsidRPr="00501206">
        <w:rPr>
          <w:sz w:val="22"/>
          <w:szCs w:val="22"/>
        </w:rPr>
        <w:t xml:space="preserve"> and Reimann, 1987), taking control of the scene by issuing clear instructions to the first officers on scene. I coordinated road closures, deployed officers to maintain a safe perimeter, and activated a tactical response. Engaging the offender required both firmness and some careful negotiation skills, as he exhibited erratic behaviour and refused to drop the weapon. As the situation evolved, I transitioned to a more participative leadership approach (Wang, Hou and Li, 2022), leveraging the skills of my team. I involved a trained negotiator to establish a better dialogue with the offender, and I liaised with paramedics to ensure the victim received immediate </w:t>
      </w:r>
      <w:r w:rsidRPr="00501206">
        <w:rPr>
          <w:sz w:val="22"/>
          <w:szCs w:val="22"/>
        </w:rPr>
        <w:lastRenderedPageBreak/>
        <w:t>medical care. This shift in style reflected the need for collaboration and adaptability in a fluid, high-pressure environment.</w:t>
      </w:r>
    </w:p>
    <w:p w14:paraId="0875E0BA" w14:textId="77777777" w:rsidR="0099635E" w:rsidRPr="00501206" w:rsidRDefault="0099635E" w:rsidP="0099635E">
      <w:pPr>
        <w:rPr>
          <w:sz w:val="22"/>
          <w:szCs w:val="22"/>
        </w:rPr>
      </w:pPr>
    </w:p>
    <w:p w14:paraId="31D59C49" w14:textId="77777777" w:rsidR="0099635E" w:rsidRPr="00501206" w:rsidRDefault="0099635E" w:rsidP="0099635E">
      <w:pPr>
        <w:rPr>
          <w:b/>
          <w:bCs/>
          <w:sz w:val="22"/>
          <w:szCs w:val="22"/>
        </w:rPr>
      </w:pPr>
      <w:r w:rsidRPr="00501206">
        <w:rPr>
          <w:sz w:val="22"/>
          <w:szCs w:val="22"/>
        </w:rPr>
        <w:t xml:space="preserve">We did a good job of establishing clear initial control, promptly identifying dangers, and obtaining expert assistance, such paramedics and negotiators, in this crisis. </w:t>
      </w:r>
      <w:r w:rsidRPr="00501206">
        <w:rPr>
          <w:sz w:val="22"/>
          <w:szCs w:val="22"/>
        </w:rPr>
        <w:br/>
        <w:t>Keeping team morale high, balancing enforcement and de-escalation, and guaranteeing public safety in a busy, dangerous area were some of the challenges that we encountered</w:t>
      </w:r>
      <w:r w:rsidRPr="00501206">
        <w:rPr>
          <w:b/>
          <w:bCs/>
          <w:sz w:val="22"/>
          <w:szCs w:val="22"/>
        </w:rPr>
        <w:t>.</w:t>
      </w:r>
    </w:p>
    <w:p w14:paraId="483D7408" w14:textId="77777777" w:rsidR="0099635E" w:rsidRPr="00501206" w:rsidRDefault="0099635E" w:rsidP="0099635E">
      <w:pPr>
        <w:rPr>
          <w:b/>
          <w:bCs/>
          <w:sz w:val="22"/>
          <w:szCs w:val="22"/>
        </w:rPr>
      </w:pPr>
    </w:p>
    <w:p w14:paraId="6AD963A0" w14:textId="77777777" w:rsidR="0099635E" w:rsidRPr="00501206" w:rsidRDefault="0099635E" w:rsidP="0099635E">
      <w:pPr>
        <w:rPr>
          <w:sz w:val="22"/>
          <w:szCs w:val="22"/>
        </w:rPr>
      </w:pPr>
      <w:r w:rsidRPr="00501206">
        <w:rPr>
          <w:sz w:val="22"/>
          <w:szCs w:val="22"/>
        </w:rPr>
        <w:t>The incident ended with the offender being disarmed and detained through a combination of negotiation and tactical intervention, minimising harm to all parties involved.</w:t>
      </w:r>
    </w:p>
    <w:p w14:paraId="30CFD96D" w14:textId="2A850351" w:rsidR="0099635E" w:rsidRPr="00501206" w:rsidRDefault="0099635E" w:rsidP="0099635E">
      <w:pPr>
        <w:rPr>
          <w:sz w:val="22"/>
          <w:szCs w:val="22"/>
        </w:rPr>
      </w:pPr>
      <w:r w:rsidRPr="00501206">
        <w:rPr>
          <w:sz w:val="22"/>
          <w:szCs w:val="22"/>
        </w:rPr>
        <w:t>Given the high stakes and the quick changes in conditions, flexibility in leadership was crucial in this situation. Managing the crisis required me to shift from a transactional leadership style that prioritised task completion and instant control to a transformational style that prioritised team cooperation and de-escalation. This flexibility allowed me to collaborate with the team and build trust while managing the incident's immediate demands.</w:t>
      </w:r>
    </w:p>
    <w:p w14:paraId="773D75F7" w14:textId="77777777" w:rsidR="0099635E" w:rsidRPr="00501206" w:rsidRDefault="0099635E" w:rsidP="0099635E">
      <w:pPr>
        <w:rPr>
          <w:sz w:val="22"/>
          <w:szCs w:val="22"/>
        </w:rPr>
      </w:pPr>
    </w:p>
    <w:p w14:paraId="30D4FE72" w14:textId="77777777" w:rsidR="0099635E" w:rsidRPr="00501206" w:rsidRDefault="0099635E" w:rsidP="0099635E">
      <w:pPr>
        <w:rPr>
          <w:sz w:val="22"/>
          <w:szCs w:val="22"/>
        </w:rPr>
      </w:pPr>
      <w:r w:rsidRPr="00501206">
        <w:rPr>
          <w:sz w:val="22"/>
          <w:szCs w:val="22"/>
        </w:rPr>
        <w:t>The Situational Leadership Model (Hersey, Blanchard and Johnson, 2013) was particularly relevant in this context. This model highlights the importance of adapting leadership style based on the demands of the situation and the competence of the team. My initial directive approach was necessary to establish immediate control and ensure safety. However, as the situation evolved, a more supportive style became critical as the team worked together to de-escalate the threat. Similarly, because it highlights the significance of encouraging and motivating the team, Transformational Leadership (Bass, 1985) offered a helpful framework. Despite the high-stress context, I managed to maintain the team's concentration and togetherness by encouraging cooperation as well as confidence.</w:t>
      </w:r>
    </w:p>
    <w:p w14:paraId="2FAC7663" w14:textId="77777777" w:rsidR="0099635E" w:rsidRPr="00501206" w:rsidRDefault="0099635E" w:rsidP="0099635E">
      <w:pPr>
        <w:rPr>
          <w:sz w:val="22"/>
          <w:szCs w:val="22"/>
        </w:rPr>
      </w:pPr>
    </w:p>
    <w:p w14:paraId="763218B4" w14:textId="77777777" w:rsidR="0099635E" w:rsidRPr="00501206" w:rsidRDefault="0099635E" w:rsidP="0099635E">
      <w:pPr>
        <w:rPr>
          <w:sz w:val="22"/>
          <w:szCs w:val="22"/>
        </w:rPr>
      </w:pPr>
      <w:r w:rsidRPr="00501206">
        <w:rPr>
          <w:sz w:val="22"/>
          <w:szCs w:val="22"/>
        </w:rPr>
        <w:t>These approaches are supported by academic evidence. Research by Olie, (1993) identifies the adaptability of leadership styles as a critical factor in managing complex and high-pressure incidents. Furthermore, (Grubb, Brown, and Hall, 2017) highlight the need for emotional intelligence in leadership styles, especially when striking a balance between empathy and enforcement in extremely tense circumstances. A key competency in this situation was emotional intelligence, which enabled me to resolve the conflict whilst also being able to uphold authority and respond calmly to the violent offender's unpredictable actions.</w:t>
      </w:r>
    </w:p>
    <w:p w14:paraId="5967E447" w14:textId="77777777" w:rsidR="0099635E" w:rsidRPr="00501206" w:rsidRDefault="0099635E" w:rsidP="0099635E">
      <w:pPr>
        <w:rPr>
          <w:sz w:val="22"/>
          <w:szCs w:val="22"/>
        </w:rPr>
      </w:pPr>
    </w:p>
    <w:p w14:paraId="7AEAA18E" w14:textId="77777777" w:rsidR="0099635E" w:rsidRPr="00501206" w:rsidRDefault="0099635E" w:rsidP="0099635E">
      <w:pPr>
        <w:rPr>
          <w:sz w:val="22"/>
          <w:szCs w:val="22"/>
        </w:rPr>
      </w:pPr>
      <w:r w:rsidRPr="00501206">
        <w:rPr>
          <w:sz w:val="22"/>
          <w:szCs w:val="22"/>
        </w:rPr>
        <w:t>Despite these advantages, there were times when poor communication led to delays in completing vital tasks. For example, during the negotiation phase, clearer delegation of roles earlier could have reduced our officer response time and improved overall efficiency. This reflects an area for improvement in my leadership approach, particularly in refining my ability to anticipate and address operational challenges in real-time. Recognising these limitations highlights the ongoing need for ongoing professional development to enhance leadership performance in future police incidents.</w:t>
      </w:r>
    </w:p>
    <w:p w14:paraId="1644C1A5" w14:textId="77777777" w:rsidR="0099635E" w:rsidRPr="00501206" w:rsidRDefault="0099635E" w:rsidP="0099635E">
      <w:pPr>
        <w:spacing w:after="160"/>
        <w:rPr>
          <w:sz w:val="22"/>
          <w:szCs w:val="22"/>
        </w:rPr>
      </w:pPr>
      <w:r w:rsidRPr="00501206">
        <w:rPr>
          <w:sz w:val="22"/>
          <w:szCs w:val="22"/>
        </w:rPr>
        <w:br/>
        <w:t>Over my career, I have developed many strategies to effectively manage a range of operational situations, including those involving serious violent offenders. These strategies are designed to ensure a structured yet flexible approach, balancing immediate control with long-term resolution.</w:t>
      </w:r>
    </w:p>
    <w:p w14:paraId="66C5908F" w14:textId="77777777" w:rsidR="0099635E" w:rsidRPr="00501206" w:rsidRDefault="0099635E" w:rsidP="0099635E">
      <w:pPr>
        <w:spacing w:after="160" w:line="259" w:lineRule="auto"/>
        <w:rPr>
          <w:sz w:val="22"/>
          <w:szCs w:val="22"/>
        </w:rPr>
      </w:pPr>
      <w:r w:rsidRPr="00501206">
        <w:rPr>
          <w:sz w:val="22"/>
          <w:szCs w:val="22"/>
        </w:rPr>
        <w:t xml:space="preserve">One key strategy is dynamic risk assessment, which involves continuously evaluating threats and adjusting priorities based on changing circumstances (Page, 2023). This allows for a more responsive approach, particularly in volatile situations. Another essential strategy is collaborative decision-making, which entails engaging specialised support, such as negotiators and tactical teams, to address complex challenges. Maintaining open channels of communication with the whole team, stakeholders, and the general public is also essential for maintaining coordination and clarity during the situation. In order to reflect on the </w:t>
      </w:r>
      <w:r w:rsidRPr="00501206">
        <w:rPr>
          <w:sz w:val="22"/>
          <w:szCs w:val="22"/>
        </w:rPr>
        <w:lastRenderedPageBreak/>
        <w:t>scenario with the team and determine areas for development and lessons learnt, post-incident debriefing is essential.</w:t>
      </w:r>
    </w:p>
    <w:p w14:paraId="4447B1F0" w14:textId="77777777" w:rsidR="0099635E" w:rsidRPr="00501206" w:rsidRDefault="0099635E" w:rsidP="0099635E">
      <w:pPr>
        <w:spacing w:after="160" w:line="259" w:lineRule="auto"/>
        <w:rPr>
          <w:sz w:val="22"/>
          <w:szCs w:val="22"/>
        </w:rPr>
      </w:pPr>
      <w:r w:rsidRPr="00501206">
        <w:rPr>
          <w:sz w:val="22"/>
          <w:szCs w:val="22"/>
        </w:rPr>
        <w:t>During the incident above, these strategies were applied very effectively. Dynamic risk assessment enabled me to identify the need for both immediate control measures and a longer-term negotiation strategy. Collaborative decision-making proved critical, particularly when involving the negotiator and paramedics, as their expertise ensured a safer resolution for all. Clear communication ensured that all team members understood their roles, which minimised confusion in a highly stressful environment.</w:t>
      </w:r>
    </w:p>
    <w:p w14:paraId="0D8224EC" w14:textId="77777777" w:rsidR="0099635E" w:rsidRPr="00501206" w:rsidRDefault="0099635E" w:rsidP="0099635E">
      <w:pPr>
        <w:spacing w:after="160" w:line="259" w:lineRule="auto"/>
        <w:rPr>
          <w:sz w:val="22"/>
          <w:szCs w:val="22"/>
        </w:rPr>
      </w:pPr>
      <w:r w:rsidRPr="00501206">
        <w:rPr>
          <w:sz w:val="22"/>
          <w:szCs w:val="22"/>
        </w:rPr>
        <w:t>Despite these achievements, this incident brought to light several recurring problems with current policing leadership. When working with violent offenders and victims, striking a balance between operational responsibilities and emotional intelligence is a major problem. Another is keeping morale up and managing team dynamics under extreme pressure, which may be particularly challenging in life-or-death circumstances.</w:t>
      </w:r>
    </w:p>
    <w:p w14:paraId="54CF3851" w14:textId="77777777" w:rsidR="0099635E" w:rsidRPr="00501206" w:rsidRDefault="0099635E" w:rsidP="0099635E">
      <w:pPr>
        <w:rPr>
          <w:sz w:val="22"/>
          <w:szCs w:val="22"/>
        </w:rPr>
      </w:pPr>
      <w:r w:rsidRPr="00501206">
        <w:rPr>
          <w:sz w:val="22"/>
          <w:szCs w:val="22"/>
        </w:rPr>
        <w:t xml:space="preserve">The strategies I employed that align with academic frameworks are Adair’s Action-Centred Leadership Model (1989) emphasises the importance of balancing task, team, and individual needs. This approach resonated with my efforts to prioritise operational goals while maintaining team cohesion and addressing the emotional needs of all individuals involved. Similarly, Goleman's Emotional Intelligence Framework (1995) emphasises the value of empathy and self-awareness, both of which were essential to my communication with the offender and the team. These frameworks emphasise the need of evidence-based leadership in policing and offer a strong theoretical basis for the tactics I implemented. </w:t>
      </w:r>
    </w:p>
    <w:p w14:paraId="726C16A6" w14:textId="77777777" w:rsidR="0099635E" w:rsidRPr="00501206" w:rsidRDefault="0099635E" w:rsidP="0099635E">
      <w:pPr>
        <w:rPr>
          <w:sz w:val="22"/>
          <w:szCs w:val="22"/>
        </w:rPr>
      </w:pPr>
    </w:p>
    <w:p w14:paraId="2CB05950" w14:textId="77777777" w:rsidR="0099635E" w:rsidRPr="00501206" w:rsidRDefault="0099635E" w:rsidP="0099635E">
      <w:pPr>
        <w:spacing w:after="160" w:line="259" w:lineRule="auto"/>
        <w:rPr>
          <w:sz w:val="22"/>
          <w:szCs w:val="22"/>
        </w:rPr>
      </w:pPr>
      <w:r w:rsidRPr="00501206">
        <w:rPr>
          <w:sz w:val="22"/>
          <w:szCs w:val="22"/>
        </w:rPr>
        <w:t>Policing incidents involving violent offenders are typically fluid, requiring leaders to adjust their styles and strategies to reflect quickly changing circumstances. In this case, the ability to transition from a directive leadership style focused on immediate control and enforcement to a more participative style was crucial for the team. This shift allowed for a simpler de-escalation of the situation and ensured a safe outcome for all parties involved.</w:t>
      </w:r>
    </w:p>
    <w:p w14:paraId="045F1C65" w14:textId="77777777" w:rsidR="0099635E" w:rsidRPr="00501206" w:rsidRDefault="0099635E" w:rsidP="0099635E">
      <w:pPr>
        <w:spacing w:after="160" w:line="259" w:lineRule="auto"/>
        <w:rPr>
          <w:sz w:val="22"/>
          <w:szCs w:val="22"/>
        </w:rPr>
      </w:pPr>
      <w:r w:rsidRPr="00501206">
        <w:rPr>
          <w:sz w:val="22"/>
          <w:szCs w:val="22"/>
        </w:rPr>
        <w:t>Addressing the difficulties posed during this incident required significant changes. I started by using authoritative control to create order and reduce any immediate dangers. I switched to a cooperative negotiation strategy once things calmed down, using my team's experience to successfully engage the offender. It was also crucial that I modify my communication style, striking a balance between firmness and empathy, to make sure the offender became involved without making things worse for persons involved. Furthermore, putting the victim's wellbeing first remained at the heart of my strategy, arranging for timely medical assistance while making sure the offender's detention was managed in a way that was both safe and moral.</w:t>
      </w:r>
    </w:p>
    <w:p w14:paraId="4FD1095C" w14:textId="77777777" w:rsidR="0099635E" w:rsidRPr="00501206" w:rsidRDefault="0099635E" w:rsidP="0099635E">
      <w:pPr>
        <w:spacing w:after="160" w:line="259" w:lineRule="auto"/>
        <w:rPr>
          <w:sz w:val="22"/>
          <w:szCs w:val="22"/>
        </w:rPr>
      </w:pPr>
      <w:r w:rsidRPr="00501206">
        <w:rPr>
          <w:sz w:val="22"/>
          <w:szCs w:val="22"/>
        </w:rPr>
        <w:t>When I think back on how adaptable I was during the incident, I see how crucial it is to be proactive in evaluating both team dynamics and individual needs. Although the result was positive, this experience brought to light areas that require development within the team, most notably the significance of more effective contingency planning to be ready for unanticipated difficulties.</w:t>
      </w:r>
    </w:p>
    <w:p w14:paraId="2160F0E1" w14:textId="77777777" w:rsidR="0099635E" w:rsidRPr="00501206" w:rsidRDefault="0099635E" w:rsidP="0099635E">
      <w:pPr>
        <w:rPr>
          <w:sz w:val="22"/>
          <w:szCs w:val="22"/>
        </w:rPr>
      </w:pPr>
      <w:r w:rsidRPr="00501206">
        <w:rPr>
          <w:sz w:val="22"/>
          <w:szCs w:val="22"/>
        </w:rPr>
        <w:t xml:space="preserve">Academic frameworks support the strategies employed in this scenario. Kotter’s Change Model (1996) underlines the importance of flexibility and proactive planning in dynamic and high-pressure environments. Similarly, research by Haslam, Reicher and </w:t>
      </w:r>
      <w:proofErr w:type="spellStart"/>
      <w:r w:rsidRPr="00501206">
        <w:rPr>
          <w:sz w:val="22"/>
          <w:szCs w:val="22"/>
        </w:rPr>
        <w:t>Platow</w:t>
      </w:r>
      <w:proofErr w:type="spellEnd"/>
      <w:r w:rsidRPr="00501206">
        <w:rPr>
          <w:sz w:val="22"/>
          <w:szCs w:val="22"/>
        </w:rPr>
        <w:t xml:space="preserve">, (2020) highlights the role of social identity in fostering team cohesion during high-stress incidents, a concept that reflects strongly with the teamwork demonstrated during this incident. These theories provide a solid foundation for understanding the importance of adaptable leadership </w:t>
      </w:r>
      <w:r w:rsidRPr="00501206">
        <w:rPr>
          <w:sz w:val="22"/>
          <w:szCs w:val="22"/>
        </w:rPr>
        <w:lastRenderedPageBreak/>
        <w:t>in police forces around the world, particularly when managing violent situations that we come across regularly.</w:t>
      </w:r>
      <w:bookmarkEnd w:id="1"/>
    </w:p>
    <w:p w14:paraId="2224822A" w14:textId="77777777" w:rsidR="0099635E" w:rsidRPr="00501206" w:rsidRDefault="0099635E" w:rsidP="0099635E">
      <w:pPr>
        <w:rPr>
          <w:b/>
          <w:bCs/>
          <w:sz w:val="22"/>
          <w:szCs w:val="22"/>
        </w:rPr>
      </w:pPr>
    </w:p>
    <w:p w14:paraId="1F05B524" w14:textId="77777777" w:rsidR="0099635E" w:rsidRPr="00501206" w:rsidRDefault="0099635E" w:rsidP="0099635E">
      <w:pPr>
        <w:spacing w:after="160" w:line="259" w:lineRule="auto"/>
        <w:rPr>
          <w:sz w:val="22"/>
          <w:szCs w:val="22"/>
        </w:rPr>
      </w:pPr>
      <w:r w:rsidRPr="00501206">
        <w:rPr>
          <w:sz w:val="22"/>
          <w:szCs w:val="22"/>
        </w:rPr>
        <w:t>Effective leadership in policing is critical for navigating the complexities of dynamic and high-risk incidents, such as those involving violent offenders. This essay has reflected on a significant incident in which a violent, drug-induced offender attacked their mother and later threatened officers and the public with a large kitchen knife. Through the application of various leadership styles, strategies, and models, I successfully managed the situation while minimising harm to all parties involved.</w:t>
      </w:r>
    </w:p>
    <w:p w14:paraId="3902F1E8" w14:textId="77777777" w:rsidR="0099635E" w:rsidRPr="00501206" w:rsidRDefault="0099635E" w:rsidP="0099635E">
      <w:pPr>
        <w:spacing w:after="160" w:line="259" w:lineRule="auto"/>
        <w:rPr>
          <w:sz w:val="22"/>
          <w:szCs w:val="22"/>
        </w:rPr>
      </w:pPr>
      <w:r w:rsidRPr="00501206">
        <w:rPr>
          <w:sz w:val="22"/>
          <w:szCs w:val="22"/>
        </w:rPr>
        <w:t>The ability to transition between leadership styles, from directive control to participative collaboration, was key to addressing the evolving nature of the incident. Drawing on frameworks like the Situational Leadership Model and Transformational Leadership, I adapted my approach to meet the demands of the moment while fostering trust and cooperation within the team. Dynamic risk assessment, collaborative decision-making, and clear communication ensured the immediate and long-term priorities were balanced effectively. Additionally, empathy and emotional intelligence, as outlined in Goleman’s framework, played a vital role in managing relationships with the offender, the team, and other stakeholders.</w:t>
      </w:r>
    </w:p>
    <w:p w14:paraId="4107243A" w14:textId="77777777" w:rsidR="0099635E" w:rsidRPr="00501206" w:rsidRDefault="0099635E" w:rsidP="0099635E">
      <w:pPr>
        <w:spacing w:after="160" w:line="259" w:lineRule="auto"/>
        <w:rPr>
          <w:sz w:val="22"/>
          <w:szCs w:val="22"/>
        </w:rPr>
      </w:pPr>
      <w:r w:rsidRPr="00501206">
        <w:rPr>
          <w:sz w:val="22"/>
          <w:szCs w:val="22"/>
        </w:rPr>
        <w:t>Even while the incident had a positive outcome, it did point out areas that needed improvement, such as the need for better organised contingency planning and clearer work allocation. These examples highlight how crucial it is for leaders to engage in ongoing professional development and evaluation. Police leaders must be flexible and proactive in order to meet the problems of maintaining team morale under pressure, guaranteeing public safety, and striking a balance between enforcement and compassion.</w:t>
      </w:r>
    </w:p>
    <w:p w14:paraId="4A05A1D5" w14:textId="77777777" w:rsidR="0099635E" w:rsidRPr="00501206" w:rsidRDefault="0099635E" w:rsidP="0099635E">
      <w:pPr>
        <w:spacing w:after="160" w:line="259" w:lineRule="auto"/>
        <w:rPr>
          <w:sz w:val="22"/>
          <w:szCs w:val="22"/>
        </w:rPr>
      </w:pPr>
      <w:r w:rsidRPr="00501206">
        <w:rPr>
          <w:sz w:val="22"/>
          <w:szCs w:val="22"/>
        </w:rPr>
        <w:t>Leadership theories such as Kotter’s Change Model and Adair’s Action-Centred Leadership Model offer valuable insights for addressing these challenges. They emphasise flexibility, teamwork, and the integration of task-focused and people-oriented approaches. Similarly, research on social identity and team cohesion reinforces the importance of encouraging collaboration during high-stress incidents.</w:t>
      </w:r>
    </w:p>
    <w:p w14:paraId="551E3D46" w14:textId="77777777" w:rsidR="0099635E" w:rsidRPr="00501206" w:rsidRDefault="0099635E" w:rsidP="0099635E">
      <w:pPr>
        <w:spacing w:after="160" w:line="259" w:lineRule="auto"/>
        <w:rPr>
          <w:sz w:val="22"/>
          <w:szCs w:val="22"/>
        </w:rPr>
      </w:pPr>
      <w:r w:rsidRPr="00501206">
        <w:rPr>
          <w:sz w:val="22"/>
          <w:szCs w:val="22"/>
        </w:rPr>
        <w:t>Ultimately, this incident served as a powerful reminder of the importance of adaptable leadership in policing. By combining practical strategies with evidence-based theories, I was able to manage the many complications of the situation effectively, ensuring the safety of the public, the victim, my team and the suspect. Moving forward, these experiences and reflections will inform my continued growth as a leader, enhancing my ability to manage future operational challenges with confidence and competence.</w:t>
      </w:r>
    </w:p>
    <w:p w14:paraId="1967E2A8" w14:textId="71791A82" w:rsidR="00025650" w:rsidRPr="00501206" w:rsidRDefault="00501206" w:rsidP="00340E9A">
      <w:pPr>
        <w:ind w:right="237"/>
        <w:jc w:val="both"/>
        <w:rPr>
          <w:sz w:val="22"/>
          <w:szCs w:val="22"/>
        </w:rPr>
      </w:pPr>
      <w:r w:rsidRPr="00501206">
        <w:rPr>
          <w:sz w:val="22"/>
          <w:szCs w:val="22"/>
        </w:rPr>
        <w:t>175</w:t>
      </w:r>
      <w:r>
        <w:rPr>
          <w:sz w:val="22"/>
          <w:szCs w:val="22"/>
        </w:rPr>
        <w:t>3</w:t>
      </w:r>
      <w:r w:rsidRPr="00501206">
        <w:rPr>
          <w:sz w:val="22"/>
          <w:szCs w:val="22"/>
        </w:rPr>
        <w:t xml:space="preserve">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15ED142" w14:textId="77777777" w:rsidR="00BF5588" w:rsidRPr="00501206" w:rsidRDefault="00BF5588" w:rsidP="00BF5588">
      <w:pPr>
        <w:rPr>
          <w:sz w:val="22"/>
          <w:szCs w:val="22"/>
        </w:rPr>
      </w:pPr>
      <w:r w:rsidRPr="00501206">
        <w:rPr>
          <w:sz w:val="22"/>
          <w:szCs w:val="22"/>
        </w:rPr>
        <w:t>The probationary period for police officers is a transformative phase in which new officers transition from theoretical learning to practical application in real-world policing. Over the past three years, my journey as a probationary officer has been marked by personal growth, professional development, and an evolving understanding of the key principles of policing in the UK. Central to this transformation has been the support I received through structured mentoring and coaching, which have played a crucial role in shaping my ability to meet personal, professional, and organisational goals.</w:t>
      </w:r>
    </w:p>
    <w:p w14:paraId="425A87AC" w14:textId="77777777" w:rsidR="00BF5588" w:rsidRPr="00501206" w:rsidRDefault="00BF5588" w:rsidP="00BF5588">
      <w:pPr>
        <w:rPr>
          <w:sz w:val="22"/>
          <w:szCs w:val="22"/>
        </w:rPr>
      </w:pPr>
    </w:p>
    <w:p w14:paraId="4D8EA066" w14:textId="77777777" w:rsidR="00BF5588" w:rsidRPr="00501206" w:rsidRDefault="00BF5588" w:rsidP="00BF5588">
      <w:pPr>
        <w:rPr>
          <w:sz w:val="22"/>
          <w:szCs w:val="22"/>
        </w:rPr>
      </w:pPr>
      <w:r w:rsidRPr="00501206">
        <w:rPr>
          <w:sz w:val="22"/>
          <w:szCs w:val="22"/>
        </w:rPr>
        <w:t>This essay critically reflects on my personal probationary journey, focusing on how mentoring and coaching have influenced my development throughout, particularly in key areas such as vulnerability, risk, ethics, and cultural understanding. I will also evaluate the theories of mentoring and coaching within policing and explore how feedback mechanisms have informed my practice and performance.</w:t>
      </w:r>
    </w:p>
    <w:p w14:paraId="5A16928A" w14:textId="77777777" w:rsidR="00BF5588" w:rsidRPr="00501206" w:rsidRDefault="00BF5588" w:rsidP="00BF5588">
      <w:pPr>
        <w:rPr>
          <w:sz w:val="22"/>
          <w:szCs w:val="22"/>
        </w:rPr>
      </w:pPr>
    </w:p>
    <w:p w14:paraId="73AC5792" w14:textId="77777777" w:rsidR="00BF5588" w:rsidRPr="00501206" w:rsidRDefault="00BF5588" w:rsidP="00BF5588">
      <w:pPr>
        <w:rPr>
          <w:sz w:val="22"/>
          <w:szCs w:val="22"/>
        </w:rPr>
      </w:pPr>
      <w:r w:rsidRPr="00501206">
        <w:rPr>
          <w:sz w:val="22"/>
          <w:szCs w:val="22"/>
        </w:rPr>
        <w:t>Mentoring and coaching are distinct yet complementary tools for professional development. Mentoring involves a more experienced professional providing guidance and support over an extended period, focusing on long-term career development (Garvey, Stokes and Megginson, 2021).  Coaching, on the other hand, is task-oriented and aims to enhance performance in specific areas through structured, goal-driven interactions (Passmore and Fillery-Travis, 2011).</w:t>
      </w:r>
    </w:p>
    <w:p w14:paraId="47FA8071" w14:textId="77777777" w:rsidR="00BF5588" w:rsidRPr="00501206" w:rsidRDefault="00BF5588" w:rsidP="00BF5588">
      <w:pPr>
        <w:rPr>
          <w:sz w:val="22"/>
          <w:szCs w:val="22"/>
        </w:rPr>
      </w:pPr>
    </w:p>
    <w:p w14:paraId="35A8792C" w14:textId="77777777" w:rsidR="00BF5588" w:rsidRPr="00501206" w:rsidRDefault="00BF5588" w:rsidP="00BF5588">
      <w:pPr>
        <w:rPr>
          <w:sz w:val="22"/>
          <w:szCs w:val="22"/>
        </w:rPr>
      </w:pPr>
      <w:r w:rsidRPr="00501206">
        <w:rPr>
          <w:sz w:val="22"/>
          <w:szCs w:val="22"/>
        </w:rPr>
        <w:t>Within policing, the College of Policing (2023) emphasises the importance of mentoring and coaching in fostering reflective practice and developing critical thinking skills. These approaches are embedded in the National Policing Curriculum and play a crucial role in addressing challenges such as supporting vulnerable individuals, tackling repeat victimisation in the community, and promoting ethical conduct by all.</w:t>
      </w:r>
    </w:p>
    <w:p w14:paraId="5612B6A9" w14:textId="77777777" w:rsidR="00BF5588" w:rsidRPr="00501206" w:rsidRDefault="00BF5588" w:rsidP="00BF5588">
      <w:pPr>
        <w:rPr>
          <w:sz w:val="22"/>
          <w:szCs w:val="22"/>
        </w:rPr>
      </w:pPr>
    </w:p>
    <w:p w14:paraId="1B3D4DA6" w14:textId="77777777" w:rsidR="00BF5588" w:rsidRPr="00501206" w:rsidRDefault="00BF5588" w:rsidP="00BF5588">
      <w:pPr>
        <w:rPr>
          <w:sz w:val="22"/>
          <w:szCs w:val="22"/>
        </w:rPr>
      </w:pPr>
      <w:r w:rsidRPr="00501206">
        <w:rPr>
          <w:sz w:val="22"/>
          <w:szCs w:val="22"/>
        </w:rPr>
        <w:lastRenderedPageBreak/>
        <w:t>Throughout my probation, I benefited from a very experienced mentor who provided consistent guidance. Initially, I struggled with balancing the overwhelming operational demands of frontline policing with the reflective requirements of the academic work given whilst completing a degree whilst working full time. My mentor helped me navigate this by introducing and encouraging reflective practice whilst at work, as advocated by Schön (1983), enabling me to critically analyse my actions and decisions in complex scenarios.</w:t>
      </w:r>
    </w:p>
    <w:p w14:paraId="548B2D9E" w14:textId="77777777" w:rsidR="00BF5588" w:rsidRPr="00501206" w:rsidRDefault="00BF5588" w:rsidP="00BF5588">
      <w:pPr>
        <w:rPr>
          <w:sz w:val="22"/>
          <w:szCs w:val="22"/>
        </w:rPr>
      </w:pPr>
    </w:p>
    <w:p w14:paraId="19D8A9C8" w14:textId="77777777" w:rsidR="00BF5588" w:rsidRPr="00501206" w:rsidRDefault="00BF5588" w:rsidP="00BF5588">
      <w:pPr>
        <w:rPr>
          <w:sz w:val="22"/>
          <w:szCs w:val="22"/>
        </w:rPr>
      </w:pPr>
      <w:r w:rsidRPr="00501206">
        <w:rPr>
          <w:sz w:val="22"/>
          <w:szCs w:val="22"/>
        </w:rPr>
        <w:t>Schön’s (1983) concept of reflective practice emphasises the importance of professionals engaging in continuous learning by reflecting on their experiences to improve their knowledge and skills. Schön makes a distinction between reflection-on-action, in which people assess and learn from their actions after the event has happened, and reflection-in-action, in which people think critically and modify their approach during an event. Professionals may identify areas for development, gain a greater understanding of their practice, and make wise decisions going forward because of this repeated process. In policing, reflective practice is particularly valuable as it encourages officers to analyse complex incidents, assess the effectiveness of their responses, and ensure their actions align with ethical and professional standards. By fostering critical thinking and self-awareness, Schön’s reflective practice supports personal and professional growth, enhances decision-making, and ultimately contributes to more effective and accountable policing.</w:t>
      </w:r>
    </w:p>
    <w:p w14:paraId="1BEF2747" w14:textId="77777777" w:rsidR="00BF5588" w:rsidRPr="00501206" w:rsidRDefault="00BF5588" w:rsidP="00BF5588">
      <w:pPr>
        <w:rPr>
          <w:sz w:val="22"/>
          <w:szCs w:val="22"/>
        </w:rPr>
      </w:pPr>
    </w:p>
    <w:p w14:paraId="27F61448" w14:textId="77777777" w:rsidR="00BF5588" w:rsidRPr="00501206" w:rsidRDefault="00BF5588" w:rsidP="00BF5588">
      <w:pPr>
        <w:rPr>
          <w:sz w:val="22"/>
          <w:szCs w:val="22"/>
        </w:rPr>
      </w:pPr>
      <w:r w:rsidRPr="00501206">
        <w:rPr>
          <w:sz w:val="22"/>
          <w:szCs w:val="22"/>
        </w:rPr>
        <w:t>For instance, during a case I previously mentioned involving a Polish and Welsh neighbours, I faced challenges in addressing cultural misunderstandings. My mentor guided me in applying Hofstede’s cultural dimensions theory (Hofstede, 2001) to better understand the family’s feelings and perspectives. Hofstede’s Cultural Dimensions Theory provides a framework for understanding how cultural differences influence values, behaviours, and interactions within organisations and societies. The theory identifies six dimensions: Power Distance, which examines the acceptance of unequal power distribution; Individualism vs. Collectivism, which considers the emphasis on individual goals versus group cohesion; Masculinity vs. Femininity, which explores the value placed on competitiveness versus care and quality of life; Uncertainty Avoidance, which measures tolerance for ambiguity and risk; Long-Term vs. Short-Term Orientation, which focuses on future planning versus present or past traditions; and Indulgence vs. Restraint, which evaluates the degree to which societies prioritise enjoyment and gratification. By using Hofstede's dimensions, police officers can develop cultural competence, which promotes trust, reduces misunderstandings, and improves community relations. This not only improved the incident's outcome but also improved my cultural competence, which is in line with South Wales Police's organisational goals of promoting equality and diversity. This theory is especially helpful in understanding cultural diversity within policing, where officers must modify their communication and decision-making</w:t>
      </w:r>
    </w:p>
    <w:p w14:paraId="02E3CD88" w14:textId="77777777" w:rsidR="00BF5588" w:rsidRPr="00501206" w:rsidRDefault="00BF5588" w:rsidP="00BF5588">
      <w:pPr>
        <w:rPr>
          <w:sz w:val="22"/>
          <w:szCs w:val="22"/>
        </w:rPr>
      </w:pPr>
    </w:p>
    <w:p w14:paraId="63B47B9F" w14:textId="77777777" w:rsidR="00BF5588" w:rsidRPr="00501206" w:rsidRDefault="00BF5588" w:rsidP="00BF5588">
      <w:pPr>
        <w:rPr>
          <w:sz w:val="22"/>
          <w:szCs w:val="22"/>
        </w:rPr>
      </w:pPr>
      <w:r w:rsidRPr="00501206">
        <w:rPr>
          <w:sz w:val="22"/>
          <w:szCs w:val="22"/>
        </w:rPr>
        <w:t>Mentoring has also been instrumental in aligning my work with South Wales Police’s organisational goals. The South Wales Police Code of Ethics emphasises respect, fairness, and transparency (South Wales Police, 2023). My mentor frequently referred to the Code of Ethics during our shifts, using it as a framework to evaluate my decisions further and really understand why I made those discissions.</w:t>
      </w:r>
    </w:p>
    <w:p w14:paraId="388550A4" w14:textId="77777777" w:rsidR="00BF5588" w:rsidRPr="00501206" w:rsidRDefault="00BF5588" w:rsidP="00BF5588">
      <w:pPr>
        <w:rPr>
          <w:sz w:val="22"/>
          <w:szCs w:val="22"/>
        </w:rPr>
      </w:pPr>
    </w:p>
    <w:p w14:paraId="6A9979FA" w14:textId="47821034" w:rsidR="00BF5588" w:rsidRPr="00501206" w:rsidRDefault="00BF5588" w:rsidP="00BF5588">
      <w:pPr>
        <w:rPr>
          <w:sz w:val="22"/>
          <w:szCs w:val="22"/>
        </w:rPr>
      </w:pPr>
      <w:r w:rsidRPr="00501206">
        <w:rPr>
          <w:sz w:val="22"/>
          <w:szCs w:val="22"/>
        </w:rPr>
        <w:t>One notable example involved a case of domestic abuse where the victim was part of the LGBT+ community. My mentor’s guidance and my prior knowledge of barriers within the LGBT community helped me navigate the complexities of supporting a vulnerable individual while upholding the principles of equality and inclusivity within the police force. This experience reinforced my understanding of the force’s commitment to addressing complex vulnerability and risk, as outlined in the National Policing Curriculum.</w:t>
      </w:r>
    </w:p>
    <w:p w14:paraId="004C3E51" w14:textId="77777777" w:rsidR="00BF5588" w:rsidRPr="00501206" w:rsidRDefault="00BF5588" w:rsidP="00BF5588">
      <w:pPr>
        <w:rPr>
          <w:sz w:val="22"/>
          <w:szCs w:val="22"/>
        </w:rPr>
      </w:pPr>
    </w:p>
    <w:p w14:paraId="1CE949C8" w14:textId="77777777" w:rsidR="00BF5588" w:rsidRPr="00501206" w:rsidRDefault="00BF5588" w:rsidP="00BF5588">
      <w:pPr>
        <w:rPr>
          <w:sz w:val="22"/>
          <w:szCs w:val="22"/>
        </w:rPr>
      </w:pPr>
      <w:r w:rsidRPr="00501206">
        <w:rPr>
          <w:sz w:val="22"/>
          <w:szCs w:val="22"/>
        </w:rPr>
        <w:t xml:space="preserve">Coaching sessions with my supervisor were structured around the GROW model (Whitmore, 2017), </w:t>
      </w:r>
      <w:r w:rsidRPr="00501206">
        <w:rPr>
          <w:rFonts w:eastAsiaTheme="minorHAnsi"/>
          <w:kern w:val="2"/>
          <w:sz w:val="22"/>
          <w:szCs w:val="22"/>
          <w:lang w:eastAsia="en-US"/>
        </w:rPr>
        <w:t xml:space="preserve">The GROW model (Whitmore, 2017) is a widely used framework in mentoring and </w:t>
      </w:r>
      <w:r w:rsidRPr="00501206">
        <w:rPr>
          <w:rFonts w:eastAsiaTheme="minorHAnsi"/>
          <w:kern w:val="2"/>
          <w:sz w:val="22"/>
          <w:szCs w:val="22"/>
          <w:lang w:eastAsia="en-US"/>
        </w:rPr>
        <w:lastRenderedPageBreak/>
        <w:t>coaching that provides a structured approach to goal setting and problem-solving. It stands for Goal, Reality, Options, and Will, guiding the mentor and mentee through a clear and focused conversation. The model begins by identifying the mentee’s desired outcome (Goal), exploring their current situation (Reality), brainstorming possible courses of action (Options), and establishing the motivation and commitment to move forward (Will). Its benefits in mentoring include fostering self-reflection and accountability, empowering the mentee to identify their own solutions rather than relying solely on the mentor’s advice. Additionally, it encourages effective communication and builds confidence, as mentees develop problem-solving skills that they can apply independently. By focusing on achievable steps and maintaining a forward-looking perspective, the GROW model ensures progress and measurable outcomes, making it a highly effective tool for personal and professional development.</w:t>
      </w:r>
      <w:r w:rsidRPr="00501206">
        <w:rPr>
          <w:sz w:val="22"/>
          <w:szCs w:val="22"/>
        </w:rPr>
        <w:t xml:space="preserve"> These sessions were particularly valuable in enhancing my operational performance.</w:t>
      </w:r>
    </w:p>
    <w:p w14:paraId="6BE94C96" w14:textId="77777777" w:rsidR="00BF5588" w:rsidRPr="00501206" w:rsidRDefault="00BF5588" w:rsidP="00BF5588">
      <w:pPr>
        <w:rPr>
          <w:sz w:val="22"/>
          <w:szCs w:val="22"/>
        </w:rPr>
      </w:pPr>
    </w:p>
    <w:p w14:paraId="3CC04EF4" w14:textId="77777777" w:rsidR="00BF5588" w:rsidRPr="00501206" w:rsidRDefault="00BF5588" w:rsidP="00BF5588">
      <w:pPr>
        <w:rPr>
          <w:sz w:val="22"/>
          <w:szCs w:val="22"/>
        </w:rPr>
      </w:pPr>
      <w:r w:rsidRPr="00501206">
        <w:rPr>
          <w:sz w:val="22"/>
          <w:szCs w:val="22"/>
        </w:rPr>
        <w:t>For example, during an incident involving a repeat violent offender, my supervisor coached me on using intelligence-led policing strategies (Ratcliffe, 2016). This involved analysing patterns in the violent offender’s behaviour and working with local partner agencies to address the root causes of their offending. The experience not only improved my problem-solving skills but also demonstrated the value of working in a multi-agency collaboration achieving organisational objectives with ease.</w:t>
      </w:r>
    </w:p>
    <w:p w14:paraId="65DF66DD" w14:textId="77777777" w:rsidR="00BF5588" w:rsidRPr="00501206" w:rsidRDefault="00BF5588" w:rsidP="00BF5588">
      <w:pPr>
        <w:rPr>
          <w:sz w:val="22"/>
          <w:szCs w:val="22"/>
        </w:rPr>
      </w:pPr>
    </w:p>
    <w:p w14:paraId="38A1C38D" w14:textId="77777777" w:rsidR="00BF5588" w:rsidRPr="00501206" w:rsidRDefault="00BF5588" w:rsidP="00BF5588">
      <w:pPr>
        <w:rPr>
          <w:sz w:val="22"/>
          <w:szCs w:val="22"/>
        </w:rPr>
      </w:pPr>
      <w:r w:rsidRPr="00501206">
        <w:rPr>
          <w:sz w:val="22"/>
          <w:szCs w:val="22"/>
        </w:rPr>
        <w:t xml:space="preserve">Theories of workplace learning, such as Kolb’s experiential learning cycle (Kolb, 1984), have been particularly relevant during my three-year probation. </w:t>
      </w:r>
      <w:r w:rsidRPr="00501206">
        <w:rPr>
          <w:rFonts w:eastAsiaTheme="minorHAnsi"/>
          <w:kern w:val="2"/>
          <w:sz w:val="22"/>
          <w:szCs w:val="22"/>
          <w:lang w:eastAsia="en-US"/>
        </w:rPr>
        <w:t>Kolb’s Experiential Learning Cycle is a model that emphasi</w:t>
      </w:r>
      <w:r w:rsidRPr="00501206">
        <w:rPr>
          <w:sz w:val="22"/>
          <w:szCs w:val="22"/>
        </w:rPr>
        <w:t>s</w:t>
      </w:r>
      <w:r w:rsidRPr="00501206">
        <w:rPr>
          <w:rFonts w:eastAsiaTheme="minorHAnsi"/>
          <w:kern w:val="2"/>
          <w:sz w:val="22"/>
          <w:szCs w:val="22"/>
          <w:lang w:eastAsia="en-US"/>
        </w:rPr>
        <w:t>es the importance of learning through experience and reflection. It consists of four stages: Concrete Experience, Reflective Observation, Abstract Conceptuali</w:t>
      </w:r>
      <w:r w:rsidRPr="00501206">
        <w:rPr>
          <w:sz w:val="22"/>
          <w:szCs w:val="22"/>
        </w:rPr>
        <w:t>s</w:t>
      </w:r>
      <w:r w:rsidRPr="00501206">
        <w:rPr>
          <w:rFonts w:eastAsiaTheme="minorHAnsi"/>
          <w:kern w:val="2"/>
          <w:sz w:val="22"/>
          <w:szCs w:val="22"/>
          <w:lang w:eastAsia="en-US"/>
        </w:rPr>
        <w:t xml:space="preserve">ation, and Active Experimentation. </w:t>
      </w:r>
      <w:r w:rsidRPr="00501206">
        <w:rPr>
          <w:sz w:val="22"/>
          <w:szCs w:val="22"/>
        </w:rPr>
        <w:t>Students start with a Concrete Experience, in which they actively participate in an activity or scenario. Reflective observation comes next, during which they go over and assess their experience from various angles. In order to formulate theories or broad concepts, students evaluate their reflections during the Abstract Conceptualisation stage. Lastly, students evaluate and improve their understanding by applying these insights to different situations through Active Experimentation. By motivating people to translate theory to practice, adjust to real-world obstacles, and keep improving their abilities, this cyclical process fosters deep learning.</w:t>
      </w:r>
      <w:r w:rsidRPr="00501206">
        <w:rPr>
          <w:rFonts w:eastAsiaTheme="minorHAnsi"/>
          <w:kern w:val="2"/>
          <w:sz w:val="22"/>
          <w:szCs w:val="22"/>
          <w:lang w:eastAsia="en-US"/>
        </w:rPr>
        <w:t xml:space="preserve"> In mentoring, Kolb’s model is particularly beneficial as it provides a structured approach to reflection and professional growth, allowing mentees to learn from their experiences and enhance their decision-making and problem-solving abilities.</w:t>
      </w:r>
      <w:r w:rsidRPr="00501206">
        <w:rPr>
          <w:sz w:val="22"/>
          <w:szCs w:val="22"/>
        </w:rPr>
        <w:t xml:space="preserve"> My mentor frequently used this approach to help me process challenging incidents, encouraging me to reflect on what worked, what didn’t, and how I could improve.</w:t>
      </w:r>
    </w:p>
    <w:p w14:paraId="55186AF7" w14:textId="77777777" w:rsidR="00BF5588" w:rsidRPr="00501206" w:rsidRDefault="00BF5588" w:rsidP="00BF5588">
      <w:pPr>
        <w:rPr>
          <w:sz w:val="22"/>
          <w:szCs w:val="22"/>
        </w:rPr>
      </w:pPr>
    </w:p>
    <w:p w14:paraId="30D7DB0E" w14:textId="77777777" w:rsidR="00BF5588" w:rsidRPr="00501206" w:rsidRDefault="00BF5588" w:rsidP="00BF5588">
      <w:pPr>
        <w:spacing w:after="160" w:line="259" w:lineRule="auto"/>
        <w:rPr>
          <w:rFonts w:eastAsiaTheme="minorHAnsi"/>
          <w:kern w:val="2"/>
          <w:sz w:val="22"/>
          <w:szCs w:val="22"/>
          <w:lang w:eastAsia="en-US"/>
        </w:rPr>
      </w:pPr>
      <w:r w:rsidRPr="00501206">
        <w:rPr>
          <w:sz w:val="22"/>
          <w:szCs w:val="22"/>
        </w:rPr>
        <w:t xml:space="preserve">Another relevant framework is Bandura’s social learning theory (Boone, Reilly and </w:t>
      </w:r>
      <w:proofErr w:type="spellStart"/>
      <w:r w:rsidRPr="00501206">
        <w:rPr>
          <w:sz w:val="22"/>
          <w:szCs w:val="22"/>
        </w:rPr>
        <w:t>Sashkin</w:t>
      </w:r>
      <w:proofErr w:type="spellEnd"/>
      <w:r w:rsidRPr="00501206">
        <w:rPr>
          <w:sz w:val="22"/>
          <w:szCs w:val="22"/>
        </w:rPr>
        <w:t xml:space="preserve">, 1977), </w:t>
      </w:r>
      <w:r w:rsidRPr="00501206">
        <w:rPr>
          <w:rFonts w:eastAsiaTheme="minorHAnsi"/>
          <w:kern w:val="2"/>
          <w:sz w:val="22"/>
          <w:szCs w:val="22"/>
          <w:lang w:eastAsia="en-US"/>
        </w:rPr>
        <w:t>Bandura’s Social Learning Theory emphasi</w:t>
      </w:r>
      <w:r w:rsidRPr="00501206">
        <w:rPr>
          <w:sz w:val="22"/>
          <w:szCs w:val="22"/>
        </w:rPr>
        <w:t>s</w:t>
      </w:r>
      <w:r w:rsidRPr="00501206">
        <w:rPr>
          <w:rFonts w:eastAsiaTheme="minorHAnsi"/>
          <w:kern w:val="2"/>
          <w:sz w:val="22"/>
          <w:szCs w:val="22"/>
          <w:lang w:eastAsia="en-US"/>
        </w:rPr>
        <w:t xml:space="preserve">es the importance of learning through observation, imitation, and </w:t>
      </w:r>
      <w:r w:rsidRPr="00501206">
        <w:rPr>
          <w:sz w:val="22"/>
          <w:szCs w:val="22"/>
        </w:rPr>
        <w:t>modelling</w:t>
      </w:r>
      <w:r w:rsidRPr="00501206">
        <w:rPr>
          <w:rFonts w:eastAsiaTheme="minorHAnsi"/>
          <w:kern w:val="2"/>
          <w:sz w:val="22"/>
          <w:szCs w:val="22"/>
          <w:lang w:eastAsia="en-US"/>
        </w:rPr>
        <w:t xml:space="preserve"> within a social context. </w:t>
      </w:r>
      <w:r w:rsidRPr="00501206">
        <w:rPr>
          <w:sz w:val="22"/>
          <w:szCs w:val="22"/>
        </w:rPr>
        <w:t xml:space="preserve">It suggests that people pick up new behaviours, attitudes, and abilities by watching other people—especially role models—and the results of their actions. </w:t>
      </w:r>
      <w:r w:rsidRPr="00501206">
        <w:rPr>
          <w:rFonts w:eastAsiaTheme="minorHAnsi"/>
          <w:kern w:val="2"/>
          <w:sz w:val="22"/>
          <w:szCs w:val="22"/>
          <w:lang w:eastAsia="en-US"/>
        </w:rPr>
        <w:t>Bandura identified four key processes in social learning</w:t>
      </w:r>
      <w:r w:rsidRPr="00501206">
        <w:rPr>
          <w:sz w:val="22"/>
          <w:szCs w:val="22"/>
        </w:rPr>
        <w:t xml:space="preserve">: Attention, where the person concentrates on the behaviour being modelled; retention, where the behaviour is remembered; reproduction, where the behaviour is replicated; and motivation, which decides whether the behaviour is repeated based on positive or negative reinforcement. This idea emphasises how important social connections and the environment are in determining conduct. Bandura's thesis emphasises the need of mentors acting as constructive role models in a mentoring setting. </w:t>
      </w:r>
      <w:r w:rsidRPr="00501206">
        <w:rPr>
          <w:rFonts w:eastAsiaTheme="minorHAnsi"/>
          <w:kern w:val="2"/>
          <w:sz w:val="22"/>
          <w:szCs w:val="22"/>
          <w:lang w:eastAsia="en-US"/>
        </w:rPr>
        <w:t xml:space="preserve">By demonstrating best practices and ethical decision-making, mentors can influence mentees to adopt similar </w:t>
      </w:r>
      <w:r w:rsidRPr="00501206">
        <w:rPr>
          <w:sz w:val="22"/>
          <w:szCs w:val="22"/>
        </w:rPr>
        <w:t>behaviours</w:t>
      </w:r>
      <w:r w:rsidRPr="00501206">
        <w:rPr>
          <w:rFonts w:eastAsiaTheme="minorHAnsi"/>
          <w:kern w:val="2"/>
          <w:sz w:val="22"/>
          <w:szCs w:val="22"/>
          <w:lang w:eastAsia="en-US"/>
        </w:rPr>
        <w:t>, fostering professional growth and confidence in their abilities.</w:t>
      </w:r>
    </w:p>
    <w:p w14:paraId="63FB71F7" w14:textId="77777777" w:rsidR="00BF5588" w:rsidRPr="00501206" w:rsidRDefault="00BF5588" w:rsidP="00BF5588">
      <w:pPr>
        <w:rPr>
          <w:sz w:val="22"/>
          <w:szCs w:val="22"/>
        </w:rPr>
      </w:pPr>
      <w:r w:rsidRPr="00501206">
        <w:rPr>
          <w:sz w:val="22"/>
          <w:szCs w:val="22"/>
        </w:rPr>
        <w:lastRenderedPageBreak/>
        <w:t>Shadowing experienced officers allowed me to observe best practices in areas such as community engagement and local intelligence gathering. These experiences were further enhanced by my mentor’s feedback, which helped me put into context what I had observed and apply it in my everyday job.</w:t>
      </w:r>
    </w:p>
    <w:p w14:paraId="503EACEB" w14:textId="77777777" w:rsidR="00BF5588" w:rsidRPr="00501206" w:rsidRDefault="00BF5588" w:rsidP="00BF5588">
      <w:pPr>
        <w:rPr>
          <w:sz w:val="22"/>
          <w:szCs w:val="22"/>
        </w:rPr>
      </w:pPr>
    </w:p>
    <w:p w14:paraId="404FEE51" w14:textId="77777777" w:rsidR="00BF5588" w:rsidRPr="00501206" w:rsidRDefault="00BF5588" w:rsidP="00BF5588">
      <w:pPr>
        <w:rPr>
          <w:sz w:val="22"/>
          <w:szCs w:val="22"/>
        </w:rPr>
      </w:pPr>
      <w:r w:rsidRPr="00501206">
        <w:rPr>
          <w:sz w:val="22"/>
          <w:szCs w:val="22"/>
        </w:rPr>
        <w:t>Feedback has been a cornerstone of my personal development. South Wales Police’s feedback framework emphasises constructive, actionable feedback delivered in a timely manner. My mentor and patrol supervisor used a strengths-based approach to feedback, focusing on what I did well while identifying areas for improvement along the way.</w:t>
      </w:r>
    </w:p>
    <w:p w14:paraId="3670773E" w14:textId="77777777" w:rsidR="00BF5588" w:rsidRPr="00501206" w:rsidRDefault="00BF5588" w:rsidP="00BF5588">
      <w:pPr>
        <w:rPr>
          <w:sz w:val="22"/>
          <w:szCs w:val="22"/>
        </w:rPr>
      </w:pPr>
    </w:p>
    <w:p w14:paraId="55766E3E" w14:textId="77777777" w:rsidR="00BF5588" w:rsidRPr="00501206" w:rsidRDefault="00BF5588" w:rsidP="00BF5588">
      <w:pPr>
        <w:rPr>
          <w:sz w:val="22"/>
          <w:szCs w:val="22"/>
        </w:rPr>
      </w:pPr>
      <w:r w:rsidRPr="00501206">
        <w:rPr>
          <w:sz w:val="22"/>
          <w:szCs w:val="22"/>
        </w:rPr>
        <w:t>Conversely, I have also developed skills in providing feedback to colleagues, particularly in collaborative settings. During a joint operation addressing organised crime, I provided feedback to team members on their roles and responsibilities, ensuring alignment with our objectives and outcomes. This aligns with the principles of organisational justice, which emphasise transparency and mutual respect between colleagues (Tyler, 2003).</w:t>
      </w:r>
    </w:p>
    <w:p w14:paraId="47256CCE" w14:textId="77777777" w:rsidR="00BF5588" w:rsidRPr="00501206" w:rsidRDefault="00BF5588" w:rsidP="00BF5588">
      <w:pPr>
        <w:rPr>
          <w:sz w:val="22"/>
          <w:szCs w:val="22"/>
        </w:rPr>
      </w:pPr>
    </w:p>
    <w:p w14:paraId="3B70320A" w14:textId="77777777" w:rsidR="00BF5588" w:rsidRPr="00501206" w:rsidRDefault="00BF5588" w:rsidP="00BF5588">
      <w:pPr>
        <w:rPr>
          <w:sz w:val="22"/>
          <w:szCs w:val="22"/>
        </w:rPr>
      </w:pPr>
      <w:r w:rsidRPr="00501206">
        <w:rPr>
          <w:sz w:val="22"/>
          <w:szCs w:val="22"/>
        </w:rPr>
        <w:t>As a new police officer, having the confidence to provide constructive feedback to more experienced colleagues and the accountability to admit mistakes is essential for fostering a culture of continuous improvement and ethical practice. Confidence in offering feedback demonstrates professionalism and a commitment to team development, ensuring that operational effectiveness and public trust are always prioritised. Equally, acknowledging mistakes reflects integrity and aligns with the principles outlined in the Code of Ethics which I have previously explained, particularly those of accountability and openness. By embracing both, new officers contribute to a more transparent and collaborative work environment, where learning is for all, and the importance of personal and organisational growth is recognised however much experience you have. This approach not only builds respect within the team but also strengthens the individual officer’s resilience and adaptability, key attributes for long-term success in policing in today’s society.</w:t>
      </w:r>
    </w:p>
    <w:p w14:paraId="5A3C8A97" w14:textId="77777777" w:rsidR="00BF5588" w:rsidRPr="00501206" w:rsidRDefault="00BF5588" w:rsidP="00BF5588">
      <w:pPr>
        <w:rPr>
          <w:sz w:val="22"/>
          <w:szCs w:val="22"/>
        </w:rPr>
      </w:pPr>
      <w:r w:rsidRPr="00501206">
        <w:rPr>
          <w:sz w:val="22"/>
          <w:szCs w:val="22"/>
        </w:rPr>
        <w:t xml:space="preserve">My three-year probationary period has been a transformative journey characterised by significant personal and professional growth. Mentoring and coaching have played pivotal roles in this process, helping me navigate challenges, achieve goals, and align my work with the principles of ethical policing. By integrating theoretical insights with practical experiences, I have developed the skills, knowledge, and confidence to perform effectively in the complex and dynamic world of policing as well as accountability and adaptability which I believe has made a difference in my career and personal life. </w:t>
      </w:r>
    </w:p>
    <w:p w14:paraId="5F9D9E57" w14:textId="77777777" w:rsidR="00BF5588" w:rsidRPr="00501206" w:rsidRDefault="00BF5588" w:rsidP="00BF5588">
      <w:pPr>
        <w:rPr>
          <w:sz w:val="22"/>
          <w:szCs w:val="22"/>
        </w:rPr>
      </w:pPr>
    </w:p>
    <w:p w14:paraId="3CD0677E" w14:textId="77777777" w:rsidR="00BF5588" w:rsidRPr="00501206" w:rsidRDefault="00BF5588" w:rsidP="00BF5588">
      <w:pPr>
        <w:rPr>
          <w:sz w:val="22"/>
          <w:szCs w:val="22"/>
        </w:rPr>
      </w:pPr>
      <w:r w:rsidRPr="00501206">
        <w:rPr>
          <w:sz w:val="22"/>
          <w:szCs w:val="22"/>
        </w:rPr>
        <w:t>As I transition to a fully qualified officer, I am committed to continuing this journey of learning and reflection, leveraging the principles of mentoring and coaching to support my ongoing development and contribute to the broader goals of my team and the force.</w:t>
      </w:r>
    </w:p>
    <w:p w14:paraId="221F183A" w14:textId="77777777" w:rsidR="00BF5588" w:rsidRPr="00501206" w:rsidRDefault="00BF5588" w:rsidP="00BF5588">
      <w:pPr>
        <w:rPr>
          <w:sz w:val="22"/>
          <w:szCs w:val="22"/>
        </w:rPr>
      </w:pPr>
    </w:p>
    <w:p w14:paraId="1DF13F8A" w14:textId="77777777" w:rsidR="00BF5588" w:rsidRPr="00BF5588" w:rsidRDefault="00BF5588" w:rsidP="00BF5588">
      <w:pPr>
        <w:rPr>
          <w:rFonts w:asciiTheme="minorHAnsi" w:hAnsiTheme="minorHAnsi" w:cstheme="minorHAnsi"/>
          <w:sz w:val="24"/>
          <w:szCs w:val="24"/>
        </w:rPr>
      </w:pPr>
      <w:r w:rsidRPr="00BF5588">
        <w:rPr>
          <w:rFonts w:asciiTheme="minorHAnsi" w:hAnsiTheme="minorHAnsi" w:cstheme="minorHAnsi"/>
          <w:sz w:val="24"/>
          <w:szCs w:val="24"/>
        </w:rPr>
        <w:t>Total Words - 1833</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971D3D6" w14:textId="205FE1A2" w:rsidR="00AC13D5" w:rsidRPr="00AC13D5" w:rsidRDefault="000F7ECD" w:rsidP="00AC13D5">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ED8707E" w14:textId="77777777" w:rsidR="00AC13D5" w:rsidRPr="00AC13D5" w:rsidRDefault="00AC13D5" w:rsidP="00517B18">
      <w:pPr>
        <w:rPr>
          <w:rFonts w:asciiTheme="minorHAnsi" w:hAnsiTheme="minorHAnsi" w:cstheme="minorHAnsi"/>
          <w:sz w:val="22"/>
          <w:szCs w:val="22"/>
        </w:rPr>
      </w:pPr>
    </w:p>
    <w:p w14:paraId="1B458A53" w14:textId="77777777" w:rsidR="0099635E" w:rsidRPr="0099635E" w:rsidRDefault="0099635E" w:rsidP="0099635E">
      <w:pPr>
        <w:rPr>
          <w:rFonts w:asciiTheme="minorHAnsi" w:hAnsiTheme="minorHAnsi" w:cstheme="minorHAnsi"/>
          <w:sz w:val="24"/>
          <w:szCs w:val="24"/>
        </w:rPr>
      </w:pPr>
    </w:p>
    <w:p w14:paraId="7EFE8194" w14:textId="77777777" w:rsidR="00BF5588" w:rsidRDefault="00BF5588" w:rsidP="00517B18">
      <w:pPr>
        <w:rPr>
          <w:rFonts w:asciiTheme="minorHAnsi" w:hAnsiTheme="minorHAnsi" w:cstheme="minorHAnsi"/>
          <w:sz w:val="24"/>
          <w:szCs w:val="24"/>
        </w:rPr>
      </w:pPr>
      <w:r>
        <w:rPr>
          <w:rFonts w:asciiTheme="minorHAnsi" w:hAnsiTheme="minorHAnsi" w:cstheme="minorHAnsi"/>
          <w:sz w:val="24"/>
          <w:szCs w:val="24"/>
        </w:rPr>
        <w:t xml:space="preserve"> </w:t>
      </w:r>
    </w:p>
    <w:p w14:paraId="04BE10AB"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Anthony Allan Braga and Weisburd, D. (2010). </w:t>
      </w:r>
      <w:r w:rsidRPr="00AC13D5">
        <w:rPr>
          <w:rFonts w:asciiTheme="minorHAnsi" w:hAnsiTheme="minorHAnsi" w:cstheme="minorHAnsi"/>
          <w:i/>
          <w:iCs/>
          <w:sz w:val="24"/>
          <w:szCs w:val="24"/>
        </w:rPr>
        <w:t>Policing Problem Places: Crime Hot Spots and Effective Prevention</w:t>
      </w:r>
      <w:r w:rsidRPr="00AC13D5">
        <w:rPr>
          <w:rFonts w:asciiTheme="minorHAnsi" w:hAnsiTheme="minorHAnsi" w:cstheme="minorHAnsi"/>
          <w:sz w:val="24"/>
          <w:szCs w:val="24"/>
        </w:rPr>
        <w:t>. Oxford; New York: Oxford University Press.</w:t>
      </w:r>
    </w:p>
    <w:p w14:paraId="0A921404"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Arcos, R., Chiru, I. and Ivan, C. (2023). </w:t>
      </w:r>
      <w:r w:rsidRPr="00AC13D5">
        <w:rPr>
          <w:rFonts w:asciiTheme="minorHAnsi" w:eastAsia="Aptos" w:hAnsiTheme="minorHAnsi" w:cstheme="minorHAnsi"/>
          <w:i/>
          <w:iCs/>
          <w:color w:val="auto"/>
          <w:kern w:val="2"/>
          <w:sz w:val="24"/>
          <w:szCs w:val="24"/>
          <w:lang w:eastAsia="en-US"/>
          <w14:ligatures w14:val="standardContextual"/>
        </w:rPr>
        <w:t>Routledge Handbook of Disinformation and National Security</w:t>
      </w:r>
      <w:r w:rsidRPr="00AC13D5">
        <w:rPr>
          <w:rFonts w:asciiTheme="minorHAnsi" w:eastAsia="Aptos" w:hAnsiTheme="minorHAnsi" w:cstheme="minorHAnsi"/>
          <w:color w:val="auto"/>
          <w:kern w:val="2"/>
          <w:sz w:val="24"/>
          <w:szCs w:val="24"/>
          <w:lang w:eastAsia="en-US"/>
          <w14:ligatures w14:val="standardContextual"/>
        </w:rPr>
        <w:t>. Taylor &amp; Francis.</w:t>
      </w:r>
    </w:p>
    <w:p w14:paraId="21169128" w14:textId="77777777" w:rsidR="00BF5588" w:rsidRDefault="00BF5588" w:rsidP="0099635E">
      <w:pPr>
        <w:rPr>
          <w:rFonts w:asciiTheme="minorHAnsi" w:hAnsiTheme="minorHAnsi" w:cstheme="minorHAnsi"/>
          <w:sz w:val="24"/>
          <w:szCs w:val="24"/>
        </w:rPr>
      </w:pPr>
      <w:r w:rsidRPr="0099635E">
        <w:rPr>
          <w:rFonts w:asciiTheme="minorHAnsi" w:hAnsiTheme="minorHAnsi" w:cstheme="minorHAnsi"/>
          <w:sz w:val="24"/>
          <w:szCs w:val="24"/>
        </w:rPr>
        <w:t xml:space="preserve">Bass, B. M. (1985). </w:t>
      </w:r>
      <w:r w:rsidRPr="0099635E">
        <w:rPr>
          <w:rFonts w:asciiTheme="minorHAnsi" w:hAnsiTheme="minorHAnsi" w:cstheme="minorHAnsi"/>
          <w:i/>
          <w:iCs/>
          <w:sz w:val="24"/>
          <w:szCs w:val="24"/>
        </w:rPr>
        <w:t>Leadership and Performance Beyond Expectations</w:t>
      </w:r>
      <w:r w:rsidRPr="0099635E">
        <w:rPr>
          <w:rFonts w:asciiTheme="minorHAnsi" w:hAnsiTheme="minorHAnsi" w:cstheme="minorHAnsi"/>
          <w:sz w:val="24"/>
          <w:szCs w:val="24"/>
        </w:rPr>
        <w:t>. Free Press.</w:t>
      </w:r>
    </w:p>
    <w:p w14:paraId="79CB6BBE" w14:textId="77777777" w:rsidR="00BF5588" w:rsidRPr="00827BE6" w:rsidRDefault="00BF5588" w:rsidP="00BF5588">
      <w:pPr>
        <w:spacing w:after="160" w:line="259" w:lineRule="auto"/>
        <w:rPr>
          <w:rFonts w:ascii="Calibri" w:hAnsi="Calibri" w:cs="Calibri"/>
          <w:sz w:val="24"/>
          <w:szCs w:val="24"/>
        </w:rPr>
      </w:pPr>
      <w:r w:rsidRPr="00827BE6">
        <w:rPr>
          <w:rFonts w:ascii="Calibri" w:hAnsi="Calibri" w:cs="Calibri"/>
          <w:sz w:val="24"/>
          <w:szCs w:val="24"/>
        </w:rPr>
        <w:t xml:space="preserve">Boone, T., Reilly, A. j. and </w:t>
      </w:r>
      <w:proofErr w:type="spellStart"/>
      <w:r w:rsidRPr="00827BE6">
        <w:rPr>
          <w:rFonts w:ascii="Calibri" w:hAnsi="Calibri" w:cs="Calibri"/>
          <w:sz w:val="24"/>
          <w:szCs w:val="24"/>
        </w:rPr>
        <w:t>Sashkin</w:t>
      </w:r>
      <w:proofErr w:type="spellEnd"/>
      <w:r w:rsidRPr="00827BE6">
        <w:rPr>
          <w:rFonts w:ascii="Calibri" w:hAnsi="Calibri" w:cs="Calibri"/>
          <w:sz w:val="24"/>
          <w:szCs w:val="24"/>
        </w:rPr>
        <w:t xml:space="preserve">, M. (1977). SOCIAL LEARNING THEORY Albert Bandura Englewood Cliffs, N.J.: Prentice-Hall, 1977. 247 pp., Paperbound. </w:t>
      </w:r>
      <w:r w:rsidRPr="00827BE6">
        <w:rPr>
          <w:rFonts w:ascii="Calibri" w:hAnsi="Calibri" w:cs="Calibri"/>
          <w:i/>
          <w:iCs/>
          <w:sz w:val="24"/>
          <w:szCs w:val="24"/>
        </w:rPr>
        <w:t>Group &amp; Organisation Studies</w:t>
      </w:r>
      <w:r w:rsidRPr="00827BE6">
        <w:rPr>
          <w:rFonts w:ascii="Calibri" w:hAnsi="Calibri" w:cs="Calibri"/>
          <w:sz w:val="24"/>
          <w:szCs w:val="24"/>
        </w:rPr>
        <w:t xml:space="preserve">, [online] 2(3). </w:t>
      </w:r>
      <w:proofErr w:type="spellStart"/>
      <w:proofErr w:type="gramStart"/>
      <w:r w:rsidRPr="00827BE6">
        <w:rPr>
          <w:rFonts w:ascii="Calibri" w:hAnsi="Calibri" w:cs="Calibri"/>
          <w:sz w:val="24"/>
          <w:szCs w:val="24"/>
        </w:rPr>
        <w:t>doi:https</w:t>
      </w:r>
      <w:proofErr w:type="spellEnd"/>
      <w:r w:rsidRPr="00827BE6">
        <w:rPr>
          <w:rFonts w:ascii="Calibri" w:hAnsi="Calibri" w:cs="Calibri"/>
          <w:sz w:val="24"/>
          <w:szCs w:val="24"/>
        </w:rPr>
        <w:t>://doi.org/10.1177/105960117700200317</w:t>
      </w:r>
      <w:proofErr w:type="gramEnd"/>
      <w:r w:rsidRPr="00827BE6">
        <w:rPr>
          <w:rFonts w:ascii="Calibri" w:hAnsi="Calibri" w:cs="Calibri"/>
          <w:sz w:val="24"/>
          <w:szCs w:val="24"/>
        </w:rPr>
        <w:t>.</w:t>
      </w:r>
    </w:p>
    <w:p w14:paraId="0BF14B6B"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Bradford, B. and Loader, I. (2015). Police, Crime and Order: The Case of Stop and Search. SSRN Electronic Journal, [online] 44(2). </w:t>
      </w:r>
      <w:proofErr w:type="spellStart"/>
      <w:r w:rsidRPr="00AC13D5">
        <w:rPr>
          <w:rFonts w:asciiTheme="minorHAnsi" w:hAnsiTheme="minorHAnsi" w:cstheme="minorHAnsi"/>
          <w:sz w:val="24"/>
          <w:szCs w:val="24"/>
        </w:rPr>
        <w:t>doi</w:t>
      </w:r>
      <w:proofErr w:type="spellEnd"/>
      <w:r w:rsidRPr="00AC13D5">
        <w:rPr>
          <w:rFonts w:asciiTheme="minorHAnsi" w:hAnsiTheme="minorHAnsi" w:cstheme="minorHAnsi"/>
          <w:sz w:val="24"/>
          <w:szCs w:val="24"/>
        </w:rPr>
        <w:t>: https://doi.org/10.2139/ssrn.2637361.</w:t>
      </w:r>
    </w:p>
    <w:p w14:paraId="42E6F0DB"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Bradley, R. (1998). </w:t>
      </w:r>
      <w:r w:rsidRPr="00AC13D5">
        <w:rPr>
          <w:rFonts w:asciiTheme="minorHAnsi" w:eastAsia="Aptos" w:hAnsiTheme="minorHAnsi" w:cstheme="minorHAnsi"/>
          <w:i/>
          <w:iCs/>
          <w:color w:val="auto"/>
          <w:kern w:val="2"/>
          <w:sz w:val="24"/>
          <w:szCs w:val="24"/>
          <w:lang w:eastAsia="en-US"/>
          <w14:ligatures w14:val="standardContextual"/>
        </w:rPr>
        <w:t>Public Expectations and Perceptions of Policing</w:t>
      </w:r>
      <w:r w:rsidRPr="00AC13D5">
        <w:rPr>
          <w:rFonts w:asciiTheme="minorHAnsi" w:eastAsia="Aptos" w:hAnsiTheme="minorHAnsi" w:cstheme="minorHAnsi"/>
          <w:color w:val="auto"/>
          <w:kern w:val="2"/>
          <w:sz w:val="24"/>
          <w:szCs w:val="24"/>
          <w:lang w:eastAsia="en-US"/>
          <w14:ligatures w14:val="standardContextual"/>
        </w:rPr>
        <w:t>. [online] Available at: https://library.college.police.uk/docs/hopolicers/fprs96.pdf [Accessed 14 Nov. 2024].</w:t>
      </w:r>
    </w:p>
    <w:p w14:paraId="30B2E91C"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Brainard, L. and </w:t>
      </w:r>
      <w:proofErr w:type="spellStart"/>
      <w:r w:rsidRPr="00AC13D5">
        <w:rPr>
          <w:rFonts w:asciiTheme="minorHAnsi" w:eastAsia="Aptos" w:hAnsiTheme="minorHAnsi" w:cstheme="minorHAnsi"/>
          <w:color w:val="auto"/>
          <w:kern w:val="2"/>
          <w:sz w:val="24"/>
          <w:szCs w:val="24"/>
          <w:lang w:eastAsia="en-US"/>
          <w14:ligatures w14:val="standardContextual"/>
        </w:rPr>
        <w:t>Edlins</w:t>
      </w:r>
      <w:proofErr w:type="spellEnd"/>
      <w:r w:rsidRPr="00AC13D5">
        <w:rPr>
          <w:rFonts w:asciiTheme="minorHAnsi" w:eastAsia="Aptos" w:hAnsiTheme="minorHAnsi" w:cstheme="minorHAnsi"/>
          <w:color w:val="auto"/>
          <w:kern w:val="2"/>
          <w:sz w:val="24"/>
          <w:szCs w:val="24"/>
          <w:lang w:eastAsia="en-US"/>
          <w14:ligatures w14:val="standardContextual"/>
        </w:rPr>
        <w:t xml:space="preserve">, M. (2014). Top 10 U.S. Municipal Police Departments and Their Social Media Usage. </w:t>
      </w:r>
      <w:r w:rsidRPr="00AC13D5">
        <w:rPr>
          <w:rFonts w:asciiTheme="minorHAnsi" w:eastAsia="Aptos" w:hAnsiTheme="minorHAnsi" w:cstheme="minorHAnsi"/>
          <w:i/>
          <w:iCs/>
          <w:color w:val="auto"/>
          <w:kern w:val="2"/>
          <w:sz w:val="24"/>
          <w:szCs w:val="24"/>
          <w:lang w:eastAsia="en-US"/>
          <w14:ligatures w14:val="standardContextual"/>
        </w:rPr>
        <w:t>The American Review of Public Administration</w:t>
      </w:r>
      <w:r w:rsidRPr="00AC13D5">
        <w:rPr>
          <w:rFonts w:asciiTheme="minorHAnsi" w:eastAsia="Aptos" w:hAnsiTheme="minorHAnsi" w:cstheme="minorHAnsi"/>
          <w:color w:val="auto"/>
          <w:kern w:val="2"/>
          <w:sz w:val="24"/>
          <w:szCs w:val="24"/>
          <w:lang w:eastAsia="en-US"/>
          <w14:ligatures w14:val="standardContextual"/>
        </w:rPr>
        <w:t xml:space="preserve">, 45(6), pp.728–745.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://doi.org/10.1177/0275074014524478</w:t>
      </w:r>
      <w:proofErr w:type="gramEnd"/>
      <w:r w:rsidRPr="00AC13D5">
        <w:rPr>
          <w:rFonts w:asciiTheme="minorHAnsi" w:eastAsia="Aptos" w:hAnsiTheme="minorHAnsi" w:cstheme="minorHAnsi"/>
          <w:color w:val="auto"/>
          <w:kern w:val="2"/>
          <w:sz w:val="24"/>
          <w:szCs w:val="24"/>
          <w:lang w:eastAsia="en-US"/>
          <w14:ligatures w14:val="standardContextual"/>
        </w:rPr>
        <w:t>.</w:t>
      </w:r>
    </w:p>
    <w:p w14:paraId="5AA5B20F"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Brown, M.K. (1981). </w:t>
      </w:r>
      <w:r w:rsidRPr="00AC13D5">
        <w:rPr>
          <w:rFonts w:asciiTheme="minorHAnsi" w:hAnsiTheme="minorHAnsi" w:cstheme="minorHAnsi"/>
          <w:i/>
          <w:iCs/>
          <w:sz w:val="24"/>
          <w:szCs w:val="24"/>
        </w:rPr>
        <w:t>Working the Street</w:t>
      </w:r>
      <w:r w:rsidRPr="00AC13D5">
        <w:rPr>
          <w:rFonts w:asciiTheme="minorHAnsi" w:hAnsiTheme="minorHAnsi" w:cstheme="minorHAnsi"/>
          <w:sz w:val="24"/>
          <w:szCs w:val="24"/>
        </w:rPr>
        <w:t>. Russell Sage Foundation.</w:t>
      </w:r>
    </w:p>
    <w:p w14:paraId="21ACCFF4"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Browning, M. and Arrigo, B. (2020). Stop and Risk: Policing, Data, and the Digital Age of Discrimination. </w:t>
      </w:r>
      <w:r w:rsidRPr="00AC13D5">
        <w:rPr>
          <w:rFonts w:asciiTheme="minorHAnsi" w:eastAsia="Aptos" w:hAnsiTheme="minorHAnsi" w:cstheme="minorHAnsi"/>
          <w:i/>
          <w:iCs/>
          <w:color w:val="auto"/>
          <w:kern w:val="2"/>
          <w:sz w:val="24"/>
          <w:szCs w:val="24"/>
          <w:lang w:eastAsia="en-US"/>
          <w14:ligatures w14:val="standardContextual"/>
        </w:rPr>
        <w:t>American Journal of Criminal Justice</w:t>
      </w:r>
      <w:r w:rsidRPr="00AC13D5">
        <w:rPr>
          <w:rFonts w:asciiTheme="minorHAnsi" w:eastAsia="Aptos" w:hAnsiTheme="minorHAnsi" w:cstheme="minorHAnsi"/>
          <w:color w:val="auto"/>
          <w:kern w:val="2"/>
          <w:sz w:val="24"/>
          <w:szCs w:val="24"/>
          <w:lang w:eastAsia="en-US"/>
          <w14:ligatures w14:val="standardContextual"/>
        </w:rPr>
        <w:t xml:space="preserve">, [online] 46(2), pp.298–316.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://doi.org/10.1007/s12103-020-09557-x</w:t>
      </w:r>
      <w:proofErr w:type="gramEnd"/>
      <w:r w:rsidRPr="00AC13D5">
        <w:rPr>
          <w:rFonts w:asciiTheme="minorHAnsi" w:eastAsia="Aptos" w:hAnsiTheme="minorHAnsi" w:cstheme="minorHAnsi"/>
          <w:color w:val="auto"/>
          <w:kern w:val="2"/>
          <w:sz w:val="24"/>
          <w:szCs w:val="24"/>
          <w:lang w:eastAsia="en-US"/>
          <w14:ligatures w14:val="standardContextual"/>
        </w:rPr>
        <w:t>.</w:t>
      </w:r>
    </w:p>
    <w:p w14:paraId="7DB289B2"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Bullock, K. (2017). The Police Use of Social Media: Transformation or Normalisation? </w:t>
      </w:r>
      <w:r w:rsidRPr="00AC13D5">
        <w:rPr>
          <w:rFonts w:asciiTheme="minorHAnsi" w:eastAsia="Aptos" w:hAnsiTheme="minorHAnsi" w:cstheme="minorHAnsi"/>
          <w:i/>
          <w:iCs/>
          <w:color w:val="auto"/>
          <w:kern w:val="2"/>
          <w:sz w:val="24"/>
          <w:szCs w:val="24"/>
          <w:lang w:eastAsia="en-US"/>
          <w14:ligatures w14:val="standardContextual"/>
        </w:rPr>
        <w:t>Social Policy and Society</w:t>
      </w:r>
      <w:r w:rsidRPr="00AC13D5">
        <w:rPr>
          <w:rFonts w:asciiTheme="minorHAnsi" w:eastAsia="Aptos" w:hAnsiTheme="minorHAnsi" w:cstheme="minorHAnsi"/>
          <w:color w:val="auto"/>
          <w:kern w:val="2"/>
          <w:sz w:val="24"/>
          <w:szCs w:val="24"/>
          <w:lang w:eastAsia="en-US"/>
          <w14:ligatures w14:val="standardContextual"/>
        </w:rPr>
        <w:t>, [online] 17(02), pp.245–258. Available at: https://www.cambridge.org/core/journals/social-policy-and-society/article/police-use-of-social-media-transformation-or-normalisation/19E5C6727038F01129B51CE4287D0FFB [Accessed 28 Dec. 2024].</w:t>
      </w:r>
    </w:p>
    <w:p w14:paraId="45596B7F"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College Of Policing (2012). </w:t>
      </w:r>
      <w:r w:rsidRPr="00AC13D5">
        <w:rPr>
          <w:rFonts w:asciiTheme="minorHAnsi" w:hAnsiTheme="minorHAnsi" w:cstheme="minorHAnsi"/>
          <w:i/>
          <w:iCs/>
          <w:sz w:val="24"/>
          <w:szCs w:val="24"/>
        </w:rPr>
        <w:t>About Us</w:t>
      </w:r>
      <w:r w:rsidRPr="00AC13D5">
        <w:rPr>
          <w:rFonts w:asciiTheme="minorHAnsi" w:hAnsiTheme="minorHAnsi" w:cstheme="minorHAnsi"/>
          <w:sz w:val="24"/>
          <w:szCs w:val="24"/>
        </w:rPr>
        <w:t>. [online] Available at: https://www.college.police.uk/about#:~:text=The%20College%20of%20Policing%20was%20established%20in%202012%20as%20the [Accessed 12 Sep. 2024].</w:t>
      </w:r>
    </w:p>
    <w:p w14:paraId="127DCE77"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College of Policing (2020). </w:t>
      </w:r>
      <w:r w:rsidRPr="00AC13D5">
        <w:rPr>
          <w:rFonts w:asciiTheme="minorHAnsi" w:hAnsiTheme="minorHAnsi" w:cstheme="minorHAnsi"/>
          <w:i/>
          <w:iCs/>
          <w:sz w:val="24"/>
          <w:szCs w:val="24"/>
        </w:rPr>
        <w:t>Continuing Professional Development (CPD)</w:t>
      </w:r>
      <w:r w:rsidRPr="00AC13D5">
        <w:rPr>
          <w:rFonts w:asciiTheme="minorHAnsi" w:hAnsiTheme="minorHAnsi" w:cstheme="minorHAnsi"/>
          <w:sz w:val="24"/>
          <w:szCs w:val="24"/>
        </w:rPr>
        <w:t>. [online] College of Policing. Available at: https://www.college.police.uk/career-learning/career-development/CPD [Accessed 25 Sep. 2024].</w:t>
      </w:r>
    </w:p>
    <w:p w14:paraId="7F667136"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College of Policing (2022). </w:t>
      </w:r>
      <w:r w:rsidRPr="00AC13D5">
        <w:rPr>
          <w:rFonts w:asciiTheme="minorHAnsi" w:hAnsiTheme="minorHAnsi" w:cstheme="minorHAnsi"/>
          <w:i/>
          <w:iCs/>
          <w:sz w:val="24"/>
          <w:szCs w:val="24"/>
        </w:rPr>
        <w:t>Crime Reduction Toolkit</w:t>
      </w:r>
      <w:r w:rsidRPr="00AC13D5">
        <w:rPr>
          <w:rFonts w:asciiTheme="minorHAnsi" w:hAnsiTheme="minorHAnsi" w:cstheme="minorHAnsi"/>
          <w:sz w:val="24"/>
          <w:szCs w:val="24"/>
        </w:rPr>
        <w:t>. [online] College of Policing. Available at: https://www.college.police.uk/research/crime-reduction-toolkit.</w:t>
      </w:r>
    </w:p>
    <w:p w14:paraId="1812177C"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lastRenderedPageBreak/>
        <w:t xml:space="preserve">College of Policing (2023). </w:t>
      </w:r>
      <w:r w:rsidRPr="00864985">
        <w:rPr>
          <w:rFonts w:ascii="Calibri" w:hAnsi="Calibri" w:cs="Calibri"/>
          <w:i/>
          <w:iCs/>
          <w:sz w:val="24"/>
          <w:szCs w:val="24"/>
        </w:rPr>
        <w:t>Mentoring</w:t>
      </w:r>
      <w:r w:rsidRPr="00864985">
        <w:rPr>
          <w:rFonts w:ascii="Calibri" w:hAnsi="Calibri" w:cs="Calibri"/>
          <w:sz w:val="24"/>
          <w:szCs w:val="24"/>
        </w:rPr>
        <w:t>. [online] College of Policing. Available at: https://www.college.police.uk/career-learning/support-for-career-development/mentoring [Accessed 12 Jan. 2025].</w:t>
      </w:r>
    </w:p>
    <w:p w14:paraId="091BB50F"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College of Policing (2024). </w:t>
      </w:r>
      <w:r w:rsidRPr="00AC13D5">
        <w:rPr>
          <w:rFonts w:asciiTheme="minorHAnsi" w:hAnsiTheme="minorHAnsi" w:cstheme="minorHAnsi"/>
          <w:i/>
          <w:iCs/>
          <w:sz w:val="24"/>
          <w:szCs w:val="24"/>
        </w:rPr>
        <w:t>Evidence-based policing</w:t>
      </w:r>
      <w:r w:rsidRPr="00AC13D5">
        <w:rPr>
          <w:rFonts w:asciiTheme="minorHAnsi" w:hAnsiTheme="minorHAnsi" w:cstheme="minorHAnsi"/>
          <w:sz w:val="24"/>
          <w:szCs w:val="24"/>
        </w:rPr>
        <w:t>. [online] College of Policing. Available at: https://www.college.police.uk/research/evidence-based-policing-EBP [Accessed 12 Sep. 2024].</w:t>
      </w:r>
    </w:p>
    <w:p w14:paraId="06FDBF18"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Crank, J.P. (2015). </w:t>
      </w:r>
      <w:r w:rsidRPr="00AC13D5">
        <w:rPr>
          <w:rFonts w:asciiTheme="minorHAnsi" w:hAnsiTheme="minorHAnsi" w:cstheme="minorHAnsi"/>
          <w:i/>
          <w:iCs/>
          <w:sz w:val="24"/>
          <w:szCs w:val="24"/>
        </w:rPr>
        <w:t>Understanding Police Culture</w:t>
      </w:r>
      <w:r w:rsidRPr="00AC13D5">
        <w:rPr>
          <w:rFonts w:asciiTheme="minorHAnsi" w:hAnsiTheme="minorHAnsi" w:cstheme="minorHAnsi"/>
          <w:sz w:val="24"/>
          <w:szCs w:val="24"/>
        </w:rPr>
        <w:t>. Oxfordshire, England; New York, New York: Routledge.</w:t>
      </w:r>
    </w:p>
    <w:p w14:paraId="4F98A980"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Crump, J. (2011). What Are the Police Doing on Twitter? Social Media, the Police and the Public. </w:t>
      </w:r>
      <w:r w:rsidRPr="00AC13D5">
        <w:rPr>
          <w:rFonts w:asciiTheme="minorHAnsi" w:eastAsia="Aptos" w:hAnsiTheme="minorHAnsi" w:cstheme="minorHAnsi"/>
          <w:i/>
          <w:iCs/>
          <w:color w:val="auto"/>
          <w:kern w:val="2"/>
          <w:sz w:val="24"/>
          <w:szCs w:val="24"/>
          <w:lang w:eastAsia="en-US"/>
          <w14:ligatures w14:val="standardContextual"/>
        </w:rPr>
        <w:t>Policy &amp; Internet</w:t>
      </w:r>
      <w:r w:rsidRPr="00AC13D5">
        <w:rPr>
          <w:rFonts w:asciiTheme="minorHAnsi" w:eastAsia="Aptos" w:hAnsiTheme="minorHAnsi" w:cstheme="minorHAnsi"/>
          <w:color w:val="auto"/>
          <w:kern w:val="2"/>
          <w:sz w:val="24"/>
          <w:szCs w:val="24"/>
          <w:lang w:eastAsia="en-US"/>
          <w14:ligatures w14:val="standardContextual"/>
        </w:rPr>
        <w:t xml:space="preserve">, [online] 3(4), pp.1–27.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://doi.org/10.2202/1944-2866.1130</w:t>
      </w:r>
      <w:proofErr w:type="gramEnd"/>
      <w:r w:rsidRPr="00AC13D5">
        <w:rPr>
          <w:rFonts w:asciiTheme="minorHAnsi" w:eastAsia="Aptos" w:hAnsiTheme="minorHAnsi" w:cstheme="minorHAnsi"/>
          <w:color w:val="auto"/>
          <w:kern w:val="2"/>
          <w:sz w:val="24"/>
          <w:szCs w:val="24"/>
          <w:lang w:eastAsia="en-US"/>
          <w14:ligatures w14:val="standardContextual"/>
        </w:rPr>
        <w:t>.</w:t>
      </w:r>
    </w:p>
    <w:p w14:paraId="2EAB6CAB"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Curtin, D. and Meijer, A.J. (2006). Does Transparency Strengthen legitimacy? </w:t>
      </w:r>
      <w:r w:rsidRPr="00AC13D5">
        <w:rPr>
          <w:rFonts w:asciiTheme="minorHAnsi" w:eastAsia="Aptos" w:hAnsiTheme="minorHAnsi" w:cstheme="minorHAnsi"/>
          <w:i/>
          <w:iCs/>
          <w:color w:val="auto"/>
          <w:kern w:val="2"/>
          <w:sz w:val="24"/>
          <w:szCs w:val="24"/>
          <w:lang w:eastAsia="en-US"/>
          <w14:ligatures w14:val="standardContextual"/>
        </w:rPr>
        <w:t>Information Polity</w:t>
      </w:r>
      <w:r w:rsidRPr="00AC13D5">
        <w:rPr>
          <w:rFonts w:asciiTheme="minorHAnsi" w:eastAsia="Aptos" w:hAnsiTheme="minorHAnsi" w:cstheme="minorHAnsi"/>
          <w:color w:val="auto"/>
          <w:kern w:val="2"/>
          <w:sz w:val="24"/>
          <w:szCs w:val="24"/>
          <w:lang w:eastAsia="en-US"/>
          <w14:ligatures w14:val="standardContextual"/>
        </w:rPr>
        <w:t xml:space="preserve">, 11(2), pp.109–122.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://doi.org/10.3233/ip-2006-0091</w:t>
      </w:r>
      <w:proofErr w:type="gramEnd"/>
      <w:r w:rsidRPr="00AC13D5">
        <w:rPr>
          <w:rFonts w:asciiTheme="minorHAnsi" w:eastAsia="Aptos" w:hAnsiTheme="minorHAnsi" w:cstheme="minorHAnsi"/>
          <w:color w:val="auto"/>
          <w:kern w:val="2"/>
          <w:sz w:val="24"/>
          <w:szCs w:val="24"/>
          <w:lang w:eastAsia="en-US"/>
          <w14:ligatures w14:val="standardContextual"/>
        </w:rPr>
        <w:t>.</w:t>
      </w:r>
    </w:p>
    <w:p w14:paraId="01749572"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Denef, S., Bayerl, P.S. and Kaptein, N.A. (2013). Social media and the police. </w:t>
      </w:r>
      <w:r w:rsidRPr="00AC13D5">
        <w:rPr>
          <w:rFonts w:asciiTheme="minorHAnsi" w:eastAsia="Aptos" w:hAnsiTheme="minorHAnsi" w:cstheme="minorHAnsi"/>
          <w:i/>
          <w:iCs/>
          <w:color w:val="auto"/>
          <w:kern w:val="2"/>
          <w:sz w:val="24"/>
          <w:szCs w:val="24"/>
          <w:lang w:eastAsia="en-US"/>
          <w14:ligatures w14:val="standardContextual"/>
        </w:rPr>
        <w:t>Proceedings of the SIGCHI Conference on Human Factors in Computing Systems - CHI ’13</w:t>
      </w:r>
      <w:r w:rsidRPr="00AC13D5">
        <w:rPr>
          <w:rFonts w:asciiTheme="minorHAnsi" w:eastAsia="Aptos" w:hAnsiTheme="minorHAnsi" w:cstheme="minorHAnsi"/>
          <w:color w:val="auto"/>
          <w:kern w:val="2"/>
          <w:sz w:val="24"/>
          <w:szCs w:val="24"/>
          <w:lang w:eastAsia="en-US"/>
          <w14:ligatures w14:val="standardContextual"/>
        </w:rPr>
        <w:t xml:space="preserve">, 4(2).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://doi.org/10.1145/2470654.2466477</w:t>
      </w:r>
      <w:proofErr w:type="gramEnd"/>
      <w:r w:rsidRPr="00AC13D5">
        <w:rPr>
          <w:rFonts w:asciiTheme="minorHAnsi" w:eastAsia="Aptos" w:hAnsiTheme="minorHAnsi" w:cstheme="minorHAnsi"/>
          <w:color w:val="auto"/>
          <w:kern w:val="2"/>
          <w:sz w:val="24"/>
          <w:szCs w:val="24"/>
          <w:lang w:eastAsia="en-US"/>
          <w14:ligatures w14:val="standardContextual"/>
        </w:rPr>
        <w:t>.</w:t>
      </w:r>
    </w:p>
    <w:p w14:paraId="7095E82A"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Fortin, F., Delle Donne, J. and Knop, J. (2020). The Use of Social Media in Intelligence and Its Impact on Police Work. </w:t>
      </w:r>
      <w:r w:rsidRPr="00AC13D5">
        <w:rPr>
          <w:rFonts w:asciiTheme="minorHAnsi" w:eastAsia="Aptos" w:hAnsiTheme="minorHAnsi" w:cstheme="minorHAnsi"/>
          <w:i/>
          <w:iCs/>
          <w:color w:val="auto"/>
          <w:kern w:val="2"/>
          <w:sz w:val="24"/>
          <w:szCs w:val="24"/>
          <w:lang w:eastAsia="en-US"/>
          <w14:ligatures w14:val="standardContextual"/>
        </w:rPr>
        <w:t>Palgrave’s Critical Policing Studies</w:t>
      </w:r>
      <w:r w:rsidRPr="00AC13D5">
        <w:rPr>
          <w:rFonts w:asciiTheme="minorHAnsi" w:eastAsia="Aptos" w:hAnsiTheme="minorHAnsi" w:cstheme="minorHAnsi"/>
          <w:color w:val="auto"/>
          <w:kern w:val="2"/>
          <w:sz w:val="24"/>
          <w:szCs w:val="24"/>
          <w:lang w:eastAsia="en-US"/>
          <w14:ligatures w14:val="standardContextual"/>
        </w:rPr>
        <w:t xml:space="preserve">, 5(3), pp.213–231.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://doi.org/10.1007/978-3-030-56765-1_13</w:t>
      </w:r>
      <w:proofErr w:type="gramEnd"/>
      <w:r w:rsidRPr="00AC13D5">
        <w:rPr>
          <w:rFonts w:asciiTheme="minorHAnsi" w:eastAsia="Aptos" w:hAnsiTheme="minorHAnsi" w:cstheme="minorHAnsi"/>
          <w:color w:val="auto"/>
          <w:kern w:val="2"/>
          <w:sz w:val="24"/>
          <w:szCs w:val="24"/>
          <w:lang w:eastAsia="en-US"/>
          <w14:ligatures w14:val="standardContextual"/>
        </w:rPr>
        <w:t>.</w:t>
      </w:r>
    </w:p>
    <w:p w14:paraId="41F8847A"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t xml:space="preserve">Garvey, B., Stokes, P. and Megginson, D. (2021). </w:t>
      </w:r>
      <w:r w:rsidRPr="00864985">
        <w:rPr>
          <w:rFonts w:ascii="Calibri" w:hAnsi="Calibri" w:cs="Calibri"/>
          <w:i/>
          <w:iCs/>
          <w:sz w:val="24"/>
          <w:szCs w:val="24"/>
        </w:rPr>
        <w:t xml:space="preserve">Coaching and </w:t>
      </w:r>
      <w:proofErr w:type="gramStart"/>
      <w:r w:rsidRPr="00864985">
        <w:rPr>
          <w:rFonts w:ascii="Calibri" w:hAnsi="Calibri" w:cs="Calibri"/>
          <w:i/>
          <w:iCs/>
          <w:sz w:val="24"/>
          <w:szCs w:val="24"/>
        </w:rPr>
        <w:t>Mentoring :</w:t>
      </w:r>
      <w:proofErr w:type="gramEnd"/>
      <w:r w:rsidRPr="00864985">
        <w:rPr>
          <w:rFonts w:ascii="Calibri" w:hAnsi="Calibri" w:cs="Calibri"/>
          <w:i/>
          <w:iCs/>
          <w:sz w:val="24"/>
          <w:szCs w:val="24"/>
        </w:rPr>
        <w:t xml:space="preserve"> Theory and Practice</w:t>
      </w:r>
      <w:r w:rsidRPr="00864985">
        <w:rPr>
          <w:rFonts w:ascii="Calibri" w:hAnsi="Calibri" w:cs="Calibri"/>
          <w:sz w:val="24"/>
          <w:szCs w:val="24"/>
        </w:rPr>
        <w:t xml:space="preserve">. </w:t>
      </w:r>
      <w:proofErr w:type="gramStart"/>
      <w:r w:rsidRPr="00864985">
        <w:rPr>
          <w:rFonts w:ascii="Calibri" w:hAnsi="Calibri" w:cs="Calibri"/>
          <w:sz w:val="24"/>
          <w:szCs w:val="24"/>
        </w:rPr>
        <w:t>London ;</w:t>
      </w:r>
      <w:proofErr w:type="gramEnd"/>
      <w:r w:rsidRPr="00864985">
        <w:rPr>
          <w:rFonts w:ascii="Calibri" w:hAnsi="Calibri" w:cs="Calibri"/>
          <w:sz w:val="24"/>
          <w:szCs w:val="24"/>
        </w:rPr>
        <w:t xml:space="preserve"> Los Angeles: Sage.</w:t>
      </w:r>
    </w:p>
    <w:p w14:paraId="75FF0D04"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Gill, C., Weisburd, D., Telep, C.W., Vitter, Z. and Bennett, T. (2014). Community-oriented Policing to Reduce crime, Disorder and Fear and Increase Satisfaction and Legitimacy among citizens: a Systematic Review. </w:t>
      </w:r>
      <w:r w:rsidRPr="00AC13D5">
        <w:rPr>
          <w:rFonts w:asciiTheme="minorHAnsi" w:hAnsiTheme="minorHAnsi" w:cstheme="minorHAnsi"/>
          <w:i/>
          <w:iCs/>
          <w:sz w:val="24"/>
          <w:szCs w:val="24"/>
        </w:rPr>
        <w:t>Journal of Experimental Criminology</w:t>
      </w:r>
      <w:r w:rsidRPr="00AC13D5">
        <w:rPr>
          <w:rFonts w:asciiTheme="minorHAnsi" w:hAnsiTheme="minorHAnsi" w:cstheme="minorHAnsi"/>
          <w:sz w:val="24"/>
          <w:szCs w:val="24"/>
        </w:rPr>
        <w:t>, [online] 10(4), pp.399–428. Available at: https://link.springer.com/article/10.1007/s11292-014-9210-y [Accessed 7 Nov. 2024].</w:t>
      </w:r>
    </w:p>
    <w:p w14:paraId="54A3445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Goldsmith, A. (2013). </w:t>
      </w:r>
      <w:proofErr w:type="spellStart"/>
      <w:r w:rsidRPr="00AC13D5">
        <w:rPr>
          <w:rFonts w:asciiTheme="minorHAnsi" w:eastAsia="Aptos" w:hAnsiTheme="minorHAnsi" w:cstheme="minorHAnsi"/>
          <w:color w:val="auto"/>
          <w:kern w:val="2"/>
          <w:sz w:val="24"/>
          <w:szCs w:val="24"/>
          <w:lang w:eastAsia="en-US"/>
          <w14:ligatures w14:val="standardContextual"/>
        </w:rPr>
        <w:t>Disgracebook</w:t>
      </w:r>
      <w:proofErr w:type="spellEnd"/>
      <w:r w:rsidRPr="00AC13D5">
        <w:rPr>
          <w:rFonts w:asciiTheme="minorHAnsi" w:eastAsia="Aptos" w:hAnsiTheme="minorHAnsi" w:cstheme="minorHAnsi"/>
          <w:color w:val="auto"/>
          <w:kern w:val="2"/>
          <w:sz w:val="24"/>
          <w:szCs w:val="24"/>
          <w:lang w:eastAsia="en-US"/>
          <w14:ligatures w14:val="standardContextual"/>
        </w:rPr>
        <w:t xml:space="preserve"> policing: Social Media and the Rise of Police Indiscretion. </w:t>
      </w:r>
      <w:r w:rsidRPr="00AC13D5">
        <w:rPr>
          <w:rFonts w:asciiTheme="minorHAnsi" w:eastAsia="Aptos" w:hAnsiTheme="minorHAnsi" w:cstheme="minorHAnsi"/>
          <w:i/>
          <w:iCs/>
          <w:color w:val="auto"/>
          <w:kern w:val="2"/>
          <w:sz w:val="24"/>
          <w:szCs w:val="24"/>
          <w:lang w:eastAsia="en-US"/>
          <w14:ligatures w14:val="standardContextual"/>
        </w:rPr>
        <w:t>Policing and Society</w:t>
      </w:r>
      <w:r w:rsidRPr="00AC13D5">
        <w:rPr>
          <w:rFonts w:asciiTheme="minorHAnsi" w:eastAsia="Aptos" w:hAnsiTheme="minorHAnsi" w:cstheme="minorHAnsi"/>
          <w:color w:val="auto"/>
          <w:kern w:val="2"/>
          <w:sz w:val="24"/>
          <w:szCs w:val="24"/>
          <w:lang w:eastAsia="en-US"/>
          <w14:ligatures w14:val="standardContextual"/>
        </w:rPr>
        <w:t xml:space="preserve">, 25(3), pp.249–267.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://doi.org/10.1080/10439463.2013.864653</w:t>
      </w:r>
      <w:proofErr w:type="gramEnd"/>
      <w:r w:rsidRPr="00AC13D5">
        <w:rPr>
          <w:rFonts w:asciiTheme="minorHAnsi" w:eastAsia="Aptos" w:hAnsiTheme="minorHAnsi" w:cstheme="minorHAnsi"/>
          <w:color w:val="auto"/>
          <w:kern w:val="2"/>
          <w:sz w:val="24"/>
          <w:szCs w:val="24"/>
          <w:lang w:eastAsia="en-US"/>
          <w14:ligatures w14:val="standardContextual"/>
        </w:rPr>
        <w:t>.</w:t>
      </w:r>
    </w:p>
    <w:p w14:paraId="1681C168"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Goldstein, H. (1990). </w:t>
      </w:r>
      <w:r w:rsidRPr="00AC13D5">
        <w:rPr>
          <w:rFonts w:asciiTheme="minorHAnsi" w:hAnsiTheme="minorHAnsi" w:cstheme="minorHAnsi"/>
          <w:i/>
          <w:iCs/>
          <w:sz w:val="24"/>
          <w:szCs w:val="24"/>
        </w:rPr>
        <w:t>Problem-oriented policing</w:t>
      </w:r>
      <w:r w:rsidRPr="00AC13D5">
        <w:rPr>
          <w:rFonts w:asciiTheme="minorHAnsi" w:hAnsiTheme="minorHAnsi" w:cstheme="minorHAnsi"/>
          <w:sz w:val="24"/>
          <w:szCs w:val="24"/>
        </w:rPr>
        <w:t xml:space="preserve">. New York: </w:t>
      </w:r>
      <w:proofErr w:type="spellStart"/>
      <w:r w:rsidRPr="00AC13D5">
        <w:rPr>
          <w:rFonts w:asciiTheme="minorHAnsi" w:hAnsiTheme="minorHAnsi" w:cstheme="minorHAnsi"/>
          <w:sz w:val="24"/>
          <w:szCs w:val="24"/>
        </w:rPr>
        <w:t>Mcgraw-Hill</w:t>
      </w:r>
      <w:proofErr w:type="spellEnd"/>
      <w:r w:rsidRPr="00AC13D5">
        <w:rPr>
          <w:rFonts w:asciiTheme="minorHAnsi" w:hAnsiTheme="minorHAnsi" w:cstheme="minorHAnsi"/>
          <w:sz w:val="24"/>
          <w:szCs w:val="24"/>
        </w:rPr>
        <w:t>.</w:t>
      </w:r>
    </w:p>
    <w:p w14:paraId="0AE579AB" w14:textId="77777777" w:rsidR="00BF5588" w:rsidRDefault="00BF5588" w:rsidP="0099635E">
      <w:pPr>
        <w:rPr>
          <w:rFonts w:asciiTheme="minorHAnsi" w:hAnsiTheme="minorHAnsi" w:cstheme="minorHAnsi"/>
          <w:sz w:val="24"/>
          <w:szCs w:val="24"/>
        </w:rPr>
      </w:pPr>
      <w:r w:rsidRPr="00826AB5">
        <w:rPr>
          <w:rFonts w:asciiTheme="minorHAnsi" w:hAnsiTheme="minorHAnsi" w:cstheme="minorHAnsi"/>
          <w:sz w:val="24"/>
          <w:szCs w:val="24"/>
        </w:rPr>
        <w:t xml:space="preserve">Goleman, D. (1995). </w:t>
      </w:r>
      <w:r w:rsidRPr="00826AB5">
        <w:rPr>
          <w:rFonts w:asciiTheme="minorHAnsi" w:hAnsiTheme="minorHAnsi" w:cstheme="minorHAnsi"/>
          <w:i/>
          <w:iCs/>
          <w:sz w:val="24"/>
          <w:szCs w:val="24"/>
        </w:rPr>
        <w:t>Emotional Intelligence</w:t>
      </w:r>
      <w:r w:rsidRPr="00826AB5">
        <w:rPr>
          <w:rFonts w:asciiTheme="minorHAnsi" w:hAnsiTheme="minorHAnsi" w:cstheme="minorHAnsi"/>
          <w:sz w:val="24"/>
          <w:szCs w:val="24"/>
        </w:rPr>
        <w:t>. New York: Bantam Books.</w:t>
      </w:r>
    </w:p>
    <w:p w14:paraId="20794228"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GOV.UK. Available at: https://www.gov.uk/government/publications/police-transformation-fund-investments-in-2018-to-2019 [Accessed 7 Nov. 2024].</w:t>
      </w:r>
    </w:p>
    <w:p w14:paraId="66EBB260"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proofErr w:type="spellStart"/>
      <w:r w:rsidRPr="00AC13D5">
        <w:rPr>
          <w:rFonts w:asciiTheme="minorHAnsi" w:eastAsia="Aptos" w:hAnsiTheme="minorHAnsi" w:cstheme="minorHAnsi"/>
          <w:color w:val="auto"/>
          <w:kern w:val="2"/>
          <w:sz w:val="24"/>
          <w:szCs w:val="24"/>
          <w:lang w:eastAsia="en-US"/>
          <w14:ligatures w14:val="standardContextual"/>
        </w:rPr>
        <w:t>Grimmelikhuijsen</w:t>
      </w:r>
      <w:proofErr w:type="spellEnd"/>
      <w:r w:rsidRPr="00AC13D5">
        <w:rPr>
          <w:rFonts w:asciiTheme="minorHAnsi" w:eastAsia="Aptos" w:hAnsiTheme="minorHAnsi" w:cstheme="minorHAnsi"/>
          <w:color w:val="auto"/>
          <w:kern w:val="2"/>
          <w:sz w:val="24"/>
          <w:szCs w:val="24"/>
          <w:lang w:eastAsia="en-US"/>
          <w14:ligatures w14:val="standardContextual"/>
        </w:rPr>
        <w:t xml:space="preserve">, S., </w:t>
      </w:r>
      <w:proofErr w:type="spellStart"/>
      <w:r w:rsidRPr="00AC13D5">
        <w:rPr>
          <w:rFonts w:asciiTheme="minorHAnsi" w:eastAsia="Aptos" w:hAnsiTheme="minorHAnsi" w:cstheme="minorHAnsi"/>
          <w:color w:val="auto"/>
          <w:kern w:val="2"/>
          <w:sz w:val="24"/>
          <w:szCs w:val="24"/>
          <w:lang w:eastAsia="en-US"/>
          <w14:ligatures w14:val="standardContextual"/>
        </w:rPr>
        <w:t>Porumbescu</w:t>
      </w:r>
      <w:proofErr w:type="spellEnd"/>
      <w:r w:rsidRPr="00AC13D5">
        <w:rPr>
          <w:rFonts w:asciiTheme="minorHAnsi" w:eastAsia="Aptos" w:hAnsiTheme="minorHAnsi" w:cstheme="minorHAnsi"/>
          <w:color w:val="auto"/>
          <w:kern w:val="2"/>
          <w:sz w:val="24"/>
          <w:szCs w:val="24"/>
          <w:lang w:eastAsia="en-US"/>
          <w14:ligatures w14:val="standardContextual"/>
        </w:rPr>
        <w:t xml:space="preserve">, G., Hong, B. and </w:t>
      </w:r>
      <w:proofErr w:type="spellStart"/>
      <w:r w:rsidRPr="00AC13D5">
        <w:rPr>
          <w:rFonts w:asciiTheme="minorHAnsi" w:eastAsia="Aptos" w:hAnsiTheme="minorHAnsi" w:cstheme="minorHAnsi"/>
          <w:color w:val="auto"/>
          <w:kern w:val="2"/>
          <w:sz w:val="24"/>
          <w:szCs w:val="24"/>
          <w:lang w:eastAsia="en-US"/>
          <w14:ligatures w14:val="standardContextual"/>
        </w:rPr>
        <w:t>Im</w:t>
      </w:r>
      <w:proofErr w:type="spellEnd"/>
      <w:r w:rsidRPr="00AC13D5">
        <w:rPr>
          <w:rFonts w:asciiTheme="minorHAnsi" w:eastAsia="Aptos" w:hAnsiTheme="minorHAnsi" w:cstheme="minorHAnsi"/>
          <w:color w:val="auto"/>
          <w:kern w:val="2"/>
          <w:sz w:val="24"/>
          <w:szCs w:val="24"/>
          <w:lang w:eastAsia="en-US"/>
          <w14:ligatures w14:val="standardContextual"/>
        </w:rPr>
        <w:t xml:space="preserve">, T. (2013). The Effect of Transparency on Trust in Government: </w:t>
      </w:r>
      <w:proofErr w:type="gramStart"/>
      <w:r w:rsidRPr="00AC13D5">
        <w:rPr>
          <w:rFonts w:asciiTheme="minorHAnsi" w:eastAsia="Aptos" w:hAnsiTheme="minorHAnsi" w:cstheme="minorHAnsi"/>
          <w:color w:val="auto"/>
          <w:kern w:val="2"/>
          <w:sz w:val="24"/>
          <w:szCs w:val="24"/>
          <w:lang w:eastAsia="en-US"/>
          <w14:ligatures w14:val="standardContextual"/>
        </w:rPr>
        <w:t>a</w:t>
      </w:r>
      <w:proofErr w:type="gramEnd"/>
      <w:r w:rsidRPr="00AC13D5">
        <w:rPr>
          <w:rFonts w:asciiTheme="minorHAnsi" w:eastAsia="Aptos" w:hAnsiTheme="minorHAnsi" w:cstheme="minorHAnsi"/>
          <w:color w:val="auto"/>
          <w:kern w:val="2"/>
          <w:sz w:val="24"/>
          <w:szCs w:val="24"/>
          <w:lang w:eastAsia="en-US"/>
          <w14:ligatures w14:val="standardContextual"/>
        </w:rPr>
        <w:t xml:space="preserve"> Cross-National Comparative Experiment. </w:t>
      </w:r>
      <w:r w:rsidRPr="00AC13D5">
        <w:rPr>
          <w:rFonts w:asciiTheme="minorHAnsi" w:eastAsia="Aptos" w:hAnsiTheme="minorHAnsi" w:cstheme="minorHAnsi"/>
          <w:i/>
          <w:iCs/>
          <w:color w:val="auto"/>
          <w:kern w:val="2"/>
          <w:sz w:val="24"/>
          <w:szCs w:val="24"/>
          <w:lang w:eastAsia="en-US"/>
          <w14:ligatures w14:val="standardContextual"/>
        </w:rPr>
        <w:t>Public Administration Review</w:t>
      </w:r>
      <w:r w:rsidRPr="00AC13D5">
        <w:rPr>
          <w:rFonts w:asciiTheme="minorHAnsi" w:eastAsia="Aptos" w:hAnsiTheme="minorHAnsi" w:cstheme="minorHAnsi"/>
          <w:color w:val="auto"/>
          <w:kern w:val="2"/>
          <w:sz w:val="24"/>
          <w:szCs w:val="24"/>
          <w:lang w:eastAsia="en-US"/>
          <w14:ligatures w14:val="standardContextual"/>
        </w:rPr>
        <w:t xml:space="preserve">, 73(4), pp.575–586.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://doi.org/10.1111/puar.12047</w:t>
      </w:r>
      <w:proofErr w:type="gramEnd"/>
      <w:r w:rsidRPr="00AC13D5">
        <w:rPr>
          <w:rFonts w:asciiTheme="minorHAnsi" w:eastAsia="Aptos" w:hAnsiTheme="minorHAnsi" w:cstheme="minorHAnsi"/>
          <w:color w:val="auto"/>
          <w:kern w:val="2"/>
          <w:sz w:val="24"/>
          <w:szCs w:val="24"/>
          <w:lang w:eastAsia="en-US"/>
          <w14:ligatures w14:val="standardContextual"/>
        </w:rPr>
        <w:t>.</w:t>
      </w:r>
    </w:p>
    <w:p w14:paraId="7B26EF67" w14:textId="77777777" w:rsidR="00BF5588" w:rsidRDefault="00BF5588" w:rsidP="0099635E">
      <w:pPr>
        <w:rPr>
          <w:rFonts w:asciiTheme="minorHAnsi" w:hAnsiTheme="minorHAnsi" w:cstheme="minorHAnsi"/>
          <w:sz w:val="24"/>
          <w:szCs w:val="24"/>
        </w:rPr>
      </w:pPr>
      <w:r w:rsidRPr="0099635E">
        <w:rPr>
          <w:rFonts w:asciiTheme="minorHAnsi" w:hAnsiTheme="minorHAnsi" w:cstheme="minorHAnsi"/>
          <w:sz w:val="24"/>
          <w:szCs w:val="24"/>
        </w:rPr>
        <w:t xml:space="preserve">Grubb, A.R., Brown, S.J. and Hall, P. (2017). The Emotionally Intelligent Officer? Exploring Decision-Making Style and Emotional Intelligence in Hostage and Crisis Negotiators and Non-Negotiator-Trained Police Officers. </w:t>
      </w:r>
      <w:r w:rsidRPr="0099635E">
        <w:rPr>
          <w:rFonts w:asciiTheme="minorHAnsi" w:hAnsiTheme="minorHAnsi" w:cstheme="minorHAnsi"/>
          <w:i/>
          <w:iCs/>
          <w:sz w:val="24"/>
          <w:szCs w:val="24"/>
        </w:rPr>
        <w:t>Journal of Police and Criminal Psychology</w:t>
      </w:r>
      <w:r w:rsidRPr="0099635E">
        <w:rPr>
          <w:rFonts w:asciiTheme="minorHAnsi" w:hAnsiTheme="minorHAnsi" w:cstheme="minorHAnsi"/>
          <w:sz w:val="24"/>
          <w:szCs w:val="24"/>
        </w:rPr>
        <w:t xml:space="preserve">, 33(2), pp.123–136. </w:t>
      </w:r>
      <w:proofErr w:type="spellStart"/>
      <w:proofErr w:type="gramStart"/>
      <w:r w:rsidRPr="0099635E">
        <w:rPr>
          <w:rFonts w:asciiTheme="minorHAnsi" w:hAnsiTheme="minorHAnsi" w:cstheme="minorHAnsi"/>
          <w:sz w:val="24"/>
          <w:szCs w:val="24"/>
        </w:rPr>
        <w:t>doi:https</w:t>
      </w:r>
      <w:proofErr w:type="spellEnd"/>
      <w:r w:rsidRPr="0099635E">
        <w:rPr>
          <w:rFonts w:asciiTheme="minorHAnsi" w:hAnsiTheme="minorHAnsi" w:cstheme="minorHAnsi"/>
          <w:sz w:val="24"/>
          <w:szCs w:val="24"/>
        </w:rPr>
        <w:t>://doi.org/10.1007/s11896-017-9240-2</w:t>
      </w:r>
      <w:proofErr w:type="gramEnd"/>
      <w:r w:rsidRPr="0099635E">
        <w:rPr>
          <w:rFonts w:asciiTheme="minorHAnsi" w:hAnsiTheme="minorHAnsi" w:cstheme="minorHAnsi"/>
          <w:sz w:val="24"/>
          <w:szCs w:val="24"/>
        </w:rPr>
        <w:t>.</w:t>
      </w:r>
    </w:p>
    <w:p w14:paraId="1FBB3D27" w14:textId="77777777" w:rsidR="00BF5588" w:rsidRDefault="00BF5588" w:rsidP="0099635E">
      <w:pPr>
        <w:rPr>
          <w:rFonts w:asciiTheme="minorHAnsi" w:hAnsiTheme="minorHAnsi" w:cstheme="minorHAnsi"/>
          <w:sz w:val="24"/>
          <w:szCs w:val="24"/>
        </w:rPr>
      </w:pPr>
      <w:r w:rsidRPr="004A5537">
        <w:rPr>
          <w:rFonts w:asciiTheme="minorHAnsi" w:hAnsiTheme="minorHAnsi" w:cstheme="minorHAnsi"/>
          <w:sz w:val="24"/>
          <w:szCs w:val="24"/>
        </w:rPr>
        <w:t xml:space="preserve">Haslam, A., Reicher, S. and </w:t>
      </w:r>
      <w:proofErr w:type="spellStart"/>
      <w:r w:rsidRPr="004A5537">
        <w:rPr>
          <w:rFonts w:asciiTheme="minorHAnsi" w:hAnsiTheme="minorHAnsi" w:cstheme="minorHAnsi"/>
          <w:sz w:val="24"/>
          <w:szCs w:val="24"/>
        </w:rPr>
        <w:t>Platow</w:t>
      </w:r>
      <w:proofErr w:type="spellEnd"/>
      <w:r w:rsidRPr="004A5537">
        <w:rPr>
          <w:rFonts w:asciiTheme="minorHAnsi" w:hAnsiTheme="minorHAnsi" w:cstheme="minorHAnsi"/>
          <w:sz w:val="24"/>
          <w:szCs w:val="24"/>
        </w:rPr>
        <w:t xml:space="preserve">, M. (2020). </w:t>
      </w:r>
      <w:r w:rsidRPr="004A5537">
        <w:rPr>
          <w:rFonts w:asciiTheme="minorHAnsi" w:hAnsiTheme="minorHAnsi" w:cstheme="minorHAnsi"/>
          <w:i/>
          <w:iCs/>
          <w:sz w:val="24"/>
          <w:szCs w:val="24"/>
        </w:rPr>
        <w:t xml:space="preserve">The New Psychology of </w:t>
      </w:r>
      <w:proofErr w:type="gramStart"/>
      <w:r w:rsidRPr="004A5537">
        <w:rPr>
          <w:rFonts w:asciiTheme="minorHAnsi" w:hAnsiTheme="minorHAnsi" w:cstheme="minorHAnsi"/>
          <w:i/>
          <w:iCs/>
          <w:sz w:val="24"/>
          <w:szCs w:val="24"/>
        </w:rPr>
        <w:t>Leadership :</w:t>
      </w:r>
      <w:proofErr w:type="gramEnd"/>
      <w:r w:rsidRPr="004A5537">
        <w:rPr>
          <w:rFonts w:asciiTheme="minorHAnsi" w:hAnsiTheme="minorHAnsi" w:cstheme="minorHAnsi"/>
          <w:i/>
          <w:iCs/>
          <w:sz w:val="24"/>
          <w:szCs w:val="24"/>
        </w:rPr>
        <w:t xml:space="preserve"> identity, Influence and Power</w:t>
      </w:r>
      <w:r w:rsidRPr="004A5537">
        <w:rPr>
          <w:rFonts w:asciiTheme="minorHAnsi" w:hAnsiTheme="minorHAnsi" w:cstheme="minorHAnsi"/>
          <w:sz w:val="24"/>
          <w:szCs w:val="24"/>
        </w:rPr>
        <w:t>. Hove: Psychology.</w:t>
      </w:r>
    </w:p>
    <w:p w14:paraId="6D25C906" w14:textId="77777777" w:rsidR="00BF5588" w:rsidRDefault="00BF5588" w:rsidP="0099635E">
      <w:pPr>
        <w:rPr>
          <w:rFonts w:asciiTheme="minorHAnsi" w:hAnsiTheme="minorHAnsi" w:cstheme="minorHAnsi"/>
          <w:sz w:val="24"/>
          <w:szCs w:val="24"/>
        </w:rPr>
      </w:pPr>
      <w:r w:rsidRPr="0099635E">
        <w:rPr>
          <w:rFonts w:asciiTheme="minorHAnsi" w:hAnsiTheme="minorHAnsi" w:cstheme="minorHAnsi"/>
          <w:sz w:val="24"/>
          <w:szCs w:val="24"/>
        </w:rPr>
        <w:lastRenderedPageBreak/>
        <w:t xml:space="preserve">Hersey, P., Blanchard, K.H. and Johnson, D.E. (2013). </w:t>
      </w:r>
      <w:r w:rsidRPr="0099635E">
        <w:rPr>
          <w:rFonts w:asciiTheme="minorHAnsi" w:hAnsiTheme="minorHAnsi" w:cstheme="minorHAnsi"/>
          <w:i/>
          <w:iCs/>
          <w:sz w:val="24"/>
          <w:szCs w:val="24"/>
        </w:rPr>
        <w:t xml:space="preserve">Management of Organizational </w:t>
      </w:r>
      <w:proofErr w:type="spellStart"/>
      <w:proofErr w:type="gramStart"/>
      <w:r w:rsidRPr="0099635E">
        <w:rPr>
          <w:rFonts w:asciiTheme="minorHAnsi" w:hAnsiTheme="minorHAnsi" w:cstheme="minorHAnsi"/>
          <w:i/>
          <w:iCs/>
          <w:sz w:val="24"/>
          <w:szCs w:val="24"/>
        </w:rPr>
        <w:t>Behavior</w:t>
      </w:r>
      <w:proofErr w:type="spellEnd"/>
      <w:r w:rsidRPr="0099635E">
        <w:rPr>
          <w:rFonts w:asciiTheme="minorHAnsi" w:hAnsiTheme="minorHAnsi" w:cstheme="minorHAnsi"/>
          <w:i/>
          <w:iCs/>
          <w:sz w:val="24"/>
          <w:szCs w:val="24"/>
        </w:rPr>
        <w:t xml:space="preserve"> :</w:t>
      </w:r>
      <w:proofErr w:type="gramEnd"/>
      <w:r w:rsidRPr="0099635E">
        <w:rPr>
          <w:rFonts w:asciiTheme="minorHAnsi" w:hAnsiTheme="minorHAnsi" w:cstheme="minorHAnsi"/>
          <w:i/>
          <w:iCs/>
          <w:sz w:val="24"/>
          <w:szCs w:val="24"/>
        </w:rPr>
        <w:t xml:space="preserve"> Leading Human Resources</w:t>
      </w:r>
      <w:r w:rsidRPr="0099635E">
        <w:rPr>
          <w:rFonts w:asciiTheme="minorHAnsi" w:hAnsiTheme="minorHAnsi" w:cstheme="minorHAnsi"/>
          <w:sz w:val="24"/>
          <w:szCs w:val="24"/>
        </w:rPr>
        <w:t>. 10th ed. Boston: Pearson.</w:t>
      </w:r>
    </w:p>
    <w:p w14:paraId="5D9DCC6F"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Hester, M. and </w:t>
      </w:r>
      <w:proofErr w:type="spellStart"/>
      <w:r w:rsidRPr="00AC13D5">
        <w:rPr>
          <w:rFonts w:asciiTheme="minorHAnsi" w:eastAsia="Aptos" w:hAnsiTheme="minorHAnsi" w:cstheme="minorHAnsi"/>
          <w:color w:val="auto"/>
          <w:kern w:val="2"/>
          <w:sz w:val="24"/>
          <w:szCs w:val="24"/>
          <w:lang w:eastAsia="en-US"/>
          <w14:ligatures w14:val="standardContextual"/>
        </w:rPr>
        <w:t>Westmarland</w:t>
      </w:r>
      <w:proofErr w:type="spellEnd"/>
      <w:r w:rsidRPr="00AC13D5">
        <w:rPr>
          <w:rFonts w:asciiTheme="minorHAnsi" w:eastAsia="Aptos" w:hAnsiTheme="minorHAnsi" w:cstheme="minorHAnsi"/>
          <w:color w:val="auto"/>
          <w:kern w:val="2"/>
          <w:sz w:val="24"/>
          <w:szCs w:val="24"/>
          <w:lang w:eastAsia="en-US"/>
          <w14:ligatures w14:val="standardContextual"/>
        </w:rPr>
        <w:t xml:space="preserve">, N. (2006). Domestic violence perpetrators. </w:t>
      </w:r>
      <w:r w:rsidRPr="00AC13D5">
        <w:rPr>
          <w:rFonts w:asciiTheme="minorHAnsi" w:eastAsia="Aptos" w:hAnsiTheme="minorHAnsi" w:cstheme="minorHAnsi"/>
          <w:i/>
          <w:iCs/>
          <w:color w:val="auto"/>
          <w:kern w:val="2"/>
          <w:sz w:val="24"/>
          <w:szCs w:val="24"/>
          <w:lang w:eastAsia="en-US"/>
          <w14:ligatures w14:val="standardContextual"/>
        </w:rPr>
        <w:t>Criminal Justice Matters</w:t>
      </w:r>
      <w:r w:rsidRPr="00AC13D5">
        <w:rPr>
          <w:rFonts w:asciiTheme="minorHAnsi" w:eastAsia="Aptos" w:hAnsiTheme="minorHAnsi" w:cstheme="minorHAnsi"/>
          <w:color w:val="auto"/>
          <w:kern w:val="2"/>
          <w:sz w:val="24"/>
          <w:szCs w:val="24"/>
          <w:lang w:eastAsia="en-US"/>
          <w14:ligatures w14:val="standardContextual"/>
        </w:rPr>
        <w:t xml:space="preserve">, 66(1), pp.34–35.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://doi.org/10.1080/09627250608553400</w:t>
      </w:r>
      <w:proofErr w:type="gramEnd"/>
      <w:r w:rsidRPr="00AC13D5">
        <w:rPr>
          <w:rFonts w:asciiTheme="minorHAnsi" w:eastAsia="Aptos" w:hAnsiTheme="minorHAnsi" w:cstheme="minorHAnsi"/>
          <w:color w:val="auto"/>
          <w:kern w:val="2"/>
          <w:sz w:val="24"/>
          <w:szCs w:val="24"/>
          <w:lang w:eastAsia="en-US"/>
          <w14:ligatures w14:val="standardContextual"/>
        </w:rPr>
        <w:t>.</w:t>
      </w:r>
    </w:p>
    <w:p w14:paraId="09B8B5D7"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t xml:space="preserve">Hofstede, G. (2001). </w:t>
      </w:r>
      <w:r w:rsidRPr="00864985">
        <w:rPr>
          <w:rFonts w:ascii="Calibri" w:hAnsi="Calibri" w:cs="Calibri"/>
          <w:i/>
          <w:iCs/>
          <w:sz w:val="24"/>
          <w:szCs w:val="24"/>
        </w:rPr>
        <w:t>Cultures and Organisations: Comparing Values, Behaviours, Institutions, and Organizations across Nations</w:t>
      </w:r>
      <w:r w:rsidRPr="00864985">
        <w:rPr>
          <w:rFonts w:ascii="Calibri" w:hAnsi="Calibri" w:cs="Calibri"/>
          <w:sz w:val="24"/>
          <w:szCs w:val="24"/>
        </w:rPr>
        <w:t>. 2nd ed. Thousand Oaks, CA: Sage Publications.</w:t>
      </w:r>
    </w:p>
    <w:p w14:paraId="0E24A1B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Hohl, K., Bradford, B. and Stanko, E.A. (2010). Influencing Trust and Confidence in the London Metropolitan Police: Results from an Experiment Testing the Effect of Leaflet Drops on Public Opinion. </w:t>
      </w:r>
      <w:r w:rsidRPr="00AC13D5">
        <w:rPr>
          <w:rFonts w:asciiTheme="minorHAnsi" w:eastAsia="Aptos" w:hAnsiTheme="minorHAnsi" w:cstheme="minorHAnsi"/>
          <w:i/>
          <w:iCs/>
          <w:color w:val="auto"/>
          <w:kern w:val="2"/>
          <w:sz w:val="24"/>
          <w:szCs w:val="24"/>
          <w:lang w:eastAsia="en-US"/>
          <w14:ligatures w14:val="standardContextual"/>
        </w:rPr>
        <w:t>British Journal of Criminology</w:t>
      </w:r>
      <w:r w:rsidRPr="00AC13D5">
        <w:rPr>
          <w:rFonts w:asciiTheme="minorHAnsi" w:eastAsia="Aptos" w:hAnsiTheme="minorHAnsi" w:cstheme="minorHAnsi"/>
          <w:color w:val="auto"/>
          <w:kern w:val="2"/>
          <w:sz w:val="24"/>
          <w:szCs w:val="24"/>
          <w:lang w:eastAsia="en-US"/>
          <w14:ligatures w14:val="standardContextual"/>
        </w:rPr>
        <w:t xml:space="preserve">, 50(3), pp.491–513.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://doi.org/10.1093/</w:t>
      </w:r>
      <w:proofErr w:type="spellStart"/>
      <w:r w:rsidRPr="00AC13D5">
        <w:rPr>
          <w:rFonts w:asciiTheme="minorHAnsi" w:eastAsia="Aptos" w:hAnsiTheme="minorHAnsi" w:cstheme="minorHAnsi"/>
          <w:color w:val="auto"/>
          <w:kern w:val="2"/>
          <w:sz w:val="24"/>
          <w:szCs w:val="24"/>
          <w:lang w:eastAsia="en-US"/>
          <w14:ligatures w14:val="standardContextual"/>
        </w:rPr>
        <w:t>bjc</w:t>
      </w:r>
      <w:proofErr w:type="spellEnd"/>
      <w:r w:rsidRPr="00AC13D5">
        <w:rPr>
          <w:rFonts w:asciiTheme="minorHAnsi" w:eastAsia="Aptos" w:hAnsiTheme="minorHAnsi" w:cstheme="minorHAnsi"/>
          <w:color w:val="auto"/>
          <w:kern w:val="2"/>
          <w:sz w:val="24"/>
          <w:szCs w:val="24"/>
          <w:lang w:eastAsia="en-US"/>
          <w14:ligatures w14:val="standardContextual"/>
        </w:rPr>
        <w:t>/azq005</w:t>
      </w:r>
      <w:proofErr w:type="gramEnd"/>
      <w:r w:rsidRPr="00AC13D5">
        <w:rPr>
          <w:rFonts w:asciiTheme="minorHAnsi" w:eastAsia="Aptos" w:hAnsiTheme="minorHAnsi" w:cstheme="minorHAnsi"/>
          <w:color w:val="auto"/>
          <w:kern w:val="2"/>
          <w:sz w:val="24"/>
          <w:szCs w:val="24"/>
          <w:lang w:eastAsia="en-US"/>
          <w14:ligatures w14:val="standardContextual"/>
        </w:rPr>
        <w:t>.</w:t>
      </w:r>
    </w:p>
    <w:p w14:paraId="2E5CD48E"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Home Office (2018). </w:t>
      </w:r>
      <w:r w:rsidRPr="00AC13D5">
        <w:rPr>
          <w:rFonts w:asciiTheme="minorHAnsi" w:hAnsiTheme="minorHAnsi" w:cstheme="minorHAnsi"/>
          <w:i/>
          <w:iCs/>
          <w:sz w:val="24"/>
          <w:szCs w:val="24"/>
        </w:rPr>
        <w:t>Police Transformation fund: Investments in 2018 to 2019</w:t>
      </w:r>
      <w:r w:rsidRPr="00AC13D5">
        <w:rPr>
          <w:rFonts w:asciiTheme="minorHAnsi" w:hAnsiTheme="minorHAnsi" w:cstheme="minorHAnsi"/>
          <w:sz w:val="24"/>
          <w:szCs w:val="24"/>
        </w:rPr>
        <w:t xml:space="preserve">. [online] </w:t>
      </w:r>
    </w:p>
    <w:p w14:paraId="3A5314B7"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Home Office (2020). </w:t>
      </w:r>
      <w:r w:rsidRPr="00AC13D5">
        <w:rPr>
          <w:rFonts w:asciiTheme="minorHAnsi" w:hAnsiTheme="minorHAnsi" w:cstheme="minorHAnsi"/>
          <w:i/>
          <w:iCs/>
          <w:sz w:val="24"/>
          <w:szCs w:val="24"/>
        </w:rPr>
        <w:t>Home Office Guidance Conduct, Efficiency and Effectiveness: Statutory Guidance on Professional Standards, Performance and Integrity in Policing</w:t>
      </w:r>
      <w:r w:rsidRPr="00AC13D5">
        <w:rPr>
          <w:rFonts w:asciiTheme="minorHAnsi" w:hAnsiTheme="minorHAnsi" w:cstheme="minorHAnsi"/>
          <w:sz w:val="24"/>
          <w:szCs w:val="24"/>
        </w:rPr>
        <w:t>. [online] Available at: https://assets.publishing.service.gov.uk/media/5e3ae3efed915d09378bf705/Home_Office_Statutory_Guidance_0502.pdf [Accessed 12 Sep. 2024].</w:t>
      </w:r>
    </w:p>
    <w:p w14:paraId="204E951D"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Hoofnagle, C.J., Sloot, B.V.D. and </w:t>
      </w:r>
      <w:proofErr w:type="spellStart"/>
      <w:r w:rsidRPr="00AC13D5">
        <w:rPr>
          <w:rFonts w:asciiTheme="minorHAnsi" w:eastAsia="Aptos" w:hAnsiTheme="minorHAnsi" w:cstheme="minorHAnsi"/>
          <w:color w:val="auto"/>
          <w:kern w:val="2"/>
          <w:sz w:val="24"/>
          <w:szCs w:val="24"/>
          <w:lang w:eastAsia="en-US"/>
          <w14:ligatures w14:val="standardContextual"/>
        </w:rPr>
        <w:t>Borgesius</w:t>
      </w:r>
      <w:proofErr w:type="spellEnd"/>
      <w:r w:rsidRPr="00AC13D5">
        <w:rPr>
          <w:rFonts w:asciiTheme="minorHAnsi" w:eastAsia="Aptos" w:hAnsiTheme="minorHAnsi" w:cstheme="minorHAnsi"/>
          <w:color w:val="auto"/>
          <w:kern w:val="2"/>
          <w:sz w:val="24"/>
          <w:szCs w:val="24"/>
          <w:lang w:eastAsia="en-US"/>
          <w14:ligatures w14:val="standardContextual"/>
        </w:rPr>
        <w:t xml:space="preserve">, F.Z. (2019). The European Union General Data Protection regulation: What It Is and What It Means. </w:t>
      </w:r>
      <w:r w:rsidRPr="00AC13D5">
        <w:rPr>
          <w:rFonts w:asciiTheme="minorHAnsi" w:eastAsia="Aptos" w:hAnsiTheme="minorHAnsi" w:cstheme="minorHAnsi"/>
          <w:i/>
          <w:iCs/>
          <w:color w:val="auto"/>
          <w:kern w:val="2"/>
          <w:sz w:val="24"/>
          <w:szCs w:val="24"/>
          <w:lang w:eastAsia="en-US"/>
          <w14:ligatures w14:val="standardContextual"/>
        </w:rPr>
        <w:t>Information &amp; Communications Technology Law</w:t>
      </w:r>
      <w:r w:rsidRPr="00AC13D5">
        <w:rPr>
          <w:rFonts w:asciiTheme="minorHAnsi" w:eastAsia="Aptos" w:hAnsiTheme="minorHAnsi" w:cstheme="minorHAnsi"/>
          <w:color w:val="auto"/>
          <w:kern w:val="2"/>
          <w:sz w:val="24"/>
          <w:szCs w:val="24"/>
          <w:lang w:eastAsia="en-US"/>
          <w14:ligatures w14:val="standardContextual"/>
        </w:rPr>
        <w:t xml:space="preserve">, [online] 28(1), pp.65–98.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://doi.org/10.1080/13600834.2019.1573501</w:t>
      </w:r>
      <w:proofErr w:type="gramEnd"/>
      <w:r w:rsidRPr="00AC13D5">
        <w:rPr>
          <w:rFonts w:asciiTheme="minorHAnsi" w:eastAsia="Aptos" w:hAnsiTheme="minorHAnsi" w:cstheme="minorHAnsi"/>
          <w:color w:val="auto"/>
          <w:kern w:val="2"/>
          <w:sz w:val="24"/>
          <w:szCs w:val="24"/>
          <w:lang w:eastAsia="en-US"/>
          <w14:ligatures w14:val="standardContextual"/>
        </w:rPr>
        <w:t>.</w:t>
      </w:r>
    </w:p>
    <w:p w14:paraId="01BB2AD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Hu, X. and Lovrich, N.P. (2024). </w:t>
      </w:r>
      <w:r w:rsidRPr="00AC13D5">
        <w:rPr>
          <w:rFonts w:asciiTheme="minorHAnsi" w:eastAsia="Aptos" w:hAnsiTheme="minorHAnsi" w:cstheme="minorHAnsi"/>
          <w:i/>
          <w:iCs/>
          <w:color w:val="auto"/>
          <w:kern w:val="2"/>
          <w:sz w:val="24"/>
          <w:szCs w:val="24"/>
          <w:lang w:eastAsia="en-US"/>
          <w14:ligatures w14:val="standardContextual"/>
        </w:rPr>
        <w:t>Social Media and Criminal Justice</w:t>
      </w:r>
      <w:r w:rsidRPr="00AC13D5">
        <w:rPr>
          <w:rFonts w:asciiTheme="minorHAnsi" w:eastAsia="Aptos" w:hAnsiTheme="minorHAnsi" w:cstheme="minorHAnsi"/>
          <w:color w:val="auto"/>
          <w:kern w:val="2"/>
          <w:sz w:val="24"/>
          <w:szCs w:val="24"/>
          <w:lang w:eastAsia="en-US"/>
          <w14:ligatures w14:val="standardContextual"/>
        </w:rPr>
        <w:t>. Taylor &amp; Francis.</w:t>
      </w:r>
    </w:p>
    <w:p w14:paraId="04674184" w14:textId="77777777" w:rsidR="00BF5588" w:rsidRDefault="00BF5588" w:rsidP="0099635E">
      <w:pPr>
        <w:rPr>
          <w:rFonts w:asciiTheme="minorHAnsi" w:hAnsiTheme="minorHAnsi" w:cstheme="minorHAnsi"/>
          <w:sz w:val="24"/>
          <w:szCs w:val="24"/>
        </w:rPr>
      </w:pPr>
      <w:r w:rsidRPr="00CD194A">
        <w:rPr>
          <w:rFonts w:asciiTheme="minorHAnsi" w:hAnsiTheme="minorHAnsi" w:cstheme="minorHAnsi"/>
          <w:sz w:val="24"/>
          <w:szCs w:val="24"/>
        </w:rPr>
        <w:t xml:space="preserve">John Eric Adair (1989). </w:t>
      </w:r>
      <w:r w:rsidRPr="00CD194A">
        <w:rPr>
          <w:rFonts w:asciiTheme="minorHAnsi" w:hAnsiTheme="minorHAnsi" w:cstheme="minorHAnsi"/>
          <w:i/>
          <w:iCs/>
          <w:sz w:val="24"/>
          <w:szCs w:val="24"/>
        </w:rPr>
        <w:t>Action-centred Leadership</w:t>
      </w:r>
      <w:r w:rsidRPr="00CD194A">
        <w:rPr>
          <w:rFonts w:asciiTheme="minorHAnsi" w:hAnsiTheme="minorHAnsi" w:cstheme="minorHAnsi"/>
          <w:sz w:val="24"/>
          <w:szCs w:val="24"/>
        </w:rPr>
        <w:t xml:space="preserve">. </w:t>
      </w:r>
      <w:proofErr w:type="spellStart"/>
      <w:r w:rsidRPr="00CD194A">
        <w:rPr>
          <w:rFonts w:asciiTheme="minorHAnsi" w:hAnsiTheme="minorHAnsi" w:cstheme="minorHAnsi"/>
          <w:sz w:val="24"/>
          <w:szCs w:val="24"/>
        </w:rPr>
        <w:t>Petaling</w:t>
      </w:r>
      <w:proofErr w:type="spellEnd"/>
      <w:r w:rsidRPr="00CD194A">
        <w:rPr>
          <w:rFonts w:asciiTheme="minorHAnsi" w:hAnsiTheme="minorHAnsi" w:cstheme="minorHAnsi"/>
          <w:sz w:val="24"/>
          <w:szCs w:val="24"/>
        </w:rPr>
        <w:t xml:space="preserve"> Jaya, Selangor: </w:t>
      </w:r>
      <w:proofErr w:type="spellStart"/>
      <w:r w:rsidRPr="00CD194A">
        <w:rPr>
          <w:rFonts w:asciiTheme="minorHAnsi" w:hAnsiTheme="minorHAnsi" w:cstheme="minorHAnsi"/>
          <w:sz w:val="24"/>
          <w:szCs w:val="24"/>
        </w:rPr>
        <w:t>Pelanduk</w:t>
      </w:r>
      <w:proofErr w:type="spellEnd"/>
      <w:r w:rsidRPr="00CD194A">
        <w:rPr>
          <w:rFonts w:asciiTheme="minorHAnsi" w:hAnsiTheme="minorHAnsi" w:cstheme="minorHAnsi"/>
          <w:sz w:val="24"/>
          <w:szCs w:val="24"/>
        </w:rPr>
        <w:t xml:space="preserve"> Publications (M.</w:t>
      </w:r>
    </w:p>
    <w:p w14:paraId="08491C68" w14:textId="77777777" w:rsidR="00BF5588" w:rsidRPr="007E145C" w:rsidRDefault="00BF5588" w:rsidP="00BF5588">
      <w:pPr>
        <w:spacing w:after="160" w:line="259" w:lineRule="auto"/>
        <w:rPr>
          <w:rFonts w:ascii="Calibri" w:hAnsi="Calibri" w:cs="Calibri"/>
          <w:sz w:val="24"/>
          <w:szCs w:val="24"/>
        </w:rPr>
      </w:pPr>
      <w:r w:rsidRPr="007E145C">
        <w:rPr>
          <w:rFonts w:ascii="Calibri" w:hAnsi="Calibri" w:cs="Calibri"/>
          <w:sz w:val="24"/>
          <w:szCs w:val="24"/>
        </w:rPr>
        <w:t xml:space="preserve">Kolb, D.A. (1984). </w:t>
      </w:r>
      <w:r w:rsidRPr="007E145C">
        <w:rPr>
          <w:rFonts w:ascii="Calibri" w:hAnsi="Calibri" w:cs="Calibri"/>
          <w:i/>
          <w:iCs/>
          <w:sz w:val="24"/>
          <w:szCs w:val="24"/>
        </w:rPr>
        <w:t>Experimental learning: Experience as the Source of Learning and Development</w:t>
      </w:r>
      <w:r w:rsidRPr="007E145C">
        <w:rPr>
          <w:rFonts w:ascii="Calibri" w:hAnsi="Calibri" w:cs="Calibri"/>
          <w:sz w:val="24"/>
          <w:szCs w:val="24"/>
        </w:rPr>
        <w:t>. [online] London: Prentice-Hall. Available at: https://www.researchgate.net/publication/235701029_Experiential_Learning_Experience_As_The_Source_Of_Learning_And_Development [Accessed 12 Jan. 2025].</w:t>
      </w:r>
    </w:p>
    <w:p w14:paraId="77D375C5" w14:textId="77777777" w:rsidR="00BF5588" w:rsidRDefault="00BF5588" w:rsidP="0099635E">
      <w:pPr>
        <w:rPr>
          <w:rFonts w:asciiTheme="minorHAnsi" w:hAnsiTheme="minorHAnsi" w:cstheme="minorHAnsi"/>
          <w:sz w:val="24"/>
          <w:szCs w:val="24"/>
        </w:rPr>
      </w:pPr>
      <w:r w:rsidRPr="00C31750">
        <w:rPr>
          <w:rFonts w:asciiTheme="minorHAnsi" w:hAnsiTheme="minorHAnsi" w:cstheme="minorHAnsi"/>
          <w:sz w:val="24"/>
          <w:szCs w:val="24"/>
        </w:rPr>
        <w:t xml:space="preserve">Kotter, J.P. (1996). </w:t>
      </w:r>
      <w:r w:rsidRPr="00C31750">
        <w:rPr>
          <w:rFonts w:asciiTheme="minorHAnsi" w:hAnsiTheme="minorHAnsi" w:cstheme="minorHAnsi"/>
          <w:i/>
          <w:iCs/>
          <w:sz w:val="24"/>
          <w:szCs w:val="24"/>
        </w:rPr>
        <w:t>Leading Change</w:t>
      </w:r>
      <w:r w:rsidRPr="00C31750">
        <w:rPr>
          <w:rFonts w:asciiTheme="minorHAnsi" w:hAnsiTheme="minorHAnsi" w:cstheme="minorHAnsi"/>
          <w:sz w:val="24"/>
          <w:szCs w:val="24"/>
        </w:rPr>
        <w:t>. Boston, Mass.: Harvard Business School Press.</w:t>
      </w:r>
    </w:p>
    <w:p w14:paraId="0659F9C3"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Levi, D.M., Doig, A., </w:t>
      </w:r>
      <w:proofErr w:type="spellStart"/>
      <w:r w:rsidRPr="00AC13D5">
        <w:rPr>
          <w:rFonts w:asciiTheme="minorHAnsi" w:hAnsiTheme="minorHAnsi" w:cstheme="minorHAnsi"/>
          <w:sz w:val="24"/>
          <w:szCs w:val="24"/>
        </w:rPr>
        <w:t>Gundur</w:t>
      </w:r>
      <w:proofErr w:type="spellEnd"/>
      <w:r w:rsidRPr="00AC13D5">
        <w:rPr>
          <w:rFonts w:asciiTheme="minorHAnsi" w:hAnsiTheme="minorHAnsi" w:cstheme="minorHAnsi"/>
          <w:sz w:val="24"/>
          <w:szCs w:val="24"/>
        </w:rPr>
        <w:t xml:space="preserve">, R., Wall, D. and Williams, M. (2015). </w:t>
      </w:r>
      <w:r w:rsidRPr="00AC13D5">
        <w:rPr>
          <w:rFonts w:asciiTheme="minorHAnsi" w:hAnsiTheme="minorHAnsi" w:cstheme="minorHAnsi"/>
          <w:i/>
          <w:iCs/>
          <w:sz w:val="24"/>
          <w:szCs w:val="24"/>
        </w:rPr>
        <w:t>The Implications of Economic Cybercrime for Policing</w:t>
      </w:r>
      <w:r w:rsidRPr="00AC13D5">
        <w:rPr>
          <w:rFonts w:asciiTheme="minorHAnsi" w:hAnsiTheme="minorHAnsi" w:cstheme="minorHAnsi"/>
          <w:sz w:val="24"/>
          <w:szCs w:val="24"/>
        </w:rPr>
        <w:t>. [online] Available at: https://orca.cardiff.ac.uk/id/eprint/88156/1/Economic-Cybercrime-FullReport.pdf [Accessed 7 Nov. 2024].</w:t>
      </w:r>
    </w:p>
    <w:p w14:paraId="44CF6FB4"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Lieberman, J.D., Koetzle, D. and Sakiyama, M. (2013). Police Departments’ Use of Facebook. </w:t>
      </w:r>
      <w:r w:rsidRPr="00AC13D5">
        <w:rPr>
          <w:rFonts w:asciiTheme="minorHAnsi" w:eastAsia="Aptos" w:hAnsiTheme="minorHAnsi" w:cstheme="minorHAnsi"/>
          <w:i/>
          <w:iCs/>
          <w:color w:val="auto"/>
          <w:kern w:val="2"/>
          <w:sz w:val="24"/>
          <w:szCs w:val="24"/>
          <w:lang w:eastAsia="en-US"/>
          <w14:ligatures w14:val="standardContextual"/>
        </w:rPr>
        <w:t>Police Quarterly</w:t>
      </w:r>
      <w:r w:rsidRPr="00AC13D5">
        <w:rPr>
          <w:rFonts w:asciiTheme="minorHAnsi" w:eastAsia="Aptos" w:hAnsiTheme="minorHAnsi" w:cstheme="minorHAnsi"/>
          <w:color w:val="auto"/>
          <w:kern w:val="2"/>
          <w:sz w:val="24"/>
          <w:szCs w:val="24"/>
          <w:lang w:eastAsia="en-US"/>
          <w14:ligatures w14:val="standardContextual"/>
        </w:rPr>
        <w:t xml:space="preserve">, 16(4), pp.438–462.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://doi.org/10.1177/1098611113495049</w:t>
      </w:r>
      <w:proofErr w:type="gramEnd"/>
      <w:r w:rsidRPr="00AC13D5">
        <w:rPr>
          <w:rFonts w:asciiTheme="minorHAnsi" w:eastAsia="Aptos" w:hAnsiTheme="minorHAnsi" w:cstheme="minorHAnsi"/>
          <w:color w:val="auto"/>
          <w:kern w:val="2"/>
          <w:sz w:val="24"/>
          <w:szCs w:val="24"/>
          <w:lang w:eastAsia="en-US"/>
          <w14:ligatures w14:val="standardContextual"/>
        </w:rPr>
        <w:t>.</w:t>
      </w:r>
    </w:p>
    <w:p w14:paraId="64FD1944"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Lyons, D. (2015). </w:t>
      </w:r>
      <w:r w:rsidRPr="00AC13D5">
        <w:rPr>
          <w:rFonts w:asciiTheme="minorHAnsi" w:hAnsiTheme="minorHAnsi" w:cstheme="minorHAnsi"/>
          <w:i/>
          <w:iCs/>
          <w:sz w:val="24"/>
          <w:szCs w:val="24"/>
        </w:rPr>
        <w:t>The Power of Feedback in Modern Policing – Police Business Advisor</w:t>
      </w:r>
      <w:r w:rsidRPr="00AC13D5">
        <w:rPr>
          <w:rFonts w:asciiTheme="minorHAnsi" w:hAnsiTheme="minorHAnsi" w:cstheme="minorHAnsi"/>
          <w:sz w:val="24"/>
          <w:szCs w:val="24"/>
        </w:rPr>
        <w:t>. [online] Police Business Advisor. Available at: https://policebusinessadvisor.com/2015/12/28/the-power-of-feedback-in-modern-policing/.</w:t>
      </w:r>
    </w:p>
    <w:p w14:paraId="5CBF2D7A"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Meijer, A. and </w:t>
      </w:r>
      <w:proofErr w:type="spellStart"/>
      <w:r w:rsidRPr="00AC13D5">
        <w:rPr>
          <w:rFonts w:asciiTheme="minorHAnsi" w:eastAsia="Aptos" w:hAnsiTheme="minorHAnsi" w:cstheme="minorHAnsi"/>
          <w:color w:val="auto"/>
          <w:kern w:val="2"/>
          <w:sz w:val="24"/>
          <w:szCs w:val="24"/>
          <w:lang w:eastAsia="en-US"/>
          <w14:ligatures w14:val="standardContextual"/>
        </w:rPr>
        <w:t>Thaens</w:t>
      </w:r>
      <w:proofErr w:type="spellEnd"/>
      <w:r w:rsidRPr="00AC13D5">
        <w:rPr>
          <w:rFonts w:asciiTheme="minorHAnsi" w:eastAsia="Aptos" w:hAnsiTheme="minorHAnsi" w:cstheme="minorHAnsi"/>
          <w:color w:val="auto"/>
          <w:kern w:val="2"/>
          <w:sz w:val="24"/>
          <w:szCs w:val="24"/>
          <w:lang w:eastAsia="en-US"/>
          <w14:ligatures w14:val="standardContextual"/>
        </w:rPr>
        <w:t xml:space="preserve">, M. (2013). Social Media strategies: Understanding the Differences between North American Police Departments. </w:t>
      </w:r>
      <w:r w:rsidRPr="00AC13D5">
        <w:rPr>
          <w:rFonts w:asciiTheme="minorHAnsi" w:eastAsia="Aptos" w:hAnsiTheme="minorHAnsi" w:cstheme="minorHAnsi"/>
          <w:i/>
          <w:iCs/>
          <w:color w:val="auto"/>
          <w:kern w:val="2"/>
          <w:sz w:val="24"/>
          <w:szCs w:val="24"/>
          <w:lang w:eastAsia="en-US"/>
          <w14:ligatures w14:val="standardContextual"/>
        </w:rPr>
        <w:t>Government Information Quarterly</w:t>
      </w:r>
      <w:r w:rsidRPr="00AC13D5">
        <w:rPr>
          <w:rFonts w:asciiTheme="minorHAnsi" w:eastAsia="Aptos" w:hAnsiTheme="minorHAnsi" w:cstheme="minorHAnsi"/>
          <w:color w:val="auto"/>
          <w:kern w:val="2"/>
          <w:sz w:val="24"/>
          <w:szCs w:val="24"/>
          <w:lang w:eastAsia="en-US"/>
          <w14:ligatures w14:val="standardContextual"/>
        </w:rPr>
        <w:t xml:space="preserve">, [online] 30(4), pp.343–350.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://doi.org/10.1016/j.giq.2013.05.023</w:t>
      </w:r>
      <w:proofErr w:type="gramEnd"/>
      <w:r w:rsidRPr="00AC13D5">
        <w:rPr>
          <w:rFonts w:asciiTheme="minorHAnsi" w:eastAsia="Aptos" w:hAnsiTheme="minorHAnsi" w:cstheme="minorHAnsi"/>
          <w:color w:val="auto"/>
          <w:kern w:val="2"/>
          <w:sz w:val="24"/>
          <w:szCs w:val="24"/>
          <w:lang w:eastAsia="en-US"/>
          <w14:ligatures w14:val="standardContextual"/>
        </w:rPr>
        <w:t>.</w:t>
      </w:r>
    </w:p>
    <w:p w14:paraId="2D40911D"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lastRenderedPageBreak/>
        <w:t xml:space="preserve">Meijer, A. and </w:t>
      </w:r>
      <w:proofErr w:type="spellStart"/>
      <w:r w:rsidRPr="00AC13D5">
        <w:rPr>
          <w:rFonts w:asciiTheme="minorHAnsi" w:eastAsia="Aptos" w:hAnsiTheme="minorHAnsi" w:cstheme="minorHAnsi"/>
          <w:color w:val="auto"/>
          <w:kern w:val="2"/>
          <w:sz w:val="24"/>
          <w:szCs w:val="24"/>
          <w:lang w:eastAsia="en-US"/>
          <w14:ligatures w14:val="standardContextual"/>
        </w:rPr>
        <w:t>Thaens</w:t>
      </w:r>
      <w:proofErr w:type="spellEnd"/>
      <w:r w:rsidRPr="00AC13D5">
        <w:rPr>
          <w:rFonts w:asciiTheme="minorHAnsi" w:eastAsia="Aptos" w:hAnsiTheme="minorHAnsi" w:cstheme="minorHAnsi"/>
          <w:color w:val="auto"/>
          <w:kern w:val="2"/>
          <w:sz w:val="24"/>
          <w:szCs w:val="24"/>
          <w:lang w:eastAsia="en-US"/>
          <w14:ligatures w14:val="standardContextual"/>
        </w:rPr>
        <w:t xml:space="preserve">, M. (2013a). Social Media strategies: Understanding the Differences between North American Police Departments. </w:t>
      </w:r>
      <w:r w:rsidRPr="00AC13D5">
        <w:rPr>
          <w:rFonts w:asciiTheme="minorHAnsi" w:eastAsia="Aptos" w:hAnsiTheme="minorHAnsi" w:cstheme="minorHAnsi"/>
          <w:i/>
          <w:iCs/>
          <w:color w:val="auto"/>
          <w:kern w:val="2"/>
          <w:sz w:val="24"/>
          <w:szCs w:val="24"/>
          <w:lang w:eastAsia="en-US"/>
          <w14:ligatures w14:val="standardContextual"/>
        </w:rPr>
        <w:t>Government Information Quarterly</w:t>
      </w:r>
      <w:r w:rsidRPr="00AC13D5">
        <w:rPr>
          <w:rFonts w:asciiTheme="minorHAnsi" w:eastAsia="Aptos" w:hAnsiTheme="minorHAnsi" w:cstheme="minorHAnsi"/>
          <w:color w:val="auto"/>
          <w:kern w:val="2"/>
          <w:sz w:val="24"/>
          <w:szCs w:val="24"/>
          <w:lang w:eastAsia="en-US"/>
          <w14:ligatures w14:val="standardContextual"/>
        </w:rPr>
        <w:t xml:space="preserve">, [online] 30(4), pp.343–350.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://doi.org/10.1016/j.giq.2013.05.023</w:t>
      </w:r>
      <w:proofErr w:type="gramEnd"/>
      <w:r w:rsidRPr="00AC13D5">
        <w:rPr>
          <w:rFonts w:asciiTheme="minorHAnsi" w:eastAsia="Aptos" w:hAnsiTheme="minorHAnsi" w:cstheme="minorHAnsi"/>
          <w:color w:val="auto"/>
          <w:kern w:val="2"/>
          <w:sz w:val="24"/>
          <w:szCs w:val="24"/>
          <w:lang w:eastAsia="en-US"/>
          <w14:ligatures w14:val="standardContextual"/>
        </w:rPr>
        <w:t>.</w:t>
      </w:r>
    </w:p>
    <w:p w14:paraId="210BDFAD"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Metropolitan Police (2022). </w:t>
      </w:r>
      <w:r w:rsidRPr="00AC13D5">
        <w:rPr>
          <w:rFonts w:asciiTheme="minorHAnsi" w:hAnsiTheme="minorHAnsi" w:cstheme="minorHAnsi"/>
          <w:i/>
          <w:iCs/>
          <w:sz w:val="24"/>
          <w:szCs w:val="24"/>
        </w:rPr>
        <w:t>Strategy for inclusion, Diversity and Engagement - Action Plan 2022-2023</w:t>
      </w:r>
      <w:r w:rsidRPr="00AC13D5">
        <w:rPr>
          <w:rFonts w:asciiTheme="minorHAnsi" w:hAnsiTheme="minorHAnsi" w:cstheme="minorHAnsi"/>
          <w:sz w:val="24"/>
          <w:szCs w:val="24"/>
        </w:rPr>
        <w:t>. [online] Available at: https://www.met.police.uk/police-forces/metropolitan-police/areas/about-us/about-the-met/met-diversity-and-inclusion-strategy-stride/ [Accessed 12 Sep. 2024].</w:t>
      </w:r>
    </w:p>
    <w:p w14:paraId="5F90B707"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Miles-Johnson, T. (2013). LGBTI Variations in Crime Reporting. </w:t>
      </w:r>
      <w:r w:rsidRPr="00AC13D5">
        <w:rPr>
          <w:rFonts w:asciiTheme="minorHAnsi" w:hAnsiTheme="minorHAnsi" w:cstheme="minorHAnsi"/>
          <w:i/>
          <w:iCs/>
          <w:sz w:val="24"/>
          <w:szCs w:val="24"/>
        </w:rPr>
        <w:t>SAGE Open</w:t>
      </w:r>
      <w:r w:rsidRPr="00AC13D5">
        <w:rPr>
          <w:rFonts w:asciiTheme="minorHAnsi" w:hAnsiTheme="minorHAnsi" w:cstheme="minorHAnsi"/>
          <w:sz w:val="24"/>
          <w:szCs w:val="24"/>
        </w:rPr>
        <w:t xml:space="preserve">, 3(2), p.215824401349070. </w:t>
      </w:r>
      <w:proofErr w:type="spellStart"/>
      <w:r w:rsidRPr="00AC13D5">
        <w:rPr>
          <w:rFonts w:asciiTheme="minorHAnsi" w:hAnsiTheme="minorHAnsi" w:cstheme="minorHAnsi"/>
          <w:sz w:val="24"/>
          <w:szCs w:val="24"/>
        </w:rPr>
        <w:t>doi</w:t>
      </w:r>
      <w:proofErr w:type="spellEnd"/>
      <w:r w:rsidRPr="00AC13D5">
        <w:rPr>
          <w:rFonts w:asciiTheme="minorHAnsi" w:hAnsiTheme="minorHAnsi" w:cstheme="minorHAnsi"/>
          <w:sz w:val="24"/>
          <w:szCs w:val="24"/>
        </w:rPr>
        <w:t>: https://doi.org/10.1177/2158244013490707.</w:t>
      </w:r>
    </w:p>
    <w:p w14:paraId="4DCA76D0" w14:textId="77777777" w:rsidR="00BF5588" w:rsidRPr="0099635E" w:rsidRDefault="00BF5588" w:rsidP="0099635E">
      <w:pPr>
        <w:rPr>
          <w:rFonts w:asciiTheme="minorHAnsi" w:hAnsiTheme="minorHAnsi" w:cstheme="minorHAnsi"/>
          <w:sz w:val="24"/>
          <w:szCs w:val="24"/>
        </w:rPr>
      </w:pPr>
      <w:proofErr w:type="spellStart"/>
      <w:r w:rsidRPr="0099635E">
        <w:rPr>
          <w:rFonts w:asciiTheme="minorHAnsi" w:hAnsiTheme="minorHAnsi" w:cstheme="minorHAnsi"/>
          <w:sz w:val="24"/>
          <w:szCs w:val="24"/>
        </w:rPr>
        <w:t>Muczyk</w:t>
      </w:r>
      <w:proofErr w:type="spellEnd"/>
      <w:r w:rsidRPr="0099635E">
        <w:rPr>
          <w:rFonts w:asciiTheme="minorHAnsi" w:hAnsiTheme="minorHAnsi" w:cstheme="minorHAnsi"/>
          <w:sz w:val="24"/>
          <w:szCs w:val="24"/>
        </w:rPr>
        <w:t xml:space="preserve">, J.P. and Reimann, B.C. (1987). The Case for Directive Leadership. </w:t>
      </w:r>
      <w:r w:rsidRPr="0099635E">
        <w:rPr>
          <w:rFonts w:asciiTheme="minorHAnsi" w:hAnsiTheme="minorHAnsi" w:cstheme="minorHAnsi"/>
          <w:i/>
          <w:iCs/>
          <w:sz w:val="24"/>
          <w:szCs w:val="24"/>
        </w:rPr>
        <w:t>Academy of Management Perspectives</w:t>
      </w:r>
      <w:r w:rsidRPr="0099635E">
        <w:rPr>
          <w:rFonts w:asciiTheme="minorHAnsi" w:hAnsiTheme="minorHAnsi" w:cstheme="minorHAnsi"/>
          <w:sz w:val="24"/>
          <w:szCs w:val="24"/>
        </w:rPr>
        <w:t xml:space="preserve">, 1(4), pp.301–311. </w:t>
      </w:r>
      <w:proofErr w:type="spellStart"/>
      <w:proofErr w:type="gramStart"/>
      <w:r w:rsidRPr="0099635E">
        <w:rPr>
          <w:rFonts w:asciiTheme="minorHAnsi" w:hAnsiTheme="minorHAnsi" w:cstheme="minorHAnsi"/>
          <w:sz w:val="24"/>
          <w:szCs w:val="24"/>
        </w:rPr>
        <w:t>doi:https</w:t>
      </w:r>
      <w:proofErr w:type="spellEnd"/>
      <w:r w:rsidRPr="0099635E">
        <w:rPr>
          <w:rFonts w:asciiTheme="minorHAnsi" w:hAnsiTheme="minorHAnsi" w:cstheme="minorHAnsi"/>
          <w:sz w:val="24"/>
          <w:szCs w:val="24"/>
        </w:rPr>
        <w:t>://doi.org/10.5465/ame.1987.4275646</w:t>
      </w:r>
      <w:proofErr w:type="gramEnd"/>
      <w:r w:rsidRPr="0099635E">
        <w:rPr>
          <w:rFonts w:asciiTheme="minorHAnsi" w:hAnsiTheme="minorHAnsi" w:cstheme="minorHAnsi"/>
          <w:sz w:val="24"/>
          <w:szCs w:val="24"/>
        </w:rPr>
        <w:t>.</w:t>
      </w:r>
    </w:p>
    <w:p w14:paraId="6B3CD949"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National Police Chiefs' Council (2016). </w:t>
      </w:r>
      <w:r w:rsidRPr="00AC13D5">
        <w:rPr>
          <w:rFonts w:asciiTheme="minorHAnsi" w:hAnsiTheme="minorHAnsi" w:cstheme="minorHAnsi"/>
          <w:i/>
          <w:iCs/>
          <w:sz w:val="24"/>
          <w:szCs w:val="24"/>
        </w:rPr>
        <w:t>POLICING VISION 2030 Strategic Policing Partnership Board</w:t>
      </w:r>
      <w:r w:rsidRPr="00AC13D5">
        <w:rPr>
          <w:rFonts w:asciiTheme="minorHAnsi" w:hAnsiTheme="minorHAnsi" w:cstheme="minorHAnsi"/>
          <w:sz w:val="24"/>
          <w:szCs w:val="24"/>
        </w:rPr>
        <w:t>. [online] Available at: https://www.npcc.police.uk/SysSiteAssets/media/downloads/publications/policing-vision/policing-vision-2030.pdf [Accessed 12 Sep. 2024].</w:t>
      </w:r>
    </w:p>
    <w:p w14:paraId="1868A98D" w14:textId="77777777" w:rsidR="00BF5588" w:rsidRPr="00AC13D5" w:rsidRDefault="00BF5588" w:rsidP="00517B18">
      <w:pPr>
        <w:rPr>
          <w:rFonts w:asciiTheme="minorHAnsi" w:hAnsiTheme="minorHAnsi" w:cstheme="minorHAnsi"/>
          <w:sz w:val="24"/>
          <w:szCs w:val="24"/>
        </w:rPr>
      </w:pPr>
      <w:proofErr w:type="spellStart"/>
      <w:r w:rsidRPr="00AC13D5">
        <w:rPr>
          <w:rFonts w:asciiTheme="minorHAnsi" w:hAnsiTheme="minorHAnsi" w:cstheme="minorHAnsi"/>
          <w:sz w:val="24"/>
          <w:szCs w:val="24"/>
        </w:rPr>
        <w:t>Neyroud</w:t>
      </w:r>
      <w:proofErr w:type="spellEnd"/>
      <w:r w:rsidRPr="00AC13D5">
        <w:rPr>
          <w:rFonts w:asciiTheme="minorHAnsi" w:hAnsiTheme="minorHAnsi" w:cstheme="minorHAnsi"/>
          <w:sz w:val="24"/>
          <w:szCs w:val="24"/>
        </w:rPr>
        <w:t xml:space="preserve"> QPM, P. (2010). Review of Police Leadership and Training Peter </w:t>
      </w:r>
      <w:proofErr w:type="spellStart"/>
      <w:r w:rsidRPr="00AC13D5">
        <w:rPr>
          <w:rFonts w:asciiTheme="minorHAnsi" w:hAnsiTheme="minorHAnsi" w:cstheme="minorHAnsi"/>
          <w:sz w:val="24"/>
          <w:szCs w:val="24"/>
        </w:rPr>
        <w:t>Neyroud</w:t>
      </w:r>
      <w:proofErr w:type="spellEnd"/>
      <w:r w:rsidRPr="00AC13D5">
        <w:rPr>
          <w:rFonts w:asciiTheme="minorHAnsi" w:hAnsiTheme="minorHAnsi" w:cstheme="minorHAnsi"/>
          <w:sz w:val="24"/>
          <w:szCs w:val="24"/>
        </w:rPr>
        <w:t xml:space="preserve"> QPM Chief Constable Volume Two Appendixes. [online] Available at: https://assets.publishing.service.gov.uk/media/5a759a0f40f0b67f59fce2a6/appendices.pdf [Accessed 7 Nov. 2024].</w:t>
      </w:r>
    </w:p>
    <w:p w14:paraId="023D4C96"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NPCC (2016). </w:t>
      </w:r>
      <w:r w:rsidRPr="00AC13D5">
        <w:rPr>
          <w:rFonts w:asciiTheme="minorHAnsi" w:hAnsiTheme="minorHAnsi" w:cstheme="minorHAnsi"/>
          <w:i/>
          <w:iCs/>
          <w:sz w:val="24"/>
          <w:szCs w:val="24"/>
        </w:rPr>
        <w:t>Police Chiefs and PCCs Set out a Vision for Policing in 2025</w:t>
      </w:r>
      <w:r w:rsidRPr="00AC13D5">
        <w:rPr>
          <w:rFonts w:asciiTheme="minorHAnsi" w:hAnsiTheme="minorHAnsi" w:cstheme="minorHAnsi"/>
          <w:sz w:val="24"/>
          <w:szCs w:val="24"/>
        </w:rPr>
        <w:t>. [online] Police.uk. Available at: https://news.npcc.police.uk/releases/police-chiefs-and-pccs-set-out-a-vision-for-policing-in-2025 [Accessed 7 Nov. 2024].</w:t>
      </w:r>
    </w:p>
    <w:p w14:paraId="04AFB91D"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O’Driscoll, D. (2018). </w:t>
      </w:r>
      <w:r w:rsidRPr="00AC13D5">
        <w:rPr>
          <w:rFonts w:asciiTheme="minorHAnsi" w:hAnsiTheme="minorHAnsi" w:cstheme="minorHAnsi"/>
          <w:i/>
          <w:iCs/>
          <w:sz w:val="24"/>
          <w:szCs w:val="24"/>
        </w:rPr>
        <w:t>Policing and Harm to Marginalised Groups</w:t>
      </w:r>
      <w:r w:rsidRPr="00AC13D5">
        <w:rPr>
          <w:rFonts w:asciiTheme="minorHAnsi" w:hAnsiTheme="minorHAnsi" w:cstheme="minorHAnsi"/>
          <w:sz w:val="24"/>
          <w:szCs w:val="24"/>
        </w:rPr>
        <w:t>. [online] Available at: https://assets.publishing.service.gov.uk/media/5b190291ed915d2cbae4af2f/Policing_and_Harm_to_Marginalised_Groups.pdf [Accessed 28 Oct. 2024].</w:t>
      </w:r>
    </w:p>
    <w:p w14:paraId="645D3DDD" w14:textId="77777777" w:rsidR="00BF5588" w:rsidRDefault="00BF5588" w:rsidP="0099635E">
      <w:pPr>
        <w:rPr>
          <w:rFonts w:asciiTheme="minorHAnsi" w:hAnsiTheme="minorHAnsi" w:cstheme="minorHAnsi"/>
          <w:sz w:val="24"/>
          <w:szCs w:val="24"/>
        </w:rPr>
      </w:pPr>
      <w:r w:rsidRPr="0099635E">
        <w:rPr>
          <w:rFonts w:asciiTheme="minorHAnsi" w:hAnsiTheme="minorHAnsi" w:cstheme="minorHAnsi"/>
          <w:sz w:val="24"/>
          <w:szCs w:val="24"/>
        </w:rPr>
        <w:t xml:space="preserve">Olie, R.L. (1993). Book </w:t>
      </w:r>
      <w:proofErr w:type="gramStart"/>
      <w:r w:rsidRPr="0099635E">
        <w:rPr>
          <w:rFonts w:asciiTheme="minorHAnsi" w:hAnsiTheme="minorHAnsi" w:cstheme="minorHAnsi"/>
          <w:sz w:val="24"/>
          <w:szCs w:val="24"/>
        </w:rPr>
        <w:t>Reviews :</w:t>
      </w:r>
      <w:proofErr w:type="gramEnd"/>
      <w:r w:rsidRPr="0099635E">
        <w:rPr>
          <w:rFonts w:asciiTheme="minorHAnsi" w:hAnsiTheme="minorHAnsi" w:cstheme="minorHAnsi"/>
          <w:sz w:val="24"/>
          <w:szCs w:val="24"/>
        </w:rPr>
        <w:t xml:space="preserve"> Alan Bryman: Charisma and Leadership in Organisations. </w:t>
      </w:r>
      <w:r w:rsidRPr="0099635E">
        <w:rPr>
          <w:rFonts w:asciiTheme="minorHAnsi" w:hAnsiTheme="minorHAnsi" w:cstheme="minorHAnsi"/>
          <w:i/>
          <w:iCs/>
          <w:sz w:val="24"/>
          <w:szCs w:val="24"/>
        </w:rPr>
        <w:t>Organisation Studies</w:t>
      </w:r>
      <w:r w:rsidRPr="0099635E">
        <w:rPr>
          <w:rFonts w:asciiTheme="minorHAnsi" w:hAnsiTheme="minorHAnsi" w:cstheme="minorHAnsi"/>
          <w:sz w:val="24"/>
          <w:szCs w:val="24"/>
        </w:rPr>
        <w:t xml:space="preserve">, 14(3), pp.459–464. </w:t>
      </w:r>
      <w:proofErr w:type="spellStart"/>
      <w:proofErr w:type="gramStart"/>
      <w:r w:rsidRPr="0099635E">
        <w:rPr>
          <w:rFonts w:asciiTheme="minorHAnsi" w:hAnsiTheme="minorHAnsi" w:cstheme="minorHAnsi"/>
          <w:sz w:val="24"/>
          <w:szCs w:val="24"/>
        </w:rPr>
        <w:t>doi:https</w:t>
      </w:r>
      <w:proofErr w:type="spellEnd"/>
      <w:r w:rsidRPr="0099635E">
        <w:rPr>
          <w:rFonts w:asciiTheme="minorHAnsi" w:hAnsiTheme="minorHAnsi" w:cstheme="minorHAnsi"/>
          <w:sz w:val="24"/>
          <w:szCs w:val="24"/>
        </w:rPr>
        <w:t>://doi.org/10.1177/017084069301400309</w:t>
      </w:r>
      <w:proofErr w:type="gramEnd"/>
      <w:r w:rsidRPr="0099635E">
        <w:rPr>
          <w:rFonts w:asciiTheme="minorHAnsi" w:hAnsiTheme="minorHAnsi" w:cstheme="minorHAnsi"/>
          <w:sz w:val="24"/>
          <w:szCs w:val="24"/>
        </w:rPr>
        <w:t>.</w:t>
      </w:r>
    </w:p>
    <w:p w14:paraId="681B3E2F" w14:textId="77777777" w:rsidR="00BF5588" w:rsidRDefault="00BF5588" w:rsidP="0099635E">
      <w:pPr>
        <w:rPr>
          <w:rFonts w:asciiTheme="minorHAnsi" w:hAnsiTheme="minorHAnsi" w:cstheme="minorHAnsi"/>
          <w:sz w:val="24"/>
          <w:szCs w:val="24"/>
        </w:rPr>
      </w:pPr>
      <w:r w:rsidRPr="00056A98">
        <w:rPr>
          <w:rFonts w:asciiTheme="minorHAnsi" w:hAnsiTheme="minorHAnsi" w:cstheme="minorHAnsi"/>
          <w:sz w:val="24"/>
          <w:szCs w:val="24"/>
        </w:rPr>
        <w:t xml:space="preserve">Page, L. (2023). </w:t>
      </w:r>
      <w:r w:rsidRPr="00056A98">
        <w:rPr>
          <w:rFonts w:asciiTheme="minorHAnsi" w:hAnsiTheme="minorHAnsi" w:cstheme="minorHAnsi"/>
          <w:i/>
          <w:iCs/>
          <w:sz w:val="24"/>
          <w:szCs w:val="24"/>
        </w:rPr>
        <w:t>What Is a Dynamic Risk Assessment?</w:t>
      </w:r>
      <w:r w:rsidRPr="00056A98">
        <w:rPr>
          <w:rFonts w:asciiTheme="minorHAnsi" w:hAnsiTheme="minorHAnsi" w:cstheme="minorHAnsi"/>
          <w:sz w:val="24"/>
          <w:szCs w:val="24"/>
        </w:rPr>
        <w:t xml:space="preserve"> [online] </w:t>
      </w:r>
      <w:proofErr w:type="spellStart"/>
      <w:r w:rsidRPr="00056A98">
        <w:rPr>
          <w:rFonts w:asciiTheme="minorHAnsi" w:hAnsiTheme="minorHAnsi" w:cstheme="minorHAnsi"/>
          <w:sz w:val="24"/>
          <w:szCs w:val="24"/>
        </w:rPr>
        <w:t>Peoplesafe</w:t>
      </w:r>
      <w:proofErr w:type="spellEnd"/>
      <w:r w:rsidRPr="00056A98">
        <w:rPr>
          <w:rFonts w:asciiTheme="minorHAnsi" w:hAnsiTheme="minorHAnsi" w:cstheme="minorHAnsi"/>
          <w:sz w:val="24"/>
          <w:szCs w:val="24"/>
        </w:rPr>
        <w:t>. Available at: https://peoplesafe.co.uk/blogs/what-is-a-dynamic-risk-assessment/ [Accessed 6 Jan. 2025].</w:t>
      </w:r>
    </w:p>
    <w:p w14:paraId="782D8C1A"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Palmiotto, M.J. (2011). </w:t>
      </w:r>
      <w:r w:rsidRPr="00AC13D5">
        <w:rPr>
          <w:rFonts w:asciiTheme="minorHAnsi" w:eastAsia="Aptos" w:hAnsiTheme="minorHAnsi" w:cstheme="minorHAnsi"/>
          <w:i/>
          <w:iCs/>
          <w:color w:val="auto"/>
          <w:kern w:val="2"/>
          <w:sz w:val="24"/>
          <w:szCs w:val="24"/>
          <w:lang w:eastAsia="en-US"/>
          <w14:ligatures w14:val="standardContextual"/>
        </w:rPr>
        <w:t>Community Policing</w:t>
      </w:r>
      <w:r w:rsidRPr="00AC13D5">
        <w:rPr>
          <w:rFonts w:asciiTheme="minorHAnsi" w:eastAsia="Aptos" w:hAnsiTheme="minorHAnsi" w:cstheme="minorHAnsi"/>
          <w:color w:val="auto"/>
          <w:kern w:val="2"/>
          <w:sz w:val="24"/>
          <w:szCs w:val="24"/>
          <w:lang w:eastAsia="en-US"/>
          <w14:ligatures w14:val="standardContextual"/>
        </w:rPr>
        <w:t>. Routledge.</w:t>
      </w:r>
    </w:p>
    <w:p w14:paraId="0664CB64"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t xml:space="preserve">Passmore, J. and Fillery-Travis, A. (2011). A Critical Review of Executive Coaching research: a Decade of Progress and what’s to Come. </w:t>
      </w:r>
      <w:r w:rsidRPr="00864985">
        <w:rPr>
          <w:rFonts w:ascii="Calibri" w:hAnsi="Calibri" w:cs="Calibri"/>
          <w:i/>
          <w:iCs/>
          <w:sz w:val="24"/>
          <w:szCs w:val="24"/>
        </w:rPr>
        <w:t xml:space="preserve">Coaching: </w:t>
      </w:r>
      <w:proofErr w:type="gramStart"/>
      <w:r w:rsidRPr="00864985">
        <w:rPr>
          <w:rFonts w:ascii="Calibri" w:hAnsi="Calibri" w:cs="Calibri"/>
          <w:i/>
          <w:iCs/>
          <w:sz w:val="24"/>
          <w:szCs w:val="24"/>
        </w:rPr>
        <w:t>an</w:t>
      </w:r>
      <w:proofErr w:type="gramEnd"/>
      <w:r w:rsidRPr="00864985">
        <w:rPr>
          <w:rFonts w:ascii="Calibri" w:hAnsi="Calibri" w:cs="Calibri"/>
          <w:i/>
          <w:iCs/>
          <w:sz w:val="24"/>
          <w:szCs w:val="24"/>
        </w:rPr>
        <w:t xml:space="preserve"> International Journal of Theory, Research and Practice</w:t>
      </w:r>
      <w:r w:rsidRPr="00864985">
        <w:rPr>
          <w:rFonts w:ascii="Calibri" w:hAnsi="Calibri" w:cs="Calibri"/>
          <w:sz w:val="24"/>
          <w:szCs w:val="24"/>
        </w:rPr>
        <w:t xml:space="preserve">, 4(2), pp.70–88. </w:t>
      </w:r>
      <w:proofErr w:type="spellStart"/>
      <w:proofErr w:type="gramStart"/>
      <w:r w:rsidRPr="00864985">
        <w:rPr>
          <w:rFonts w:ascii="Calibri" w:hAnsi="Calibri" w:cs="Calibri"/>
          <w:sz w:val="24"/>
          <w:szCs w:val="24"/>
        </w:rPr>
        <w:t>doi:https</w:t>
      </w:r>
      <w:proofErr w:type="spellEnd"/>
      <w:r w:rsidRPr="00864985">
        <w:rPr>
          <w:rFonts w:ascii="Calibri" w:hAnsi="Calibri" w:cs="Calibri"/>
          <w:sz w:val="24"/>
          <w:szCs w:val="24"/>
        </w:rPr>
        <w:t>://doi.org/10.1080/17521882.2011.596484</w:t>
      </w:r>
      <w:proofErr w:type="gramEnd"/>
      <w:r w:rsidRPr="00864985">
        <w:rPr>
          <w:rFonts w:ascii="Calibri" w:hAnsi="Calibri" w:cs="Calibri"/>
          <w:sz w:val="24"/>
          <w:szCs w:val="24"/>
        </w:rPr>
        <w:t>.</w:t>
      </w:r>
    </w:p>
    <w:p w14:paraId="63DB7E3D"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Ratcliffe, J.H. (2016). </w:t>
      </w:r>
      <w:r w:rsidRPr="00AC13D5">
        <w:rPr>
          <w:rFonts w:asciiTheme="minorHAnsi" w:hAnsiTheme="minorHAnsi" w:cstheme="minorHAnsi"/>
          <w:i/>
          <w:iCs/>
          <w:sz w:val="24"/>
          <w:szCs w:val="24"/>
        </w:rPr>
        <w:t>Intelligence-Led Policing</w:t>
      </w:r>
      <w:r w:rsidRPr="00AC13D5">
        <w:rPr>
          <w:rFonts w:asciiTheme="minorHAnsi" w:hAnsiTheme="minorHAnsi" w:cstheme="minorHAnsi"/>
          <w:sz w:val="24"/>
          <w:szCs w:val="24"/>
        </w:rPr>
        <w:t xml:space="preserve">. [online] Routledge. </w:t>
      </w:r>
      <w:proofErr w:type="spellStart"/>
      <w:r w:rsidRPr="00AC13D5">
        <w:rPr>
          <w:rFonts w:asciiTheme="minorHAnsi" w:hAnsiTheme="minorHAnsi" w:cstheme="minorHAnsi"/>
          <w:sz w:val="24"/>
          <w:szCs w:val="24"/>
        </w:rPr>
        <w:t>doi</w:t>
      </w:r>
      <w:proofErr w:type="spellEnd"/>
      <w:r w:rsidRPr="00AC13D5">
        <w:rPr>
          <w:rFonts w:asciiTheme="minorHAnsi" w:hAnsiTheme="minorHAnsi" w:cstheme="minorHAnsi"/>
          <w:sz w:val="24"/>
          <w:szCs w:val="24"/>
        </w:rPr>
        <w:t>: https://doi.org/10.4324/9781315717579.</w:t>
      </w:r>
    </w:p>
    <w:p w14:paraId="7686CBDD" w14:textId="77777777" w:rsidR="00BF5588" w:rsidRPr="00864985" w:rsidRDefault="00BF5588" w:rsidP="00BF5588">
      <w:pPr>
        <w:rPr>
          <w:rFonts w:ascii="Calibri" w:hAnsi="Calibri" w:cs="Calibri"/>
          <w:sz w:val="24"/>
          <w:szCs w:val="24"/>
        </w:rPr>
      </w:pPr>
      <w:r w:rsidRPr="00F62E9A">
        <w:rPr>
          <w:rFonts w:ascii="Calibri" w:hAnsi="Calibri" w:cs="Calibri"/>
          <w:sz w:val="24"/>
          <w:szCs w:val="24"/>
        </w:rPr>
        <w:t xml:space="preserve">Ratcliffe, J.H. (2016). </w:t>
      </w:r>
      <w:r w:rsidRPr="00F62E9A">
        <w:rPr>
          <w:rFonts w:ascii="Calibri" w:hAnsi="Calibri" w:cs="Calibri"/>
          <w:i/>
          <w:iCs/>
          <w:sz w:val="24"/>
          <w:szCs w:val="24"/>
        </w:rPr>
        <w:t>Intelligence-led Policing</w:t>
      </w:r>
      <w:r w:rsidRPr="00F62E9A">
        <w:rPr>
          <w:rFonts w:ascii="Calibri" w:hAnsi="Calibri" w:cs="Calibri"/>
          <w:sz w:val="24"/>
          <w:szCs w:val="24"/>
        </w:rPr>
        <w:t>. London Routledge, Taylor &amp; Francis Group.</w:t>
      </w:r>
    </w:p>
    <w:p w14:paraId="2C47D81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Ruddell, R. and Jones, N. (2013). </w:t>
      </w:r>
      <w:proofErr w:type="gramStart"/>
      <w:r w:rsidRPr="00AC13D5">
        <w:rPr>
          <w:rFonts w:asciiTheme="minorHAnsi" w:eastAsia="Aptos" w:hAnsiTheme="minorHAnsi" w:cstheme="minorHAnsi"/>
          <w:color w:val="auto"/>
          <w:kern w:val="2"/>
          <w:sz w:val="24"/>
          <w:szCs w:val="24"/>
          <w:lang w:eastAsia="en-US"/>
          <w14:ligatures w14:val="standardContextual"/>
        </w:rPr>
        <w:t>Social Media</w:t>
      </w:r>
      <w:proofErr w:type="gramEnd"/>
      <w:r w:rsidRPr="00AC13D5">
        <w:rPr>
          <w:rFonts w:asciiTheme="minorHAnsi" w:eastAsia="Aptos" w:hAnsiTheme="minorHAnsi" w:cstheme="minorHAnsi"/>
          <w:color w:val="auto"/>
          <w:kern w:val="2"/>
          <w:sz w:val="24"/>
          <w:szCs w:val="24"/>
          <w:lang w:eastAsia="en-US"/>
          <w14:ligatures w14:val="standardContextual"/>
        </w:rPr>
        <w:t xml:space="preserve"> and policing: Matching the Message to the Audience. </w:t>
      </w:r>
      <w:r w:rsidRPr="00AC13D5">
        <w:rPr>
          <w:rFonts w:asciiTheme="minorHAnsi" w:eastAsia="Aptos" w:hAnsiTheme="minorHAnsi" w:cstheme="minorHAnsi"/>
          <w:i/>
          <w:iCs/>
          <w:color w:val="auto"/>
          <w:kern w:val="2"/>
          <w:sz w:val="24"/>
          <w:szCs w:val="24"/>
          <w:lang w:eastAsia="en-US"/>
          <w14:ligatures w14:val="standardContextual"/>
        </w:rPr>
        <w:t>Safer Communities</w:t>
      </w:r>
      <w:r w:rsidRPr="00AC13D5">
        <w:rPr>
          <w:rFonts w:asciiTheme="minorHAnsi" w:eastAsia="Aptos" w:hAnsiTheme="minorHAnsi" w:cstheme="minorHAnsi"/>
          <w:color w:val="auto"/>
          <w:kern w:val="2"/>
          <w:sz w:val="24"/>
          <w:szCs w:val="24"/>
          <w:lang w:eastAsia="en-US"/>
          <w14:ligatures w14:val="standardContextual"/>
        </w:rPr>
        <w:t xml:space="preserve">, 12(2), pp.64–70.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://doi.org/10.1108/17578041311315030</w:t>
      </w:r>
      <w:proofErr w:type="gramEnd"/>
      <w:r w:rsidRPr="00AC13D5">
        <w:rPr>
          <w:rFonts w:asciiTheme="minorHAnsi" w:eastAsia="Aptos" w:hAnsiTheme="minorHAnsi" w:cstheme="minorHAnsi"/>
          <w:color w:val="auto"/>
          <w:kern w:val="2"/>
          <w:sz w:val="24"/>
          <w:szCs w:val="24"/>
          <w:lang w:eastAsia="en-US"/>
          <w14:ligatures w14:val="standardContextual"/>
        </w:rPr>
        <w:t>.</w:t>
      </w:r>
    </w:p>
    <w:p w14:paraId="5B39DF7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Schneider, C.J. (2016). </w:t>
      </w:r>
      <w:r w:rsidRPr="00AC13D5">
        <w:rPr>
          <w:rFonts w:asciiTheme="minorHAnsi" w:eastAsia="Aptos" w:hAnsiTheme="minorHAnsi" w:cstheme="minorHAnsi"/>
          <w:i/>
          <w:iCs/>
          <w:color w:val="auto"/>
          <w:kern w:val="2"/>
          <w:sz w:val="24"/>
          <w:szCs w:val="24"/>
          <w:lang w:eastAsia="en-US"/>
          <w14:ligatures w14:val="standardContextual"/>
        </w:rPr>
        <w:t xml:space="preserve">Policing and social </w:t>
      </w:r>
      <w:proofErr w:type="gramStart"/>
      <w:r w:rsidRPr="00AC13D5">
        <w:rPr>
          <w:rFonts w:asciiTheme="minorHAnsi" w:eastAsia="Aptos" w:hAnsiTheme="minorHAnsi" w:cstheme="minorHAnsi"/>
          <w:i/>
          <w:iCs/>
          <w:color w:val="auto"/>
          <w:kern w:val="2"/>
          <w:sz w:val="24"/>
          <w:szCs w:val="24"/>
          <w:lang w:eastAsia="en-US"/>
          <w14:ligatures w14:val="standardContextual"/>
        </w:rPr>
        <w:t>media :</w:t>
      </w:r>
      <w:proofErr w:type="gramEnd"/>
      <w:r w:rsidRPr="00AC13D5">
        <w:rPr>
          <w:rFonts w:asciiTheme="minorHAnsi" w:eastAsia="Aptos" w:hAnsiTheme="minorHAnsi" w:cstheme="minorHAnsi"/>
          <w:i/>
          <w:iCs/>
          <w:color w:val="auto"/>
          <w:kern w:val="2"/>
          <w:sz w:val="24"/>
          <w:szCs w:val="24"/>
          <w:lang w:eastAsia="en-US"/>
          <w14:ligatures w14:val="standardContextual"/>
        </w:rPr>
        <w:t xml:space="preserve"> social control in an era of new media</w:t>
      </w:r>
      <w:r w:rsidRPr="00AC13D5">
        <w:rPr>
          <w:rFonts w:asciiTheme="minorHAnsi" w:eastAsia="Aptos" w:hAnsiTheme="minorHAnsi" w:cstheme="minorHAnsi"/>
          <w:color w:val="auto"/>
          <w:kern w:val="2"/>
          <w:sz w:val="24"/>
          <w:szCs w:val="24"/>
          <w:lang w:eastAsia="en-US"/>
          <w14:ligatures w14:val="standardContextual"/>
        </w:rPr>
        <w:t>. Lanham, Maryland: Lexington Books.</w:t>
      </w:r>
    </w:p>
    <w:p w14:paraId="563ED4C3"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lastRenderedPageBreak/>
        <w:t xml:space="preserve">Schön, D.A. (1983). </w:t>
      </w:r>
      <w:r w:rsidRPr="00864985">
        <w:rPr>
          <w:rFonts w:ascii="Calibri" w:hAnsi="Calibri" w:cs="Calibri"/>
          <w:i/>
          <w:iCs/>
          <w:sz w:val="24"/>
          <w:szCs w:val="24"/>
        </w:rPr>
        <w:t>The Reflective Practitioner: How Professionals Think in action.</w:t>
      </w:r>
      <w:r w:rsidRPr="00864985">
        <w:rPr>
          <w:rFonts w:ascii="Calibri" w:hAnsi="Calibri" w:cs="Calibri"/>
          <w:sz w:val="24"/>
          <w:szCs w:val="24"/>
        </w:rPr>
        <w:t xml:space="preserve"> London: Temple Smith.</w:t>
      </w:r>
    </w:p>
    <w:p w14:paraId="43751255" w14:textId="77777777" w:rsidR="00BF5588" w:rsidRPr="00AC13D5" w:rsidRDefault="00BF5588" w:rsidP="00517B18">
      <w:pPr>
        <w:rPr>
          <w:rFonts w:asciiTheme="minorHAnsi" w:hAnsiTheme="minorHAnsi" w:cstheme="minorHAnsi"/>
          <w:sz w:val="24"/>
          <w:szCs w:val="24"/>
        </w:rPr>
      </w:pPr>
      <w:proofErr w:type="spellStart"/>
      <w:r w:rsidRPr="00AC13D5">
        <w:rPr>
          <w:rFonts w:asciiTheme="minorHAnsi" w:hAnsiTheme="minorHAnsi" w:cstheme="minorHAnsi"/>
          <w:sz w:val="24"/>
          <w:szCs w:val="24"/>
        </w:rPr>
        <w:t>Signori</w:t>
      </w:r>
      <w:proofErr w:type="spellEnd"/>
      <w:r w:rsidRPr="00AC13D5">
        <w:rPr>
          <w:rFonts w:asciiTheme="minorHAnsi" w:hAnsiTheme="minorHAnsi" w:cstheme="minorHAnsi"/>
          <w:sz w:val="24"/>
          <w:szCs w:val="24"/>
        </w:rPr>
        <w:t xml:space="preserve">, R., Heinrich, D.P., Wootton, A.B. and Davey, C.L. (2023). Relational continuity in community policing: Insights from a human-centred design perspective. Policing: A Journal of Policy and Practice, 17(1). </w:t>
      </w:r>
      <w:proofErr w:type="spellStart"/>
      <w:r w:rsidRPr="00AC13D5">
        <w:rPr>
          <w:rFonts w:asciiTheme="minorHAnsi" w:hAnsiTheme="minorHAnsi" w:cstheme="minorHAnsi"/>
          <w:sz w:val="24"/>
          <w:szCs w:val="24"/>
        </w:rPr>
        <w:t>doi</w:t>
      </w:r>
      <w:proofErr w:type="spellEnd"/>
      <w:r w:rsidRPr="00AC13D5">
        <w:rPr>
          <w:rFonts w:asciiTheme="minorHAnsi" w:hAnsiTheme="minorHAnsi" w:cstheme="minorHAnsi"/>
          <w:sz w:val="24"/>
          <w:szCs w:val="24"/>
        </w:rPr>
        <w:t>: https://doi.org/10.1093/police/paad038.</w:t>
      </w:r>
    </w:p>
    <w:p w14:paraId="7D4D2A61"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South Wales Police (2024). </w:t>
      </w:r>
      <w:r w:rsidRPr="00AC13D5">
        <w:rPr>
          <w:rFonts w:asciiTheme="minorHAnsi" w:eastAsia="Aptos" w:hAnsiTheme="minorHAnsi" w:cstheme="minorHAnsi"/>
          <w:i/>
          <w:iCs/>
          <w:color w:val="auto"/>
          <w:kern w:val="2"/>
          <w:sz w:val="24"/>
          <w:szCs w:val="24"/>
          <w:lang w:eastAsia="en-US"/>
          <w14:ligatures w14:val="standardContextual"/>
        </w:rPr>
        <w:t>Social Media House Rules</w:t>
      </w:r>
      <w:r w:rsidRPr="00AC13D5">
        <w:rPr>
          <w:rFonts w:asciiTheme="minorHAnsi" w:eastAsia="Aptos" w:hAnsiTheme="minorHAnsi" w:cstheme="minorHAnsi"/>
          <w:color w:val="auto"/>
          <w:kern w:val="2"/>
          <w:sz w:val="24"/>
          <w:szCs w:val="24"/>
          <w:lang w:eastAsia="en-US"/>
          <w14:ligatures w14:val="standardContextual"/>
        </w:rPr>
        <w:t>. [online] Available at: https://www.south-wales.police.uk/police-forces/south-wales-police/areas/about-us/about-us/social-media/social-media-house-rules/ [Accessed 14 Nov. 2024].</w:t>
      </w:r>
    </w:p>
    <w:p w14:paraId="145FD3D6" w14:textId="77777777" w:rsidR="00BF5588" w:rsidRPr="00864985" w:rsidRDefault="00BF5588" w:rsidP="00BF5588">
      <w:pPr>
        <w:rPr>
          <w:rFonts w:ascii="Calibri" w:hAnsi="Calibri" w:cs="Calibri"/>
          <w:sz w:val="24"/>
          <w:szCs w:val="24"/>
        </w:rPr>
      </w:pPr>
      <w:r w:rsidRPr="00864985">
        <w:rPr>
          <w:rFonts w:ascii="Calibri" w:hAnsi="Calibri" w:cs="Calibri"/>
          <w:sz w:val="24"/>
          <w:szCs w:val="24"/>
        </w:rPr>
        <w:t xml:space="preserve">South Wales Police. (2023). </w:t>
      </w:r>
      <w:r w:rsidRPr="00864985">
        <w:rPr>
          <w:rFonts w:ascii="Calibri" w:hAnsi="Calibri" w:cs="Calibri"/>
          <w:i/>
          <w:iCs/>
          <w:sz w:val="24"/>
          <w:szCs w:val="24"/>
        </w:rPr>
        <w:t>Code of Ethics</w:t>
      </w:r>
      <w:r w:rsidRPr="00864985">
        <w:rPr>
          <w:rFonts w:ascii="Calibri" w:hAnsi="Calibri" w:cs="Calibri"/>
          <w:sz w:val="24"/>
          <w:szCs w:val="24"/>
        </w:rPr>
        <w:t>. Cardiff: South Wales Police.</w:t>
      </w:r>
    </w:p>
    <w:p w14:paraId="3B4E7150" w14:textId="77777777" w:rsidR="00BF5588" w:rsidRPr="00AC13D5" w:rsidRDefault="00BF5588" w:rsidP="00517B18">
      <w:pPr>
        <w:rPr>
          <w:rFonts w:asciiTheme="minorHAnsi" w:hAnsiTheme="minorHAnsi" w:cstheme="minorHAnsi"/>
          <w:sz w:val="24"/>
          <w:szCs w:val="24"/>
        </w:rPr>
      </w:pPr>
      <w:r w:rsidRPr="00AC13D5">
        <w:rPr>
          <w:rFonts w:asciiTheme="minorHAnsi" w:hAnsiTheme="minorHAnsi" w:cstheme="minorHAnsi"/>
          <w:sz w:val="24"/>
          <w:szCs w:val="24"/>
        </w:rPr>
        <w:t xml:space="preserve">Strong, J. (2019). </w:t>
      </w:r>
      <w:r w:rsidRPr="00AC13D5">
        <w:rPr>
          <w:rFonts w:asciiTheme="minorHAnsi" w:hAnsiTheme="minorHAnsi" w:cstheme="minorHAnsi"/>
          <w:i/>
          <w:iCs/>
          <w:sz w:val="24"/>
          <w:szCs w:val="24"/>
        </w:rPr>
        <w:t>Policing Education Qualifications Framework (PEQF) implementation Frequently Asked Questions</w:t>
      </w:r>
      <w:r w:rsidRPr="00AC13D5">
        <w:rPr>
          <w:rFonts w:asciiTheme="minorHAnsi" w:hAnsiTheme="minorHAnsi" w:cstheme="minorHAnsi"/>
          <w:sz w:val="24"/>
          <w:szCs w:val="24"/>
        </w:rPr>
        <w:t>. [online] pp.1–10. Available at: https://www.polfed.org/Wilts/media/1580/policing-eductation-qualifications-framework-faqs.pdf [Accessed 12 Sep. 2024].</w:t>
      </w:r>
    </w:p>
    <w:p w14:paraId="4B5DE939"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The Police Foundation (2014). </w:t>
      </w:r>
      <w:r w:rsidRPr="00AC13D5">
        <w:rPr>
          <w:rFonts w:asciiTheme="minorHAnsi" w:eastAsia="Aptos" w:hAnsiTheme="minorHAnsi" w:cstheme="minorHAnsi"/>
          <w:i/>
          <w:iCs/>
          <w:color w:val="auto"/>
          <w:kern w:val="2"/>
          <w:sz w:val="24"/>
          <w:szCs w:val="24"/>
          <w:lang w:eastAsia="en-US"/>
          <w14:ligatures w14:val="standardContextual"/>
        </w:rPr>
        <w:t>Police Use of Social Media</w:t>
      </w:r>
      <w:r w:rsidRPr="00AC13D5">
        <w:rPr>
          <w:rFonts w:asciiTheme="minorHAnsi" w:eastAsia="Aptos" w:hAnsiTheme="minorHAnsi" w:cstheme="minorHAnsi"/>
          <w:color w:val="auto"/>
          <w:kern w:val="2"/>
          <w:sz w:val="24"/>
          <w:szCs w:val="24"/>
          <w:lang w:eastAsia="en-US"/>
          <w14:ligatures w14:val="standardContextual"/>
        </w:rPr>
        <w:t>. [online] Available at: https://www.police-foundation.org.uk/wp-content/uploads/2017/08/Social_media_briefing_FINAL.pdf [Accessed 18 Nov. 2024].</w:t>
      </w:r>
    </w:p>
    <w:p w14:paraId="6CC8FD68"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Trottier, D. (2012). Policing Social Media. </w:t>
      </w:r>
      <w:r w:rsidRPr="00AC13D5">
        <w:rPr>
          <w:rFonts w:asciiTheme="minorHAnsi" w:eastAsia="Aptos" w:hAnsiTheme="minorHAnsi" w:cstheme="minorHAnsi"/>
          <w:i/>
          <w:iCs/>
          <w:color w:val="auto"/>
          <w:kern w:val="2"/>
          <w:sz w:val="24"/>
          <w:szCs w:val="24"/>
          <w:lang w:eastAsia="en-US"/>
          <w14:ligatures w14:val="standardContextual"/>
        </w:rPr>
        <w:t xml:space="preserve">Canadian Review of Sociology/Revue Canadienne De </w:t>
      </w:r>
      <w:proofErr w:type="spellStart"/>
      <w:r w:rsidRPr="00AC13D5">
        <w:rPr>
          <w:rFonts w:asciiTheme="minorHAnsi" w:eastAsia="Aptos" w:hAnsiTheme="minorHAnsi" w:cstheme="minorHAnsi"/>
          <w:i/>
          <w:iCs/>
          <w:color w:val="auto"/>
          <w:kern w:val="2"/>
          <w:sz w:val="24"/>
          <w:szCs w:val="24"/>
          <w:lang w:eastAsia="en-US"/>
          <w14:ligatures w14:val="standardContextual"/>
        </w:rPr>
        <w:t>Sociologie</w:t>
      </w:r>
      <w:proofErr w:type="spellEnd"/>
      <w:r w:rsidRPr="00AC13D5">
        <w:rPr>
          <w:rFonts w:asciiTheme="minorHAnsi" w:eastAsia="Aptos" w:hAnsiTheme="minorHAnsi" w:cstheme="minorHAnsi"/>
          <w:color w:val="auto"/>
          <w:kern w:val="2"/>
          <w:sz w:val="24"/>
          <w:szCs w:val="24"/>
          <w:lang w:eastAsia="en-US"/>
          <w14:ligatures w14:val="standardContextual"/>
        </w:rPr>
        <w:t xml:space="preserve">, 49(4), pp.411–425.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://doi.org/10.1111/j.1755-618x.2012.01302.x</w:t>
      </w:r>
      <w:proofErr w:type="gramEnd"/>
      <w:r w:rsidRPr="00AC13D5">
        <w:rPr>
          <w:rFonts w:asciiTheme="minorHAnsi" w:eastAsia="Aptos" w:hAnsiTheme="minorHAnsi" w:cstheme="minorHAnsi"/>
          <w:color w:val="auto"/>
          <w:kern w:val="2"/>
          <w:sz w:val="24"/>
          <w:szCs w:val="24"/>
          <w:lang w:eastAsia="en-US"/>
          <w14:ligatures w14:val="standardContextual"/>
        </w:rPr>
        <w:t>.</w:t>
      </w:r>
    </w:p>
    <w:p w14:paraId="75AE667B"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Trottier, D. (2016). </w:t>
      </w:r>
      <w:r w:rsidRPr="00AC13D5">
        <w:rPr>
          <w:rFonts w:asciiTheme="minorHAnsi" w:eastAsia="Aptos" w:hAnsiTheme="minorHAnsi" w:cstheme="minorHAnsi"/>
          <w:i/>
          <w:iCs/>
          <w:color w:val="auto"/>
          <w:kern w:val="2"/>
          <w:sz w:val="24"/>
          <w:szCs w:val="24"/>
          <w:lang w:eastAsia="en-US"/>
          <w14:ligatures w14:val="standardContextual"/>
        </w:rPr>
        <w:t>Social Media as Surveillance Rethinking Visibility in a Converging World</w:t>
      </w:r>
      <w:r w:rsidRPr="00AC13D5">
        <w:rPr>
          <w:rFonts w:asciiTheme="minorHAnsi" w:eastAsia="Aptos" w:hAnsiTheme="minorHAnsi" w:cstheme="minorHAnsi"/>
          <w:color w:val="auto"/>
          <w:kern w:val="2"/>
          <w:sz w:val="24"/>
          <w:szCs w:val="24"/>
          <w:lang w:eastAsia="en-US"/>
          <w14:ligatures w14:val="standardContextual"/>
        </w:rPr>
        <w:t>. 1st ed. Routledge.</w:t>
      </w:r>
    </w:p>
    <w:p w14:paraId="3E9E6582"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Trottier, D. and Fuchs, C. (2015). </w:t>
      </w:r>
      <w:r w:rsidRPr="00AC13D5">
        <w:rPr>
          <w:rFonts w:asciiTheme="minorHAnsi" w:eastAsia="Aptos" w:hAnsiTheme="minorHAnsi" w:cstheme="minorHAnsi"/>
          <w:i/>
          <w:iCs/>
          <w:color w:val="auto"/>
          <w:kern w:val="2"/>
          <w:sz w:val="24"/>
          <w:szCs w:val="24"/>
          <w:lang w:eastAsia="en-US"/>
          <w14:ligatures w14:val="standardContextual"/>
        </w:rPr>
        <w:t xml:space="preserve">Social media, Politics and the </w:t>
      </w:r>
      <w:proofErr w:type="gramStart"/>
      <w:r w:rsidRPr="00AC13D5">
        <w:rPr>
          <w:rFonts w:asciiTheme="minorHAnsi" w:eastAsia="Aptos" w:hAnsiTheme="minorHAnsi" w:cstheme="minorHAnsi"/>
          <w:i/>
          <w:iCs/>
          <w:color w:val="auto"/>
          <w:kern w:val="2"/>
          <w:sz w:val="24"/>
          <w:szCs w:val="24"/>
          <w:lang w:eastAsia="en-US"/>
          <w14:ligatures w14:val="standardContextual"/>
        </w:rPr>
        <w:t>State :</w:t>
      </w:r>
      <w:proofErr w:type="gramEnd"/>
      <w:r w:rsidRPr="00AC13D5">
        <w:rPr>
          <w:rFonts w:asciiTheme="minorHAnsi" w:eastAsia="Aptos" w:hAnsiTheme="minorHAnsi" w:cstheme="minorHAnsi"/>
          <w:i/>
          <w:iCs/>
          <w:color w:val="auto"/>
          <w:kern w:val="2"/>
          <w:sz w:val="24"/>
          <w:szCs w:val="24"/>
          <w:lang w:eastAsia="en-US"/>
          <w14:ligatures w14:val="standardContextual"/>
        </w:rPr>
        <w:t xml:space="preserve"> protests, revolutions, riots, Crime and Policing in the Age of Facebook, Twitter and YouTube</w:t>
      </w:r>
      <w:r w:rsidRPr="00AC13D5">
        <w:rPr>
          <w:rFonts w:asciiTheme="minorHAnsi" w:eastAsia="Aptos" w:hAnsiTheme="minorHAnsi" w:cstheme="minorHAnsi"/>
          <w:color w:val="auto"/>
          <w:kern w:val="2"/>
          <w:sz w:val="24"/>
          <w:szCs w:val="24"/>
          <w:lang w:eastAsia="en-US"/>
          <w14:ligatures w14:val="standardContextual"/>
        </w:rPr>
        <w:t>. New York: Routledge.</w:t>
      </w:r>
    </w:p>
    <w:p w14:paraId="5DA90A8F" w14:textId="77777777" w:rsidR="00BF5588" w:rsidRPr="00FC14A7" w:rsidRDefault="00BF5588" w:rsidP="00BF5588">
      <w:pPr>
        <w:spacing w:after="160" w:line="259" w:lineRule="auto"/>
        <w:rPr>
          <w:rFonts w:ascii="Calibri" w:hAnsi="Calibri" w:cs="Calibri"/>
          <w:sz w:val="24"/>
          <w:szCs w:val="24"/>
        </w:rPr>
      </w:pPr>
      <w:r w:rsidRPr="00FC14A7">
        <w:rPr>
          <w:rFonts w:ascii="Calibri" w:hAnsi="Calibri" w:cs="Calibri"/>
          <w:sz w:val="24"/>
          <w:szCs w:val="24"/>
        </w:rPr>
        <w:t xml:space="preserve">Tyler, T.R. (2003). Procedural Justice, Legitimacy, and the Effective Rule of Law. </w:t>
      </w:r>
      <w:r w:rsidRPr="00FC14A7">
        <w:rPr>
          <w:rFonts w:ascii="Calibri" w:hAnsi="Calibri" w:cs="Calibri"/>
          <w:i/>
          <w:iCs/>
          <w:sz w:val="24"/>
          <w:szCs w:val="24"/>
        </w:rPr>
        <w:t>Crime and Justice</w:t>
      </w:r>
      <w:r w:rsidRPr="00FC14A7">
        <w:rPr>
          <w:rFonts w:ascii="Calibri" w:hAnsi="Calibri" w:cs="Calibri"/>
          <w:sz w:val="24"/>
          <w:szCs w:val="24"/>
        </w:rPr>
        <w:t xml:space="preserve">, 30(1), pp.283–357. </w:t>
      </w:r>
      <w:proofErr w:type="spellStart"/>
      <w:proofErr w:type="gramStart"/>
      <w:r w:rsidRPr="00FC14A7">
        <w:rPr>
          <w:rFonts w:ascii="Calibri" w:hAnsi="Calibri" w:cs="Calibri"/>
          <w:sz w:val="24"/>
          <w:szCs w:val="24"/>
        </w:rPr>
        <w:t>doi:https</w:t>
      </w:r>
      <w:proofErr w:type="spellEnd"/>
      <w:r w:rsidRPr="00FC14A7">
        <w:rPr>
          <w:rFonts w:ascii="Calibri" w:hAnsi="Calibri" w:cs="Calibri"/>
          <w:sz w:val="24"/>
          <w:szCs w:val="24"/>
        </w:rPr>
        <w:t>://doi.org/10.1086/652233</w:t>
      </w:r>
      <w:proofErr w:type="gramEnd"/>
      <w:r w:rsidRPr="00FC14A7">
        <w:rPr>
          <w:rFonts w:ascii="Calibri" w:hAnsi="Calibri" w:cs="Calibri"/>
          <w:sz w:val="24"/>
          <w:szCs w:val="24"/>
        </w:rPr>
        <w:t>.</w:t>
      </w:r>
    </w:p>
    <w:p w14:paraId="39070417"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Tyler, T.R. (2004). Enhancing Police Legitimacy. </w:t>
      </w:r>
      <w:r w:rsidRPr="00AC13D5">
        <w:rPr>
          <w:rFonts w:asciiTheme="minorHAnsi" w:eastAsia="Aptos" w:hAnsiTheme="minorHAnsi" w:cstheme="minorHAnsi"/>
          <w:i/>
          <w:iCs/>
          <w:color w:val="auto"/>
          <w:kern w:val="2"/>
          <w:sz w:val="24"/>
          <w:szCs w:val="24"/>
          <w:lang w:eastAsia="en-US"/>
          <w14:ligatures w14:val="standardContextual"/>
        </w:rPr>
        <w:t>The ANNALS of the American Academy of Political and Social Science</w:t>
      </w:r>
      <w:r w:rsidRPr="00AC13D5">
        <w:rPr>
          <w:rFonts w:asciiTheme="minorHAnsi" w:eastAsia="Aptos" w:hAnsiTheme="minorHAnsi" w:cstheme="minorHAnsi"/>
          <w:color w:val="auto"/>
          <w:kern w:val="2"/>
          <w:sz w:val="24"/>
          <w:szCs w:val="24"/>
          <w:lang w:eastAsia="en-US"/>
          <w14:ligatures w14:val="standardContextual"/>
        </w:rPr>
        <w:t xml:space="preserve">, [online] 593(1), pp.84–99.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://doi.org/10.1177/0002716203262627</w:t>
      </w:r>
      <w:proofErr w:type="gramEnd"/>
      <w:r w:rsidRPr="00AC13D5">
        <w:rPr>
          <w:rFonts w:asciiTheme="minorHAnsi" w:eastAsia="Aptos" w:hAnsiTheme="minorHAnsi" w:cstheme="minorHAnsi"/>
          <w:color w:val="auto"/>
          <w:kern w:val="2"/>
          <w:sz w:val="24"/>
          <w:szCs w:val="24"/>
          <w:lang w:eastAsia="en-US"/>
          <w14:ligatures w14:val="standardContextual"/>
        </w:rPr>
        <w:t>.</w:t>
      </w:r>
    </w:p>
    <w:p w14:paraId="5D34AEA9"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Tyler, T.R. (2006). </w:t>
      </w:r>
      <w:r w:rsidRPr="00AC13D5">
        <w:rPr>
          <w:rFonts w:asciiTheme="minorHAnsi" w:eastAsia="Aptos" w:hAnsiTheme="minorHAnsi" w:cstheme="minorHAnsi"/>
          <w:i/>
          <w:iCs/>
          <w:color w:val="auto"/>
          <w:kern w:val="2"/>
          <w:sz w:val="24"/>
          <w:szCs w:val="24"/>
          <w:lang w:eastAsia="en-US"/>
          <w14:ligatures w14:val="standardContextual"/>
        </w:rPr>
        <w:t>Why people obey the law</w:t>
      </w:r>
      <w:r w:rsidRPr="00AC13D5">
        <w:rPr>
          <w:rFonts w:asciiTheme="minorHAnsi" w:eastAsia="Aptos" w:hAnsiTheme="minorHAnsi" w:cstheme="minorHAnsi"/>
          <w:color w:val="auto"/>
          <w:kern w:val="2"/>
          <w:sz w:val="24"/>
          <w:szCs w:val="24"/>
          <w:lang w:eastAsia="en-US"/>
          <w14:ligatures w14:val="standardContextual"/>
        </w:rPr>
        <w:t xml:space="preserve">. </w:t>
      </w:r>
      <w:proofErr w:type="spellStart"/>
      <w:r w:rsidRPr="00AC13D5">
        <w:rPr>
          <w:rFonts w:asciiTheme="minorHAnsi" w:eastAsia="Aptos" w:hAnsiTheme="minorHAnsi" w:cstheme="minorHAnsi"/>
          <w:color w:val="auto"/>
          <w:kern w:val="2"/>
          <w:sz w:val="24"/>
          <w:szCs w:val="24"/>
          <w:lang w:eastAsia="en-US"/>
          <w14:ligatures w14:val="standardContextual"/>
        </w:rPr>
        <w:t>Princenton</w:t>
      </w:r>
      <w:proofErr w:type="spellEnd"/>
      <w:r w:rsidRPr="00AC13D5">
        <w:rPr>
          <w:rFonts w:asciiTheme="minorHAnsi" w:eastAsia="Aptos" w:hAnsiTheme="minorHAnsi" w:cstheme="minorHAnsi"/>
          <w:color w:val="auto"/>
          <w:kern w:val="2"/>
          <w:sz w:val="24"/>
          <w:szCs w:val="24"/>
          <w:lang w:eastAsia="en-US"/>
          <w14:ligatures w14:val="standardContextual"/>
        </w:rPr>
        <w:t xml:space="preserve"> New Jersey: Princeton University Press.</w:t>
      </w:r>
    </w:p>
    <w:p w14:paraId="491D6E19" w14:textId="77777777" w:rsidR="00BF5588" w:rsidRPr="00AC13D5" w:rsidRDefault="00BF5588" w:rsidP="00AC13D5">
      <w:pPr>
        <w:overflowPunct/>
        <w:autoSpaceDE/>
        <w:autoSpaceDN/>
        <w:adjustRightInd/>
        <w:spacing w:after="160" w:line="259" w:lineRule="auto"/>
        <w:textAlignment w:val="auto"/>
        <w:rPr>
          <w:rFonts w:asciiTheme="minorHAnsi" w:eastAsia="Aptos" w:hAnsiTheme="minorHAnsi" w:cstheme="minorHAnsi"/>
          <w:color w:val="auto"/>
          <w:kern w:val="2"/>
          <w:sz w:val="24"/>
          <w:szCs w:val="24"/>
          <w:lang w:eastAsia="en-US"/>
          <w14:ligatures w14:val="standardContextual"/>
        </w:rPr>
      </w:pPr>
      <w:r w:rsidRPr="00AC13D5">
        <w:rPr>
          <w:rFonts w:asciiTheme="minorHAnsi" w:eastAsia="Aptos" w:hAnsiTheme="minorHAnsi" w:cstheme="minorHAnsi"/>
          <w:color w:val="auto"/>
          <w:kern w:val="2"/>
          <w:sz w:val="24"/>
          <w:szCs w:val="24"/>
          <w:lang w:eastAsia="en-US"/>
          <w14:ligatures w14:val="standardContextual"/>
        </w:rPr>
        <w:t xml:space="preserve">Walsh, J.P. and O’Connor, C. (2018). </w:t>
      </w:r>
      <w:proofErr w:type="gramStart"/>
      <w:r w:rsidRPr="00AC13D5">
        <w:rPr>
          <w:rFonts w:asciiTheme="minorHAnsi" w:eastAsia="Aptos" w:hAnsiTheme="minorHAnsi" w:cstheme="minorHAnsi"/>
          <w:color w:val="auto"/>
          <w:kern w:val="2"/>
          <w:sz w:val="24"/>
          <w:szCs w:val="24"/>
          <w:lang w:eastAsia="en-US"/>
          <w14:ligatures w14:val="standardContextual"/>
        </w:rPr>
        <w:t>Social Media</w:t>
      </w:r>
      <w:proofErr w:type="gramEnd"/>
      <w:r w:rsidRPr="00AC13D5">
        <w:rPr>
          <w:rFonts w:asciiTheme="minorHAnsi" w:eastAsia="Aptos" w:hAnsiTheme="minorHAnsi" w:cstheme="minorHAnsi"/>
          <w:color w:val="auto"/>
          <w:kern w:val="2"/>
          <w:sz w:val="24"/>
          <w:szCs w:val="24"/>
          <w:lang w:eastAsia="en-US"/>
          <w14:ligatures w14:val="standardContextual"/>
        </w:rPr>
        <w:t xml:space="preserve"> and policing: a Review of Recent Research. </w:t>
      </w:r>
      <w:r w:rsidRPr="00AC13D5">
        <w:rPr>
          <w:rFonts w:asciiTheme="minorHAnsi" w:eastAsia="Aptos" w:hAnsiTheme="minorHAnsi" w:cstheme="minorHAnsi"/>
          <w:i/>
          <w:iCs/>
          <w:color w:val="auto"/>
          <w:kern w:val="2"/>
          <w:sz w:val="24"/>
          <w:szCs w:val="24"/>
          <w:lang w:eastAsia="en-US"/>
          <w14:ligatures w14:val="standardContextual"/>
        </w:rPr>
        <w:t>Sociology Compass</w:t>
      </w:r>
      <w:r w:rsidRPr="00AC13D5">
        <w:rPr>
          <w:rFonts w:asciiTheme="minorHAnsi" w:eastAsia="Aptos" w:hAnsiTheme="minorHAnsi" w:cstheme="minorHAnsi"/>
          <w:color w:val="auto"/>
          <w:kern w:val="2"/>
          <w:sz w:val="24"/>
          <w:szCs w:val="24"/>
          <w:lang w:eastAsia="en-US"/>
          <w14:ligatures w14:val="standardContextual"/>
        </w:rPr>
        <w:t xml:space="preserve">, [online] 13(1), pp.1–14. </w:t>
      </w:r>
      <w:proofErr w:type="spellStart"/>
      <w:proofErr w:type="gramStart"/>
      <w:r w:rsidRPr="00AC13D5">
        <w:rPr>
          <w:rFonts w:asciiTheme="minorHAnsi" w:eastAsia="Aptos" w:hAnsiTheme="minorHAnsi" w:cstheme="minorHAnsi"/>
          <w:color w:val="auto"/>
          <w:kern w:val="2"/>
          <w:sz w:val="24"/>
          <w:szCs w:val="24"/>
          <w:lang w:eastAsia="en-US"/>
          <w14:ligatures w14:val="standardContextual"/>
        </w:rPr>
        <w:t>doi:https</w:t>
      </w:r>
      <w:proofErr w:type="spellEnd"/>
      <w:r w:rsidRPr="00AC13D5">
        <w:rPr>
          <w:rFonts w:asciiTheme="minorHAnsi" w:eastAsia="Aptos" w:hAnsiTheme="minorHAnsi" w:cstheme="minorHAnsi"/>
          <w:color w:val="auto"/>
          <w:kern w:val="2"/>
          <w:sz w:val="24"/>
          <w:szCs w:val="24"/>
          <w:lang w:eastAsia="en-US"/>
          <w14:ligatures w14:val="standardContextual"/>
        </w:rPr>
        <w:t>://doi.org/10.1111/soc4.12648</w:t>
      </w:r>
      <w:proofErr w:type="gramEnd"/>
      <w:r w:rsidRPr="00AC13D5">
        <w:rPr>
          <w:rFonts w:asciiTheme="minorHAnsi" w:eastAsia="Aptos" w:hAnsiTheme="minorHAnsi" w:cstheme="minorHAnsi"/>
          <w:color w:val="auto"/>
          <w:kern w:val="2"/>
          <w:sz w:val="24"/>
          <w:szCs w:val="24"/>
          <w:lang w:eastAsia="en-US"/>
          <w14:ligatures w14:val="standardContextual"/>
        </w:rPr>
        <w:t>.</w:t>
      </w:r>
    </w:p>
    <w:p w14:paraId="091593B8" w14:textId="77777777" w:rsidR="00BF5588" w:rsidRPr="0099635E" w:rsidRDefault="00BF5588" w:rsidP="0099635E">
      <w:pPr>
        <w:rPr>
          <w:rFonts w:asciiTheme="minorHAnsi" w:hAnsiTheme="minorHAnsi" w:cstheme="minorHAnsi"/>
          <w:sz w:val="24"/>
          <w:szCs w:val="24"/>
        </w:rPr>
      </w:pPr>
      <w:r w:rsidRPr="0099635E">
        <w:rPr>
          <w:rFonts w:asciiTheme="minorHAnsi" w:hAnsiTheme="minorHAnsi" w:cstheme="minorHAnsi"/>
          <w:sz w:val="24"/>
          <w:szCs w:val="24"/>
        </w:rPr>
        <w:t xml:space="preserve">Wang, Q., Hou, H. and Li, Z. (2022). Participative leadership: a Literature Review and Prospects for Future Research. </w:t>
      </w:r>
      <w:r w:rsidRPr="0099635E">
        <w:rPr>
          <w:rFonts w:asciiTheme="minorHAnsi" w:hAnsiTheme="minorHAnsi" w:cstheme="minorHAnsi"/>
          <w:i/>
          <w:iCs/>
          <w:sz w:val="24"/>
          <w:szCs w:val="24"/>
        </w:rPr>
        <w:t>Frontiers in Psychology</w:t>
      </w:r>
      <w:r w:rsidRPr="0099635E">
        <w:rPr>
          <w:rFonts w:asciiTheme="minorHAnsi" w:hAnsiTheme="minorHAnsi" w:cstheme="minorHAnsi"/>
          <w:sz w:val="24"/>
          <w:szCs w:val="24"/>
        </w:rPr>
        <w:t xml:space="preserve">, [online] 13(1). </w:t>
      </w:r>
      <w:proofErr w:type="spellStart"/>
      <w:proofErr w:type="gramStart"/>
      <w:r w:rsidRPr="0099635E">
        <w:rPr>
          <w:rFonts w:asciiTheme="minorHAnsi" w:hAnsiTheme="minorHAnsi" w:cstheme="minorHAnsi"/>
          <w:sz w:val="24"/>
          <w:szCs w:val="24"/>
        </w:rPr>
        <w:t>doi:https</w:t>
      </w:r>
      <w:proofErr w:type="spellEnd"/>
      <w:r w:rsidRPr="0099635E">
        <w:rPr>
          <w:rFonts w:asciiTheme="minorHAnsi" w:hAnsiTheme="minorHAnsi" w:cstheme="minorHAnsi"/>
          <w:sz w:val="24"/>
          <w:szCs w:val="24"/>
        </w:rPr>
        <w:t>://doi.org/10.3389/fpsyg.2022.924357</w:t>
      </w:r>
      <w:proofErr w:type="gramEnd"/>
      <w:r w:rsidRPr="0099635E">
        <w:rPr>
          <w:rFonts w:asciiTheme="minorHAnsi" w:hAnsiTheme="minorHAnsi" w:cstheme="minorHAnsi"/>
          <w:sz w:val="24"/>
          <w:szCs w:val="24"/>
        </w:rPr>
        <w:t>.</w:t>
      </w:r>
    </w:p>
    <w:p w14:paraId="1BD0BD22" w14:textId="77777777" w:rsidR="00BF5588" w:rsidRDefault="00BF5588" w:rsidP="00517B18">
      <w:pPr>
        <w:rPr>
          <w:rFonts w:asciiTheme="minorHAnsi" w:hAnsiTheme="minorHAnsi" w:cstheme="minorHAnsi"/>
          <w:sz w:val="24"/>
          <w:szCs w:val="24"/>
        </w:rPr>
      </w:pPr>
      <w:proofErr w:type="spellStart"/>
      <w:r w:rsidRPr="00AC13D5">
        <w:rPr>
          <w:rFonts w:asciiTheme="minorHAnsi" w:hAnsiTheme="minorHAnsi" w:cstheme="minorHAnsi"/>
          <w:sz w:val="24"/>
          <w:szCs w:val="24"/>
        </w:rPr>
        <w:t>Westmarland</w:t>
      </w:r>
      <w:proofErr w:type="spellEnd"/>
      <w:r w:rsidRPr="00AC13D5">
        <w:rPr>
          <w:rFonts w:asciiTheme="minorHAnsi" w:hAnsiTheme="minorHAnsi" w:cstheme="minorHAnsi"/>
          <w:sz w:val="24"/>
          <w:szCs w:val="24"/>
        </w:rPr>
        <w:t xml:space="preserve">, L. and Conway, S. (2020). Police Ethics and Integrity: Keeping the ‘Blue Code’ of Silence. </w:t>
      </w:r>
      <w:r w:rsidRPr="00AC13D5">
        <w:rPr>
          <w:rFonts w:asciiTheme="minorHAnsi" w:hAnsiTheme="minorHAnsi" w:cstheme="minorHAnsi"/>
          <w:i/>
          <w:iCs/>
          <w:sz w:val="24"/>
          <w:szCs w:val="24"/>
        </w:rPr>
        <w:t>International Journal of Police Science &amp; Management</w:t>
      </w:r>
      <w:r w:rsidRPr="00AC13D5">
        <w:rPr>
          <w:rFonts w:asciiTheme="minorHAnsi" w:hAnsiTheme="minorHAnsi" w:cstheme="minorHAnsi"/>
          <w:sz w:val="24"/>
          <w:szCs w:val="24"/>
        </w:rPr>
        <w:t>, [online] 22(4), pp.378–392. Available at: https://journals.sagepub.com/doi/full/10.1177/1461355720947762 [Accessed 24 Sep. 2024].</w:t>
      </w:r>
    </w:p>
    <w:p w14:paraId="31F4792D" w14:textId="77777777" w:rsidR="00BF5588" w:rsidRPr="00C23FBE" w:rsidRDefault="00BF5588" w:rsidP="00BF5588">
      <w:pPr>
        <w:spacing w:after="160" w:line="259" w:lineRule="auto"/>
        <w:rPr>
          <w:rFonts w:ascii="Calibri" w:hAnsi="Calibri" w:cs="Calibri"/>
          <w:sz w:val="24"/>
          <w:szCs w:val="24"/>
        </w:rPr>
      </w:pPr>
      <w:r w:rsidRPr="00C23FBE">
        <w:rPr>
          <w:rFonts w:ascii="Calibri" w:hAnsi="Calibri" w:cs="Calibri"/>
          <w:sz w:val="24"/>
          <w:szCs w:val="24"/>
        </w:rPr>
        <w:t xml:space="preserve">Whitmore, J. (2017). </w:t>
      </w:r>
      <w:r w:rsidRPr="00C23FBE">
        <w:rPr>
          <w:rFonts w:ascii="Calibri" w:hAnsi="Calibri" w:cs="Calibri"/>
          <w:i/>
          <w:iCs/>
          <w:sz w:val="24"/>
          <w:szCs w:val="24"/>
        </w:rPr>
        <w:t>Coaching for performance: the Principles and Practice of Coaching and Leadership</w:t>
      </w:r>
      <w:r w:rsidRPr="00C23FBE">
        <w:rPr>
          <w:rFonts w:ascii="Calibri" w:hAnsi="Calibri" w:cs="Calibri"/>
          <w:sz w:val="24"/>
          <w:szCs w:val="24"/>
        </w:rPr>
        <w:t>. 5th ed. London: Nicholas Brealey.</w:t>
      </w:r>
    </w:p>
    <w:p w14:paraId="74A9C596" w14:textId="77777777" w:rsidR="00BF5588" w:rsidRDefault="00BF5588" w:rsidP="00517B18">
      <w:pPr>
        <w:rPr>
          <w:rFonts w:asciiTheme="minorHAnsi" w:hAnsiTheme="minorHAnsi" w:cstheme="minorHAnsi"/>
          <w:sz w:val="24"/>
          <w:szCs w:val="24"/>
        </w:rPr>
      </w:pPr>
    </w:p>
    <w:p w14:paraId="05994604" w14:textId="77777777" w:rsidR="0099635E" w:rsidRDefault="0099635E" w:rsidP="00517B18">
      <w:pPr>
        <w:rPr>
          <w:rFonts w:asciiTheme="minorHAnsi" w:hAnsiTheme="minorHAnsi" w:cstheme="minorHAnsi"/>
          <w:sz w:val="24"/>
          <w:szCs w:val="24"/>
        </w:rPr>
      </w:pPr>
    </w:p>
    <w:p w14:paraId="305319A2" w14:textId="77777777" w:rsidR="0099635E" w:rsidRDefault="0099635E" w:rsidP="00517B18">
      <w:pPr>
        <w:rPr>
          <w:rFonts w:asciiTheme="minorHAnsi" w:hAnsiTheme="minorHAnsi" w:cstheme="minorHAnsi"/>
          <w:sz w:val="24"/>
          <w:szCs w:val="24"/>
        </w:rPr>
      </w:pPr>
    </w:p>
    <w:p w14:paraId="6754CFCE" w14:textId="77777777" w:rsidR="0099635E" w:rsidRDefault="0099635E" w:rsidP="00517B18">
      <w:pPr>
        <w:rPr>
          <w:rFonts w:asciiTheme="minorHAnsi" w:hAnsiTheme="minorHAnsi" w:cstheme="minorHAnsi"/>
          <w:sz w:val="24"/>
          <w:szCs w:val="24"/>
        </w:rPr>
      </w:pPr>
    </w:p>
    <w:p w14:paraId="29DB79D4" w14:textId="77777777" w:rsidR="0099635E" w:rsidRDefault="0099635E" w:rsidP="00517B18">
      <w:pPr>
        <w:rPr>
          <w:rFonts w:asciiTheme="minorHAnsi" w:hAnsiTheme="minorHAnsi" w:cstheme="minorHAnsi"/>
          <w:sz w:val="24"/>
          <w:szCs w:val="24"/>
        </w:rPr>
      </w:pPr>
    </w:p>
    <w:p w14:paraId="42B275F1" w14:textId="77777777" w:rsidR="0099635E" w:rsidRDefault="0099635E" w:rsidP="00517B18">
      <w:pPr>
        <w:rPr>
          <w:rFonts w:asciiTheme="minorHAnsi" w:hAnsiTheme="minorHAnsi" w:cstheme="minorHAnsi"/>
          <w:sz w:val="24"/>
          <w:szCs w:val="24"/>
        </w:rPr>
      </w:pPr>
    </w:p>
    <w:p w14:paraId="2BC35258" w14:textId="77777777" w:rsidR="0099635E" w:rsidRDefault="0099635E" w:rsidP="00517B18">
      <w:pPr>
        <w:rPr>
          <w:rFonts w:asciiTheme="minorHAnsi" w:hAnsiTheme="minorHAnsi" w:cstheme="minorHAnsi"/>
          <w:sz w:val="24"/>
          <w:szCs w:val="24"/>
        </w:rPr>
      </w:pPr>
    </w:p>
    <w:p w14:paraId="0CE85461" w14:textId="77777777" w:rsidR="0099635E" w:rsidRDefault="0099635E" w:rsidP="00517B18">
      <w:pPr>
        <w:rPr>
          <w:rFonts w:asciiTheme="minorHAnsi" w:hAnsiTheme="minorHAnsi" w:cstheme="minorHAnsi"/>
          <w:sz w:val="24"/>
          <w:szCs w:val="24"/>
        </w:rPr>
      </w:pPr>
    </w:p>
    <w:p w14:paraId="518B935C" w14:textId="77777777" w:rsidR="0099635E" w:rsidRDefault="0099635E" w:rsidP="00517B18">
      <w:pPr>
        <w:rPr>
          <w:rFonts w:asciiTheme="minorHAnsi" w:hAnsiTheme="minorHAnsi" w:cstheme="minorHAnsi"/>
          <w:sz w:val="24"/>
          <w:szCs w:val="24"/>
        </w:rPr>
      </w:pPr>
    </w:p>
    <w:p w14:paraId="2A8E95EC" w14:textId="77777777" w:rsidR="0099635E" w:rsidRDefault="0099635E" w:rsidP="00517B18">
      <w:pPr>
        <w:rPr>
          <w:rFonts w:asciiTheme="minorHAnsi" w:hAnsiTheme="minorHAnsi" w:cstheme="minorHAnsi"/>
          <w:sz w:val="24"/>
          <w:szCs w:val="24"/>
        </w:rPr>
      </w:pPr>
    </w:p>
    <w:p w14:paraId="7AF8E5C3" w14:textId="77777777" w:rsidR="0099635E" w:rsidRDefault="0099635E" w:rsidP="00517B18">
      <w:pPr>
        <w:rPr>
          <w:rFonts w:asciiTheme="minorHAnsi" w:hAnsiTheme="minorHAnsi" w:cstheme="minorHAnsi"/>
          <w:sz w:val="24"/>
          <w:szCs w:val="24"/>
        </w:rPr>
      </w:pPr>
    </w:p>
    <w:p w14:paraId="685AAE1A" w14:textId="77777777" w:rsidR="0099635E" w:rsidRDefault="0099635E" w:rsidP="00517B18">
      <w:pPr>
        <w:rPr>
          <w:rFonts w:asciiTheme="minorHAnsi" w:hAnsiTheme="minorHAnsi" w:cstheme="minorHAnsi"/>
          <w:sz w:val="24"/>
          <w:szCs w:val="24"/>
        </w:rPr>
      </w:pPr>
    </w:p>
    <w:p w14:paraId="231281F5" w14:textId="77777777" w:rsidR="0099635E" w:rsidRDefault="0099635E" w:rsidP="00517B18">
      <w:pPr>
        <w:rPr>
          <w:rFonts w:asciiTheme="minorHAnsi" w:hAnsiTheme="minorHAnsi" w:cstheme="minorHAnsi"/>
          <w:sz w:val="24"/>
          <w:szCs w:val="24"/>
        </w:rPr>
      </w:pPr>
    </w:p>
    <w:p w14:paraId="45C67202" w14:textId="77777777" w:rsidR="0099635E" w:rsidRDefault="0099635E" w:rsidP="00517B18">
      <w:pPr>
        <w:rPr>
          <w:rFonts w:asciiTheme="minorHAnsi" w:hAnsiTheme="minorHAnsi" w:cstheme="minorHAnsi"/>
          <w:sz w:val="24"/>
          <w:szCs w:val="24"/>
        </w:rPr>
      </w:pPr>
    </w:p>
    <w:p w14:paraId="3B2520BF" w14:textId="77777777" w:rsidR="0099635E" w:rsidRDefault="0099635E" w:rsidP="00517B18">
      <w:pPr>
        <w:rPr>
          <w:rFonts w:asciiTheme="minorHAnsi" w:hAnsiTheme="minorHAnsi" w:cstheme="minorHAnsi"/>
          <w:sz w:val="24"/>
          <w:szCs w:val="24"/>
        </w:rPr>
      </w:pPr>
    </w:p>
    <w:p w14:paraId="57D1AF89" w14:textId="77777777" w:rsidR="0099635E" w:rsidRDefault="0099635E" w:rsidP="00517B18">
      <w:pPr>
        <w:rPr>
          <w:rFonts w:asciiTheme="minorHAnsi" w:hAnsiTheme="minorHAnsi" w:cstheme="minorHAnsi"/>
          <w:sz w:val="24"/>
          <w:szCs w:val="24"/>
        </w:rPr>
      </w:pPr>
    </w:p>
    <w:p w14:paraId="41D5646D" w14:textId="77777777" w:rsidR="0099635E" w:rsidRDefault="0099635E" w:rsidP="00517B18">
      <w:pPr>
        <w:rPr>
          <w:rFonts w:asciiTheme="minorHAnsi" w:hAnsiTheme="minorHAnsi" w:cstheme="minorHAnsi"/>
          <w:sz w:val="24"/>
          <w:szCs w:val="24"/>
        </w:rPr>
      </w:pPr>
    </w:p>
    <w:p w14:paraId="1E53D0EB" w14:textId="77777777" w:rsidR="0099635E" w:rsidRDefault="0099635E" w:rsidP="00517B18">
      <w:pPr>
        <w:rPr>
          <w:rFonts w:asciiTheme="minorHAnsi" w:hAnsiTheme="minorHAnsi" w:cstheme="minorHAnsi"/>
          <w:sz w:val="24"/>
          <w:szCs w:val="24"/>
        </w:rPr>
      </w:pPr>
    </w:p>
    <w:p w14:paraId="79D4DB4F" w14:textId="77777777" w:rsidR="0099635E" w:rsidRDefault="0099635E" w:rsidP="00517B18">
      <w:pPr>
        <w:rPr>
          <w:rFonts w:asciiTheme="minorHAnsi" w:hAnsiTheme="minorHAnsi" w:cstheme="minorHAnsi"/>
          <w:sz w:val="24"/>
          <w:szCs w:val="24"/>
        </w:rPr>
      </w:pPr>
    </w:p>
    <w:p w14:paraId="55F61E98" w14:textId="77777777" w:rsidR="0099635E" w:rsidRDefault="0099635E" w:rsidP="00517B18">
      <w:pPr>
        <w:rPr>
          <w:rFonts w:asciiTheme="minorHAnsi" w:hAnsiTheme="minorHAnsi" w:cstheme="minorHAnsi"/>
          <w:sz w:val="24"/>
          <w:szCs w:val="24"/>
        </w:rPr>
      </w:pPr>
    </w:p>
    <w:p w14:paraId="57E4FE1E" w14:textId="77777777" w:rsidR="0099635E" w:rsidRDefault="0099635E" w:rsidP="00517B18">
      <w:pPr>
        <w:rPr>
          <w:rFonts w:asciiTheme="minorHAnsi" w:hAnsiTheme="minorHAnsi" w:cstheme="minorHAnsi"/>
          <w:sz w:val="24"/>
          <w:szCs w:val="24"/>
        </w:rPr>
      </w:pPr>
    </w:p>
    <w:p w14:paraId="183945F0" w14:textId="77777777" w:rsidR="0099635E" w:rsidRDefault="0099635E" w:rsidP="00517B18">
      <w:pPr>
        <w:rPr>
          <w:rFonts w:asciiTheme="minorHAnsi" w:hAnsiTheme="minorHAnsi" w:cstheme="minorHAnsi"/>
          <w:sz w:val="24"/>
          <w:szCs w:val="24"/>
        </w:rPr>
      </w:pPr>
    </w:p>
    <w:p w14:paraId="7EE6A42F" w14:textId="77777777" w:rsidR="0099635E" w:rsidRDefault="0099635E" w:rsidP="00517B18">
      <w:pPr>
        <w:rPr>
          <w:rFonts w:asciiTheme="minorHAnsi" w:hAnsiTheme="minorHAnsi" w:cstheme="minorHAnsi"/>
          <w:sz w:val="24"/>
          <w:szCs w:val="24"/>
        </w:rPr>
      </w:pPr>
    </w:p>
    <w:p w14:paraId="2E5D98DF" w14:textId="77777777" w:rsidR="0099635E" w:rsidRDefault="0099635E" w:rsidP="00517B18">
      <w:pPr>
        <w:rPr>
          <w:rFonts w:asciiTheme="minorHAnsi" w:hAnsiTheme="minorHAnsi" w:cstheme="minorHAnsi"/>
          <w:sz w:val="24"/>
          <w:szCs w:val="24"/>
        </w:rPr>
      </w:pPr>
    </w:p>
    <w:p w14:paraId="41F0C70F" w14:textId="77777777" w:rsidR="0099635E" w:rsidRDefault="0099635E" w:rsidP="00517B18">
      <w:pPr>
        <w:rPr>
          <w:rFonts w:asciiTheme="minorHAnsi" w:hAnsiTheme="minorHAnsi" w:cstheme="minorHAnsi"/>
          <w:sz w:val="24"/>
          <w:szCs w:val="24"/>
        </w:rPr>
      </w:pPr>
    </w:p>
    <w:p w14:paraId="2C4A5EB3" w14:textId="77777777" w:rsidR="0099635E" w:rsidRDefault="0099635E" w:rsidP="00517B18">
      <w:pPr>
        <w:rPr>
          <w:rFonts w:asciiTheme="minorHAnsi" w:hAnsiTheme="minorHAnsi" w:cstheme="minorHAnsi"/>
          <w:sz w:val="24"/>
          <w:szCs w:val="24"/>
        </w:rPr>
      </w:pPr>
    </w:p>
    <w:p w14:paraId="28294B84" w14:textId="77777777" w:rsidR="0099635E" w:rsidRDefault="0099635E" w:rsidP="00517B18">
      <w:pPr>
        <w:rPr>
          <w:rFonts w:asciiTheme="minorHAnsi" w:hAnsiTheme="minorHAnsi" w:cstheme="minorHAnsi"/>
          <w:sz w:val="24"/>
          <w:szCs w:val="24"/>
        </w:rPr>
      </w:pPr>
    </w:p>
    <w:p w14:paraId="46F32636" w14:textId="77777777" w:rsidR="0099635E" w:rsidRDefault="0099635E" w:rsidP="00517B18">
      <w:pPr>
        <w:rPr>
          <w:rFonts w:asciiTheme="minorHAnsi" w:hAnsiTheme="minorHAnsi" w:cstheme="minorHAnsi"/>
          <w:sz w:val="24"/>
          <w:szCs w:val="24"/>
        </w:rPr>
      </w:pPr>
    </w:p>
    <w:p w14:paraId="2125E9C7" w14:textId="77777777" w:rsidR="0099635E" w:rsidRPr="00AC13D5" w:rsidRDefault="0099635E" w:rsidP="00517B18">
      <w:pPr>
        <w:rPr>
          <w:rFonts w:asciiTheme="minorHAnsi" w:hAnsiTheme="minorHAnsi" w:cstheme="minorHAnsi"/>
          <w:sz w:val="24"/>
          <w:szCs w:val="24"/>
        </w:rPr>
      </w:pPr>
    </w:p>
    <w:p w14:paraId="544FDB7B" w14:textId="77777777" w:rsidR="0099635E" w:rsidRPr="00E42B64" w:rsidRDefault="0099635E" w:rsidP="0099635E"/>
    <w:p w14:paraId="7322061F" w14:textId="77777777" w:rsidR="0099635E" w:rsidRDefault="0099635E" w:rsidP="00517B18">
      <w:pPr>
        <w:keepNext/>
        <w:ind w:right="237"/>
        <w:rPr>
          <w:rFonts w:asciiTheme="minorHAnsi" w:hAnsiTheme="minorHAnsi" w:cstheme="minorHAnsi"/>
          <w:b/>
          <w:sz w:val="24"/>
          <w:szCs w:val="24"/>
        </w:rPr>
      </w:pPr>
    </w:p>
    <w:p w14:paraId="6FDA82CC" w14:textId="77777777" w:rsidR="0099635E" w:rsidRPr="00AC13D5" w:rsidRDefault="0099635E" w:rsidP="00517B18">
      <w:pPr>
        <w:keepNext/>
        <w:ind w:right="237"/>
        <w:rPr>
          <w:rFonts w:asciiTheme="minorHAnsi" w:hAnsiTheme="minorHAnsi" w:cstheme="minorHAnsi"/>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6C5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0057"/>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513D"/>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47BF"/>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206"/>
    <w:rsid w:val="0050167A"/>
    <w:rsid w:val="005042F1"/>
    <w:rsid w:val="00513C7D"/>
    <w:rsid w:val="005169D1"/>
    <w:rsid w:val="00517B18"/>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C78B3"/>
    <w:rsid w:val="007D0A07"/>
    <w:rsid w:val="007D0C96"/>
    <w:rsid w:val="007D133D"/>
    <w:rsid w:val="007D3EB4"/>
    <w:rsid w:val="007D3F16"/>
    <w:rsid w:val="007D78CC"/>
    <w:rsid w:val="007E2846"/>
    <w:rsid w:val="007E4FC2"/>
    <w:rsid w:val="007F3F7E"/>
    <w:rsid w:val="007F52E2"/>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73021"/>
    <w:rsid w:val="00991FDA"/>
    <w:rsid w:val="009927A1"/>
    <w:rsid w:val="0099635E"/>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38BD"/>
    <w:rsid w:val="00A7489E"/>
    <w:rsid w:val="00A8015F"/>
    <w:rsid w:val="00A80BD2"/>
    <w:rsid w:val="00A85039"/>
    <w:rsid w:val="00A851F7"/>
    <w:rsid w:val="00A906AA"/>
    <w:rsid w:val="00A94C5E"/>
    <w:rsid w:val="00AA241A"/>
    <w:rsid w:val="00AA252C"/>
    <w:rsid w:val="00AA666E"/>
    <w:rsid w:val="00AB5518"/>
    <w:rsid w:val="00AC01D4"/>
    <w:rsid w:val="00AC13D5"/>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588"/>
    <w:rsid w:val="00C01D14"/>
    <w:rsid w:val="00C025B4"/>
    <w:rsid w:val="00C11F61"/>
    <w:rsid w:val="00C161FD"/>
    <w:rsid w:val="00C21487"/>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A6E66"/>
    <w:rsid w:val="00DB2767"/>
    <w:rsid w:val="00DC4729"/>
    <w:rsid w:val="00DE556F"/>
    <w:rsid w:val="00DF4CF5"/>
    <w:rsid w:val="00E03B6D"/>
    <w:rsid w:val="00E1218C"/>
    <w:rsid w:val="00E17160"/>
    <w:rsid w:val="00E27E98"/>
    <w:rsid w:val="00E35BEC"/>
    <w:rsid w:val="00E50821"/>
    <w:rsid w:val="00E50EF8"/>
    <w:rsid w:val="00E51F91"/>
    <w:rsid w:val="00E53FBD"/>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373E1"/>
    <w:rsid w:val="00F4043E"/>
    <w:rsid w:val="00F40CB5"/>
    <w:rsid w:val="00F41BBC"/>
    <w:rsid w:val="00F43B9D"/>
    <w:rsid w:val="00F444F0"/>
    <w:rsid w:val="00F50590"/>
    <w:rsid w:val="00F50847"/>
    <w:rsid w:val="00F508FF"/>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AC13D5"/>
    <w:pPr>
      <w:overflowPunct/>
      <w:autoSpaceDE/>
      <w:autoSpaceDN/>
      <w:adjustRightInd/>
      <w:spacing w:before="100" w:beforeAutospacing="1" w:after="100" w:afterAutospacing="1"/>
      <w:textAlignment w:val="auto"/>
    </w:pPr>
    <w:rPr>
      <w:rFonts w:ascii="Aptos" w:eastAsia="Aptos" w:hAnsi="Aptos" w:cs="Aptos"/>
      <w:color w:val="auto"/>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31</Pages>
  <Words>10420</Words>
  <Characters>66948</Characters>
  <Application>Microsoft Office Word</Application>
  <DocSecurity>0</DocSecurity>
  <Lines>557</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Demery,Alicia swp8328</cp:lastModifiedBy>
  <cp:revision>12</cp:revision>
  <cp:lastPrinted>2014-08-26T08:55:00Z</cp:lastPrinted>
  <dcterms:created xsi:type="dcterms:W3CDTF">2023-10-03T13:52:00Z</dcterms:created>
  <dcterms:modified xsi:type="dcterms:W3CDTF">2025-02-09T19:04:00Z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2024-11-07T16:42:37Z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7304a455-d68c-4223-8e3f-4b39ff412ea1</vt:lpwstr>
  </property>
  <property fmtid="{D5CDD505-2E9C-101B-9397-08002B2CF9AE}" pid="9" name="MSIP_Label_66cf8fe5-b7b7-4df7-b38d-1c61ac2f6639_ContentBits">
    <vt:lpwstr>0</vt:lpwstr>
  </property>
</Properties>
</file>