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03AE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2DD8F14" wp14:editId="48C6CF8D">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4ABEC73"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0DD4CDC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2DD8F14"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4ABEC73"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0DD4CDC2"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E153389" wp14:editId="5E66C40B">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9B9006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951729D"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E153389"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19B9006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951729D"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151A8D0"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277BB975" wp14:editId="508680B7">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43CF1F57" w14:textId="77777777" w:rsidR="00530E16" w:rsidRDefault="004468F8">
                            <w:pPr>
                              <w:spacing w:after="0" w:line="240" w:lineRule="auto"/>
                              <w:textDirection w:val="btLr"/>
                            </w:pPr>
                            <w:r>
                              <w:rPr>
                                <w:rFonts w:ascii="Play" w:eastAsia="Play" w:hAnsi="Play" w:cs="Play"/>
                                <w:color w:val="262626"/>
                                <w:sz w:val="72"/>
                              </w:rPr>
                              <w:t>Individual Report</w:t>
                            </w:r>
                          </w:p>
                          <w:p w14:paraId="5FBC0F6B" w14:textId="2258A0B5" w:rsidR="003F2913" w:rsidRPr="003F2913" w:rsidRDefault="003F2913" w:rsidP="003F2913">
                            <w:pPr>
                              <w:spacing w:before="120" w:line="277" w:lineRule="auto"/>
                              <w:textDirection w:val="btLr"/>
                              <w:rPr>
                                <w:color w:val="404040"/>
                                <w:sz w:val="36"/>
                              </w:rPr>
                            </w:pPr>
                            <w:r w:rsidRPr="003F2913">
                              <w:rPr>
                                <w:color w:val="404040"/>
                                <w:sz w:val="36"/>
                              </w:rPr>
                              <w:t>Academic and Employability skills</w:t>
                            </w:r>
                            <w:r w:rsidRPr="003F2913">
                              <w:t xml:space="preserve"> </w:t>
                            </w:r>
                          </w:p>
                          <w:p w14:paraId="08CDFF20" w14:textId="0E49FA2B" w:rsidR="003F2913" w:rsidRDefault="003F2913" w:rsidP="003F2913">
                            <w:pPr>
                              <w:spacing w:before="120" w:line="277" w:lineRule="auto"/>
                              <w:textDirection w:val="btLr"/>
                              <w:rPr>
                                <w:color w:val="404040"/>
                                <w:sz w:val="36"/>
                              </w:rPr>
                            </w:pPr>
                            <w:r w:rsidRPr="003F2913">
                              <w:rPr>
                                <w:color w:val="404040"/>
                                <w:sz w:val="36"/>
                              </w:rPr>
                              <w:t>LCHS4001</w:t>
                            </w:r>
                          </w:p>
                          <w:p w14:paraId="49D2EAC8" w14:textId="4E6CF004" w:rsidR="003F2913" w:rsidRDefault="00C307A9" w:rsidP="003F2913">
                            <w:pPr>
                              <w:spacing w:before="120" w:line="277" w:lineRule="auto"/>
                              <w:textDirection w:val="btLr"/>
                              <w:rPr>
                                <w:color w:val="404040"/>
                                <w:sz w:val="36"/>
                              </w:rPr>
                            </w:pPr>
                            <w:r w:rsidRPr="00C307A9">
                              <w:rPr>
                                <w:color w:val="404040"/>
                                <w:sz w:val="36"/>
                              </w:rPr>
                              <w:t>Report: The Role of a Social Worker in Health and Social Care</w:t>
                            </w:r>
                          </w:p>
                          <w:p w14:paraId="270BED5B" w14:textId="40EFEE51" w:rsidR="00530E16" w:rsidRDefault="004468F8" w:rsidP="003F2913">
                            <w:pPr>
                              <w:spacing w:before="120" w:line="277" w:lineRule="auto"/>
                              <w:textDirection w:val="btLr"/>
                            </w:pPr>
                            <w:r>
                              <w:rPr>
                                <w:color w:val="404040"/>
                                <w:sz w:val="36"/>
                              </w:rPr>
                              <w:t>Student name:</w:t>
                            </w:r>
                            <w:r w:rsidR="0077770B">
                              <w:rPr>
                                <w:color w:val="404040"/>
                                <w:sz w:val="36"/>
                              </w:rPr>
                              <w:t xml:space="preserve"> Iancu Martin Andrei </w:t>
                            </w:r>
                          </w:p>
                          <w:p w14:paraId="0F9D7528" w14:textId="46B6EF5C" w:rsidR="00530E16" w:rsidRDefault="004468F8">
                            <w:pPr>
                              <w:spacing w:before="120" w:line="277" w:lineRule="auto"/>
                              <w:textDirection w:val="btLr"/>
                            </w:pPr>
                            <w:r>
                              <w:rPr>
                                <w:color w:val="404040"/>
                                <w:sz w:val="36"/>
                              </w:rPr>
                              <w:t>Student ID:</w:t>
                            </w:r>
                            <w:r w:rsidR="0077770B">
                              <w:rPr>
                                <w:color w:val="404040"/>
                                <w:sz w:val="36"/>
                              </w:rPr>
                              <w:t xml:space="preserve"> 2530102</w:t>
                            </w:r>
                          </w:p>
                          <w:p w14:paraId="26A442BE" w14:textId="77777777" w:rsidR="00530E16" w:rsidRDefault="004468F8">
                            <w:pPr>
                              <w:spacing w:before="120" w:line="277" w:lineRule="auto"/>
                              <w:textDirection w:val="btLr"/>
                            </w:pPr>
                            <w:r>
                              <w:rPr>
                                <w:color w:val="404040"/>
                                <w:sz w:val="36"/>
                              </w:rPr>
                              <w:t xml:space="preserve">Lecturer’s Name: </w:t>
                            </w:r>
                          </w:p>
                        </w:txbxContent>
                      </wps:txbx>
                      <wps:bodyPr spcFirstLastPara="1" wrap="square" lIns="0" tIns="0" rIns="0" bIns="0" anchor="t" anchorCtr="0">
                        <a:noAutofit/>
                      </wps:bodyPr>
                    </wps:wsp>
                  </a:graphicData>
                </a:graphic>
              </wp:anchor>
            </w:drawing>
          </mc:Choice>
          <mc:Fallback>
            <w:pict>
              <v:rect w14:anchorId="277BB975"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43CF1F57" w14:textId="77777777" w:rsidR="00530E16" w:rsidRDefault="004468F8">
                      <w:pPr>
                        <w:spacing w:after="0" w:line="240" w:lineRule="auto"/>
                        <w:textDirection w:val="btLr"/>
                      </w:pPr>
                      <w:r>
                        <w:rPr>
                          <w:rFonts w:ascii="Play" w:eastAsia="Play" w:hAnsi="Play" w:cs="Play"/>
                          <w:color w:val="262626"/>
                          <w:sz w:val="72"/>
                        </w:rPr>
                        <w:t>Individual Report</w:t>
                      </w:r>
                    </w:p>
                    <w:p w14:paraId="5FBC0F6B" w14:textId="2258A0B5" w:rsidR="003F2913" w:rsidRPr="003F2913" w:rsidRDefault="003F2913" w:rsidP="003F2913">
                      <w:pPr>
                        <w:spacing w:before="120" w:line="277" w:lineRule="auto"/>
                        <w:textDirection w:val="btLr"/>
                        <w:rPr>
                          <w:color w:val="404040"/>
                          <w:sz w:val="36"/>
                        </w:rPr>
                      </w:pPr>
                      <w:r w:rsidRPr="003F2913">
                        <w:rPr>
                          <w:color w:val="404040"/>
                          <w:sz w:val="36"/>
                        </w:rPr>
                        <w:t>Academic and Employability skills</w:t>
                      </w:r>
                      <w:r w:rsidRPr="003F2913">
                        <w:t xml:space="preserve"> </w:t>
                      </w:r>
                    </w:p>
                    <w:p w14:paraId="08CDFF20" w14:textId="0E49FA2B" w:rsidR="003F2913" w:rsidRDefault="003F2913" w:rsidP="003F2913">
                      <w:pPr>
                        <w:spacing w:before="120" w:line="277" w:lineRule="auto"/>
                        <w:textDirection w:val="btLr"/>
                        <w:rPr>
                          <w:color w:val="404040"/>
                          <w:sz w:val="36"/>
                        </w:rPr>
                      </w:pPr>
                      <w:r w:rsidRPr="003F2913">
                        <w:rPr>
                          <w:color w:val="404040"/>
                          <w:sz w:val="36"/>
                        </w:rPr>
                        <w:t>LCHS4001</w:t>
                      </w:r>
                    </w:p>
                    <w:p w14:paraId="49D2EAC8" w14:textId="4E6CF004" w:rsidR="003F2913" w:rsidRDefault="00C307A9" w:rsidP="003F2913">
                      <w:pPr>
                        <w:spacing w:before="120" w:line="277" w:lineRule="auto"/>
                        <w:textDirection w:val="btLr"/>
                        <w:rPr>
                          <w:color w:val="404040"/>
                          <w:sz w:val="36"/>
                        </w:rPr>
                      </w:pPr>
                      <w:r w:rsidRPr="00C307A9">
                        <w:rPr>
                          <w:color w:val="404040"/>
                          <w:sz w:val="36"/>
                        </w:rPr>
                        <w:t>Report: The Role of a Social Worker in Health and Social Care</w:t>
                      </w:r>
                    </w:p>
                    <w:p w14:paraId="270BED5B" w14:textId="40EFEE51" w:rsidR="00530E16" w:rsidRDefault="004468F8" w:rsidP="003F2913">
                      <w:pPr>
                        <w:spacing w:before="120" w:line="277" w:lineRule="auto"/>
                        <w:textDirection w:val="btLr"/>
                      </w:pPr>
                      <w:r>
                        <w:rPr>
                          <w:color w:val="404040"/>
                          <w:sz w:val="36"/>
                        </w:rPr>
                        <w:t>Student name:</w:t>
                      </w:r>
                      <w:r w:rsidR="0077770B">
                        <w:rPr>
                          <w:color w:val="404040"/>
                          <w:sz w:val="36"/>
                        </w:rPr>
                        <w:t xml:space="preserve"> Iancu Martin Andrei </w:t>
                      </w:r>
                    </w:p>
                    <w:p w14:paraId="0F9D7528" w14:textId="46B6EF5C" w:rsidR="00530E16" w:rsidRDefault="004468F8">
                      <w:pPr>
                        <w:spacing w:before="120" w:line="277" w:lineRule="auto"/>
                        <w:textDirection w:val="btLr"/>
                      </w:pPr>
                      <w:r>
                        <w:rPr>
                          <w:color w:val="404040"/>
                          <w:sz w:val="36"/>
                        </w:rPr>
                        <w:t>Student ID:</w:t>
                      </w:r>
                      <w:r w:rsidR="0077770B">
                        <w:rPr>
                          <w:color w:val="404040"/>
                          <w:sz w:val="36"/>
                        </w:rPr>
                        <w:t xml:space="preserve"> 2530102</w:t>
                      </w:r>
                    </w:p>
                    <w:p w14:paraId="26A442BE" w14:textId="77777777" w:rsidR="00530E16" w:rsidRDefault="004468F8">
                      <w:pPr>
                        <w:spacing w:before="120" w:line="277" w:lineRule="auto"/>
                        <w:textDirection w:val="btLr"/>
                      </w:pPr>
                      <w:r>
                        <w:rPr>
                          <w:color w:val="404040"/>
                          <w:sz w:val="36"/>
                        </w:rPr>
                        <w:t xml:space="preserve">Lecturer’s Name: </w:t>
                      </w:r>
                    </w:p>
                  </w:txbxContent>
                </v:textbox>
                <w10:wrap anchorx="page" anchory="page"/>
              </v:rect>
            </w:pict>
          </mc:Fallback>
        </mc:AlternateContent>
      </w:r>
      <w:r>
        <w:br w:type="page"/>
      </w:r>
    </w:p>
    <w:p w14:paraId="34C5D9B4" w14:textId="77777777" w:rsidR="00530E16" w:rsidRDefault="00530E16">
      <w:pPr>
        <w:rPr>
          <w:rFonts w:ascii="Arial" w:eastAsia="Arial" w:hAnsi="Arial" w:cs="Arial"/>
        </w:rPr>
      </w:pPr>
    </w:p>
    <w:p w14:paraId="253D9354"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534683AB" w14:textId="2BB717C5" w:rsidR="00C307A9"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27924644" w:history="1">
            <w:r w:rsidR="00C307A9" w:rsidRPr="00DE1485">
              <w:rPr>
                <w:rStyle w:val="Hyperlink"/>
                <w:rFonts w:eastAsia="Arial"/>
                <w:noProof/>
              </w:rPr>
              <w:t>Introduction</w:t>
            </w:r>
            <w:r w:rsidR="00C307A9">
              <w:rPr>
                <w:noProof/>
                <w:webHidden/>
              </w:rPr>
              <w:tab/>
            </w:r>
            <w:r w:rsidR="00C307A9">
              <w:rPr>
                <w:noProof/>
                <w:webHidden/>
              </w:rPr>
              <w:fldChar w:fldCharType="begin"/>
            </w:r>
            <w:r w:rsidR="00C307A9">
              <w:rPr>
                <w:noProof/>
                <w:webHidden/>
              </w:rPr>
              <w:instrText xml:space="preserve"> PAGEREF _Toc227924644 \h </w:instrText>
            </w:r>
            <w:r w:rsidR="00C307A9">
              <w:rPr>
                <w:noProof/>
                <w:webHidden/>
              </w:rPr>
            </w:r>
            <w:r w:rsidR="00C307A9">
              <w:rPr>
                <w:noProof/>
                <w:webHidden/>
              </w:rPr>
              <w:fldChar w:fldCharType="separate"/>
            </w:r>
            <w:r w:rsidR="00C307A9">
              <w:rPr>
                <w:noProof/>
                <w:webHidden/>
              </w:rPr>
              <w:t>1</w:t>
            </w:r>
            <w:r w:rsidR="00C307A9">
              <w:rPr>
                <w:noProof/>
                <w:webHidden/>
              </w:rPr>
              <w:fldChar w:fldCharType="end"/>
            </w:r>
          </w:hyperlink>
        </w:p>
        <w:p w14:paraId="53360F16" w14:textId="68EA1563" w:rsidR="00C307A9" w:rsidRDefault="00C307A9">
          <w:pPr>
            <w:pStyle w:val="TOC1"/>
            <w:tabs>
              <w:tab w:val="right" w:leader="dot" w:pos="9016"/>
            </w:tabs>
            <w:rPr>
              <w:rFonts w:asciiTheme="minorHAnsi" w:eastAsiaTheme="minorEastAsia" w:hAnsiTheme="minorHAnsi" w:cstheme="minorBidi"/>
              <w:noProof/>
              <w:kern w:val="2"/>
              <w14:ligatures w14:val="standardContextual"/>
            </w:rPr>
          </w:pPr>
          <w:hyperlink w:anchor="_Toc227924645" w:history="1">
            <w:r w:rsidRPr="00DE1485">
              <w:rPr>
                <w:rStyle w:val="Hyperlink"/>
                <w:rFonts w:eastAsia="Arial"/>
                <w:noProof/>
              </w:rPr>
              <w:t>Role Description</w:t>
            </w:r>
            <w:r>
              <w:rPr>
                <w:noProof/>
                <w:webHidden/>
              </w:rPr>
              <w:tab/>
            </w:r>
            <w:r>
              <w:rPr>
                <w:noProof/>
                <w:webHidden/>
              </w:rPr>
              <w:fldChar w:fldCharType="begin"/>
            </w:r>
            <w:r>
              <w:rPr>
                <w:noProof/>
                <w:webHidden/>
              </w:rPr>
              <w:instrText xml:space="preserve"> PAGEREF _Toc227924645 \h </w:instrText>
            </w:r>
            <w:r>
              <w:rPr>
                <w:noProof/>
                <w:webHidden/>
              </w:rPr>
            </w:r>
            <w:r>
              <w:rPr>
                <w:noProof/>
                <w:webHidden/>
              </w:rPr>
              <w:fldChar w:fldCharType="separate"/>
            </w:r>
            <w:r>
              <w:rPr>
                <w:noProof/>
                <w:webHidden/>
              </w:rPr>
              <w:t>2</w:t>
            </w:r>
            <w:r>
              <w:rPr>
                <w:noProof/>
                <w:webHidden/>
              </w:rPr>
              <w:fldChar w:fldCharType="end"/>
            </w:r>
          </w:hyperlink>
        </w:p>
        <w:p w14:paraId="5BEDA245" w14:textId="6D9973D5" w:rsidR="00C307A9" w:rsidRDefault="00C307A9">
          <w:pPr>
            <w:pStyle w:val="TOC1"/>
            <w:tabs>
              <w:tab w:val="right" w:leader="dot" w:pos="9016"/>
            </w:tabs>
            <w:rPr>
              <w:rFonts w:asciiTheme="minorHAnsi" w:eastAsiaTheme="minorEastAsia" w:hAnsiTheme="minorHAnsi" w:cstheme="minorBidi"/>
              <w:noProof/>
              <w:kern w:val="2"/>
              <w14:ligatures w14:val="standardContextual"/>
            </w:rPr>
          </w:pPr>
          <w:hyperlink w:anchor="_Toc227924646" w:history="1">
            <w:r w:rsidRPr="00DE1485">
              <w:rPr>
                <w:rStyle w:val="Hyperlink"/>
                <w:rFonts w:eastAsia="Arial"/>
                <w:noProof/>
              </w:rPr>
              <w:t>Essential Skills</w:t>
            </w:r>
            <w:r>
              <w:rPr>
                <w:noProof/>
                <w:webHidden/>
              </w:rPr>
              <w:tab/>
            </w:r>
            <w:r>
              <w:rPr>
                <w:noProof/>
                <w:webHidden/>
              </w:rPr>
              <w:fldChar w:fldCharType="begin"/>
            </w:r>
            <w:r>
              <w:rPr>
                <w:noProof/>
                <w:webHidden/>
              </w:rPr>
              <w:instrText xml:space="preserve"> PAGEREF _Toc227924646 \h </w:instrText>
            </w:r>
            <w:r>
              <w:rPr>
                <w:noProof/>
                <w:webHidden/>
              </w:rPr>
            </w:r>
            <w:r>
              <w:rPr>
                <w:noProof/>
                <w:webHidden/>
              </w:rPr>
              <w:fldChar w:fldCharType="separate"/>
            </w:r>
            <w:r>
              <w:rPr>
                <w:noProof/>
                <w:webHidden/>
              </w:rPr>
              <w:t>2</w:t>
            </w:r>
            <w:r>
              <w:rPr>
                <w:noProof/>
                <w:webHidden/>
              </w:rPr>
              <w:fldChar w:fldCharType="end"/>
            </w:r>
          </w:hyperlink>
        </w:p>
        <w:p w14:paraId="467724C1" w14:textId="469F7392" w:rsidR="00C307A9" w:rsidRDefault="00C307A9">
          <w:pPr>
            <w:pStyle w:val="TOC1"/>
            <w:tabs>
              <w:tab w:val="right" w:leader="dot" w:pos="9016"/>
            </w:tabs>
            <w:rPr>
              <w:rFonts w:asciiTheme="minorHAnsi" w:eastAsiaTheme="minorEastAsia" w:hAnsiTheme="minorHAnsi" w:cstheme="minorBidi"/>
              <w:noProof/>
              <w:kern w:val="2"/>
              <w14:ligatures w14:val="standardContextual"/>
            </w:rPr>
          </w:pPr>
          <w:hyperlink w:anchor="_Toc227924647" w:history="1">
            <w:r w:rsidRPr="00DE1485">
              <w:rPr>
                <w:rStyle w:val="Hyperlink"/>
                <w:rFonts w:eastAsia="Arial"/>
                <w:noProof/>
              </w:rPr>
              <w:t>Skill Development Strategies.</w:t>
            </w:r>
            <w:r>
              <w:rPr>
                <w:noProof/>
                <w:webHidden/>
              </w:rPr>
              <w:tab/>
            </w:r>
            <w:r>
              <w:rPr>
                <w:noProof/>
                <w:webHidden/>
              </w:rPr>
              <w:fldChar w:fldCharType="begin"/>
            </w:r>
            <w:r>
              <w:rPr>
                <w:noProof/>
                <w:webHidden/>
              </w:rPr>
              <w:instrText xml:space="preserve"> PAGEREF _Toc227924647 \h </w:instrText>
            </w:r>
            <w:r>
              <w:rPr>
                <w:noProof/>
                <w:webHidden/>
              </w:rPr>
            </w:r>
            <w:r>
              <w:rPr>
                <w:noProof/>
                <w:webHidden/>
              </w:rPr>
              <w:fldChar w:fldCharType="separate"/>
            </w:r>
            <w:r>
              <w:rPr>
                <w:noProof/>
                <w:webHidden/>
              </w:rPr>
              <w:t>3</w:t>
            </w:r>
            <w:r>
              <w:rPr>
                <w:noProof/>
                <w:webHidden/>
              </w:rPr>
              <w:fldChar w:fldCharType="end"/>
            </w:r>
          </w:hyperlink>
        </w:p>
        <w:p w14:paraId="63C9EB55" w14:textId="15751271" w:rsidR="00C307A9" w:rsidRDefault="00C307A9">
          <w:pPr>
            <w:pStyle w:val="TOC1"/>
            <w:tabs>
              <w:tab w:val="right" w:leader="dot" w:pos="9016"/>
            </w:tabs>
            <w:rPr>
              <w:rFonts w:asciiTheme="minorHAnsi" w:eastAsiaTheme="minorEastAsia" w:hAnsiTheme="minorHAnsi" w:cstheme="minorBidi"/>
              <w:noProof/>
              <w:kern w:val="2"/>
              <w14:ligatures w14:val="standardContextual"/>
            </w:rPr>
          </w:pPr>
          <w:hyperlink w:anchor="_Toc227924648" w:history="1">
            <w:r w:rsidRPr="00DE1485">
              <w:rPr>
                <w:rStyle w:val="Hyperlink"/>
                <w:rFonts w:eastAsia="Arial"/>
                <w:noProof/>
              </w:rPr>
              <w:t>Conclusion</w:t>
            </w:r>
            <w:r>
              <w:rPr>
                <w:noProof/>
                <w:webHidden/>
              </w:rPr>
              <w:tab/>
            </w:r>
            <w:r>
              <w:rPr>
                <w:noProof/>
                <w:webHidden/>
              </w:rPr>
              <w:fldChar w:fldCharType="begin"/>
            </w:r>
            <w:r>
              <w:rPr>
                <w:noProof/>
                <w:webHidden/>
              </w:rPr>
              <w:instrText xml:space="preserve"> PAGEREF _Toc227924648 \h </w:instrText>
            </w:r>
            <w:r>
              <w:rPr>
                <w:noProof/>
                <w:webHidden/>
              </w:rPr>
            </w:r>
            <w:r>
              <w:rPr>
                <w:noProof/>
                <w:webHidden/>
              </w:rPr>
              <w:fldChar w:fldCharType="separate"/>
            </w:r>
            <w:r>
              <w:rPr>
                <w:noProof/>
                <w:webHidden/>
              </w:rPr>
              <w:t>5</w:t>
            </w:r>
            <w:r>
              <w:rPr>
                <w:noProof/>
                <w:webHidden/>
              </w:rPr>
              <w:fldChar w:fldCharType="end"/>
            </w:r>
          </w:hyperlink>
        </w:p>
        <w:p w14:paraId="5456194F" w14:textId="10094A03" w:rsidR="00C307A9" w:rsidRDefault="00C307A9">
          <w:pPr>
            <w:pStyle w:val="TOC1"/>
            <w:tabs>
              <w:tab w:val="right" w:leader="dot" w:pos="9016"/>
            </w:tabs>
            <w:rPr>
              <w:rFonts w:asciiTheme="minorHAnsi" w:eastAsiaTheme="minorEastAsia" w:hAnsiTheme="minorHAnsi" w:cstheme="minorBidi"/>
              <w:noProof/>
              <w:kern w:val="2"/>
              <w14:ligatures w14:val="standardContextual"/>
            </w:rPr>
          </w:pPr>
          <w:hyperlink w:anchor="_Toc227924649" w:history="1">
            <w:r w:rsidRPr="00DE1485">
              <w:rPr>
                <w:rStyle w:val="Hyperlink"/>
                <w:rFonts w:eastAsia="Arial"/>
                <w:noProof/>
              </w:rPr>
              <w:t>Reference List</w:t>
            </w:r>
            <w:r>
              <w:rPr>
                <w:noProof/>
                <w:webHidden/>
              </w:rPr>
              <w:tab/>
            </w:r>
            <w:r>
              <w:rPr>
                <w:noProof/>
                <w:webHidden/>
              </w:rPr>
              <w:fldChar w:fldCharType="begin"/>
            </w:r>
            <w:r>
              <w:rPr>
                <w:noProof/>
                <w:webHidden/>
              </w:rPr>
              <w:instrText xml:space="preserve"> PAGEREF _Toc227924649 \h </w:instrText>
            </w:r>
            <w:r>
              <w:rPr>
                <w:noProof/>
                <w:webHidden/>
              </w:rPr>
            </w:r>
            <w:r>
              <w:rPr>
                <w:noProof/>
                <w:webHidden/>
              </w:rPr>
              <w:fldChar w:fldCharType="separate"/>
            </w:r>
            <w:r>
              <w:rPr>
                <w:noProof/>
                <w:webHidden/>
              </w:rPr>
              <w:t>5</w:t>
            </w:r>
            <w:r>
              <w:rPr>
                <w:noProof/>
                <w:webHidden/>
              </w:rPr>
              <w:fldChar w:fldCharType="end"/>
            </w:r>
          </w:hyperlink>
        </w:p>
        <w:p w14:paraId="0C74F514" w14:textId="0615C817" w:rsidR="00530E16" w:rsidRPr="00CF650B" w:rsidRDefault="004468F8">
          <w:r>
            <w:fldChar w:fldCharType="end"/>
          </w:r>
        </w:p>
      </w:sdtContent>
    </w:sdt>
    <w:p w14:paraId="7DEAA6DA" w14:textId="77777777" w:rsidR="00530E16" w:rsidRDefault="00530E16">
      <w:pPr>
        <w:rPr>
          <w:rFonts w:ascii="Arial" w:eastAsia="Arial" w:hAnsi="Arial" w:cs="Arial"/>
        </w:rPr>
      </w:pPr>
    </w:p>
    <w:p w14:paraId="2E0FE7F1" w14:textId="77777777" w:rsidR="00530E16" w:rsidRDefault="00530E16">
      <w:pPr>
        <w:rPr>
          <w:rFonts w:ascii="Arial" w:eastAsia="Arial" w:hAnsi="Arial" w:cs="Arial"/>
        </w:rPr>
      </w:pPr>
    </w:p>
    <w:p w14:paraId="07A48AE5" w14:textId="77777777" w:rsidR="003B2DDC" w:rsidRDefault="003B2DDC">
      <w:pPr>
        <w:rPr>
          <w:rFonts w:ascii="Arial" w:eastAsia="Arial" w:hAnsi="Arial" w:cs="Arial"/>
        </w:rPr>
      </w:pPr>
    </w:p>
    <w:p w14:paraId="67552F3D" w14:textId="77777777" w:rsidR="003B2DDC" w:rsidRDefault="003B2DDC">
      <w:pPr>
        <w:rPr>
          <w:rFonts w:ascii="Arial" w:eastAsia="Arial" w:hAnsi="Arial" w:cs="Arial"/>
        </w:rPr>
      </w:pPr>
    </w:p>
    <w:p w14:paraId="4DB1AEE5" w14:textId="77777777" w:rsidR="003B2DDC" w:rsidRDefault="003B2DDC">
      <w:pPr>
        <w:rPr>
          <w:rFonts w:ascii="Arial" w:eastAsia="Arial" w:hAnsi="Arial" w:cs="Arial"/>
        </w:rPr>
      </w:pPr>
    </w:p>
    <w:p w14:paraId="7ADDC956" w14:textId="77777777" w:rsidR="003B2DDC" w:rsidRDefault="003B2DDC">
      <w:pPr>
        <w:rPr>
          <w:rFonts w:ascii="Arial" w:eastAsia="Arial" w:hAnsi="Arial" w:cs="Arial"/>
        </w:rPr>
      </w:pPr>
    </w:p>
    <w:p w14:paraId="747D94AA" w14:textId="77777777" w:rsidR="003B2DDC" w:rsidRDefault="003B2DDC">
      <w:pPr>
        <w:rPr>
          <w:rFonts w:ascii="Arial" w:eastAsia="Arial" w:hAnsi="Arial" w:cs="Arial"/>
        </w:rPr>
      </w:pPr>
    </w:p>
    <w:p w14:paraId="431964EA" w14:textId="77777777" w:rsidR="003B2DDC" w:rsidRDefault="003B2DDC">
      <w:pPr>
        <w:rPr>
          <w:rFonts w:ascii="Arial" w:eastAsia="Arial" w:hAnsi="Arial" w:cs="Arial"/>
        </w:rPr>
      </w:pPr>
    </w:p>
    <w:p w14:paraId="2398EB0C" w14:textId="77777777" w:rsidR="003B2DDC" w:rsidRDefault="003B2DDC">
      <w:pPr>
        <w:rPr>
          <w:rFonts w:ascii="Arial" w:eastAsia="Arial" w:hAnsi="Arial" w:cs="Arial"/>
        </w:rPr>
      </w:pPr>
    </w:p>
    <w:p w14:paraId="5A9EC3B9" w14:textId="77777777" w:rsidR="00C307A9" w:rsidRDefault="00C307A9">
      <w:pPr>
        <w:rPr>
          <w:rFonts w:ascii="Arial" w:eastAsia="Arial" w:hAnsi="Arial" w:cs="Arial"/>
        </w:rPr>
      </w:pPr>
    </w:p>
    <w:p w14:paraId="576A4979" w14:textId="77777777" w:rsidR="00C307A9" w:rsidRDefault="00C307A9">
      <w:pPr>
        <w:rPr>
          <w:rFonts w:ascii="Arial" w:eastAsia="Arial" w:hAnsi="Arial" w:cs="Arial"/>
        </w:rPr>
      </w:pPr>
    </w:p>
    <w:p w14:paraId="1F0CCF09" w14:textId="77777777" w:rsidR="00C307A9" w:rsidRDefault="00C307A9">
      <w:pPr>
        <w:rPr>
          <w:rFonts w:ascii="Arial" w:eastAsia="Arial" w:hAnsi="Arial" w:cs="Arial"/>
        </w:rPr>
      </w:pPr>
    </w:p>
    <w:p w14:paraId="46A64936" w14:textId="77777777" w:rsidR="003B2DDC" w:rsidRDefault="003B2DDC">
      <w:pPr>
        <w:rPr>
          <w:rFonts w:ascii="Arial" w:eastAsia="Arial" w:hAnsi="Arial" w:cs="Arial"/>
        </w:rPr>
      </w:pPr>
    </w:p>
    <w:p w14:paraId="3341CE03" w14:textId="77777777" w:rsidR="00530E16" w:rsidRDefault="00530E16">
      <w:pPr>
        <w:rPr>
          <w:rFonts w:ascii="Arial" w:eastAsia="Arial" w:hAnsi="Arial" w:cs="Arial"/>
        </w:rPr>
      </w:pPr>
    </w:p>
    <w:p w14:paraId="7E890B2C" w14:textId="77777777" w:rsidR="00530E16" w:rsidRDefault="00530E16">
      <w:pPr>
        <w:rPr>
          <w:rFonts w:ascii="Arial" w:eastAsia="Arial" w:hAnsi="Arial" w:cs="Arial"/>
        </w:rPr>
      </w:pPr>
    </w:p>
    <w:p w14:paraId="6A7E9F20" w14:textId="77777777" w:rsidR="00530E16" w:rsidRDefault="00530E16">
      <w:pPr>
        <w:rPr>
          <w:rFonts w:ascii="Arial" w:eastAsia="Arial" w:hAnsi="Arial" w:cs="Arial"/>
        </w:rPr>
      </w:pPr>
    </w:p>
    <w:p w14:paraId="16AB907B" w14:textId="77777777" w:rsidR="00530E16" w:rsidRDefault="00530E16">
      <w:pPr>
        <w:rPr>
          <w:rFonts w:ascii="Arial" w:eastAsia="Arial" w:hAnsi="Arial" w:cs="Arial"/>
        </w:rPr>
      </w:pPr>
    </w:p>
    <w:p w14:paraId="4ED269D7" w14:textId="77777777" w:rsidR="00530E16" w:rsidRDefault="00530E16">
      <w:pPr>
        <w:rPr>
          <w:rFonts w:ascii="Arial" w:eastAsia="Arial" w:hAnsi="Arial" w:cs="Arial"/>
        </w:rPr>
      </w:pPr>
    </w:p>
    <w:p w14:paraId="79334EEB" w14:textId="77777777" w:rsidR="00530E16" w:rsidRDefault="00530E16">
      <w:pPr>
        <w:rPr>
          <w:rFonts w:ascii="Arial" w:eastAsia="Arial" w:hAnsi="Arial" w:cs="Arial"/>
        </w:rPr>
      </w:pPr>
    </w:p>
    <w:p w14:paraId="40678A34" w14:textId="77777777" w:rsidR="00530E16" w:rsidRDefault="00530E16">
      <w:pPr>
        <w:rPr>
          <w:rFonts w:ascii="Arial" w:eastAsia="Arial" w:hAnsi="Arial" w:cs="Arial"/>
        </w:rPr>
      </w:pPr>
    </w:p>
    <w:p w14:paraId="5F2DB80B"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7FA5EF3" w14:textId="77777777" w:rsidR="00530E16" w:rsidRDefault="00530E16">
      <w:pPr>
        <w:rPr>
          <w:rFonts w:ascii="Arial" w:eastAsia="Arial" w:hAnsi="Arial" w:cs="Arial"/>
        </w:rPr>
      </w:pPr>
    </w:p>
    <w:p w14:paraId="323196BF" w14:textId="411F3A10" w:rsidR="00C307A9" w:rsidRPr="00C307A9" w:rsidRDefault="00575E73" w:rsidP="00C307A9">
      <w:pPr>
        <w:pStyle w:val="Heading1"/>
        <w:rPr>
          <w:rFonts w:ascii="Arial" w:eastAsia="Arial" w:hAnsi="Arial" w:cs="Arial"/>
          <w:sz w:val="22"/>
          <w:szCs w:val="22"/>
        </w:rPr>
      </w:pPr>
      <w:bookmarkStart w:id="0" w:name="_Toc227924644"/>
      <w:r w:rsidRPr="00575E73">
        <w:rPr>
          <w:rFonts w:eastAsia="Arial"/>
        </w:rPr>
        <w:t>Introduction</w:t>
      </w:r>
      <w:bookmarkEnd w:id="0"/>
      <w:r w:rsidRPr="00575E73">
        <w:rPr>
          <w:rFonts w:eastAsia="Arial"/>
        </w:rPr>
        <w:t xml:space="preserve">  </w:t>
      </w:r>
      <w:r w:rsidR="00031612">
        <w:rPr>
          <w:rFonts w:ascii="Arial" w:eastAsia="Arial" w:hAnsi="Arial" w:cs="Arial"/>
          <w:sz w:val="22"/>
          <w:szCs w:val="22"/>
        </w:rPr>
        <w:t xml:space="preserve"> </w:t>
      </w:r>
      <w:r w:rsidR="00C307A9">
        <w:rPr>
          <w:rFonts w:ascii="Arial" w:eastAsia="Arial" w:hAnsi="Arial" w:cs="Arial"/>
          <w:sz w:val="22"/>
          <w:szCs w:val="22"/>
        </w:rPr>
        <w:t xml:space="preserve"> </w:t>
      </w:r>
    </w:p>
    <w:p w14:paraId="3370EF96" w14:textId="77777777" w:rsidR="00C307A9" w:rsidRPr="00C307A9" w:rsidRDefault="00C307A9" w:rsidP="00C307A9">
      <w:pPr>
        <w:rPr>
          <w:rFonts w:ascii="Arial" w:eastAsia="Arial" w:hAnsi="Arial" w:cs="Arial"/>
          <w:sz w:val="22"/>
          <w:szCs w:val="22"/>
        </w:rPr>
      </w:pPr>
    </w:p>
    <w:p w14:paraId="0EA40AF0"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This report looks at the job of a social worker in the health and social care field. Social workers assist individuals and families that experience complicated problems, such as poverty, mental illness, and domestic abuse. The report explains the fundamental responsibilities of this position, some of the three main skills needed to undertake the position, and three plans to acquire each skill. Throughout, real-life examples are provided to support each point.</w:t>
      </w:r>
    </w:p>
    <w:p w14:paraId="46444A91" w14:textId="77777777" w:rsidR="00C307A9" w:rsidRPr="00C307A9" w:rsidRDefault="00C307A9" w:rsidP="00C307A9">
      <w:pPr>
        <w:rPr>
          <w:rFonts w:ascii="Arial" w:eastAsia="Arial" w:hAnsi="Arial" w:cs="Arial"/>
          <w:sz w:val="22"/>
          <w:szCs w:val="22"/>
        </w:rPr>
      </w:pPr>
    </w:p>
    <w:p w14:paraId="44ED6B0D" w14:textId="77777777" w:rsidR="00C307A9" w:rsidRPr="00C307A9" w:rsidRDefault="00C307A9" w:rsidP="00C307A9">
      <w:pPr>
        <w:rPr>
          <w:rFonts w:ascii="Arial" w:eastAsia="Arial" w:hAnsi="Arial" w:cs="Arial"/>
          <w:sz w:val="22"/>
          <w:szCs w:val="22"/>
        </w:rPr>
      </w:pPr>
    </w:p>
    <w:p w14:paraId="6330AB69" w14:textId="77777777" w:rsidR="00C307A9" w:rsidRPr="00C307A9" w:rsidRDefault="00C307A9" w:rsidP="00C307A9">
      <w:pPr>
        <w:pStyle w:val="Heading1"/>
        <w:rPr>
          <w:rFonts w:eastAsia="Arial"/>
        </w:rPr>
      </w:pPr>
      <w:bookmarkStart w:id="1" w:name="_Toc227924645"/>
      <w:r w:rsidRPr="00C307A9">
        <w:rPr>
          <w:rFonts w:eastAsia="Arial"/>
        </w:rPr>
        <w:t>Role Description</w:t>
      </w:r>
      <w:bookmarkEnd w:id="1"/>
    </w:p>
    <w:p w14:paraId="5D2CC53E" w14:textId="77777777" w:rsidR="00C307A9" w:rsidRPr="00C307A9" w:rsidRDefault="00C307A9" w:rsidP="00C307A9">
      <w:pPr>
        <w:rPr>
          <w:rFonts w:ascii="Arial" w:eastAsia="Arial" w:hAnsi="Arial" w:cs="Arial"/>
          <w:sz w:val="22"/>
          <w:szCs w:val="22"/>
        </w:rPr>
      </w:pPr>
    </w:p>
    <w:p w14:paraId="1997BD28"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A social worker examines the needs of vulnerable persons and organizes the corresponding assistance. According to the British Association of Social Workers (2021), social work is a profession that is practice-based and therefore facilitates social change and empowerment of individuals. The social workers work in various environments, such as hospitals, schools and local authorities.</w:t>
      </w:r>
    </w:p>
    <w:p w14:paraId="6D407501"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Some of the essential tasks are: carrying out needs assessment, drafting care plans, and multi-agency meetings. An example of such a hospital social worker is one who organises safe discharge plans of patients who do not have proper support in their homes. A social worker with children is involved in investigating safeguarding issues and providing assistance to families to minimize risk. The social workers also connect with other professionals such as nurses, police and housing officers to achieve holistic care (Trevithick, 2012).</w:t>
      </w:r>
    </w:p>
    <w:p w14:paraId="5CD5A085"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The position has a high legal liability. The legislation that social workers have to practice on a daily basis are the Care Act 2014 and the Children Act 1989. They are subject to the professional regulator, Social Work England, who governs standards of conduct and competence.</w:t>
      </w:r>
    </w:p>
    <w:p w14:paraId="0A7C0395" w14:textId="77777777" w:rsidR="00C307A9" w:rsidRPr="00C307A9" w:rsidRDefault="00C307A9" w:rsidP="00C307A9">
      <w:pPr>
        <w:rPr>
          <w:rFonts w:ascii="Arial" w:eastAsia="Arial" w:hAnsi="Arial" w:cs="Arial"/>
          <w:sz w:val="22"/>
          <w:szCs w:val="22"/>
        </w:rPr>
      </w:pPr>
    </w:p>
    <w:p w14:paraId="52A228DE" w14:textId="77777777" w:rsidR="00C307A9" w:rsidRPr="00C307A9" w:rsidRDefault="00C307A9" w:rsidP="00C307A9">
      <w:pPr>
        <w:rPr>
          <w:rFonts w:ascii="Arial" w:eastAsia="Arial" w:hAnsi="Arial" w:cs="Arial"/>
          <w:sz w:val="22"/>
          <w:szCs w:val="22"/>
        </w:rPr>
      </w:pPr>
    </w:p>
    <w:p w14:paraId="3206C044" w14:textId="77777777" w:rsidR="00C307A9" w:rsidRPr="00C307A9" w:rsidRDefault="00C307A9" w:rsidP="00C307A9">
      <w:pPr>
        <w:pStyle w:val="Heading1"/>
        <w:rPr>
          <w:rFonts w:eastAsia="Arial"/>
        </w:rPr>
      </w:pPr>
      <w:bookmarkStart w:id="2" w:name="_Toc227924646"/>
      <w:r w:rsidRPr="00C307A9">
        <w:rPr>
          <w:rFonts w:eastAsia="Arial"/>
        </w:rPr>
        <w:t>Essential Skills</w:t>
      </w:r>
      <w:bookmarkEnd w:id="2"/>
    </w:p>
    <w:p w14:paraId="480AAE98" w14:textId="77777777" w:rsidR="00C307A9" w:rsidRPr="00C307A9" w:rsidRDefault="00C307A9" w:rsidP="00C307A9">
      <w:pPr>
        <w:rPr>
          <w:rFonts w:ascii="Arial" w:eastAsia="Arial" w:hAnsi="Arial" w:cs="Arial"/>
          <w:sz w:val="22"/>
          <w:szCs w:val="22"/>
        </w:rPr>
      </w:pPr>
    </w:p>
    <w:p w14:paraId="5CD8D868"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3.1 Communication</w:t>
      </w:r>
    </w:p>
    <w:p w14:paraId="05F2E9CC"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lastRenderedPageBreak/>
        <w:t>The most important skill that a social worker must have is communication. Social workers deal with troubled, weak, or hard-to-reach people on a daily basis. Active listening enables the employees to obtain the right information and establish trust. Lishman (2009) claims that any professional social work relationship is based on proper communication.</w:t>
      </w:r>
    </w:p>
    <w:p w14:paraId="52FFECAF"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The social worker who is paying a visit to a family with safeguarding issues is required to pose simple, sensitive questions without alarming the family. In this case, bad communication may lead to a situation where important information concerning the safety of a child is missed. Written communication is also a crucial point; reports to be provided to court should be accurate and supported by evidence. Delays in court proceedings and damage to service users are caused by unclear reports.</w:t>
      </w:r>
    </w:p>
    <w:p w14:paraId="3F27CA8B"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3.2 Critical Thinking</w:t>
      </w:r>
    </w:p>
    <w:p w14:paraId="74920F95"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Critical thinking helps social workers to evaluate situations and make good judgments. There are seldom black and white cases that social workers deal with. They are forced to consider contradicting pieces of information and define risk factors correctly. Munro (2011) discovered that inadequate critical thinking was one of the factors that led to failure in child protection cases in England.</w:t>
      </w:r>
    </w:p>
    <w:p w14:paraId="226CC636"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When a social worker evaluates the ability of an elderly individual to make a decision, it is necessary to review medical documentation, question the patient, and consult the members of his/her family. The employee should then make an independent, evidence based conclusion. The use of assumptions and one-source-of-information contributes to the errors that not only damage service users but also put the practitioner at a risk of professional misconduct.</w:t>
      </w:r>
    </w:p>
    <w:p w14:paraId="41FCBB7E"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3.3 Emotional Resilience</w:t>
      </w:r>
    </w:p>
    <w:p w14:paraId="17B19B41"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Emotional resilience enables social workers to cope with a lot of stress without reduced performance. The job implies frequent trauma, loss, and war. Grant and Kinman (2012) established that social workers who had greater emotional resilience also reported lower burnout levels and improved service-user outcomes.</w:t>
      </w:r>
    </w:p>
    <w:p w14:paraId="139DD539"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A social worker dealing with a caseload of thirty families will have to make hard choices on a daily basis, such as taking out children. Secondary traumatic stress can build up rapidly without resilience. This has an impact on judgement, attendance, and working relations. Resilience is not about not expressing any feeling, but it is about processing the challenging experiences and still being able to deliver on a professional level.</w:t>
      </w:r>
    </w:p>
    <w:p w14:paraId="29099F8F" w14:textId="77777777" w:rsidR="00C307A9" w:rsidRPr="00C307A9" w:rsidRDefault="00C307A9" w:rsidP="00C307A9">
      <w:pPr>
        <w:rPr>
          <w:rFonts w:ascii="Arial" w:eastAsia="Arial" w:hAnsi="Arial" w:cs="Arial"/>
          <w:sz w:val="22"/>
          <w:szCs w:val="22"/>
        </w:rPr>
      </w:pPr>
    </w:p>
    <w:p w14:paraId="713AFF19" w14:textId="77777777" w:rsidR="00C307A9" w:rsidRPr="00C307A9" w:rsidRDefault="00C307A9" w:rsidP="00C307A9">
      <w:pPr>
        <w:rPr>
          <w:rFonts w:ascii="Arial" w:eastAsia="Arial" w:hAnsi="Arial" w:cs="Arial"/>
          <w:sz w:val="22"/>
          <w:szCs w:val="22"/>
        </w:rPr>
      </w:pPr>
    </w:p>
    <w:p w14:paraId="7F594D3A" w14:textId="77777777" w:rsidR="00C307A9" w:rsidRPr="00C307A9" w:rsidRDefault="00C307A9" w:rsidP="00C307A9">
      <w:pPr>
        <w:pStyle w:val="Heading1"/>
        <w:rPr>
          <w:rFonts w:eastAsia="Arial"/>
        </w:rPr>
      </w:pPr>
      <w:bookmarkStart w:id="3" w:name="_Toc227924647"/>
      <w:r w:rsidRPr="00C307A9">
        <w:rPr>
          <w:rFonts w:eastAsia="Arial"/>
        </w:rPr>
        <w:t>Skill Development Strategies.</w:t>
      </w:r>
      <w:bookmarkEnd w:id="3"/>
    </w:p>
    <w:p w14:paraId="1FF4A0AF" w14:textId="77777777" w:rsidR="00C307A9" w:rsidRPr="00C307A9" w:rsidRDefault="00C307A9" w:rsidP="00C307A9">
      <w:pPr>
        <w:rPr>
          <w:rFonts w:ascii="Arial" w:eastAsia="Arial" w:hAnsi="Arial" w:cs="Arial"/>
          <w:sz w:val="22"/>
          <w:szCs w:val="22"/>
        </w:rPr>
      </w:pPr>
    </w:p>
    <w:p w14:paraId="06C521BC"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4.1 Strategies to develop communication.</w:t>
      </w:r>
    </w:p>
    <w:p w14:paraId="53ABD9B3"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 xml:space="preserve">The initial plan is to participate in a formal communications skills training course. Local authorities provide numerous workshops on motivational interviewing, which is an approach </w:t>
      </w:r>
      <w:r w:rsidRPr="00C307A9">
        <w:rPr>
          <w:rFonts w:ascii="Arial" w:eastAsia="Arial" w:hAnsi="Arial" w:cs="Arial"/>
          <w:sz w:val="22"/>
          <w:szCs w:val="22"/>
        </w:rPr>
        <w:lastRenderedPageBreak/>
        <w:t>to approaching resistant service users. Miller and Rollnick (2013) show that motivational interviewing enhances engagement within the health care and social care environments. Confidence and accuracy developing when practising this technique with a trained facilitator.</w:t>
      </w:r>
    </w:p>
    <w:p w14:paraId="02CB8EE8"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The second plan is to pursue a frequent supervision with a competent senior social worker. Practitioners also listen to recordings of the cases and reflect on their communication with service users in supervision. This is done to determine certain weaknesses, e.g. leading questions or interruptions during assessments.</w:t>
      </w:r>
    </w:p>
    <w:p w14:paraId="56361CD1"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The third plan is role-play practice with the peers or in a university. Procedural fluency is developed through simulating challenging dialogues, including telling a parent about a safeguarding decision. Role-play feedback gives the practitioner an opportunity to alter tone, words and speed before using the skills in practice.</w:t>
      </w:r>
    </w:p>
    <w:p w14:paraId="74FC6327"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4.2 Action Plans to build critical thinking.</w:t>
      </w:r>
    </w:p>
    <w:p w14:paraId="1174CF39"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The first one is case study analysis. Survey of published serious case reviews, including those published by the Child Safeguarding Practice Review Panel, will prepare practitioners to recognize areas of decision-making failure. A regular reading of these reviews creates a systematic risk analysis approach.</w:t>
      </w:r>
    </w:p>
    <w:p w14:paraId="493E8184"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The second plan is to undertake continuing professional development (CPD) in risk assessment frameworks. An example of such a tool is the Signs of Safety model, which gives a systematic approach to assessing child welfare issues. Turnell and Edwards (1999) show that well-defined structures lessen inconsistency among social work assessments. Using a unified model in practice enhances quality of decision making in the long run.</w:t>
      </w:r>
    </w:p>
    <w:p w14:paraId="7DFB8D8D"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The third is reflective journaling following complex cases. Training analytical habits can be achieved by writing a brief reflection on what information was obtained, weighted, and what was the result. Trends in thought are discernible over time, such as excessive reliance on some forms of evidence.</w:t>
      </w:r>
    </w:p>
    <w:p w14:paraId="367249F1"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4.3 How to build emotional resilience.</w:t>
      </w:r>
    </w:p>
    <w:p w14:paraId="598B75CB"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The initial approach is the contact of routine professional support on the emotional level. Supervision is not merely an instrument of management; it is a venue of handling tough cases. The results of the research by Collins (2008) revealed that frequent supervision helps to decrease burnout among social workers and enhance professional retention. Those practitioners who receive regular supervision report that they are better prepared to deal with emotionally challenging work.</w:t>
      </w:r>
    </w:p>
    <w:p w14:paraId="5632E561"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The second one is the practice of organised mindfulness or stress reduction methods. Health and social care Programmes like Mindfulness-Based Stress Reduction (MBSR) have been tested. The research of Stevenson (2016) has indicated that MBSR training among social workers led to a decrease in anxiety and concentration in stressful times.</w:t>
      </w:r>
    </w:p>
    <w:p w14:paraId="7996A502"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The third strategy is to establish a effective professional peer network. Normalisation and mutual coping strategies are achieved by regular informal communication with colleagues who know the unique needs of social work. The networks lower the chances of isolation; a major risk factor to burnout. This support is provided in structured peer reflection groups within teams.</w:t>
      </w:r>
    </w:p>
    <w:p w14:paraId="234537B6" w14:textId="77777777" w:rsidR="00C307A9" w:rsidRPr="00C307A9" w:rsidRDefault="00C307A9" w:rsidP="00C307A9">
      <w:pPr>
        <w:rPr>
          <w:rFonts w:ascii="Arial" w:eastAsia="Arial" w:hAnsi="Arial" w:cs="Arial"/>
          <w:sz w:val="22"/>
          <w:szCs w:val="22"/>
        </w:rPr>
      </w:pPr>
    </w:p>
    <w:p w14:paraId="31770FDE" w14:textId="77777777" w:rsidR="00C307A9" w:rsidRPr="00C307A9" w:rsidRDefault="00C307A9" w:rsidP="00C307A9">
      <w:pPr>
        <w:rPr>
          <w:rFonts w:ascii="Arial" w:eastAsia="Arial" w:hAnsi="Arial" w:cs="Arial"/>
          <w:sz w:val="22"/>
          <w:szCs w:val="22"/>
        </w:rPr>
      </w:pPr>
    </w:p>
    <w:p w14:paraId="3FA88DD1" w14:textId="77777777" w:rsidR="00C307A9" w:rsidRPr="00C307A9" w:rsidRDefault="00C307A9" w:rsidP="00C307A9">
      <w:pPr>
        <w:pStyle w:val="Heading1"/>
        <w:rPr>
          <w:rFonts w:eastAsia="Arial"/>
        </w:rPr>
      </w:pPr>
      <w:bookmarkStart w:id="4" w:name="_Toc227924648"/>
      <w:r w:rsidRPr="00C307A9">
        <w:rPr>
          <w:rFonts w:eastAsia="Arial"/>
        </w:rPr>
        <w:t>Conclusion</w:t>
      </w:r>
      <w:bookmarkEnd w:id="4"/>
    </w:p>
    <w:p w14:paraId="4055606B" w14:textId="77777777" w:rsidR="00C307A9" w:rsidRPr="00C307A9" w:rsidRDefault="00C307A9" w:rsidP="00C307A9">
      <w:pPr>
        <w:rPr>
          <w:rFonts w:ascii="Arial" w:eastAsia="Arial" w:hAnsi="Arial" w:cs="Arial"/>
          <w:sz w:val="22"/>
          <w:szCs w:val="22"/>
        </w:rPr>
      </w:pPr>
    </w:p>
    <w:p w14:paraId="497C6C60" w14:textId="2660CC61" w:rsidR="00C307A9" w:rsidRDefault="00C307A9" w:rsidP="00C307A9">
      <w:pPr>
        <w:rPr>
          <w:rFonts w:ascii="Arial" w:eastAsia="Arial" w:hAnsi="Arial" w:cs="Arial"/>
          <w:sz w:val="22"/>
          <w:szCs w:val="22"/>
        </w:rPr>
      </w:pPr>
      <w:r w:rsidRPr="00C307A9">
        <w:rPr>
          <w:rFonts w:ascii="Arial" w:eastAsia="Arial" w:hAnsi="Arial" w:cs="Arial"/>
          <w:sz w:val="22"/>
          <w:szCs w:val="22"/>
        </w:rPr>
        <w:t>Social work is a challenging, legally responsible profession that needs effective communication, critical thinking and emotional strength. All skills have a direct impact on service user safety and wellbeing. These skills are built up with time through targeted strategies such as supervision, training, and reflective practice. Professionally functioning practitioners are safer in serving their clients, and they maintain their professional functioning.</w:t>
      </w:r>
    </w:p>
    <w:p w14:paraId="2092DF77" w14:textId="77777777" w:rsidR="00C307A9" w:rsidRDefault="00C307A9" w:rsidP="003B2DDC">
      <w:pPr>
        <w:rPr>
          <w:rFonts w:ascii="Arial" w:eastAsia="Arial" w:hAnsi="Arial" w:cs="Arial"/>
          <w:sz w:val="22"/>
          <w:szCs w:val="22"/>
        </w:rPr>
      </w:pPr>
    </w:p>
    <w:p w14:paraId="5C34E7CC" w14:textId="77777777" w:rsidR="003B2DDC" w:rsidRPr="00575E73" w:rsidRDefault="003B2DDC" w:rsidP="003B2DDC">
      <w:pPr>
        <w:rPr>
          <w:rFonts w:ascii="Arial" w:eastAsia="Arial" w:hAnsi="Arial" w:cs="Arial"/>
          <w:sz w:val="22"/>
          <w:szCs w:val="22"/>
        </w:rPr>
      </w:pPr>
    </w:p>
    <w:p w14:paraId="13BC02B3" w14:textId="77777777" w:rsidR="00575E73" w:rsidRPr="00575E73" w:rsidRDefault="00575E73" w:rsidP="00575E73">
      <w:pPr>
        <w:rPr>
          <w:rFonts w:ascii="Arial" w:eastAsia="Arial" w:hAnsi="Arial" w:cs="Arial"/>
          <w:sz w:val="22"/>
          <w:szCs w:val="22"/>
        </w:rPr>
      </w:pPr>
    </w:p>
    <w:p w14:paraId="35297D9C" w14:textId="4497E40E" w:rsidR="003B2DDC" w:rsidRPr="003B2DDC" w:rsidRDefault="00575E73" w:rsidP="003B2DDC">
      <w:pPr>
        <w:pStyle w:val="Heading1"/>
        <w:rPr>
          <w:rFonts w:ascii="Arial" w:eastAsia="Arial" w:hAnsi="Arial" w:cs="Arial"/>
          <w:sz w:val="22"/>
          <w:szCs w:val="22"/>
        </w:rPr>
      </w:pPr>
      <w:bookmarkStart w:id="5" w:name="_Toc227924649"/>
      <w:r w:rsidRPr="00575E73">
        <w:rPr>
          <w:rFonts w:eastAsia="Arial"/>
        </w:rPr>
        <w:t>Reference List</w:t>
      </w:r>
      <w:bookmarkEnd w:id="5"/>
      <w:r w:rsidR="003B2DDC">
        <w:rPr>
          <w:rFonts w:eastAsia="Arial"/>
        </w:rPr>
        <w:t xml:space="preserve"> </w:t>
      </w:r>
    </w:p>
    <w:p w14:paraId="2009B4FA"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British Association of Social Workers (2021) What is social work? Birmingham: BASW. Available at: https://www.basw.co.uk/about-basw/what-social-work (Accessed: 20 April 2026).</w:t>
      </w:r>
    </w:p>
    <w:p w14:paraId="2F7097AA"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Collins, S. (2008) 'Statutory social workers: stress, job satisfaction, coping, social support and individual differences', British Journal of Social Work, 38(6), pp. 1173-1193.</w:t>
      </w:r>
    </w:p>
    <w:p w14:paraId="0D771B1E"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Grant, L. and Kinman, G. (2012) 'Enhancing wellbeing in social work students: building resilience in the next generation', Social Work Education, 31(5), pp. 605-621.</w:t>
      </w:r>
    </w:p>
    <w:p w14:paraId="2D5816E1"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Lishman, J. (2009) Communication in Social Work. 2nd edn. Basingstoke: Palgrave Macmillan.</w:t>
      </w:r>
    </w:p>
    <w:p w14:paraId="27728C6F"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Miller, W.R. and Rollnick, S. (2013) Motivational Interviewing: Helping People Change. 3rd edn. New York: Guilford Press.</w:t>
      </w:r>
    </w:p>
    <w:p w14:paraId="708237DE"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Munro, E. (2011) The Munro Review of Child Protection: Final Report. London: Department for Education.</w:t>
      </w:r>
    </w:p>
    <w:p w14:paraId="4EA62CAB"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Stevenson, M. (2016) 'Mindfulness in social work practice: evidence and application', Practice: Social Work in Action, 28(3), pp. 183-200.</w:t>
      </w:r>
    </w:p>
    <w:p w14:paraId="580C810C" w14:textId="77777777" w:rsidR="00C307A9" w:rsidRPr="00C307A9" w:rsidRDefault="00C307A9" w:rsidP="00C307A9">
      <w:pPr>
        <w:rPr>
          <w:rFonts w:ascii="Arial" w:eastAsia="Arial" w:hAnsi="Arial" w:cs="Arial"/>
          <w:sz w:val="22"/>
          <w:szCs w:val="22"/>
        </w:rPr>
      </w:pPr>
      <w:r w:rsidRPr="00C307A9">
        <w:rPr>
          <w:rFonts w:ascii="Arial" w:eastAsia="Arial" w:hAnsi="Arial" w:cs="Arial"/>
          <w:sz w:val="22"/>
          <w:szCs w:val="22"/>
        </w:rPr>
        <w:t>Trevithick, P. (2012) Social Work Skills and Knowledge: A Practice Handbook. 3rd edn. Maidenhead: Open University Press.</w:t>
      </w:r>
    </w:p>
    <w:p w14:paraId="2334FD13" w14:textId="72BF9CE5" w:rsidR="00530E16" w:rsidRPr="00575E73" w:rsidRDefault="00C307A9" w:rsidP="00C307A9">
      <w:pPr>
        <w:rPr>
          <w:rFonts w:ascii="Arial" w:eastAsia="Arial" w:hAnsi="Arial" w:cs="Arial"/>
          <w:sz w:val="22"/>
          <w:szCs w:val="22"/>
        </w:rPr>
      </w:pPr>
      <w:r w:rsidRPr="00C307A9">
        <w:rPr>
          <w:rFonts w:ascii="Arial" w:eastAsia="Arial" w:hAnsi="Arial" w:cs="Arial"/>
          <w:sz w:val="22"/>
          <w:szCs w:val="22"/>
        </w:rPr>
        <w:t>Turnell, A. and Edwards, S. (1999) Signs of Safety: A Solution and Safety Oriented Approach to Child Protection Casework. New York: Norton.</w:t>
      </w:r>
    </w:p>
    <w:sectPr w:rsidR="00530E16" w:rsidRPr="00575E73"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0BF3F" w14:textId="77777777" w:rsidR="00D87AA4" w:rsidRDefault="00D87AA4" w:rsidP="002A1842">
      <w:pPr>
        <w:spacing w:after="0" w:line="240" w:lineRule="auto"/>
      </w:pPr>
      <w:r>
        <w:separator/>
      </w:r>
    </w:p>
  </w:endnote>
  <w:endnote w:type="continuationSeparator" w:id="0">
    <w:p w14:paraId="77BC45BB" w14:textId="77777777" w:rsidR="00D87AA4" w:rsidRDefault="00D87AA4"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21566663"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0AA2A71B"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731754BE"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611AF32F"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68EB0" w14:textId="77777777" w:rsidR="00D87AA4" w:rsidRDefault="00D87AA4" w:rsidP="002A1842">
      <w:pPr>
        <w:spacing w:after="0" w:line="240" w:lineRule="auto"/>
      </w:pPr>
      <w:r>
        <w:separator/>
      </w:r>
    </w:p>
  </w:footnote>
  <w:footnote w:type="continuationSeparator" w:id="0">
    <w:p w14:paraId="456DD909" w14:textId="77777777" w:rsidR="00D87AA4" w:rsidRDefault="00D87AA4"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69481872">
    <w:abstractNumId w:val="5"/>
  </w:num>
  <w:num w:numId="2" w16cid:durableId="597449307">
    <w:abstractNumId w:val="3"/>
  </w:num>
  <w:num w:numId="3" w16cid:durableId="1586837629">
    <w:abstractNumId w:val="2"/>
  </w:num>
  <w:num w:numId="4" w16cid:durableId="1348948522">
    <w:abstractNumId w:val="1"/>
  </w:num>
  <w:num w:numId="5" w16cid:durableId="1103497760">
    <w:abstractNumId w:val="4"/>
  </w:num>
  <w:num w:numId="6" w16cid:durableId="928806649">
    <w:abstractNumId w:val="0"/>
  </w:num>
  <w:num w:numId="7" w16cid:durableId="1606499593">
    <w:abstractNumId w:val="7"/>
  </w:num>
  <w:num w:numId="8" w16cid:durableId="1445911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1612"/>
    <w:rsid w:val="000445CB"/>
    <w:rsid w:val="00172AD1"/>
    <w:rsid w:val="001813E7"/>
    <w:rsid w:val="001E0AF6"/>
    <w:rsid w:val="002A1842"/>
    <w:rsid w:val="002A5082"/>
    <w:rsid w:val="002B645F"/>
    <w:rsid w:val="003B2DDC"/>
    <w:rsid w:val="003F2913"/>
    <w:rsid w:val="00432D05"/>
    <w:rsid w:val="004468F8"/>
    <w:rsid w:val="00530E16"/>
    <w:rsid w:val="00575E73"/>
    <w:rsid w:val="00722EFE"/>
    <w:rsid w:val="007637E9"/>
    <w:rsid w:val="0077770B"/>
    <w:rsid w:val="008E7834"/>
    <w:rsid w:val="009F60D1"/>
    <w:rsid w:val="00A75B15"/>
    <w:rsid w:val="00AB1875"/>
    <w:rsid w:val="00AE06EA"/>
    <w:rsid w:val="00B65ED6"/>
    <w:rsid w:val="00BA0043"/>
    <w:rsid w:val="00C307A9"/>
    <w:rsid w:val="00CF650B"/>
    <w:rsid w:val="00D07907"/>
    <w:rsid w:val="00D62A9C"/>
    <w:rsid w:val="00D87AA4"/>
    <w:rsid w:val="00DB181C"/>
    <w:rsid w:val="00E24389"/>
    <w:rsid w:val="00EA04EC"/>
    <w:rsid w:val="00F618F2"/>
    <w:rsid w:val="00F93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86CF8"/>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14820">
      <w:bodyDiv w:val="1"/>
      <w:marLeft w:val="0"/>
      <w:marRight w:val="0"/>
      <w:marTop w:val="0"/>
      <w:marBottom w:val="0"/>
      <w:divBdr>
        <w:top w:val="none" w:sz="0" w:space="0" w:color="auto"/>
        <w:left w:val="none" w:sz="0" w:space="0" w:color="auto"/>
        <w:bottom w:val="none" w:sz="0" w:space="0" w:color="auto"/>
        <w:right w:val="none" w:sz="0" w:space="0" w:color="auto"/>
      </w:divBdr>
    </w:div>
    <w:div w:id="290475120">
      <w:bodyDiv w:val="1"/>
      <w:marLeft w:val="0"/>
      <w:marRight w:val="0"/>
      <w:marTop w:val="0"/>
      <w:marBottom w:val="0"/>
      <w:divBdr>
        <w:top w:val="none" w:sz="0" w:space="0" w:color="auto"/>
        <w:left w:val="none" w:sz="0" w:space="0" w:color="auto"/>
        <w:bottom w:val="none" w:sz="0" w:space="0" w:color="auto"/>
        <w:right w:val="none" w:sz="0" w:space="0" w:color="auto"/>
      </w:divBdr>
    </w:div>
    <w:div w:id="686369708">
      <w:bodyDiv w:val="1"/>
      <w:marLeft w:val="0"/>
      <w:marRight w:val="0"/>
      <w:marTop w:val="0"/>
      <w:marBottom w:val="0"/>
      <w:divBdr>
        <w:top w:val="none" w:sz="0" w:space="0" w:color="auto"/>
        <w:left w:val="none" w:sz="0" w:space="0" w:color="auto"/>
        <w:bottom w:val="none" w:sz="0" w:space="0" w:color="auto"/>
        <w:right w:val="none" w:sz="0" w:space="0" w:color="auto"/>
      </w:divBdr>
    </w:div>
    <w:div w:id="11974261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1500</Words>
  <Characters>8551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Iancu Andrei</cp:lastModifiedBy>
  <cp:revision>4</cp:revision>
  <dcterms:created xsi:type="dcterms:W3CDTF">2026-04-24T11:02:00Z</dcterms:created>
  <dcterms:modified xsi:type="dcterms:W3CDTF">2026-04-24T20:57:00Z</dcterms:modified>
</cp:coreProperties>
</file>