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D5007" w14:textId="490F7BF1" w:rsidR="00AF2B23" w:rsidRDefault="00AF2B23" w:rsidP="00AF2B23">
      <w:r>
        <w:rPr>
          <w:noProof/>
        </w:rPr>
        <w:drawing>
          <wp:inline distT="0" distB="0" distL="0" distR="0" wp14:anchorId="7212AF9A" wp14:editId="708E52F0">
            <wp:extent cx="4417454" cy="1648460"/>
            <wp:effectExtent l="0" t="0" r="0" b="0"/>
            <wp:docPr id="112760165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3292" cy="1650638"/>
                    </a:xfrm>
                    <a:prstGeom prst="rect">
                      <a:avLst/>
                    </a:prstGeom>
                    <a:noFill/>
                    <a:ln>
                      <a:noFill/>
                    </a:ln>
                  </pic:spPr>
                </pic:pic>
              </a:graphicData>
            </a:graphic>
          </wp:inline>
        </w:drawing>
      </w:r>
      <w:r>
        <w:t xml:space="preserve">      </w:t>
      </w:r>
    </w:p>
    <w:p w14:paraId="5D98386B" w14:textId="77777777" w:rsidR="00AF2B23" w:rsidRDefault="00AF2B23" w:rsidP="00AF2B23"/>
    <w:p w14:paraId="3E87BB06" w14:textId="3F172ACF" w:rsidR="00882043" w:rsidRPr="00882043" w:rsidRDefault="00AF2B23" w:rsidP="00AF2B23">
      <w:r>
        <w:t xml:space="preserve">                              </w:t>
      </w:r>
      <w:r w:rsidRPr="00420774">
        <w:rPr>
          <w:b/>
          <w:bCs/>
          <w:sz w:val="32"/>
          <w:szCs w:val="32"/>
        </w:rPr>
        <w:t>UNIVERSITY OF WALES TRINITY SAINT DAVID</w:t>
      </w:r>
    </w:p>
    <w:p w14:paraId="4AA07656" w14:textId="77777777" w:rsidR="00882043" w:rsidRDefault="00882043" w:rsidP="006345D6">
      <w:pPr>
        <w:pStyle w:val="Heading1"/>
        <w:spacing w:line="360" w:lineRule="auto"/>
        <w:rPr>
          <w:rFonts w:ascii="Arial" w:hAnsi="Arial" w:cs="Arial"/>
          <w:sz w:val="28"/>
          <w:szCs w:val="28"/>
        </w:rPr>
      </w:pPr>
    </w:p>
    <w:p w14:paraId="2E9FDA33" w14:textId="77777777" w:rsidR="00AF2B23" w:rsidRDefault="00AF2B23" w:rsidP="00AF2B23">
      <w:pPr>
        <w:jc w:val="center"/>
        <w:rPr>
          <w:b/>
          <w:sz w:val="52"/>
          <w:szCs w:val="52"/>
        </w:rPr>
      </w:pPr>
    </w:p>
    <w:p w14:paraId="41FC5F2C" w14:textId="77DB2ED0" w:rsidR="00AF2B23" w:rsidRPr="00AF2B23" w:rsidRDefault="00AF2B23" w:rsidP="00AF2B23">
      <w:pPr>
        <w:jc w:val="center"/>
        <w:rPr>
          <w:b/>
          <w:sz w:val="52"/>
          <w:szCs w:val="52"/>
        </w:rPr>
      </w:pPr>
      <w:r w:rsidRPr="00AF2B23">
        <w:rPr>
          <w:b/>
          <w:sz w:val="52"/>
          <w:szCs w:val="52"/>
        </w:rPr>
        <w:t>Managing People</w:t>
      </w:r>
    </w:p>
    <w:p w14:paraId="7354B58E" w14:textId="1AF5548B" w:rsidR="006345D6" w:rsidRPr="00AF2B23" w:rsidRDefault="00AF2B23" w:rsidP="00AF2B23">
      <w:pPr>
        <w:jc w:val="center"/>
        <w:rPr>
          <w:b/>
          <w:sz w:val="52"/>
          <w:szCs w:val="52"/>
        </w:rPr>
      </w:pPr>
      <w:r w:rsidRPr="00AF2B23">
        <w:rPr>
          <w:b/>
          <w:sz w:val="52"/>
          <w:szCs w:val="52"/>
        </w:rPr>
        <w:t>(</w:t>
      </w:r>
      <w:r w:rsidRPr="00AF2B23">
        <w:rPr>
          <w:b/>
          <w:sz w:val="52"/>
          <w:szCs w:val="52"/>
        </w:rPr>
        <w:t>LCBB5004</w:t>
      </w:r>
      <w:r w:rsidRPr="00AF2B23">
        <w:rPr>
          <w:b/>
          <w:sz w:val="52"/>
          <w:szCs w:val="52"/>
        </w:rPr>
        <w:t>)</w:t>
      </w:r>
    </w:p>
    <w:p w14:paraId="507DC780" w14:textId="77777777" w:rsidR="00AF2B23" w:rsidRDefault="00AF2B23" w:rsidP="006345D6">
      <w:pPr>
        <w:rPr>
          <w:b/>
        </w:rPr>
      </w:pPr>
    </w:p>
    <w:p w14:paraId="6C03BF6C" w14:textId="77777777" w:rsidR="00AF2B23" w:rsidRPr="00AF2B23" w:rsidRDefault="00AF2B23" w:rsidP="00AF2B23">
      <w:pPr>
        <w:jc w:val="center"/>
        <w:rPr>
          <w:sz w:val="56"/>
          <w:szCs w:val="56"/>
        </w:rPr>
      </w:pPr>
    </w:p>
    <w:p w14:paraId="12472F7F" w14:textId="77777777" w:rsidR="00AF2B23" w:rsidRPr="00AF2B23" w:rsidRDefault="00AF2B23" w:rsidP="00AF2B23">
      <w:pPr>
        <w:spacing w:after="0"/>
        <w:ind w:left="2"/>
        <w:jc w:val="center"/>
        <w:rPr>
          <w:b/>
          <w:sz w:val="56"/>
          <w:szCs w:val="56"/>
        </w:rPr>
      </w:pPr>
      <w:r w:rsidRPr="00AF2B23">
        <w:rPr>
          <w:b/>
          <w:sz w:val="56"/>
          <w:szCs w:val="56"/>
        </w:rPr>
        <w:t>Assessment Component 2</w:t>
      </w:r>
    </w:p>
    <w:p w14:paraId="0A18D862" w14:textId="4FF5D641" w:rsidR="00AF2B23" w:rsidRPr="00AF2B23" w:rsidRDefault="00AF2B23" w:rsidP="00AF2B23">
      <w:pPr>
        <w:jc w:val="center"/>
        <w:rPr>
          <w:sz w:val="56"/>
          <w:szCs w:val="56"/>
        </w:rPr>
      </w:pPr>
      <w:r w:rsidRPr="00AF2B23">
        <w:rPr>
          <w:sz w:val="56"/>
          <w:szCs w:val="56"/>
        </w:rPr>
        <w:t>Individual report</w:t>
      </w:r>
    </w:p>
    <w:p w14:paraId="740CE4A6" w14:textId="77777777" w:rsidR="00AF2B23" w:rsidRDefault="00AF2B23" w:rsidP="006345D6"/>
    <w:p w14:paraId="65B012C5" w14:textId="77777777" w:rsidR="00AF2B23" w:rsidRDefault="00AF2B23" w:rsidP="00AF2B23">
      <w:pPr>
        <w:jc w:val="center"/>
        <w:rPr>
          <w:rFonts w:ascii="Arial" w:hAnsi="Arial" w:cs="Arial"/>
          <w:b/>
          <w:bCs/>
          <w:sz w:val="28"/>
          <w:szCs w:val="28"/>
        </w:rPr>
      </w:pPr>
    </w:p>
    <w:p w14:paraId="081FD591" w14:textId="77777777" w:rsidR="00AF2B23" w:rsidRDefault="00AF2B23" w:rsidP="00AF2B23">
      <w:pPr>
        <w:jc w:val="center"/>
        <w:rPr>
          <w:rFonts w:ascii="Arial" w:hAnsi="Arial" w:cs="Arial"/>
          <w:b/>
          <w:bCs/>
          <w:sz w:val="28"/>
          <w:szCs w:val="28"/>
        </w:rPr>
      </w:pPr>
    </w:p>
    <w:p w14:paraId="5F027E85" w14:textId="77777777" w:rsidR="00AF2B23" w:rsidRDefault="00AF2B23" w:rsidP="00AF2B23">
      <w:pPr>
        <w:jc w:val="center"/>
        <w:rPr>
          <w:rFonts w:ascii="Arial" w:hAnsi="Arial" w:cs="Arial"/>
          <w:b/>
          <w:bCs/>
          <w:sz w:val="28"/>
          <w:szCs w:val="28"/>
        </w:rPr>
      </w:pPr>
    </w:p>
    <w:p w14:paraId="5F8802A5" w14:textId="7DBC9CEA" w:rsidR="00AF2B23" w:rsidRPr="00420774" w:rsidRDefault="00AF2B23" w:rsidP="00AF2B23">
      <w:pPr>
        <w:jc w:val="center"/>
        <w:rPr>
          <w:rFonts w:ascii="Arial" w:hAnsi="Arial" w:cs="Arial"/>
          <w:b/>
          <w:bCs/>
          <w:sz w:val="28"/>
          <w:szCs w:val="28"/>
        </w:rPr>
      </w:pPr>
      <w:r w:rsidRPr="00420774">
        <w:rPr>
          <w:rFonts w:ascii="Arial" w:hAnsi="Arial" w:cs="Arial"/>
          <w:b/>
          <w:bCs/>
          <w:sz w:val="28"/>
          <w:szCs w:val="28"/>
        </w:rPr>
        <w:t>Name of student: Sorina-Iulia Cosa</w:t>
      </w:r>
    </w:p>
    <w:p w14:paraId="7FDA55DE" w14:textId="77777777" w:rsidR="00AF2B23" w:rsidRPr="00420774" w:rsidRDefault="00AF2B23" w:rsidP="00AF2B23">
      <w:pPr>
        <w:jc w:val="center"/>
        <w:rPr>
          <w:rFonts w:ascii="Arial" w:hAnsi="Arial" w:cs="Arial"/>
          <w:b/>
          <w:bCs/>
          <w:sz w:val="28"/>
          <w:szCs w:val="28"/>
        </w:rPr>
      </w:pPr>
      <w:r w:rsidRPr="00420774">
        <w:rPr>
          <w:rFonts w:ascii="Arial" w:hAnsi="Arial" w:cs="Arial"/>
          <w:b/>
          <w:bCs/>
          <w:sz w:val="28"/>
          <w:szCs w:val="28"/>
        </w:rPr>
        <w:t>Student ID: 2211474</w:t>
      </w:r>
    </w:p>
    <w:p w14:paraId="761D355C" w14:textId="77777777" w:rsidR="00AF2B23" w:rsidRPr="00420774" w:rsidRDefault="00AF2B23" w:rsidP="00AF2B23">
      <w:pPr>
        <w:jc w:val="center"/>
        <w:rPr>
          <w:rFonts w:ascii="Arial" w:hAnsi="Arial" w:cs="Arial"/>
          <w:b/>
          <w:bCs/>
          <w:sz w:val="28"/>
          <w:szCs w:val="28"/>
        </w:rPr>
      </w:pPr>
    </w:p>
    <w:p w14:paraId="588D5350" w14:textId="3B35B24E" w:rsidR="00AF2B23" w:rsidRDefault="00AF2B23" w:rsidP="00AF2B23">
      <w:pPr>
        <w:spacing w:after="0"/>
        <w:jc w:val="center"/>
      </w:pPr>
      <w:r w:rsidRPr="00420774">
        <w:rPr>
          <w:rFonts w:ascii="Arial" w:hAnsi="Arial" w:cs="Arial"/>
          <w:b/>
          <w:bCs/>
          <w:sz w:val="28"/>
          <w:szCs w:val="28"/>
        </w:rPr>
        <w:t xml:space="preserve">Name of lecturer: </w:t>
      </w:r>
      <w:r w:rsidRPr="00AF2B23">
        <w:rPr>
          <w:rFonts w:ascii="Arial" w:hAnsi="Arial" w:cs="Arial"/>
          <w:b/>
          <w:bCs/>
          <w:sz w:val="28"/>
          <w:szCs w:val="28"/>
        </w:rPr>
        <w:t>Dr Dennis Peppl</w:t>
      </w:r>
      <w:r w:rsidR="000A1D8F">
        <w:rPr>
          <w:rFonts w:ascii="Arial" w:hAnsi="Arial" w:cs="Arial"/>
          <w:b/>
          <w:bCs/>
          <w:sz w:val="28"/>
          <w:szCs w:val="28"/>
        </w:rPr>
        <w:t>e</w:t>
      </w:r>
    </w:p>
    <w:p w14:paraId="2B60CC57" w14:textId="77777777" w:rsidR="006345D6" w:rsidRDefault="006345D6" w:rsidP="006345D6"/>
    <w:p w14:paraId="03EAB491" w14:textId="77777777" w:rsidR="006345D6" w:rsidRDefault="006345D6" w:rsidP="006345D6"/>
    <w:sdt>
      <w:sdtPr>
        <w:id w:val="56029422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45829B16" w14:textId="51A060EA" w:rsidR="00AF2B23" w:rsidRDefault="00AF2B23">
          <w:pPr>
            <w:pStyle w:val="TOCHeading"/>
          </w:pPr>
          <w:r>
            <w:t>Contents</w:t>
          </w:r>
        </w:p>
        <w:p w14:paraId="43F817DE" w14:textId="15A0DB5A" w:rsidR="00AF2B23" w:rsidRPr="00AF2B23" w:rsidRDefault="00AF2B23">
          <w:pPr>
            <w:pStyle w:val="TOC1"/>
            <w:tabs>
              <w:tab w:val="left" w:pos="440"/>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51062067" w:history="1">
            <w:r w:rsidRPr="00FD0D3D">
              <w:rPr>
                <w:rStyle w:val="Hyperlink"/>
                <w:rFonts w:ascii="Arial" w:hAnsi="Arial" w:cs="Arial"/>
                <w:noProof/>
              </w:rPr>
              <w:t>1.</w:t>
            </w:r>
            <w:r w:rsidRPr="00AF2B23">
              <w:rPr>
                <w:rFonts w:eastAsiaTheme="minorEastAsia"/>
                <w:noProof/>
                <w:kern w:val="2"/>
                <w:lang w:eastAsia="en-GB"/>
              </w:rPr>
              <w:tab/>
            </w:r>
            <w:r w:rsidRPr="00FD0D3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_Toc151062067 \h </w:instrText>
            </w:r>
            <w:r>
              <w:rPr>
                <w:noProof/>
                <w:webHidden/>
              </w:rPr>
            </w:r>
            <w:r>
              <w:rPr>
                <w:noProof/>
                <w:webHidden/>
              </w:rPr>
              <w:fldChar w:fldCharType="separate"/>
            </w:r>
            <w:r>
              <w:rPr>
                <w:noProof/>
                <w:webHidden/>
              </w:rPr>
              <w:t>3</w:t>
            </w:r>
            <w:r>
              <w:rPr>
                <w:noProof/>
                <w:webHidden/>
              </w:rPr>
              <w:fldChar w:fldCharType="end"/>
            </w:r>
          </w:hyperlink>
        </w:p>
        <w:p w14:paraId="1FB88B8C" w14:textId="79D13FB8" w:rsidR="00AF2B23" w:rsidRPr="00AF2B23" w:rsidRDefault="00AF2B23">
          <w:pPr>
            <w:pStyle w:val="TOC1"/>
            <w:tabs>
              <w:tab w:val="left" w:pos="440"/>
              <w:tab w:val="right" w:leader="dot" w:pos="9016"/>
            </w:tabs>
            <w:rPr>
              <w:rFonts w:eastAsiaTheme="minorEastAsia"/>
              <w:noProof/>
              <w:kern w:val="2"/>
              <w:lang w:eastAsia="en-GB"/>
            </w:rPr>
          </w:pPr>
          <w:hyperlink w:anchor="_Toc151062068" w:history="1">
            <w:r w:rsidRPr="00FD0D3D">
              <w:rPr>
                <w:rStyle w:val="Hyperlink"/>
                <w:rFonts w:ascii="Arial" w:hAnsi="Arial" w:cs="Arial"/>
                <w:noProof/>
              </w:rPr>
              <w:t>2.</w:t>
            </w:r>
            <w:r w:rsidRPr="00AF2B23">
              <w:rPr>
                <w:rFonts w:eastAsiaTheme="minorEastAsia"/>
                <w:noProof/>
                <w:kern w:val="2"/>
                <w:lang w:eastAsia="en-GB"/>
              </w:rPr>
              <w:tab/>
            </w:r>
            <w:r w:rsidRPr="00FD0D3D">
              <w:rPr>
                <w:rStyle w:val="Hyperlink"/>
                <w:rFonts w:ascii="Arial" w:hAnsi="Arial" w:cs="Arial"/>
                <w:noProof/>
              </w:rPr>
              <w:t>Benefits of implementing flexible working strategies into the organisation.</w:t>
            </w:r>
            <w:r>
              <w:rPr>
                <w:noProof/>
                <w:webHidden/>
              </w:rPr>
              <w:tab/>
            </w:r>
            <w:r>
              <w:rPr>
                <w:noProof/>
                <w:webHidden/>
              </w:rPr>
              <w:fldChar w:fldCharType="begin"/>
            </w:r>
            <w:r>
              <w:rPr>
                <w:noProof/>
                <w:webHidden/>
              </w:rPr>
              <w:instrText xml:space="preserve"> PAGEREF _Toc151062068 \h </w:instrText>
            </w:r>
            <w:r>
              <w:rPr>
                <w:noProof/>
                <w:webHidden/>
              </w:rPr>
            </w:r>
            <w:r>
              <w:rPr>
                <w:noProof/>
                <w:webHidden/>
              </w:rPr>
              <w:fldChar w:fldCharType="separate"/>
            </w:r>
            <w:r>
              <w:rPr>
                <w:noProof/>
                <w:webHidden/>
              </w:rPr>
              <w:t>4</w:t>
            </w:r>
            <w:r>
              <w:rPr>
                <w:noProof/>
                <w:webHidden/>
              </w:rPr>
              <w:fldChar w:fldCharType="end"/>
            </w:r>
          </w:hyperlink>
        </w:p>
        <w:p w14:paraId="05CE42EB" w14:textId="21D5ABD0" w:rsidR="00AF2B23" w:rsidRPr="00AF2B23" w:rsidRDefault="00AF2B23">
          <w:pPr>
            <w:pStyle w:val="TOC1"/>
            <w:tabs>
              <w:tab w:val="left" w:pos="440"/>
              <w:tab w:val="right" w:leader="dot" w:pos="9016"/>
            </w:tabs>
            <w:rPr>
              <w:rFonts w:eastAsiaTheme="minorEastAsia"/>
              <w:noProof/>
              <w:kern w:val="2"/>
              <w:lang w:eastAsia="en-GB"/>
            </w:rPr>
          </w:pPr>
          <w:hyperlink w:anchor="_Toc151062069" w:history="1">
            <w:r w:rsidRPr="00FD0D3D">
              <w:rPr>
                <w:rStyle w:val="Hyperlink"/>
                <w:rFonts w:ascii="Arial" w:hAnsi="Arial" w:cs="Arial"/>
                <w:noProof/>
              </w:rPr>
              <w:t>3.</w:t>
            </w:r>
            <w:r w:rsidRPr="00AF2B23">
              <w:rPr>
                <w:rFonts w:eastAsiaTheme="minorEastAsia"/>
                <w:noProof/>
                <w:kern w:val="2"/>
                <w:lang w:eastAsia="en-GB"/>
              </w:rPr>
              <w:tab/>
            </w:r>
            <w:r w:rsidRPr="00FD0D3D">
              <w:rPr>
                <w:rStyle w:val="Hyperlink"/>
                <w:rFonts w:ascii="Arial" w:hAnsi="Arial" w:cs="Arial"/>
                <w:noProof/>
              </w:rPr>
              <w:t>Considerations before implementing flexible working to the employee workforce.</w:t>
            </w:r>
            <w:r>
              <w:rPr>
                <w:noProof/>
                <w:webHidden/>
              </w:rPr>
              <w:tab/>
            </w:r>
            <w:r>
              <w:rPr>
                <w:noProof/>
                <w:webHidden/>
              </w:rPr>
              <w:fldChar w:fldCharType="begin"/>
            </w:r>
            <w:r>
              <w:rPr>
                <w:noProof/>
                <w:webHidden/>
              </w:rPr>
              <w:instrText xml:space="preserve"> PAGEREF _Toc151062069 \h </w:instrText>
            </w:r>
            <w:r>
              <w:rPr>
                <w:noProof/>
                <w:webHidden/>
              </w:rPr>
            </w:r>
            <w:r>
              <w:rPr>
                <w:noProof/>
                <w:webHidden/>
              </w:rPr>
              <w:fldChar w:fldCharType="separate"/>
            </w:r>
            <w:r>
              <w:rPr>
                <w:noProof/>
                <w:webHidden/>
              </w:rPr>
              <w:t>5</w:t>
            </w:r>
            <w:r>
              <w:rPr>
                <w:noProof/>
                <w:webHidden/>
              </w:rPr>
              <w:fldChar w:fldCharType="end"/>
            </w:r>
          </w:hyperlink>
        </w:p>
        <w:p w14:paraId="54E9E8AB" w14:textId="65C3AD24" w:rsidR="00AF2B23" w:rsidRPr="00AF2B23" w:rsidRDefault="00AF2B23">
          <w:pPr>
            <w:pStyle w:val="TOC1"/>
            <w:tabs>
              <w:tab w:val="left" w:pos="440"/>
              <w:tab w:val="right" w:leader="dot" w:pos="9016"/>
            </w:tabs>
            <w:rPr>
              <w:rFonts w:eastAsiaTheme="minorEastAsia"/>
              <w:noProof/>
              <w:kern w:val="2"/>
              <w:lang w:eastAsia="en-GB"/>
            </w:rPr>
          </w:pPr>
          <w:hyperlink w:anchor="_Toc151062070" w:history="1">
            <w:r w:rsidRPr="00FD0D3D">
              <w:rPr>
                <w:rStyle w:val="Hyperlink"/>
                <w:rFonts w:ascii="Arial" w:hAnsi="Arial" w:cs="Arial"/>
                <w:noProof/>
              </w:rPr>
              <w:t>4.</w:t>
            </w:r>
            <w:r w:rsidRPr="00AF2B23">
              <w:rPr>
                <w:rFonts w:eastAsiaTheme="minorEastAsia"/>
                <w:noProof/>
                <w:kern w:val="2"/>
                <w:lang w:eastAsia="en-GB"/>
              </w:rPr>
              <w:tab/>
            </w:r>
            <w:r w:rsidRPr="00FD0D3D">
              <w:rPr>
                <w:rStyle w:val="Hyperlink"/>
                <w:rFonts w:ascii="Arial" w:hAnsi="Arial" w:cs="Arial"/>
                <w:noProof/>
              </w:rPr>
              <w:t>Pay structure</w:t>
            </w:r>
            <w:r>
              <w:rPr>
                <w:noProof/>
                <w:webHidden/>
              </w:rPr>
              <w:tab/>
            </w:r>
            <w:r>
              <w:rPr>
                <w:noProof/>
                <w:webHidden/>
              </w:rPr>
              <w:fldChar w:fldCharType="begin"/>
            </w:r>
            <w:r>
              <w:rPr>
                <w:noProof/>
                <w:webHidden/>
              </w:rPr>
              <w:instrText xml:space="preserve"> PAGEREF _Toc151062070 \h </w:instrText>
            </w:r>
            <w:r>
              <w:rPr>
                <w:noProof/>
                <w:webHidden/>
              </w:rPr>
            </w:r>
            <w:r>
              <w:rPr>
                <w:noProof/>
                <w:webHidden/>
              </w:rPr>
              <w:fldChar w:fldCharType="separate"/>
            </w:r>
            <w:r>
              <w:rPr>
                <w:noProof/>
                <w:webHidden/>
              </w:rPr>
              <w:t>7</w:t>
            </w:r>
            <w:r>
              <w:rPr>
                <w:noProof/>
                <w:webHidden/>
              </w:rPr>
              <w:fldChar w:fldCharType="end"/>
            </w:r>
          </w:hyperlink>
        </w:p>
        <w:p w14:paraId="2C8FC3E9" w14:textId="1BF223E6" w:rsidR="00AF2B23" w:rsidRPr="00AF2B23" w:rsidRDefault="00AF2B23">
          <w:pPr>
            <w:pStyle w:val="TOC1"/>
            <w:tabs>
              <w:tab w:val="left" w:pos="440"/>
              <w:tab w:val="right" w:leader="dot" w:pos="9016"/>
            </w:tabs>
            <w:rPr>
              <w:rFonts w:eastAsiaTheme="minorEastAsia"/>
              <w:noProof/>
              <w:kern w:val="2"/>
              <w:lang w:eastAsia="en-GB"/>
            </w:rPr>
          </w:pPr>
          <w:hyperlink w:anchor="_Toc151062071" w:history="1">
            <w:r w:rsidRPr="00FD0D3D">
              <w:rPr>
                <w:rStyle w:val="Hyperlink"/>
                <w:rFonts w:ascii="Arial" w:hAnsi="Arial" w:cs="Arial"/>
                <w:noProof/>
              </w:rPr>
              <w:t>5.</w:t>
            </w:r>
            <w:r w:rsidRPr="00AF2B23">
              <w:rPr>
                <w:rFonts w:eastAsiaTheme="minorEastAsia"/>
                <w:noProof/>
                <w:kern w:val="2"/>
                <w:lang w:eastAsia="en-GB"/>
              </w:rPr>
              <w:tab/>
            </w:r>
            <w:r w:rsidRPr="00FD0D3D">
              <w:rPr>
                <w:rStyle w:val="Hyperlink"/>
                <w:rFonts w:ascii="Arial" w:hAnsi="Arial" w:cs="Arial"/>
                <w:noProof/>
              </w:rPr>
              <w:t>Strategies to promote employee engagement</w:t>
            </w:r>
            <w:r>
              <w:rPr>
                <w:noProof/>
                <w:webHidden/>
              </w:rPr>
              <w:tab/>
            </w:r>
            <w:r>
              <w:rPr>
                <w:noProof/>
                <w:webHidden/>
              </w:rPr>
              <w:fldChar w:fldCharType="begin"/>
            </w:r>
            <w:r>
              <w:rPr>
                <w:noProof/>
                <w:webHidden/>
              </w:rPr>
              <w:instrText xml:space="preserve"> PAGEREF _Toc151062071 \h </w:instrText>
            </w:r>
            <w:r>
              <w:rPr>
                <w:noProof/>
                <w:webHidden/>
              </w:rPr>
            </w:r>
            <w:r>
              <w:rPr>
                <w:noProof/>
                <w:webHidden/>
              </w:rPr>
              <w:fldChar w:fldCharType="separate"/>
            </w:r>
            <w:r>
              <w:rPr>
                <w:noProof/>
                <w:webHidden/>
              </w:rPr>
              <w:t>8</w:t>
            </w:r>
            <w:r>
              <w:rPr>
                <w:noProof/>
                <w:webHidden/>
              </w:rPr>
              <w:fldChar w:fldCharType="end"/>
            </w:r>
          </w:hyperlink>
        </w:p>
        <w:p w14:paraId="225B88AE" w14:textId="5197AFC3" w:rsidR="00AF2B23" w:rsidRPr="00AF2B23" w:rsidRDefault="00AF2B23">
          <w:pPr>
            <w:pStyle w:val="TOC1"/>
            <w:tabs>
              <w:tab w:val="left" w:pos="440"/>
              <w:tab w:val="right" w:leader="dot" w:pos="9016"/>
            </w:tabs>
            <w:rPr>
              <w:rFonts w:eastAsiaTheme="minorEastAsia"/>
              <w:noProof/>
              <w:kern w:val="2"/>
              <w:lang w:eastAsia="en-GB"/>
            </w:rPr>
          </w:pPr>
          <w:hyperlink w:anchor="_Toc151062072" w:history="1">
            <w:r w:rsidRPr="00FD0D3D">
              <w:rPr>
                <w:rStyle w:val="Hyperlink"/>
                <w:rFonts w:ascii="Arial" w:hAnsi="Arial" w:cs="Arial"/>
                <w:noProof/>
              </w:rPr>
              <w:t>6.</w:t>
            </w:r>
            <w:r w:rsidRPr="00AF2B23">
              <w:rPr>
                <w:rFonts w:eastAsiaTheme="minorEastAsia"/>
                <w:noProof/>
                <w:kern w:val="2"/>
                <w:lang w:eastAsia="en-GB"/>
              </w:rPr>
              <w:tab/>
            </w:r>
            <w:r w:rsidRPr="00FD0D3D">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_Toc151062072 \h </w:instrText>
            </w:r>
            <w:r>
              <w:rPr>
                <w:noProof/>
                <w:webHidden/>
              </w:rPr>
            </w:r>
            <w:r>
              <w:rPr>
                <w:noProof/>
                <w:webHidden/>
              </w:rPr>
              <w:fldChar w:fldCharType="separate"/>
            </w:r>
            <w:r>
              <w:rPr>
                <w:noProof/>
                <w:webHidden/>
              </w:rPr>
              <w:t>10</w:t>
            </w:r>
            <w:r>
              <w:rPr>
                <w:noProof/>
                <w:webHidden/>
              </w:rPr>
              <w:fldChar w:fldCharType="end"/>
            </w:r>
          </w:hyperlink>
        </w:p>
        <w:p w14:paraId="2C97362E" w14:textId="55FC4F28" w:rsidR="00AF2B23" w:rsidRPr="00AF2B23" w:rsidRDefault="00AF2B23">
          <w:pPr>
            <w:pStyle w:val="TOC1"/>
            <w:tabs>
              <w:tab w:val="left" w:pos="440"/>
              <w:tab w:val="right" w:leader="dot" w:pos="9016"/>
            </w:tabs>
            <w:rPr>
              <w:rFonts w:eastAsiaTheme="minorEastAsia"/>
              <w:noProof/>
              <w:kern w:val="2"/>
              <w:lang w:eastAsia="en-GB"/>
            </w:rPr>
          </w:pPr>
          <w:hyperlink w:anchor="_Toc151062073" w:history="1">
            <w:r w:rsidRPr="00FD0D3D">
              <w:rPr>
                <w:rStyle w:val="Hyperlink"/>
                <w:rFonts w:ascii="Arial" w:hAnsi="Arial" w:cs="Arial"/>
                <w:noProof/>
              </w:rPr>
              <w:t>7.</w:t>
            </w:r>
            <w:r w:rsidRPr="00AF2B23">
              <w:rPr>
                <w:rFonts w:eastAsiaTheme="minorEastAsia"/>
                <w:noProof/>
                <w:kern w:val="2"/>
                <w:lang w:eastAsia="en-GB"/>
              </w:rPr>
              <w:tab/>
            </w:r>
            <w:r w:rsidRPr="00FD0D3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_Toc151062073 \h </w:instrText>
            </w:r>
            <w:r>
              <w:rPr>
                <w:noProof/>
                <w:webHidden/>
              </w:rPr>
            </w:r>
            <w:r>
              <w:rPr>
                <w:noProof/>
                <w:webHidden/>
              </w:rPr>
              <w:fldChar w:fldCharType="separate"/>
            </w:r>
            <w:r>
              <w:rPr>
                <w:noProof/>
                <w:webHidden/>
              </w:rPr>
              <w:t>10</w:t>
            </w:r>
            <w:r>
              <w:rPr>
                <w:noProof/>
                <w:webHidden/>
              </w:rPr>
              <w:fldChar w:fldCharType="end"/>
            </w:r>
          </w:hyperlink>
        </w:p>
        <w:p w14:paraId="40065AAD" w14:textId="79C0B28A" w:rsidR="00AF2B23" w:rsidRPr="00AF2B23" w:rsidRDefault="00AF2B23">
          <w:pPr>
            <w:pStyle w:val="TOC1"/>
            <w:tabs>
              <w:tab w:val="left" w:pos="440"/>
              <w:tab w:val="right" w:leader="dot" w:pos="9016"/>
            </w:tabs>
            <w:rPr>
              <w:rFonts w:eastAsiaTheme="minorEastAsia"/>
              <w:noProof/>
              <w:kern w:val="2"/>
              <w:lang w:eastAsia="en-GB"/>
            </w:rPr>
          </w:pPr>
          <w:hyperlink w:anchor="_Toc151062074" w:history="1">
            <w:r w:rsidRPr="00FD0D3D">
              <w:rPr>
                <w:rStyle w:val="Hyperlink"/>
                <w:rFonts w:ascii="Arial" w:hAnsi="Arial" w:cs="Arial"/>
                <w:noProof/>
              </w:rPr>
              <w:t>8.</w:t>
            </w:r>
            <w:r w:rsidRPr="00AF2B23">
              <w:rPr>
                <w:rFonts w:eastAsiaTheme="minorEastAsia"/>
                <w:noProof/>
                <w:kern w:val="2"/>
                <w:lang w:eastAsia="en-GB"/>
              </w:rPr>
              <w:tab/>
            </w:r>
            <w:r w:rsidRPr="00FD0D3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_Toc151062074 \h </w:instrText>
            </w:r>
            <w:r>
              <w:rPr>
                <w:noProof/>
                <w:webHidden/>
              </w:rPr>
            </w:r>
            <w:r>
              <w:rPr>
                <w:noProof/>
                <w:webHidden/>
              </w:rPr>
              <w:fldChar w:fldCharType="separate"/>
            </w:r>
            <w:r>
              <w:rPr>
                <w:noProof/>
                <w:webHidden/>
              </w:rPr>
              <w:t>11</w:t>
            </w:r>
            <w:r>
              <w:rPr>
                <w:noProof/>
                <w:webHidden/>
              </w:rPr>
              <w:fldChar w:fldCharType="end"/>
            </w:r>
          </w:hyperlink>
        </w:p>
        <w:p w14:paraId="3E847C8D" w14:textId="150DE895" w:rsidR="00AF2B23" w:rsidRDefault="00AF2B23">
          <w:r>
            <w:rPr>
              <w:b/>
              <w:bCs/>
            </w:rPr>
            <w:fldChar w:fldCharType="end"/>
          </w:r>
        </w:p>
      </w:sdtContent>
    </w:sdt>
    <w:p w14:paraId="27B6E221" w14:textId="77777777" w:rsidR="00882043" w:rsidRDefault="00882043" w:rsidP="006345D6">
      <w:pPr>
        <w:spacing w:line="360" w:lineRule="auto"/>
        <w:rPr>
          <w:rFonts w:ascii="Arial" w:hAnsi="Arial" w:cs="Arial"/>
          <w:sz w:val="28"/>
          <w:szCs w:val="28"/>
        </w:rPr>
      </w:pPr>
    </w:p>
    <w:p w14:paraId="083EFF7C" w14:textId="77777777" w:rsidR="00AF2B23" w:rsidRDefault="00AF2B23" w:rsidP="006345D6">
      <w:pPr>
        <w:spacing w:line="360" w:lineRule="auto"/>
        <w:rPr>
          <w:rFonts w:ascii="Arial" w:hAnsi="Arial" w:cs="Arial"/>
          <w:sz w:val="28"/>
          <w:szCs w:val="28"/>
        </w:rPr>
      </w:pPr>
    </w:p>
    <w:p w14:paraId="36E7BD2E" w14:textId="77777777" w:rsidR="00AF2B23" w:rsidRDefault="00AF2B23" w:rsidP="006345D6">
      <w:pPr>
        <w:spacing w:line="360" w:lineRule="auto"/>
        <w:rPr>
          <w:rFonts w:ascii="Arial" w:hAnsi="Arial" w:cs="Arial"/>
          <w:sz w:val="28"/>
          <w:szCs w:val="28"/>
        </w:rPr>
      </w:pPr>
    </w:p>
    <w:p w14:paraId="5B9F6AEF" w14:textId="77777777" w:rsidR="00AF2B23" w:rsidRDefault="00AF2B23" w:rsidP="006345D6">
      <w:pPr>
        <w:spacing w:line="360" w:lineRule="auto"/>
        <w:rPr>
          <w:rFonts w:ascii="Arial" w:hAnsi="Arial" w:cs="Arial"/>
          <w:sz w:val="28"/>
          <w:szCs w:val="28"/>
        </w:rPr>
      </w:pPr>
    </w:p>
    <w:p w14:paraId="24F2D6CB" w14:textId="77777777" w:rsidR="00AF2B23" w:rsidRDefault="00AF2B23" w:rsidP="006345D6">
      <w:pPr>
        <w:spacing w:line="360" w:lineRule="auto"/>
        <w:rPr>
          <w:rFonts w:ascii="Arial" w:hAnsi="Arial" w:cs="Arial"/>
          <w:sz w:val="28"/>
          <w:szCs w:val="28"/>
        </w:rPr>
      </w:pPr>
    </w:p>
    <w:p w14:paraId="6CF71B6F" w14:textId="77777777" w:rsidR="00AF2B23" w:rsidRDefault="00AF2B23" w:rsidP="006345D6">
      <w:pPr>
        <w:spacing w:line="360" w:lineRule="auto"/>
        <w:rPr>
          <w:rFonts w:ascii="Arial" w:hAnsi="Arial" w:cs="Arial"/>
          <w:sz w:val="28"/>
          <w:szCs w:val="28"/>
        </w:rPr>
      </w:pPr>
    </w:p>
    <w:p w14:paraId="7D90D140" w14:textId="77777777" w:rsidR="00AF2B23" w:rsidRDefault="00AF2B23" w:rsidP="006345D6">
      <w:pPr>
        <w:spacing w:line="360" w:lineRule="auto"/>
        <w:rPr>
          <w:rFonts w:ascii="Arial" w:hAnsi="Arial" w:cs="Arial"/>
          <w:sz w:val="28"/>
          <w:szCs w:val="28"/>
        </w:rPr>
      </w:pPr>
    </w:p>
    <w:p w14:paraId="0B458B94" w14:textId="77777777" w:rsidR="00AF2B23" w:rsidRDefault="00AF2B23" w:rsidP="006345D6">
      <w:pPr>
        <w:spacing w:line="360" w:lineRule="auto"/>
        <w:rPr>
          <w:rFonts w:ascii="Arial" w:hAnsi="Arial" w:cs="Arial"/>
          <w:sz w:val="28"/>
          <w:szCs w:val="28"/>
        </w:rPr>
      </w:pPr>
    </w:p>
    <w:p w14:paraId="314C54F1" w14:textId="77777777" w:rsidR="00AF2B23" w:rsidRDefault="00AF2B23" w:rsidP="006345D6">
      <w:pPr>
        <w:spacing w:line="360" w:lineRule="auto"/>
        <w:rPr>
          <w:rFonts w:ascii="Arial" w:hAnsi="Arial" w:cs="Arial"/>
          <w:sz w:val="28"/>
          <w:szCs w:val="28"/>
        </w:rPr>
      </w:pPr>
    </w:p>
    <w:p w14:paraId="27391195" w14:textId="77777777" w:rsidR="00AF2B23" w:rsidRDefault="00AF2B23" w:rsidP="006345D6">
      <w:pPr>
        <w:spacing w:line="360" w:lineRule="auto"/>
        <w:rPr>
          <w:rFonts w:ascii="Arial" w:hAnsi="Arial" w:cs="Arial"/>
          <w:sz w:val="28"/>
          <w:szCs w:val="28"/>
        </w:rPr>
      </w:pPr>
    </w:p>
    <w:p w14:paraId="4CFEF13B" w14:textId="77777777" w:rsidR="00AF2B23" w:rsidRDefault="00AF2B23" w:rsidP="006345D6">
      <w:pPr>
        <w:spacing w:line="360" w:lineRule="auto"/>
        <w:rPr>
          <w:rFonts w:ascii="Arial" w:hAnsi="Arial" w:cs="Arial"/>
          <w:sz w:val="28"/>
          <w:szCs w:val="28"/>
        </w:rPr>
      </w:pPr>
    </w:p>
    <w:p w14:paraId="1D1CB138" w14:textId="77777777" w:rsidR="00AF2B23" w:rsidRDefault="00AF2B23" w:rsidP="006345D6">
      <w:pPr>
        <w:spacing w:line="360" w:lineRule="auto"/>
        <w:rPr>
          <w:rFonts w:ascii="Arial" w:hAnsi="Arial" w:cs="Arial"/>
          <w:sz w:val="28"/>
          <w:szCs w:val="28"/>
        </w:rPr>
      </w:pPr>
    </w:p>
    <w:p w14:paraId="2EE7EF7A" w14:textId="77777777" w:rsidR="00AF2B23" w:rsidRPr="00882043" w:rsidRDefault="00AF2B23" w:rsidP="006345D6">
      <w:pPr>
        <w:spacing w:line="360" w:lineRule="auto"/>
        <w:rPr>
          <w:rFonts w:ascii="Arial" w:hAnsi="Arial" w:cs="Arial"/>
          <w:sz w:val="28"/>
          <w:szCs w:val="28"/>
        </w:rPr>
      </w:pPr>
    </w:p>
    <w:p w14:paraId="4F49C884" w14:textId="6A4DE6B2" w:rsidR="00F350FF" w:rsidRDefault="004A5089" w:rsidP="006345D6">
      <w:pPr>
        <w:pStyle w:val="Heading1"/>
        <w:numPr>
          <w:ilvl w:val="0"/>
          <w:numId w:val="3"/>
        </w:numPr>
        <w:spacing w:line="360" w:lineRule="auto"/>
        <w:rPr>
          <w:rFonts w:ascii="Arial" w:hAnsi="Arial" w:cs="Arial"/>
          <w:sz w:val="28"/>
          <w:szCs w:val="28"/>
        </w:rPr>
      </w:pPr>
      <w:bookmarkStart w:id="0" w:name="_Toc151061636"/>
      <w:bookmarkStart w:id="1" w:name="_Toc151062067"/>
      <w:r w:rsidRPr="00882043">
        <w:rPr>
          <w:rFonts w:ascii="Arial" w:hAnsi="Arial" w:cs="Arial"/>
          <w:sz w:val="28"/>
          <w:szCs w:val="28"/>
        </w:rPr>
        <w:lastRenderedPageBreak/>
        <w:t>Introduction</w:t>
      </w:r>
      <w:bookmarkEnd w:id="0"/>
      <w:bookmarkEnd w:id="1"/>
    </w:p>
    <w:p w14:paraId="102F06FF" w14:textId="77777777" w:rsidR="006345D6" w:rsidRPr="006345D6" w:rsidRDefault="006345D6" w:rsidP="006345D6"/>
    <w:p w14:paraId="2A770A04" w14:textId="540B1BAC" w:rsidR="00F350FF" w:rsidRDefault="006A0F0C" w:rsidP="006345D6">
      <w:pPr>
        <w:spacing w:line="360" w:lineRule="auto"/>
        <w:ind w:firstLine="720"/>
        <w:rPr>
          <w:rFonts w:ascii="Arial" w:hAnsi="Arial" w:cs="Arial"/>
          <w:sz w:val="28"/>
          <w:szCs w:val="28"/>
        </w:rPr>
      </w:pPr>
      <w:r w:rsidRPr="00882043">
        <w:rPr>
          <w:rFonts w:ascii="Arial" w:hAnsi="Arial" w:cs="Arial"/>
          <w:sz w:val="28"/>
          <w:szCs w:val="28"/>
        </w:rPr>
        <w:t xml:space="preserve">The strategies employed to manage </w:t>
      </w:r>
      <w:r w:rsidR="00013857" w:rsidRPr="00882043">
        <w:rPr>
          <w:rFonts w:ascii="Arial" w:hAnsi="Arial" w:cs="Arial"/>
          <w:sz w:val="28"/>
          <w:szCs w:val="28"/>
        </w:rPr>
        <w:t>the members of an organisation</w:t>
      </w:r>
      <w:r w:rsidRPr="00882043">
        <w:rPr>
          <w:rFonts w:ascii="Arial" w:hAnsi="Arial" w:cs="Arial"/>
          <w:sz w:val="28"/>
          <w:szCs w:val="28"/>
        </w:rPr>
        <w:t xml:space="preserve"> have evolved in tandem with the workforce. The more specialist the jobs, the more difficult it is to find people with the necessary abilities, credentials, qualities, and experience to fill them. Additionally, it has grown more difficult to retain employees after they land a job since rivals are constantly eager to entice the most skilled workers with greater offers. Employing firms now need to have more advanced methods for employee relations, performance management, retention, recruiting, and selection in addition to the ability to develop people successfully.</w:t>
      </w:r>
      <w:r w:rsidRPr="00882043">
        <w:rPr>
          <w:rFonts w:ascii="Arial" w:hAnsi="Arial" w:cs="Arial"/>
          <w:color w:val="3A3A3A"/>
          <w:sz w:val="28"/>
          <w:szCs w:val="28"/>
          <w:shd w:val="clear" w:color="auto" w:fill="FFFFFF"/>
        </w:rPr>
        <w:t xml:space="preserve"> </w:t>
      </w:r>
      <w:r w:rsidRPr="00882043">
        <w:rPr>
          <w:rFonts w:ascii="Arial" w:hAnsi="Arial" w:cs="Arial"/>
          <w:color w:val="000000"/>
          <w:sz w:val="28"/>
          <w:szCs w:val="28"/>
        </w:rPr>
        <w:t>(Torrington </w:t>
      </w:r>
      <w:r w:rsidRPr="00882043">
        <w:rPr>
          <w:rFonts w:ascii="Arial" w:hAnsi="Arial" w:cs="Arial"/>
          <w:i/>
          <w:iCs/>
          <w:color w:val="000000"/>
          <w:sz w:val="28"/>
          <w:szCs w:val="28"/>
        </w:rPr>
        <w:t>et al.</w:t>
      </w:r>
      <w:r w:rsidRPr="00882043">
        <w:rPr>
          <w:rFonts w:ascii="Arial" w:hAnsi="Arial" w:cs="Arial"/>
          <w:color w:val="000000"/>
          <w:sz w:val="28"/>
          <w:szCs w:val="28"/>
        </w:rPr>
        <w:t>, 2020)</w:t>
      </w:r>
      <w:r w:rsidR="009B7F6B" w:rsidRPr="00882043">
        <w:rPr>
          <w:rFonts w:ascii="Arial" w:hAnsi="Arial" w:cs="Arial"/>
          <w:color w:val="000000"/>
          <w:sz w:val="28"/>
          <w:szCs w:val="28"/>
        </w:rPr>
        <w:t xml:space="preserve"> The employment techniques that are currently widely employed in the service industry are very diverse. Generally speaking, flexible work methods encompass functional, financial, locational, and numerical flexibility. (MacVicar and Ogden, 2001)</w:t>
      </w:r>
      <w:r w:rsidR="00440BDB" w:rsidRPr="00882043">
        <w:rPr>
          <w:rFonts w:ascii="Arial" w:hAnsi="Arial" w:cs="Arial"/>
          <w:color w:val="000000"/>
          <w:sz w:val="28"/>
          <w:szCs w:val="28"/>
        </w:rPr>
        <w:t xml:space="preserve"> By now, the shifting makeup of the labour force—more women, greater ethnic variety, ageing populations, more immigrants, declining educational attainment—is well known. (Rodgers, 1992) Nonetheless, businesses frequently remain uncertain about how these demographic shifts are represented in their own internal labour markets.</w:t>
      </w:r>
      <w:r w:rsidR="00F350FF" w:rsidRPr="00882043">
        <w:rPr>
          <w:rFonts w:ascii="Arial" w:hAnsi="Arial" w:cs="Arial"/>
          <w:sz w:val="28"/>
          <w:szCs w:val="28"/>
        </w:rPr>
        <w:t xml:space="preserve"> </w:t>
      </w:r>
      <w:r w:rsidR="008B5300" w:rsidRPr="00882043">
        <w:rPr>
          <w:rFonts w:ascii="Arial" w:hAnsi="Arial" w:cs="Arial"/>
          <w:sz w:val="28"/>
          <w:szCs w:val="28"/>
        </w:rPr>
        <w:t xml:space="preserve">FitLyfe is - an organisation that hires nutritionists and personal trainers to provide individualised training and diet regimens to clients. As a Human Resources Manager, there are plenty of things to take into consideration and they will be outlined below. </w:t>
      </w:r>
    </w:p>
    <w:p w14:paraId="04BF85E8" w14:textId="77777777" w:rsidR="006345D6" w:rsidRDefault="006345D6" w:rsidP="006345D6">
      <w:pPr>
        <w:spacing w:line="360" w:lineRule="auto"/>
        <w:ind w:firstLine="720"/>
        <w:rPr>
          <w:rFonts w:ascii="Arial" w:hAnsi="Arial" w:cs="Arial"/>
          <w:sz w:val="28"/>
          <w:szCs w:val="28"/>
        </w:rPr>
      </w:pPr>
    </w:p>
    <w:p w14:paraId="1579C5FB" w14:textId="77777777" w:rsidR="006345D6" w:rsidRDefault="006345D6" w:rsidP="006345D6">
      <w:pPr>
        <w:spacing w:line="360" w:lineRule="auto"/>
        <w:ind w:firstLine="720"/>
        <w:rPr>
          <w:rFonts w:ascii="Arial" w:hAnsi="Arial" w:cs="Arial"/>
          <w:sz w:val="28"/>
          <w:szCs w:val="28"/>
        </w:rPr>
      </w:pPr>
    </w:p>
    <w:p w14:paraId="0557E189" w14:textId="77777777" w:rsidR="006345D6" w:rsidRPr="00882043" w:rsidRDefault="006345D6" w:rsidP="006345D6">
      <w:pPr>
        <w:spacing w:line="360" w:lineRule="auto"/>
        <w:ind w:firstLine="720"/>
        <w:rPr>
          <w:rFonts w:ascii="Arial" w:hAnsi="Arial" w:cs="Arial"/>
          <w:sz w:val="28"/>
          <w:szCs w:val="28"/>
        </w:rPr>
      </w:pPr>
    </w:p>
    <w:p w14:paraId="5F04CA48" w14:textId="07518F8B" w:rsidR="006345D6" w:rsidRPr="006345D6" w:rsidRDefault="00882043" w:rsidP="006345D6">
      <w:pPr>
        <w:pStyle w:val="Heading1"/>
        <w:numPr>
          <w:ilvl w:val="0"/>
          <w:numId w:val="3"/>
        </w:numPr>
        <w:spacing w:line="360" w:lineRule="auto"/>
        <w:rPr>
          <w:rFonts w:ascii="Arial" w:hAnsi="Arial" w:cs="Arial"/>
          <w:sz w:val="28"/>
          <w:szCs w:val="28"/>
        </w:rPr>
      </w:pPr>
      <w:bookmarkStart w:id="2" w:name="_Toc151061637"/>
      <w:bookmarkStart w:id="3" w:name="_Toc151062068"/>
      <w:r w:rsidRPr="00882043">
        <w:rPr>
          <w:rFonts w:ascii="Arial" w:hAnsi="Arial" w:cs="Arial"/>
          <w:sz w:val="28"/>
          <w:szCs w:val="28"/>
        </w:rPr>
        <w:lastRenderedPageBreak/>
        <w:t>B</w:t>
      </w:r>
      <w:r w:rsidR="004A5089" w:rsidRPr="00882043">
        <w:rPr>
          <w:rFonts w:ascii="Arial" w:hAnsi="Arial" w:cs="Arial"/>
          <w:sz w:val="28"/>
          <w:szCs w:val="28"/>
        </w:rPr>
        <w:t>enefits of implementing flexible working strategies into the organisation.</w:t>
      </w:r>
      <w:bookmarkEnd w:id="2"/>
      <w:bookmarkEnd w:id="3"/>
    </w:p>
    <w:p w14:paraId="1354466D" w14:textId="77777777" w:rsidR="006345D6" w:rsidRDefault="006345D6" w:rsidP="006345D6">
      <w:pPr>
        <w:spacing w:line="360" w:lineRule="auto"/>
        <w:ind w:firstLine="720"/>
        <w:rPr>
          <w:rFonts w:ascii="Arial" w:hAnsi="Arial" w:cs="Arial"/>
          <w:color w:val="000000"/>
          <w:sz w:val="28"/>
          <w:szCs w:val="28"/>
        </w:rPr>
      </w:pPr>
    </w:p>
    <w:p w14:paraId="70E52CE1" w14:textId="231E8BAE" w:rsidR="00CA458A" w:rsidRPr="00882043" w:rsidRDefault="004A5089"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Flexible working extends beyond the conventional concept of "flexitime" and includes a wide range of innovative working methods. Flexible working is any work arrangement other than full-time, Monday to Friday, "9 to 5," set location, or permanent employment. Mobile technology have helped to increase the flexibility of the workplace. The practise of working from home has grown in popularity as a way to cut down on commute time and stress. Additionally, new types of contracts begin to appear, such family contracts and employment sharing. </w:t>
      </w:r>
      <w:r w:rsidR="00F350FF" w:rsidRPr="00882043">
        <w:rPr>
          <w:rFonts w:ascii="Arial" w:hAnsi="Arial" w:cs="Arial"/>
          <w:color w:val="000000"/>
          <w:sz w:val="28"/>
          <w:szCs w:val="28"/>
        </w:rPr>
        <w:t xml:space="preserve">Improved company performance and more authority for the human resources (HR) department are two benefits of flexible working in an organisation. Evidence suggests that there are advantages to the new flexible working arrangements and contracts, such as decreased absenteeism, more productivity, and fewer staff turnover. </w:t>
      </w:r>
      <w:r w:rsidR="008B5300" w:rsidRPr="00882043">
        <w:rPr>
          <w:rFonts w:ascii="Arial" w:hAnsi="Arial" w:cs="Arial"/>
          <w:color w:val="000000"/>
          <w:sz w:val="28"/>
          <w:szCs w:val="28"/>
        </w:rPr>
        <w:t xml:space="preserve">The implementation of flexible working initiatives may provide several advantages for the company, including enhanced customer satisfaction and service delivery, cost savings, efficiency gains, lower recruiting and retention expenses, favourable environmental effects, and increased staff morale, productivity, and loyalty. </w:t>
      </w:r>
      <w:r w:rsidR="00F350FF" w:rsidRPr="00882043">
        <w:rPr>
          <w:rFonts w:ascii="Arial" w:hAnsi="Arial" w:cs="Arial"/>
          <w:color w:val="000000"/>
          <w:sz w:val="28"/>
          <w:szCs w:val="28"/>
        </w:rPr>
        <w:t>(‘Flexible working as human resources strategy: Benefits to the organization and its personnel’, 2008)</w:t>
      </w:r>
      <w:r w:rsidRPr="00882043">
        <w:rPr>
          <w:rFonts w:ascii="Arial" w:hAnsi="Arial" w:cs="Arial"/>
          <w:color w:val="000000"/>
          <w:sz w:val="28"/>
          <w:szCs w:val="28"/>
        </w:rPr>
        <w:t xml:space="preserve"> </w:t>
      </w:r>
    </w:p>
    <w:p w14:paraId="666F8EBB" w14:textId="3F76D6E2" w:rsidR="006345D6" w:rsidRDefault="004B32A2"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The principal advantages may be divided into productivity - less absenteeism, longer business hours, higher individual performance, more teamwork; personal - decreased travel expenses, better work-life balance, improved office atmosphere; sustainability - a smaller carbon footprint for individuals and organisations; business continuity - less disruptions to operations from bad weather, security breaches, and </w:t>
      </w:r>
      <w:r w:rsidRPr="00882043">
        <w:rPr>
          <w:rFonts w:ascii="Arial" w:hAnsi="Arial" w:cs="Arial"/>
          <w:color w:val="000000"/>
          <w:sz w:val="28"/>
          <w:szCs w:val="28"/>
        </w:rPr>
        <w:lastRenderedPageBreak/>
        <w:t xml:space="preserve">travel-related difficulties; enticement - lower training expenses, more appealing to the upcoming generation of workers, enhanced employee attraction, and less staff attrition and efficiency: decreased turnover, property expenses, and space usage. (Oseland, Webber and Macdonald, 2012) As for FitLyfe, </w:t>
      </w:r>
      <w:r w:rsidR="00C141E8" w:rsidRPr="00882043">
        <w:rPr>
          <w:rFonts w:ascii="Arial" w:hAnsi="Arial" w:cs="Arial"/>
          <w:color w:val="000000"/>
          <w:sz w:val="28"/>
          <w:szCs w:val="28"/>
        </w:rPr>
        <w:t xml:space="preserve">hiring nutritionists and personal trainers, it is convenient to offer flexible working since the nutritionists mostly do their job on the computer and through social media share their knowledge and the personal trainers depend also on the timing of the customers and can adapt. </w:t>
      </w:r>
    </w:p>
    <w:p w14:paraId="262C1E61" w14:textId="77777777" w:rsidR="006345D6" w:rsidRDefault="006345D6" w:rsidP="006345D6">
      <w:pPr>
        <w:spacing w:line="360" w:lineRule="auto"/>
        <w:ind w:firstLine="720"/>
        <w:rPr>
          <w:rFonts w:ascii="Arial" w:hAnsi="Arial" w:cs="Arial"/>
          <w:color w:val="000000"/>
          <w:sz w:val="28"/>
          <w:szCs w:val="28"/>
        </w:rPr>
      </w:pPr>
    </w:p>
    <w:p w14:paraId="0A0E7A92" w14:textId="77777777" w:rsidR="006345D6" w:rsidRPr="00882043" w:rsidRDefault="006345D6" w:rsidP="006345D6">
      <w:pPr>
        <w:spacing w:line="360" w:lineRule="auto"/>
        <w:ind w:firstLine="720"/>
        <w:rPr>
          <w:rFonts w:ascii="Arial" w:hAnsi="Arial" w:cs="Arial"/>
          <w:color w:val="000000"/>
          <w:sz w:val="28"/>
          <w:szCs w:val="28"/>
        </w:rPr>
      </w:pPr>
    </w:p>
    <w:p w14:paraId="6227FAEC" w14:textId="6BA52D5C" w:rsidR="00C141E8" w:rsidRDefault="00196B97" w:rsidP="006345D6">
      <w:pPr>
        <w:pStyle w:val="Heading1"/>
        <w:numPr>
          <w:ilvl w:val="0"/>
          <w:numId w:val="3"/>
        </w:numPr>
        <w:spacing w:line="360" w:lineRule="auto"/>
        <w:rPr>
          <w:rFonts w:ascii="Arial" w:hAnsi="Arial" w:cs="Arial"/>
          <w:sz w:val="28"/>
          <w:szCs w:val="28"/>
        </w:rPr>
      </w:pPr>
      <w:bookmarkStart w:id="4" w:name="_Toc151061638"/>
      <w:bookmarkStart w:id="5" w:name="_Toc151062069"/>
      <w:r w:rsidRPr="00882043">
        <w:rPr>
          <w:rFonts w:ascii="Arial" w:hAnsi="Arial" w:cs="Arial"/>
          <w:sz w:val="28"/>
          <w:szCs w:val="28"/>
        </w:rPr>
        <w:t xml:space="preserve">Considerations before </w:t>
      </w:r>
      <w:r w:rsidR="00C141E8" w:rsidRPr="00882043">
        <w:rPr>
          <w:rFonts w:ascii="Arial" w:hAnsi="Arial" w:cs="Arial"/>
          <w:sz w:val="28"/>
          <w:szCs w:val="28"/>
        </w:rPr>
        <w:t>implementing flexible working to the employee workforce.</w:t>
      </w:r>
      <w:bookmarkEnd w:id="4"/>
      <w:bookmarkEnd w:id="5"/>
    </w:p>
    <w:p w14:paraId="47C604DE" w14:textId="77777777" w:rsidR="006345D6" w:rsidRPr="006345D6" w:rsidRDefault="006345D6" w:rsidP="006345D6"/>
    <w:p w14:paraId="43E26D11" w14:textId="77777777" w:rsidR="00890662" w:rsidRPr="00882043" w:rsidRDefault="007B1E2A"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The benefits of using flexible work arrangements in organisations are closely related to the requirements that these employment practises must meet. Most academics who have studied workplace flexibility concur on the factors that influence businesses' decisions to provide flexible work schedules. The implementation of flexible work arrangements is often motivated by various factors, including cost reductions, workforce flexibility, and screening candidates for permanent positions. These factors should be classified as general motivations as they are mentioned regardless of the specific type of flexible work arrangement. There is proof that a decrease in working hours and an increase in productivity are positively correlated. Thus, it stands to reason that using flexible work schedules, mostly part-time employment, might boost output. (Freches, 2017). </w:t>
      </w:r>
      <w:r w:rsidR="00890662" w:rsidRPr="00882043">
        <w:rPr>
          <w:rFonts w:ascii="Arial" w:hAnsi="Arial" w:cs="Arial"/>
          <w:color w:val="000000"/>
          <w:sz w:val="28"/>
          <w:szCs w:val="28"/>
        </w:rPr>
        <w:t xml:space="preserve">One of the main issues that many workers have is that they are unable to take the necessary time to cope </w:t>
      </w:r>
      <w:r w:rsidR="00890662" w:rsidRPr="00882043">
        <w:rPr>
          <w:rFonts w:ascii="Arial" w:hAnsi="Arial" w:cs="Arial"/>
          <w:color w:val="000000"/>
          <w:sz w:val="28"/>
          <w:szCs w:val="28"/>
        </w:rPr>
        <w:lastRenderedPageBreak/>
        <w:t>with the many (and frequently unanticipated) disruptions that occur in their life.</w:t>
      </w:r>
    </w:p>
    <w:p w14:paraId="4E0C651D" w14:textId="02162A74" w:rsidR="00122F80" w:rsidRPr="00882043" w:rsidRDefault="00890662"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Attending the teacher conference, which is usually held during regular business hours, working from home when a kid is ill, and accompanying a fragile mother to doctor's appointments are examples of regular disruptions that may quickly spiral out of control for individuals with family obligations. (Rodgers, 1992) </w:t>
      </w:r>
      <w:r w:rsidR="00122F80" w:rsidRPr="00882043">
        <w:rPr>
          <w:rFonts w:ascii="Arial" w:hAnsi="Arial" w:cs="Arial"/>
          <w:color w:val="000000"/>
          <w:sz w:val="28"/>
          <w:szCs w:val="28"/>
        </w:rPr>
        <w:t>Giving workers choice over their real working hours, often outside of predetermined core periods, is the primary objective of "flexitime." This implies that workers can change the times they start and end their workdays, as well as occasionally the times they take breaks during the day. At first, this innovative managerial approach was perceived as an effort to lower employee absenteeism, particularly among female staff members. (Eldridge and Nisar, 2011).</w:t>
      </w:r>
    </w:p>
    <w:p w14:paraId="09434186" w14:textId="4D8A4F2E" w:rsidR="00196B97" w:rsidRPr="00882043" w:rsidRDefault="00196B97"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Apart from the apparent worry of receiving a lower salary for performing the same work, the temporary employees also failed to recognise themselves as members of the team; they were given support and information regarding individual tasks but not about how their work fit into the larger picture or the context of the company; they frequently missed out on opportunities for training and development, as well as fringe benefits and result-based rewards. (Oseland, Webber and Macdonald, 2012) Human Resources department from FitLyfe should consider all aspects before </w:t>
      </w:r>
      <w:r w:rsidR="00CE09FA" w:rsidRPr="00882043">
        <w:rPr>
          <w:rFonts w:ascii="Arial" w:hAnsi="Arial" w:cs="Arial"/>
          <w:color w:val="000000"/>
          <w:sz w:val="28"/>
          <w:szCs w:val="28"/>
        </w:rPr>
        <w:t>implementing flexible working for its employees or future potential employees, as people have different requirements when it comes to flexible working, and all of the above should be considered to make a good experience for the workers, excluding the risk of feeling left out of opportunities</w:t>
      </w:r>
      <w:r w:rsidR="002A59A2" w:rsidRPr="00882043">
        <w:rPr>
          <w:rFonts w:ascii="Arial" w:hAnsi="Arial" w:cs="Arial"/>
          <w:color w:val="000000"/>
          <w:sz w:val="28"/>
          <w:szCs w:val="28"/>
        </w:rPr>
        <w:t xml:space="preserve"> and rewards. </w:t>
      </w:r>
    </w:p>
    <w:p w14:paraId="577FD16E" w14:textId="5EACFC62" w:rsidR="00554474" w:rsidRPr="00882043" w:rsidRDefault="00554474" w:rsidP="006345D6">
      <w:pPr>
        <w:spacing w:line="360" w:lineRule="auto"/>
        <w:ind w:firstLine="720"/>
        <w:rPr>
          <w:rFonts w:ascii="Arial" w:hAnsi="Arial" w:cs="Arial"/>
          <w:color w:val="000000"/>
          <w:sz w:val="28"/>
          <w:szCs w:val="28"/>
        </w:rPr>
      </w:pPr>
      <w:r w:rsidRPr="00882043">
        <w:rPr>
          <w:rFonts w:ascii="Arial" w:hAnsi="Arial" w:cs="Arial"/>
          <w:color w:val="000000"/>
          <w:sz w:val="28"/>
          <w:szCs w:val="28"/>
        </w:rPr>
        <w:t xml:space="preserve">Giving workers the freedom to choose when to begin and end their workdays has a huge positive impact on employee morale and job </w:t>
      </w:r>
      <w:r w:rsidRPr="00882043">
        <w:rPr>
          <w:rFonts w:ascii="Arial" w:hAnsi="Arial" w:cs="Arial"/>
          <w:color w:val="000000"/>
          <w:sz w:val="28"/>
          <w:szCs w:val="28"/>
        </w:rPr>
        <w:lastRenderedPageBreak/>
        <w:t xml:space="preserve">satisfaction. Since workers may plan their hours, the idea of being late is also eliminated. (Fenwick and Tausig, 2001). FitLyfe’s employees hired on a flexible employment basis would happier to do their job as personal trainers and nutritionists because their morale would be higher, having the flexibility to do the job in their own rhythm or a chosen schedule based on both their and companie’s interests. In the sector the company is developing its activity, it is important to consider the well-being or the employees and customers, because that is the main objective to be looked for when the work is done. </w:t>
      </w:r>
    </w:p>
    <w:p w14:paraId="09A00612" w14:textId="77777777" w:rsidR="00C141E8" w:rsidRDefault="00C141E8" w:rsidP="006345D6">
      <w:pPr>
        <w:spacing w:line="360" w:lineRule="auto"/>
        <w:ind w:left="720"/>
        <w:rPr>
          <w:rFonts w:ascii="Arial" w:hAnsi="Arial" w:cs="Arial"/>
          <w:color w:val="000000"/>
          <w:sz w:val="28"/>
          <w:szCs w:val="28"/>
        </w:rPr>
      </w:pPr>
    </w:p>
    <w:p w14:paraId="7C167B3F" w14:textId="77777777" w:rsidR="006345D6" w:rsidRPr="00882043" w:rsidRDefault="006345D6" w:rsidP="006345D6">
      <w:pPr>
        <w:spacing w:line="360" w:lineRule="auto"/>
        <w:ind w:left="720"/>
        <w:rPr>
          <w:rFonts w:ascii="Arial" w:hAnsi="Arial" w:cs="Arial"/>
          <w:color w:val="000000"/>
          <w:sz w:val="28"/>
          <w:szCs w:val="28"/>
        </w:rPr>
      </w:pPr>
    </w:p>
    <w:p w14:paraId="14B67330" w14:textId="1FE050A4" w:rsidR="00F350FF" w:rsidRDefault="0046572B" w:rsidP="006345D6">
      <w:pPr>
        <w:pStyle w:val="Heading1"/>
        <w:numPr>
          <w:ilvl w:val="0"/>
          <w:numId w:val="3"/>
        </w:numPr>
        <w:spacing w:line="360" w:lineRule="auto"/>
        <w:rPr>
          <w:rFonts w:ascii="Arial" w:hAnsi="Arial" w:cs="Arial"/>
          <w:sz w:val="28"/>
          <w:szCs w:val="28"/>
        </w:rPr>
      </w:pPr>
      <w:bookmarkStart w:id="6" w:name="_Toc151061639"/>
      <w:bookmarkStart w:id="7" w:name="_Toc151062070"/>
      <w:r w:rsidRPr="00882043">
        <w:rPr>
          <w:rFonts w:ascii="Arial" w:hAnsi="Arial" w:cs="Arial"/>
          <w:sz w:val="28"/>
          <w:szCs w:val="28"/>
        </w:rPr>
        <w:t>Pay structure</w:t>
      </w:r>
      <w:bookmarkEnd w:id="6"/>
      <w:bookmarkEnd w:id="7"/>
    </w:p>
    <w:p w14:paraId="3E04211B" w14:textId="77777777" w:rsidR="006345D6" w:rsidRPr="006345D6" w:rsidRDefault="006345D6" w:rsidP="006345D6"/>
    <w:p w14:paraId="55FAFD9C" w14:textId="24D31A4B" w:rsidR="0046572B" w:rsidRPr="00882043" w:rsidRDefault="009B7F6B" w:rsidP="006345D6">
      <w:pPr>
        <w:spacing w:line="360" w:lineRule="auto"/>
        <w:rPr>
          <w:rFonts w:ascii="Arial" w:hAnsi="Arial" w:cs="Arial"/>
          <w:color w:val="000000"/>
          <w:sz w:val="28"/>
          <w:szCs w:val="28"/>
        </w:rPr>
      </w:pPr>
      <w:r w:rsidRPr="00882043">
        <w:rPr>
          <w:rFonts w:ascii="Arial" w:hAnsi="Arial" w:cs="Arial"/>
          <w:sz w:val="28"/>
          <w:szCs w:val="28"/>
        </w:rPr>
        <w:t>Flexible working employees should be closely watched by the facility managers because if a pattern of work is permitted to grow, the casual employee becomes an employee and is eligible for many benefits, including holiday pay, which they were not previously legally entitled to. Following recent changes to the Working Time Regulation, casual employees are now entitled to paid vacations and other terms and conditions on a pro rata basis.</w:t>
      </w:r>
      <w:r w:rsidRPr="00882043">
        <w:rPr>
          <w:rFonts w:ascii="Arial" w:hAnsi="Arial" w:cs="Arial"/>
          <w:color w:val="000000"/>
          <w:sz w:val="28"/>
          <w:szCs w:val="28"/>
        </w:rPr>
        <w:t xml:space="preserve"> (MacVicar and Ogden, 2001)</w:t>
      </w:r>
    </w:p>
    <w:p w14:paraId="189D27CA" w14:textId="70B6A4B1" w:rsidR="005B7557" w:rsidRPr="00882043" w:rsidRDefault="005B7557" w:rsidP="006345D6">
      <w:pPr>
        <w:spacing w:line="360" w:lineRule="auto"/>
        <w:rPr>
          <w:rFonts w:ascii="Arial" w:hAnsi="Arial" w:cs="Arial"/>
          <w:color w:val="000000"/>
          <w:sz w:val="28"/>
          <w:szCs w:val="28"/>
        </w:rPr>
      </w:pPr>
      <w:r w:rsidRPr="00882043">
        <w:rPr>
          <w:rFonts w:ascii="Arial" w:hAnsi="Arial" w:cs="Arial"/>
          <w:color w:val="000000"/>
          <w:sz w:val="28"/>
          <w:szCs w:val="28"/>
        </w:rPr>
        <w:tab/>
        <w:t>Not just parents and carers, but all employees have the legal right to seek flexible work schedules. To be eligible, workers must have been employed by the same company for a minimum of 26 weeks. There are several approaches to flexible employment. Job sharing: one person works one job and divides the hours; working from home: If employees don't need to go to the office often, they may be able to complete some or all of the job from home. Working fewer days or less hours than a full-</w:t>
      </w:r>
      <w:r w:rsidRPr="00882043">
        <w:rPr>
          <w:rFonts w:ascii="Arial" w:hAnsi="Arial" w:cs="Arial"/>
          <w:color w:val="000000"/>
          <w:sz w:val="28"/>
          <w:szCs w:val="28"/>
        </w:rPr>
        <w:lastRenderedPageBreak/>
        <w:t xml:space="preserve">time employee is known as part-time work. Working fewer days but full-time hours, or compressed hours: when to start and stop working is up to the employee (within predetermined parameters). Annualised hours, </w:t>
      </w:r>
      <w:r w:rsidR="00890662" w:rsidRPr="00882043">
        <w:rPr>
          <w:rFonts w:ascii="Arial" w:hAnsi="Arial" w:cs="Arial"/>
          <w:color w:val="000000"/>
          <w:sz w:val="28"/>
          <w:szCs w:val="28"/>
        </w:rPr>
        <w:t>s</w:t>
      </w:r>
      <w:r w:rsidRPr="00882043">
        <w:rPr>
          <w:rFonts w:ascii="Arial" w:hAnsi="Arial" w:cs="Arial"/>
          <w:color w:val="000000"/>
          <w:sz w:val="28"/>
          <w:szCs w:val="28"/>
        </w:rPr>
        <w:t xml:space="preserve">taggered hours and </w:t>
      </w:r>
      <w:r w:rsidR="00890662" w:rsidRPr="00882043">
        <w:rPr>
          <w:rFonts w:ascii="Arial" w:hAnsi="Arial" w:cs="Arial"/>
          <w:color w:val="000000"/>
          <w:sz w:val="28"/>
          <w:szCs w:val="28"/>
        </w:rPr>
        <w:t>p</w:t>
      </w:r>
      <w:r w:rsidRPr="00882043">
        <w:rPr>
          <w:rFonts w:ascii="Arial" w:hAnsi="Arial" w:cs="Arial"/>
          <w:color w:val="000000"/>
          <w:sz w:val="28"/>
          <w:szCs w:val="28"/>
        </w:rPr>
        <w:t>hased retirement are other ways of flexible working. (</w:t>
      </w:r>
      <w:r w:rsidRPr="00882043">
        <w:rPr>
          <w:rFonts w:ascii="Arial" w:hAnsi="Arial" w:cs="Arial"/>
          <w:i/>
          <w:iCs/>
          <w:color w:val="000000"/>
          <w:sz w:val="28"/>
          <w:szCs w:val="28"/>
        </w:rPr>
        <w:t>Flexible working</w:t>
      </w:r>
      <w:r w:rsidRPr="00882043">
        <w:rPr>
          <w:rFonts w:ascii="Arial" w:hAnsi="Arial" w:cs="Arial"/>
          <w:color w:val="000000"/>
          <w:sz w:val="28"/>
          <w:szCs w:val="28"/>
        </w:rPr>
        <w:t>, 2012)</w:t>
      </w:r>
      <w:r w:rsidR="00890662" w:rsidRPr="00882043">
        <w:rPr>
          <w:rFonts w:ascii="Arial" w:hAnsi="Arial" w:cs="Arial"/>
          <w:color w:val="000000"/>
          <w:sz w:val="28"/>
          <w:szCs w:val="28"/>
        </w:rPr>
        <w:t xml:space="preserve">. </w:t>
      </w:r>
    </w:p>
    <w:p w14:paraId="5E4343B7" w14:textId="6BF3C35E" w:rsidR="00A26D45" w:rsidRPr="00882043" w:rsidRDefault="00343C80" w:rsidP="006345D6">
      <w:pPr>
        <w:spacing w:line="360" w:lineRule="auto"/>
        <w:rPr>
          <w:rFonts w:ascii="Arial" w:hAnsi="Arial" w:cs="Arial"/>
          <w:color w:val="000000"/>
          <w:sz w:val="28"/>
          <w:szCs w:val="28"/>
        </w:rPr>
      </w:pPr>
      <w:r w:rsidRPr="00882043">
        <w:rPr>
          <w:rFonts w:ascii="Arial" w:hAnsi="Arial" w:cs="Arial"/>
          <w:color w:val="000000"/>
          <w:sz w:val="28"/>
          <w:szCs w:val="28"/>
        </w:rPr>
        <w:t>FitLyfe will have to consider the pay structure and holiday allowance for each flexible worker that will be hired, and that would also be according to the regulations in place for UK.</w:t>
      </w:r>
      <w:r w:rsidR="00A26D45" w:rsidRPr="00882043">
        <w:rPr>
          <w:rFonts w:ascii="Arial" w:hAnsi="Arial" w:cs="Arial"/>
          <w:color w:val="000000"/>
          <w:sz w:val="28"/>
          <w:szCs w:val="28"/>
        </w:rPr>
        <w:t xml:space="preserve"> FitLyfe should also consider the Theory of equity and fairness. </w:t>
      </w:r>
      <w:r w:rsidRPr="00882043">
        <w:rPr>
          <w:rFonts w:ascii="Arial" w:hAnsi="Arial" w:cs="Arial"/>
          <w:color w:val="000000"/>
          <w:sz w:val="28"/>
          <w:szCs w:val="28"/>
        </w:rPr>
        <w:t xml:space="preserve"> </w:t>
      </w:r>
      <w:r w:rsidR="00A26D45" w:rsidRPr="00882043">
        <w:rPr>
          <w:rFonts w:ascii="Arial" w:hAnsi="Arial" w:cs="Arial"/>
          <w:color w:val="000000"/>
          <w:sz w:val="28"/>
          <w:szCs w:val="28"/>
        </w:rPr>
        <w:t>The fundamental ideas of equity theory are based on how workers evaluate two aspects of their work: their input (effort) and their results (rewards). In addition to knowledge, talent, experience, and a specific amount of time, employees also contribute to their jobs in other ways. Each worker also brings intangible qualities to the company, such as devotion, loyalty, and hard work. (</w:t>
      </w:r>
      <w:r w:rsidR="00A26D45" w:rsidRPr="00882043">
        <w:rPr>
          <w:rFonts w:ascii="Arial" w:hAnsi="Arial" w:cs="Arial"/>
          <w:i/>
          <w:iCs/>
          <w:color w:val="000000"/>
          <w:sz w:val="28"/>
          <w:szCs w:val="28"/>
        </w:rPr>
        <w:t>Why does equity theory matter at work?</w:t>
      </w:r>
      <w:r w:rsidR="00A26D45" w:rsidRPr="00882043">
        <w:rPr>
          <w:rFonts w:ascii="Arial" w:hAnsi="Arial" w:cs="Arial"/>
          <w:color w:val="000000"/>
          <w:sz w:val="28"/>
          <w:szCs w:val="28"/>
        </w:rPr>
        <w:t>, 2022)</w:t>
      </w:r>
    </w:p>
    <w:p w14:paraId="5589A5B6" w14:textId="77777777" w:rsidR="00A26D45" w:rsidRPr="00882043" w:rsidRDefault="00A26D45" w:rsidP="006345D6">
      <w:pPr>
        <w:spacing w:line="360" w:lineRule="auto"/>
        <w:rPr>
          <w:rFonts w:ascii="Arial" w:hAnsi="Arial" w:cs="Arial"/>
          <w:color w:val="000000"/>
          <w:sz w:val="28"/>
          <w:szCs w:val="28"/>
        </w:rPr>
      </w:pPr>
      <w:r w:rsidRPr="00882043">
        <w:rPr>
          <w:rFonts w:ascii="Arial" w:hAnsi="Arial" w:cs="Arial"/>
          <w:color w:val="000000"/>
          <w:sz w:val="28"/>
          <w:szCs w:val="28"/>
        </w:rPr>
        <w:t>According to the notion, people make an instinctive and conscious attempt to strike a balance between what they get out of a working relationship and what they give in (in terms of time, effort, and other considerations).</w:t>
      </w:r>
    </w:p>
    <w:p w14:paraId="1DE590EA" w14:textId="77777777" w:rsidR="00343C80" w:rsidRDefault="00343C80" w:rsidP="006345D6">
      <w:pPr>
        <w:spacing w:line="360" w:lineRule="auto"/>
        <w:rPr>
          <w:rFonts w:ascii="Arial" w:hAnsi="Arial" w:cs="Arial"/>
          <w:color w:val="000000"/>
          <w:sz w:val="28"/>
          <w:szCs w:val="28"/>
        </w:rPr>
      </w:pPr>
    </w:p>
    <w:p w14:paraId="171375D7" w14:textId="77777777" w:rsidR="006345D6" w:rsidRPr="00882043" w:rsidRDefault="006345D6" w:rsidP="006345D6">
      <w:pPr>
        <w:spacing w:line="360" w:lineRule="auto"/>
        <w:rPr>
          <w:rFonts w:ascii="Arial" w:hAnsi="Arial" w:cs="Arial"/>
          <w:color w:val="000000"/>
          <w:sz w:val="28"/>
          <w:szCs w:val="28"/>
        </w:rPr>
      </w:pPr>
    </w:p>
    <w:p w14:paraId="77CC22F5" w14:textId="4755A2F7" w:rsidR="00343C80" w:rsidRDefault="00343C80" w:rsidP="006345D6">
      <w:pPr>
        <w:pStyle w:val="Heading1"/>
        <w:numPr>
          <w:ilvl w:val="0"/>
          <w:numId w:val="3"/>
        </w:numPr>
        <w:spacing w:line="360" w:lineRule="auto"/>
        <w:rPr>
          <w:rFonts w:ascii="Arial" w:hAnsi="Arial" w:cs="Arial"/>
          <w:sz w:val="28"/>
          <w:szCs w:val="28"/>
        </w:rPr>
      </w:pPr>
      <w:bookmarkStart w:id="8" w:name="_Toc151061640"/>
      <w:bookmarkStart w:id="9" w:name="_Toc151062071"/>
      <w:r w:rsidRPr="00882043">
        <w:rPr>
          <w:rFonts w:ascii="Arial" w:hAnsi="Arial" w:cs="Arial"/>
          <w:sz w:val="28"/>
          <w:szCs w:val="28"/>
        </w:rPr>
        <w:t>Strategies to promote employee engagement</w:t>
      </w:r>
      <w:bookmarkEnd w:id="8"/>
      <w:bookmarkEnd w:id="9"/>
      <w:r w:rsidRPr="00882043">
        <w:rPr>
          <w:rFonts w:ascii="Arial" w:hAnsi="Arial" w:cs="Arial"/>
          <w:sz w:val="28"/>
          <w:szCs w:val="28"/>
        </w:rPr>
        <w:t xml:space="preserve"> </w:t>
      </w:r>
    </w:p>
    <w:p w14:paraId="1F07D1F8" w14:textId="77777777" w:rsidR="006345D6" w:rsidRDefault="006345D6" w:rsidP="006345D6"/>
    <w:p w14:paraId="76DF904B" w14:textId="77777777" w:rsidR="006345D6" w:rsidRPr="006345D6" w:rsidRDefault="006345D6" w:rsidP="006345D6"/>
    <w:p w14:paraId="16844D94" w14:textId="5CECBA47" w:rsidR="006E599B" w:rsidRPr="00882043" w:rsidRDefault="006E599B" w:rsidP="006345D6">
      <w:pPr>
        <w:spacing w:line="360" w:lineRule="auto"/>
        <w:ind w:firstLine="720"/>
        <w:rPr>
          <w:rFonts w:ascii="Arial" w:hAnsi="Arial" w:cs="Arial"/>
          <w:color w:val="000000"/>
          <w:sz w:val="28"/>
          <w:szCs w:val="28"/>
        </w:rPr>
      </w:pPr>
      <w:r w:rsidRPr="00882043">
        <w:rPr>
          <w:rFonts w:ascii="Arial" w:hAnsi="Arial" w:cs="Arial"/>
          <w:sz w:val="28"/>
          <w:szCs w:val="28"/>
        </w:rPr>
        <w:t xml:space="preserve">The simultaneous application and expression of one's "preferred identity" in task behaviours that foster relationships with coworkers and the outside world, as well as physical, cognitive, and emotional </w:t>
      </w:r>
      <w:r w:rsidRPr="00882043">
        <w:rPr>
          <w:rFonts w:ascii="Arial" w:hAnsi="Arial" w:cs="Arial"/>
          <w:sz w:val="28"/>
          <w:szCs w:val="28"/>
        </w:rPr>
        <w:lastRenderedPageBreak/>
        <w:t>presence, as well as active, complete role performances, is known as personal engagement.</w:t>
      </w:r>
      <w:r w:rsidR="000A536A" w:rsidRPr="00882043">
        <w:rPr>
          <w:rFonts w:ascii="Arial" w:hAnsi="Arial" w:cs="Arial"/>
          <w:sz w:val="28"/>
          <w:szCs w:val="28"/>
        </w:rPr>
        <w:t xml:space="preserve"> </w:t>
      </w:r>
      <w:r w:rsidRPr="00882043">
        <w:rPr>
          <w:rFonts w:ascii="Arial" w:hAnsi="Arial" w:cs="Arial"/>
          <w:sz w:val="28"/>
          <w:szCs w:val="28"/>
        </w:rPr>
        <w:t>According to Kahn'</w:t>
      </w:r>
      <w:r w:rsidR="000A536A" w:rsidRPr="00882043">
        <w:rPr>
          <w:rFonts w:ascii="Arial" w:hAnsi="Arial" w:cs="Arial"/>
          <w:sz w:val="28"/>
          <w:szCs w:val="28"/>
        </w:rPr>
        <w:t xml:space="preserve">s theory of </w:t>
      </w:r>
      <w:hyperlink r:id="rId9" w:history="1">
        <w:r w:rsidR="000A536A" w:rsidRPr="00882043">
          <w:rPr>
            <w:rFonts w:ascii="Arial" w:hAnsi="Arial" w:cs="Arial"/>
            <w:sz w:val="28"/>
            <w:szCs w:val="28"/>
          </w:rPr>
          <w:t>Psychological Conditions of Personal Engagement and Disengagement at Work</w:t>
        </w:r>
      </w:hyperlink>
      <w:r w:rsidRPr="00882043">
        <w:rPr>
          <w:rFonts w:ascii="Arial" w:hAnsi="Arial" w:cs="Arial"/>
          <w:sz w:val="28"/>
          <w:szCs w:val="28"/>
        </w:rPr>
        <w:t xml:space="preserve">, people agree to immerse progressively more of who they are in their roles. Individuals change the personal activities they participate in based on what they believe to be the advantages, the </w:t>
      </w:r>
      <w:r w:rsidR="000A536A" w:rsidRPr="00882043">
        <w:rPr>
          <w:rFonts w:ascii="Arial" w:hAnsi="Arial" w:cs="Arial"/>
          <w:sz w:val="28"/>
          <w:szCs w:val="28"/>
        </w:rPr>
        <w:t>meaningfulness</w:t>
      </w:r>
      <w:r w:rsidRPr="00882043">
        <w:rPr>
          <w:rFonts w:ascii="Arial" w:hAnsi="Arial" w:cs="Arial"/>
          <w:sz w:val="28"/>
          <w:szCs w:val="28"/>
        </w:rPr>
        <w:t>, the guarantees, or the safety of the circumstances.</w:t>
      </w:r>
      <w:r w:rsidR="000A536A" w:rsidRPr="00882043">
        <w:rPr>
          <w:rFonts w:ascii="Arial" w:hAnsi="Arial" w:cs="Arial"/>
          <w:sz w:val="28"/>
          <w:szCs w:val="28"/>
        </w:rPr>
        <w:t xml:space="preserve"> </w:t>
      </w:r>
      <w:r w:rsidR="00D13013" w:rsidRPr="00882043">
        <w:rPr>
          <w:rFonts w:ascii="Arial" w:hAnsi="Arial" w:cs="Arial"/>
          <w:sz w:val="28"/>
          <w:szCs w:val="28"/>
        </w:rPr>
        <w:t xml:space="preserve">When </w:t>
      </w:r>
      <w:r w:rsidR="00D13013" w:rsidRPr="00882043">
        <w:rPr>
          <w:rFonts w:ascii="Arial" w:hAnsi="Arial" w:cs="Arial"/>
          <w:sz w:val="28"/>
          <w:szCs w:val="28"/>
        </w:rPr>
        <w:t>employees</w:t>
      </w:r>
      <w:r w:rsidR="00D13013" w:rsidRPr="00882043">
        <w:rPr>
          <w:rFonts w:ascii="Arial" w:hAnsi="Arial" w:cs="Arial"/>
          <w:sz w:val="28"/>
          <w:szCs w:val="28"/>
        </w:rPr>
        <w:t xml:space="preserve"> fe</w:t>
      </w:r>
      <w:r w:rsidR="00D13013" w:rsidRPr="00882043">
        <w:rPr>
          <w:rFonts w:ascii="Arial" w:hAnsi="Arial" w:cs="Arial"/>
          <w:sz w:val="28"/>
          <w:szCs w:val="28"/>
        </w:rPr>
        <w:t>lt</w:t>
      </w:r>
      <w:r w:rsidR="00D13013" w:rsidRPr="00882043">
        <w:rPr>
          <w:rFonts w:ascii="Arial" w:hAnsi="Arial" w:cs="Arial"/>
          <w:sz w:val="28"/>
          <w:szCs w:val="28"/>
        </w:rPr>
        <w:t xml:space="preserve"> important, helpful, and worthwhile—as though they made a difference and weren't taken for granted—they felt meaningful. In these kinds of settings, </w:t>
      </w:r>
      <w:r w:rsidR="00D13013" w:rsidRPr="00882043">
        <w:rPr>
          <w:rFonts w:ascii="Arial" w:hAnsi="Arial" w:cs="Arial"/>
          <w:sz w:val="28"/>
          <w:szCs w:val="28"/>
        </w:rPr>
        <w:t>employees</w:t>
      </w:r>
      <w:r w:rsidR="00D13013" w:rsidRPr="00882043">
        <w:rPr>
          <w:rFonts w:ascii="Arial" w:hAnsi="Arial" w:cs="Arial"/>
          <w:sz w:val="28"/>
          <w:szCs w:val="28"/>
        </w:rPr>
        <w:t xml:space="preserve"> felt secure because they trusted that their personal involvement would not negatively impact them.</w:t>
      </w:r>
      <w:r w:rsidR="00D13013" w:rsidRPr="00882043">
        <w:rPr>
          <w:rFonts w:ascii="Arial" w:hAnsi="Arial" w:cs="Arial"/>
          <w:sz w:val="28"/>
          <w:szCs w:val="28"/>
        </w:rPr>
        <w:t xml:space="preserve"> </w:t>
      </w:r>
      <w:r w:rsidR="00D13013" w:rsidRPr="00882043">
        <w:rPr>
          <w:rFonts w:ascii="Arial" w:hAnsi="Arial" w:cs="Arial"/>
          <w:sz w:val="28"/>
          <w:szCs w:val="28"/>
        </w:rPr>
        <w:t>The capacity to personally interact at a given moment when one has the necessary physical, emotional, or psychological resources is known as psychological availability. It gauges an individual's readiness to participate in social systems in light of the distractions they encounter as participants.</w:t>
      </w:r>
      <w:r w:rsidR="00D13013" w:rsidRPr="00882043">
        <w:rPr>
          <w:rFonts w:ascii="Arial" w:hAnsi="Arial" w:cs="Arial"/>
          <w:sz w:val="28"/>
          <w:szCs w:val="28"/>
        </w:rPr>
        <w:t xml:space="preserve"> </w:t>
      </w:r>
      <w:r w:rsidR="00D13013" w:rsidRPr="00882043">
        <w:rPr>
          <w:rFonts w:ascii="Arial" w:hAnsi="Arial" w:cs="Arial"/>
          <w:color w:val="000000"/>
          <w:sz w:val="28"/>
          <w:szCs w:val="28"/>
        </w:rPr>
        <w:t>(Kahn, 1990)</w:t>
      </w:r>
    </w:p>
    <w:p w14:paraId="755972BF" w14:textId="5B8AE06D" w:rsidR="00D13013" w:rsidRDefault="00D13013" w:rsidP="006345D6">
      <w:pPr>
        <w:spacing w:line="360" w:lineRule="auto"/>
        <w:ind w:firstLine="720"/>
        <w:rPr>
          <w:rFonts w:ascii="Arial" w:hAnsi="Arial" w:cs="Arial"/>
          <w:color w:val="000000"/>
          <w:sz w:val="28"/>
          <w:szCs w:val="28"/>
        </w:rPr>
      </w:pPr>
      <w:proofErr w:type="spellStart"/>
      <w:r w:rsidRPr="00882043">
        <w:rPr>
          <w:rFonts w:ascii="Arial" w:hAnsi="Arial" w:cs="Arial"/>
          <w:color w:val="000000"/>
          <w:sz w:val="28"/>
          <w:szCs w:val="28"/>
        </w:rPr>
        <w:t>FitLyfe</w:t>
      </w:r>
      <w:proofErr w:type="spellEnd"/>
      <w:r w:rsidRPr="00882043">
        <w:rPr>
          <w:rFonts w:ascii="Arial" w:hAnsi="Arial" w:cs="Arial"/>
          <w:color w:val="000000"/>
          <w:sz w:val="28"/>
          <w:szCs w:val="28"/>
        </w:rPr>
        <w:t xml:space="preserve"> should make its employees feel the safety of their workplace, to feel psychologically good with the job that they do and also feel their work it is full of meaning. The flexible workers should be looked forward to feel the same way about their job as all the other employees. The intrinsic motivation of employees engagement can be followed by </w:t>
      </w:r>
      <w:proofErr w:type="spellStart"/>
      <w:r w:rsidRPr="00882043">
        <w:rPr>
          <w:rFonts w:ascii="Arial" w:hAnsi="Arial" w:cs="Arial"/>
          <w:color w:val="000000"/>
          <w:sz w:val="28"/>
          <w:szCs w:val="28"/>
        </w:rPr>
        <w:t>FitLyfe</w:t>
      </w:r>
      <w:proofErr w:type="spellEnd"/>
      <w:r w:rsidRPr="00882043">
        <w:rPr>
          <w:rFonts w:ascii="Arial" w:hAnsi="Arial" w:cs="Arial"/>
          <w:color w:val="000000"/>
          <w:sz w:val="28"/>
          <w:szCs w:val="28"/>
        </w:rPr>
        <w:t xml:space="preserve"> after the Khan’s theory. But at the same time, employees should be engaged by </w:t>
      </w:r>
      <w:r w:rsidR="00E022FE" w:rsidRPr="00882043">
        <w:rPr>
          <w:rFonts w:ascii="Arial" w:hAnsi="Arial" w:cs="Arial"/>
          <w:color w:val="000000"/>
          <w:sz w:val="28"/>
          <w:szCs w:val="28"/>
        </w:rPr>
        <w:t>being offered alternative trainings to develop for the work they do</w:t>
      </w:r>
      <w:r w:rsidR="00D4608F" w:rsidRPr="00882043">
        <w:rPr>
          <w:rFonts w:ascii="Arial" w:hAnsi="Arial" w:cs="Arial"/>
          <w:color w:val="000000"/>
          <w:sz w:val="28"/>
          <w:szCs w:val="28"/>
        </w:rPr>
        <w:t xml:space="preserve">. </w:t>
      </w:r>
      <w:r w:rsidR="00D4608F" w:rsidRPr="00882043">
        <w:rPr>
          <w:rFonts w:ascii="Arial" w:hAnsi="Arial" w:cs="Arial"/>
          <w:color w:val="000000"/>
          <w:sz w:val="28"/>
          <w:szCs w:val="28"/>
        </w:rPr>
        <w:t>Financial incentives based on performance, competence, contribution, skill, and experience may be given. Employee engagement may be boosted by commissions, bonuses, incentives, competence-related remuneration, and career development.</w:t>
      </w:r>
      <w:r w:rsidR="00D4608F" w:rsidRPr="00882043">
        <w:rPr>
          <w:rFonts w:ascii="Arial" w:hAnsi="Arial" w:cs="Arial"/>
          <w:color w:val="000000"/>
          <w:sz w:val="28"/>
          <w:szCs w:val="28"/>
        </w:rPr>
        <w:t xml:space="preserve"> </w:t>
      </w:r>
      <w:r w:rsidR="00D4608F" w:rsidRPr="00882043">
        <w:rPr>
          <w:rFonts w:ascii="Arial" w:hAnsi="Arial" w:cs="Arial"/>
          <w:color w:val="000000"/>
          <w:sz w:val="28"/>
          <w:szCs w:val="28"/>
        </w:rPr>
        <w:t>(Armstrong, 2002)</w:t>
      </w:r>
    </w:p>
    <w:p w14:paraId="5EB2A7DF" w14:textId="77777777" w:rsidR="006345D6" w:rsidRDefault="006345D6" w:rsidP="006345D6">
      <w:pPr>
        <w:spacing w:line="360" w:lineRule="auto"/>
        <w:ind w:firstLine="720"/>
        <w:rPr>
          <w:rFonts w:ascii="Arial" w:hAnsi="Arial" w:cs="Arial"/>
          <w:color w:val="000000"/>
          <w:sz w:val="28"/>
          <w:szCs w:val="28"/>
        </w:rPr>
      </w:pPr>
    </w:p>
    <w:p w14:paraId="32A1447D" w14:textId="77777777" w:rsidR="006345D6" w:rsidRPr="00882043" w:rsidRDefault="006345D6" w:rsidP="006345D6">
      <w:pPr>
        <w:spacing w:line="360" w:lineRule="auto"/>
        <w:ind w:firstLine="720"/>
        <w:rPr>
          <w:rFonts w:ascii="Arial" w:hAnsi="Arial" w:cs="Arial"/>
          <w:color w:val="000000"/>
          <w:sz w:val="28"/>
          <w:szCs w:val="28"/>
        </w:rPr>
      </w:pPr>
    </w:p>
    <w:p w14:paraId="53367E2B" w14:textId="30FD8059" w:rsidR="00D4608F" w:rsidRDefault="00D4608F" w:rsidP="006345D6">
      <w:pPr>
        <w:pStyle w:val="Heading1"/>
        <w:numPr>
          <w:ilvl w:val="0"/>
          <w:numId w:val="3"/>
        </w:numPr>
        <w:spacing w:line="360" w:lineRule="auto"/>
        <w:rPr>
          <w:rFonts w:ascii="Arial" w:eastAsiaTheme="minorHAnsi" w:hAnsi="Arial" w:cs="Arial"/>
          <w:sz w:val="28"/>
          <w:szCs w:val="28"/>
        </w:rPr>
      </w:pPr>
      <w:bookmarkStart w:id="10" w:name="_Toc151061641"/>
      <w:bookmarkStart w:id="11" w:name="_Toc151062072"/>
      <w:r w:rsidRPr="00882043">
        <w:rPr>
          <w:rFonts w:ascii="Arial" w:eastAsiaTheme="minorHAnsi" w:hAnsi="Arial" w:cs="Arial"/>
          <w:sz w:val="28"/>
          <w:szCs w:val="28"/>
        </w:rPr>
        <w:t>Conclusion</w:t>
      </w:r>
      <w:bookmarkEnd w:id="10"/>
      <w:bookmarkEnd w:id="11"/>
    </w:p>
    <w:p w14:paraId="1DDDA221" w14:textId="77777777" w:rsidR="006345D6" w:rsidRPr="006345D6" w:rsidRDefault="006345D6" w:rsidP="006345D6"/>
    <w:p w14:paraId="50EE4FA9" w14:textId="068FE419" w:rsidR="00E31544" w:rsidRPr="00882043" w:rsidRDefault="00D4608F" w:rsidP="006345D6">
      <w:pPr>
        <w:spacing w:line="360" w:lineRule="auto"/>
        <w:rPr>
          <w:rFonts w:ascii="Arial" w:hAnsi="Arial" w:cs="Arial"/>
          <w:sz w:val="28"/>
          <w:szCs w:val="28"/>
        </w:rPr>
      </w:pPr>
      <w:r w:rsidRPr="00882043">
        <w:rPr>
          <w:rFonts w:ascii="Arial" w:hAnsi="Arial" w:cs="Arial"/>
          <w:sz w:val="28"/>
          <w:szCs w:val="28"/>
        </w:rPr>
        <w:tab/>
      </w:r>
      <w:proofErr w:type="spellStart"/>
      <w:r w:rsidRPr="00882043">
        <w:rPr>
          <w:rFonts w:ascii="Arial" w:hAnsi="Arial" w:cs="Arial"/>
          <w:sz w:val="28"/>
          <w:szCs w:val="28"/>
        </w:rPr>
        <w:t>Fitlyfe</w:t>
      </w:r>
      <w:proofErr w:type="spellEnd"/>
      <w:r w:rsidRPr="00882043">
        <w:rPr>
          <w:rFonts w:ascii="Arial" w:hAnsi="Arial" w:cs="Arial"/>
          <w:sz w:val="28"/>
          <w:szCs w:val="28"/>
        </w:rPr>
        <w:t>, a company that employs personal trainers and nutritionists to deliver individualised training and diet plans, need to think about offering flexible work schedules to its staff members because their line of work allows for it.</w:t>
      </w:r>
      <w:r w:rsidRPr="00882043">
        <w:rPr>
          <w:rFonts w:ascii="Arial" w:hAnsi="Arial" w:cs="Arial"/>
          <w:sz w:val="28"/>
          <w:szCs w:val="28"/>
        </w:rPr>
        <w:t xml:space="preserve"> As flexible working has its benefits, but also its disadvantages, everything should be taken into consideration. The pay structure has to be well-equalized and rewards should be a part of the employee engagement, along with the intrinsic motivators. </w:t>
      </w:r>
      <w:r w:rsidRPr="00882043">
        <w:rPr>
          <w:rFonts w:ascii="Arial" w:hAnsi="Arial" w:cs="Arial"/>
          <w:sz w:val="28"/>
          <w:szCs w:val="28"/>
        </w:rPr>
        <w:t xml:space="preserve">Regarding </w:t>
      </w:r>
      <w:proofErr w:type="spellStart"/>
      <w:r w:rsidRPr="00882043">
        <w:rPr>
          <w:rFonts w:ascii="Arial" w:hAnsi="Arial" w:cs="Arial"/>
          <w:sz w:val="28"/>
          <w:szCs w:val="28"/>
        </w:rPr>
        <w:t>FitLyfe</w:t>
      </w:r>
      <w:proofErr w:type="spellEnd"/>
      <w:r w:rsidRPr="00882043">
        <w:rPr>
          <w:rFonts w:ascii="Arial" w:hAnsi="Arial" w:cs="Arial"/>
          <w:sz w:val="28"/>
          <w:szCs w:val="28"/>
        </w:rPr>
        <w:t>, employing personal trainers and nutritionists, it makes sense to provide flexible work schedules because the former mostly operate from computers and share their expertise on social media, while the latter also depend on their clients' schedules and are flexible.</w:t>
      </w:r>
    </w:p>
    <w:p w14:paraId="611624F1" w14:textId="77777777" w:rsidR="00D4608F" w:rsidRDefault="00D4608F" w:rsidP="006345D6">
      <w:pPr>
        <w:spacing w:line="360" w:lineRule="auto"/>
        <w:rPr>
          <w:rFonts w:ascii="Arial" w:hAnsi="Arial" w:cs="Arial"/>
          <w:sz w:val="28"/>
          <w:szCs w:val="28"/>
        </w:rPr>
      </w:pPr>
    </w:p>
    <w:p w14:paraId="60A4367E" w14:textId="77777777" w:rsidR="006345D6" w:rsidRPr="00882043" w:rsidRDefault="006345D6" w:rsidP="006345D6">
      <w:pPr>
        <w:spacing w:line="360" w:lineRule="auto"/>
        <w:rPr>
          <w:rFonts w:ascii="Arial" w:hAnsi="Arial" w:cs="Arial"/>
          <w:sz w:val="28"/>
          <w:szCs w:val="28"/>
        </w:rPr>
      </w:pPr>
    </w:p>
    <w:p w14:paraId="31E73196" w14:textId="2E2E1E58" w:rsidR="00D4608F" w:rsidRDefault="00D4608F" w:rsidP="006345D6">
      <w:pPr>
        <w:pStyle w:val="Heading1"/>
        <w:numPr>
          <w:ilvl w:val="0"/>
          <w:numId w:val="3"/>
        </w:numPr>
        <w:spacing w:line="360" w:lineRule="auto"/>
        <w:rPr>
          <w:rFonts w:ascii="Arial" w:hAnsi="Arial" w:cs="Arial"/>
          <w:sz w:val="28"/>
          <w:szCs w:val="28"/>
        </w:rPr>
      </w:pPr>
      <w:bookmarkStart w:id="12" w:name="_Toc151061642"/>
      <w:bookmarkStart w:id="13" w:name="_Toc151062073"/>
      <w:r w:rsidRPr="00882043">
        <w:rPr>
          <w:rFonts w:ascii="Arial" w:hAnsi="Arial" w:cs="Arial"/>
          <w:sz w:val="28"/>
          <w:szCs w:val="28"/>
        </w:rPr>
        <w:t>Recommendations</w:t>
      </w:r>
      <w:bookmarkEnd w:id="12"/>
      <w:bookmarkEnd w:id="13"/>
      <w:r w:rsidRPr="00882043">
        <w:rPr>
          <w:rFonts w:ascii="Arial" w:hAnsi="Arial" w:cs="Arial"/>
          <w:sz w:val="28"/>
          <w:szCs w:val="28"/>
        </w:rPr>
        <w:t xml:space="preserve"> </w:t>
      </w:r>
    </w:p>
    <w:p w14:paraId="04D631CC" w14:textId="77777777" w:rsidR="006345D6" w:rsidRPr="006345D6" w:rsidRDefault="006345D6" w:rsidP="006345D6"/>
    <w:p w14:paraId="613128BC" w14:textId="4DB5CD87" w:rsidR="00D4608F" w:rsidRDefault="00D4608F" w:rsidP="006345D6">
      <w:pPr>
        <w:spacing w:line="360" w:lineRule="auto"/>
        <w:rPr>
          <w:rFonts w:ascii="Arial" w:hAnsi="Arial" w:cs="Arial"/>
          <w:sz w:val="28"/>
          <w:szCs w:val="28"/>
        </w:rPr>
      </w:pPr>
      <w:proofErr w:type="spellStart"/>
      <w:r w:rsidRPr="00882043">
        <w:rPr>
          <w:rFonts w:ascii="Arial" w:hAnsi="Arial" w:cs="Arial"/>
          <w:sz w:val="28"/>
          <w:szCs w:val="28"/>
        </w:rPr>
        <w:t>FitLyfe</w:t>
      </w:r>
      <w:proofErr w:type="spellEnd"/>
      <w:r w:rsidRPr="00882043">
        <w:rPr>
          <w:rFonts w:ascii="Arial" w:hAnsi="Arial" w:cs="Arial"/>
          <w:sz w:val="28"/>
          <w:szCs w:val="28"/>
        </w:rPr>
        <w:t xml:space="preserve"> has high chances to succeed in implementing flexible working and the workforce nowadays request the companies to be more flexible with the schedule. In the field that they practice their business, </w:t>
      </w:r>
      <w:proofErr w:type="spellStart"/>
      <w:r w:rsidRPr="00882043">
        <w:rPr>
          <w:rFonts w:ascii="Arial" w:hAnsi="Arial" w:cs="Arial"/>
          <w:sz w:val="28"/>
          <w:szCs w:val="28"/>
        </w:rPr>
        <w:t>FitLyfe</w:t>
      </w:r>
      <w:proofErr w:type="spellEnd"/>
      <w:r w:rsidRPr="00882043">
        <w:rPr>
          <w:rFonts w:ascii="Arial" w:hAnsi="Arial" w:cs="Arial"/>
          <w:sz w:val="28"/>
          <w:szCs w:val="28"/>
        </w:rPr>
        <w:t xml:space="preserve"> </w:t>
      </w:r>
      <w:r w:rsidR="00882043" w:rsidRPr="00882043">
        <w:rPr>
          <w:rFonts w:ascii="Arial" w:hAnsi="Arial" w:cs="Arial"/>
          <w:sz w:val="28"/>
          <w:szCs w:val="28"/>
        </w:rPr>
        <w:t xml:space="preserve">should make a well-built plan and job announcement, and in this way it will attract the most suitable workers, and also they should give the chance for their current workforce to chose to work flexible. As stated above, there are plenty of advantages and </w:t>
      </w:r>
      <w:proofErr w:type="spellStart"/>
      <w:r w:rsidR="00882043" w:rsidRPr="00882043">
        <w:rPr>
          <w:rFonts w:ascii="Arial" w:hAnsi="Arial" w:cs="Arial"/>
          <w:sz w:val="28"/>
          <w:szCs w:val="28"/>
        </w:rPr>
        <w:t>FitLyfe</w:t>
      </w:r>
      <w:proofErr w:type="spellEnd"/>
      <w:r w:rsidR="00882043" w:rsidRPr="00882043">
        <w:rPr>
          <w:rFonts w:ascii="Arial" w:hAnsi="Arial" w:cs="Arial"/>
          <w:sz w:val="28"/>
          <w:szCs w:val="28"/>
        </w:rPr>
        <w:t xml:space="preserve"> could make use of them making a great environment for both workers and the business. </w:t>
      </w:r>
    </w:p>
    <w:p w14:paraId="3131135B" w14:textId="77777777" w:rsidR="006345D6" w:rsidRPr="00882043" w:rsidRDefault="006345D6" w:rsidP="006345D6">
      <w:pPr>
        <w:spacing w:line="360" w:lineRule="auto"/>
        <w:rPr>
          <w:rFonts w:ascii="Arial" w:hAnsi="Arial" w:cs="Arial"/>
          <w:sz w:val="28"/>
          <w:szCs w:val="28"/>
        </w:rPr>
      </w:pPr>
    </w:p>
    <w:p w14:paraId="22163217" w14:textId="3AF677C3" w:rsidR="0023694E" w:rsidRDefault="0023694E" w:rsidP="0023694E">
      <w:pPr>
        <w:pStyle w:val="Heading1"/>
        <w:numPr>
          <w:ilvl w:val="0"/>
          <w:numId w:val="3"/>
        </w:numPr>
        <w:spacing w:line="360" w:lineRule="auto"/>
        <w:rPr>
          <w:rFonts w:ascii="Arial" w:hAnsi="Arial" w:cs="Arial"/>
          <w:sz w:val="28"/>
          <w:szCs w:val="28"/>
        </w:rPr>
      </w:pPr>
      <w:bookmarkStart w:id="14" w:name="_Toc151061643"/>
      <w:bookmarkStart w:id="15" w:name="_Toc151062074"/>
      <w:r w:rsidRPr="00882043">
        <w:rPr>
          <w:rFonts w:ascii="Arial" w:hAnsi="Arial" w:cs="Arial"/>
          <w:sz w:val="28"/>
          <w:szCs w:val="28"/>
        </w:rPr>
        <w:lastRenderedPageBreak/>
        <w:t>References</w:t>
      </w:r>
      <w:bookmarkEnd w:id="14"/>
      <w:bookmarkEnd w:id="15"/>
    </w:p>
    <w:p w14:paraId="488C6FD3" w14:textId="77777777" w:rsidR="0023694E" w:rsidRPr="006345D6" w:rsidRDefault="0023694E" w:rsidP="0023694E"/>
    <w:p w14:paraId="4EAAD8D4" w14:textId="77777777" w:rsidR="0023694E" w:rsidRPr="00AF2B23" w:rsidRDefault="0023694E" w:rsidP="0023694E">
      <w:pPr>
        <w:ind w:firstLine="360"/>
        <w:rPr>
          <w:rFonts w:ascii="Arial" w:hAnsi="Arial" w:cs="Arial"/>
          <w:sz w:val="28"/>
          <w:szCs w:val="28"/>
          <w:lang w:eastAsia="en-GB"/>
        </w:rPr>
      </w:pPr>
      <w:r w:rsidRPr="00AF2B23">
        <w:rPr>
          <w:rFonts w:ascii="Arial" w:hAnsi="Arial" w:cs="Arial"/>
          <w:sz w:val="28"/>
          <w:szCs w:val="28"/>
          <w:lang w:eastAsia="en-GB"/>
        </w:rPr>
        <w:t xml:space="preserve">Armstrong, M. (2002) Employee Reward. 3rd ed. London, England: Chartered Institute of Personnel &amp; Development. </w:t>
      </w:r>
    </w:p>
    <w:p w14:paraId="0B4D1B6E" w14:textId="77777777" w:rsidR="0023694E" w:rsidRPr="00AF2B23" w:rsidRDefault="0023694E" w:rsidP="0023694E">
      <w:pPr>
        <w:ind w:firstLine="360"/>
        <w:rPr>
          <w:rFonts w:ascii="Arial" w:hAnsi="Arial" w:cs="Arial"/>
          <w:sz w:val="28"/>
          <w:szCs w:val="28"/>
          <w:lang w:eastAsia="en-GB"/>
        </w:rPr>
      </w:pPr>
      <w:r w:rsidRPr="00AF2B23">
        <w:rPr>
          <w:rFonts w:ascii="Arial" w:hAnsi="Arial" w:cs="Arial"/>
          <w:sz w:val="28"/>
          <w:szCs w:val="28"/>
          <w:lang w:eastAsia="en-GB"/>
        </w:rPr>
        <w:t>Eldridge, D. and Nisar, T. M. (2011) “Employee and organizational impacts of flexitime work arrangements,” </w:t>
      </w:r>
      <w:r w:rsidRPr="00AF2B23">
        <w:rPr>
          <w:rFonts w:ascii="Arial" w:hAnsi="Arial" w:cs="Arial"/>
          <w:i/>
          <w:iCs/>
          <w:sz w:val="28"/>
          <w:szCs w:val="28"/>
          <w:lang w:eastAsia="en-GB"/>
        </w:rPr>
        <w:t xml:space="preserve">Relations </w:t>
      </w:r>
      <w:proofErr w:type="spellStart"/>
      <w:r w:rsidRPr="00AF2B23">
        <w:rPr>
          <w:rFonts w:ascii="Arial" w:hAnsi="Arial" w:cs="Arial"/>
          <w:i/>
          <w:iCs/>
          <w:sz w:val="28"/>
          <w:szCs w:val="28"/>
          <w:lang w:eastAsia="en-GB"/>
        </w:rPr>
        <w:t>industrielles</w:t>
      </w:r>
      <w:proofErr w:type="spellEnd"/>
      <w:r w:rsidRPr="00AF2B23">
        <w:rPr>
          <w:rFonts w:ascii="Arial" w:hAnsi="Arial" w:cs="Arial"/>
          <w:sz w:val="28"/>
          <w:szCs w:val="28"/>
          <w:lang w:eastAsia="en-GB"/>
        </w:rPr>
        <w:t xml:space="preserve">, </w:t>
      </w:r>
    </w:p>
    <w:p w14:paraId="2821F958" w14:textId="77777777" w:rsidR="0023694E" w:rsidRPr="00AF2B23" w:rsidRDefault="0023694E" w:rsidP="0023694E">
      <w:pPr>
        <w:ind w:firstLine="360"/>
        <w:rPr>
          <w:rFonts w:ascii="Arial" w:hAnsi="Arial" w:cs="Arial"/>
          <w:sz w:val="28"/>
          <w:szCs w:val="28"/>
          <w:lang w:eastAsia="en-GB"/>
        </w:rPr>
      </w:pPr>
      <w:r w:rsidRPr="00AF2B23">
        <w:rPr>
          <w:rFonts w:ascii="Arial" w:hAnsi="Arial" w:cs="Arial"/>
          <w:i/>
          <w:iCs/>
          <w:sz w:val="28"/>
          <w:szCs w:val="28"/>
          <w:lang w:eastAsia="en-GB"/>
        </w:rPr>
        <w:t>Flexible working</w:t>
      </w:r>
      <w:r w:rsidRPr="00AF2B23">
        <w:rPr>
          <w:rFonts w:ascii="Arial" w:hAnsi="Arial" w:cs="Arial"/>
          <w:sz w:val="28"/>
          <w:szCs w:val="28"/>
          <w:lang w:eastAsia="en-GB"/>
        </w:rPr>
        <w:t> (2012) </w:t>
      </w:r>
      <w:r w:rsidRPr="00AF2B23">
        <w:rPr>
          <w:rFonts w:ascii="Arial" w:hAnsi="Arial" w:cs="Arial"/>
          <w:i/>
          <w:iCs/>
          <w:sz w:val="28"/>
          <w:szCs w:val="28"/>
          <w:lang w:eastAsia="en-GB"/>
        </w:rPr>
        <w:t>Gov.uk</w:t>
      </w:r>
      <w:r w:rsidRPr="00AF2B23">
        <w:rPr>
          <w:rFonts w:ascii="Arial" w:hAnsi="Arial" w:cs="Arial"/>
          <w:sz w:val="28"/>
          <w:szCs w:val="28"/>
          <w:lang w:eastAsia="en-GB"/>
        </w:rPr>
        <w:t xml:space="preserve">. Available at: https://www.gov.uk/flexible-working </w:t>
      </w:r>
    </w:p>
    <w:p w14:paraId="3A676927"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“Flexible working as human resources strategy: Benefits to the organization and its personnel” (2008) </w:t>
      </w:r>
      <w:r w:rsidRPr="006345D6">
        <w:rPr>
          <w:rFonts w:ascii="Arial" w:hAnsi="Arial" w:cs="Arial"/>
          <w:i/>
          <w:iCs/>
          <w:sz w:val="28"/>
          <w:szCs w:val="28"/>
          <w:lang w:eastAsia="en-GB"/>
        </w:rPr>
        <w:t>Strategic direction</w:t>
      </w:r>
    </w:p>
    <w:p w14:paraId="2C39E23F" w14:textId="77777777" w:rsidR="0023694E" w:rsidRPr="006345D6" w:rsidRDefault="0023694E" w:rsidP="0023694E">
      <w:pPr>
        <w:ind w:firstLine="360"/>
        <w:rPr>
          <w:rFonts w:ascii="Arial" w:hAnsi="Arial" w:cs="Arial"/>
          <w:sz w:val="28"/>
          <w:szCs w:val="28"/>
          <w:lang w:eastAsia="en-GB"/>
        </w:rPr>
      </w:pPr>
      <w:proofErr w:type="spellStart"/>
      <w:r w:rsidRPr="006345D6">
        <w:rPr>
          <w:rFonts w:ascii="Arial" w:hAnsi="Arial" w:cs="Arial"/>
          <w:sz w:val="28"/>
          <w:szCs w:val="28"/>
          <w:lang w:eastAsia="en-GB"/>
        </w:rPr>
        <w:t>Freches</w:t>
      </w:r>
      <w:proofErr w:type="spellEnd"/>
      <w:r w:rsidRPr="006345D6">
        <w:rPr>
          <w:rFonts w:ascii="Arial" w:hAnsi="Arial" w:cs="Arial"/>
          <w:sz w:val="28"/>
          <w:szCs w:val="28"/>
          <w:lang w:eastAsia="en-GB"/>
        </w:rPr>
        <w:t>, M. H. (2017) </w:t>
      </w:r>
      <w:r w:rsidRPr="006345D6">
        <w:rPr>
          <w:rFonts w:ascii="Arial" w:hAnsi="Arial" w:cs="Arial"/>
          <w:i/>
          <w:iCs/>
          <w:sz w:val="28"/>
          <w:szCs w:val="28"/>
          <w:lang w:eastAsia="en-GB"/>
        </w:rPr>
        <w:t>Flexible work arrangements in small and medium enterprises: incidence, motivations, advantages and disadvantages</w:t>
      </w:r>
      <w:r w:rsidRPr="006345D6">
        <w:rPr>
          <w:rFonts w:ascii="Arial" w:hAnsi="Arial" w:cs="Arial"/>
          <w:sz w:val="28"/>
          <w:szCs w:val="28"/>
          <w:lang w:eastAsia="en-GB"/>
        </w:rPr>
        <w:t>.</w:t>
      </w:r>
    </w:p>
    <w:p w14:paraId="43A96600"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Kahn, W. A. (1990) “Psychological conditions of personal engagement and disengagement at work,” </w:t>
      </w:r>
      <w:r w:rsidRPr="006345D6">
        <w:rPr>
          <w:rFonts w:ascii="Arial" w:hAnsi="Arial" w:cs="Arial"/>
          <w:i/>
          <w:iCs/>
          <w:sz w:val="28"/>
          <w:szCs w:val="28"/>
          <w:lang w:eastAsia="en-GB"/>
        </w:rPr>
        <w:t>Academy of Management journal</w:t>
      </w:r>
      <w:r w:rsidRPr="006345D6">
        <w:rPr>
          <w:rFonts w:ascii="Arial" w:hAnsi="Arial" w:cs="Arial"/>
          <w:sz w:val="28"/>
          <w:szCs w:val="28"/>
          <w:lang w:eastAsia="en-GB"/>
        </w:rPr>
        <w:t xml:space="preserve">, </w:t>
      </w:r>
    </w:p>
    <w:p w14:paraId="54BAE30B" w14:textId="77777777" w:rsidR="0023694E" w:rsidRPr="006345D6" w:rsidRDefault="0023694E" w:rsidP="0023694E">
      <w:pPr>
        <w:ind w:firstLine="360"/>
        <w:rPr>
          <w:rFonts w:ascii="Arial" w:hAnsi="Arial" w:cs="Arial"/>
          <w:sz w:val="28"/>
          <w:szCs w:val="28"/>
          <w:lang w:eastAsia="en-GB"/>
        </w:rPr>
      </w:pPr>
      <w:proofErr w:type="spellStart"/>
      <w:r w:rsidRPr="006345D6">
        <w:rPr>
          <w:rFonts w:ascii="Arial" w:hAnsi="Arial" w:cs="Arial"/>
          <w:sz w:val="28"/>
          <w:szCs w:val="28"/>
          <w:lang w:eastAsia="en-GB"/>
        </w:rPr>
        <w:t>Macvicar</w:t>
      </w:r>
      <w:proofErr w:type="spellEnd"/>
      <w:r w:rsidRPr="006345D6">
        <w:rPr>
          <w:rFonts w:ascii="Arial" w:hAnsi="Arial" w:cs="Arial"/>
          <w:sz w:val="28"/>
          <w:szCs w:val="28"/>
          <w:lang w:eastAsia="en-GB"/>
        </w:rPr>
        <w:t>, A. and Ogden, S. M. (2001) “Flexible working in sport and recreation: current practices in Scottish public, not-for-profit and private leisure facilities,” </w:t>
      </w:r>
      <w:r w:rsidRPr="006345D6">
        <w:rPr>
          <w:rFonts w:ascii="Arial" w:hAnsi="Arial" w:cs="Arial"/>
          <w:i/>
          <w:iCs/>
          <w:sz w:val="28"/>
          <w:szCs w:val="28"/>
          <w:lang w:eastAsia="en-GB"/>
        </w:rPr>
        <w:t>Managing Leisure</w:t>
      </w:r>
      <w:r w:rsidRPr="006345D6">
        <w:rPr>
          <w:rFonts w:ascii="Arial" w:hAnsi="Arial" w:cs="Arial"/>
          <w:sz w:val="28"/>
          <w:szCs w:val="28"/>
          <w:lang w:eastAsia="en-GB"/>
        </w:rPr>
        <w:t xml:space="preserve">, </w:t>
      </w:r>
    </w:p>
    <w:p w14:paraId="20A4FD0E"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Oseland, N., Webber, C. and Macdonald, M. (2012) “Flexible working benefits,” </w:t>
      </w:r>
      <w:r w:rsidRPr="006345D6">
        <w:rPr>
          <w:rFonts w:ascii="Arial" w:hAnsi="Arial" w:cs="Arial"/>
          <w:i/>
          <w:iCs/>
          <w:sz w:val="28"/>
          <w:szCs w:val="28"/>
          <w:lang w:eastAsia="en-GB"/>
        </w:rPr>
        <w:t>Occasional Paper</w:t>
      </w:r>
      <w:r w:rsidRPr="006345D6">
        <w:rPr>
          <w:rFonts w:ascii="Arial" w:hAnsi="Arial" w:cs="Arial"/>
          <w:sz w:val="28"/>
          <w:szCs w:val="28"/>
          <w:lang w:eastAsia="en-GB"/>
        </w:rPr>
        <w:t xml:space="preserve">, </w:t>
      </w:r>
    </w:p>
    <w:p w14:paraId="748CD6AD"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Rodgers, C. S. (1992) “The flexible workplace: What have we learned?,” </w:t>
      </w:r>
      <w:r w:rsidRPr="006345D6">
        <w:rPr>
          <w:rFonts w:ascii="Arial" w:hAnsi="Arial" w:cs="Arial"/>
          <w:i/>
          <w:iCs/>
          <w:sz w:val="28"/>
          <w:szCs w:val="28"/>
          <w:lang w:eastAsia="en-GB"/>
        </w:rPr>
        <w:t>Human Resource Management</w:t>
      </w:r>
      <w:r w:rsidRPr="006345D6">
        <w:rPr>
          <w:rFonts w:ascii="Arial" w:hAnsi="Arial" w:cs="Arial"/>
          <w:sz w:val="28"/>
          <w:szCs w:val="28"/>
          <w:lang w:eastAsia="en-GB"/>
        </w:rPr>
        <w:t xml:space="preserve">, </w:t>
      </w:r>
    </w:p>
    <w:p w14:paraId="5A14ADD2"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Tausig, M. and Fenwick, R. (2001) “Unbinding time: Alternate work schedules and work-life balance,” </w:t>
      </w:r>
      <w:r w:rsidRPr="006345D6">
        <w:rPr>
          <w:rFonts w:ascii="Arial" w:hAnsi="Arial" w:cs="Arial"/>
          <w:i/>
          <w:iCs/>
          <w:sz w:val="28"/>
          <w:szCs w:val="28"/>
          <w:lang w:eastAsia="en-GB"/>
        </w:rPr>
        <w:t>Journal of family and economic issues</w:t>
      </w:r>
      <w:r w:rsidRPr="006345D6">
        <w:rPr>
          <w:rFonts w:ascii="Arial" w:hAnsi="Arial" w:cs="Arial"/>
          <w:sz w:val="28"/>
          <w:szCs w:val="28"/>
          <w:lang w:eastAsia="en-GB"/>
        </w:rPr>
        <w:t xml:space="preserve">, </w:t>
      </w:r>
    </w:p>
    <w:p w14:paraId="665D3E9C" w14:textId="77777777" w:rsidR="0023694E" w:rsidRPr="006345D6" w:rsidRDefault="0023694E" w:rsidP="0023694E">
      <w:pPr>
        <w:ind w:firstLine="360"/>
        <w:rPr>
          <w:rFonts w:ascii="Arial" w:hAnsi="Arial" w:cs="Arial"/>
          <w:sz w:val="28"/>
          <w:szCs w:val="28"/>
          <w:lang w:eastAsia="en-GB"/>
        </w:rPr>
      </w:pPr>
      <w:r w:rsidRPr="006345D6">
        <w:rPr>
          <w:rFonts w:ascii="Arial" w:hAnsi="Arial" w:cs="Arial"/>
          <w:sz w:val="28"/>
          <w:szCs w:val="28"/>
          <w:lang w:eastAsia="en-GB"/>
        </w:rPr>
        <w:t>Torrington, D. </w:t>
      </w:r>
      <w:r w:rsidRPr="006345D6">
        <w:rPr>
          <w:rFonts w:ascii="Arial" w:hAnsi="Arial" w:cs="Arial"/>
          <w:i/>
          <w:iCs/>
          <w:sz w:val="28"/>
          <w:szCs w:val="28"/>
          <w:lang w:eastAsia="en-GB"/>
        </w:rPr>
        <w:t>et al.</w:t>
      </w:r>
      <w:r w:rsidRPr="006345D6">
        <w:rPr>
          <w:rFonts w:ascii="Arial" w:hAnsi="Arial" w:cs="Arial"/>
          <w:sz w:val="28"/>
          <w:szCs w:val="28"/>
          <w:lang w:eastAsia="en-GB"/>
        </w:rPr>
        <w:t> (2020) </w:t>
      </w:r>
      <w:r w:rsidRPr="006345D6">
        <w:rPr>
          <w:rFonts w:ascii="Arial" w:hAnsi="Arial" w:cs="Arial"/>
          <w:i/>
          <w:iCs/>
          <w:sz w:val="28"/>
          <w:szCs w:val="28"/>
          <w:lang w:eastAsia="en-GB"/>
        </w:rPr>
        <w:t>Human resource management</w:t>
      </w:r>
      <w:r w:rsidRPr="006345D6">
        <w:rPr>
          <w:rFonts w:ascii="Arial" w:hAnsi="Arial" w:cs="Arial"/>
          <w:sz w:val="28"/>
          <w:szCs w:val="28"/>
          <w:lang w:eastAsia="en-GB"/>
        </w:rPr>
        <w:t>. 11th ed. London, England: Pearson Education.</w:t>
      </w:r>
    </w:p>
    <w:p w14:paraId="2237C10A" w14:textId="77777777" w:rsidR="0023694E" w:rsidRPr="006345D6" w:rsidRDefault="0023694E" w:rsidP="0023694E">
      <w:pPr>
        <w:ind w:firstLine="360"/>
        <w:rPr>
          <w:rFonts w:ascii="Arial" w:hAnsi="Arial" w:cs="Arial"/>
          <w:sz w:val="28"/>
          <w:szCs w:val="28"/>
          <w:lang w:eastAsia="en-GB"/>
        </w:rPr>
      </w:pPr>
      <w:r w:rsidRPr="006345D6">
        <w:rPr>
          <w:rFonts w:ascii="Arial" w:hAnsi="Arial" w:cs="Arial"/>
          <w:i/>
          <w:iCs/>
          <w:sz w:val="28"/>
          <w:szCs w:val="28"/>
          <w:lang w:eastAsia="en-GB"/>
        </w:rPr>
        <w:t>Why does equity theory matter at work?</w:t>
      </w:r>
      <w:r w:rsidRPr="006345D6">
        <w:rPr>
          <w:rFonts w:ascii="Arial" w:hAnsi="Arial" w:cs="Arial"/>
          <w:sz w:val="28"/>
          <w:szCs w:val="28"/>
          <w:lang w:eastAsia="en-GB"/>
        </w:rPr>
        <w:t> (2022) </w:t>
      </w:r>
      <w:r w:rsidRPr="006345D6">
        <w:rPr>
          <w:rFonts w:ascii="Arial" w:hAnsi="Arial" w:cs="Arial"/>
          <w:i/>
          <w:iCs/>
          <w:sz w:val="28"/>
          <w:szCs w:val="28"/>
          <w:lang w:eastAsia="en-GB"/>
        </w:rPr>
        <w:t>Personio</w:t>
      </w:r>
      <w:r w:rsidRPr="006345D6">
        <w:rPr>
          <w:rFonts w:ascii="Arial" w:hAnsi="Arial" w:cs="Arial"/>
          <w:sz w:val="28"/>
          <w:szCs w:val="28"/>
          <w:lang w:eastAsia="en-GB"/>
        </w:rPr>
        <w:t xml:space="preserve">. Available at: https://www.personio.com/hr-lexicon/equity-theory-at-work/ </w:t>
      </w:r>
    </w:p>
    <w:p w14:paraId="76B35289" w14:textId="77777777" w:rsidR="006345D6" w:rsidRPr="006345D6" w:rsidRDefault="006345D6" w:rsidP="006345D6"/>
    <w:sectPr w:rsidR="006345D6" w:rsidRPr="006345D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1DE32" w14:textId="77777777" w:rsidR="001067DD" w:rsidRDefault="001067DD" w:rsidP="00882043">
      <w:pPr>
        <w:spacing w:after="0" w:line="240" w:lineRule="auto"/>
      </w:pPr>
      <w:r>
        <w:separator/>
      </w:r>
    </w:p>
  </w:endnote>
  <w:endnote w:type="continuationSeparator" w:id="0">
    <w:p w14:paraId="398DF792" w14:textId="77777777" w:rsidR="001067DD" w:rsidRDefault="001067DD" w:rsidP="00882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88589"/>
      <w:docPartObj>
        <w:docPartGallery w:val="Page Numbers (Bottom of Page)"/>
        <w:docPartUnique/>
      </w:docPartObj>
    </w:sdtPr>
    <w:sdtContent>
      <w:p w14:paraId="0703A9CB" w14:textId="3871D6ED" w:rsidR="00882043" w:rsidRDefault="00882043">
        <w:pPr>
          <w:pStyle w:val="Footer"/>
          <w:jc w:val="right"/>
        </w:pPr>
        <w:r>
          <w:fldChar w:fldCharType="begin"/>
        </w:r>
        <w:r>
          <w:instrText>PAGE   \* MERGEFORMAT</w:instrText>
        </w:r>
        <w:r>
          <w:fldChar w:fldCharType="separate"/>
        </w:r>
        <w:r>
          <w:t>2</w:t>
        </w:r>
        <w:r>
          <w:fldChar w:fldCharType="end"/>
        </w:r>
      </w:p>
    </w:sdtContent>
  </w:sdt>
  <w:p w14:paraId="3009CF8D" w14:textId="77777777" w:rsidR="00882043" w:rsidRDefault="00882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82EE4" w14:textId="77777777" w:rsidR="001067DD" w:rsidRDefault="001067DD" w:rsidP="00882043">
      <w:pPr>
        <w:spacing w:after="0" w:line="240" w:lineRule="auto"/>
      </w:pPr>
      <w:r>
        <w:separator/>
      </w:r>
    </w:p>
  </w:footnote>
  <w:footnote w:type="continuationSeparator" w:id="0">
    <w:p w14:paraId="032CAAA7" w14:textId="77777777" w:rsidR="001067DD" w:rsidRDefault="001067DD" w:rsidP="00882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2D22"/>
    <w:multiLevelType w:val="hybridMultilevel"/>
    <w:tmpl w:val="1D522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317AE"/>
    <w:multiLevelType w:val="hybridMultilevel"/>
    <w:tmpl w:val="08005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9E4CFE"/>
    <w:multiLevelType w:val="hybridMultilevel"/>
    <w:tmpl w:val="1D5226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7F41524"/>
    <w:multiLevelType w:val="hybridMultilevel"/>
    <w:tmpl w:val="EA704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D854BE"/>
    <w:multiLevelType w:val="hybridMultilevel"/>
    <w:tmpl w:val="A63AAEB6"/>
    <w:lvl w:ilvl="0" w:tplc="085871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cs="Times New Roman"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cs="Times New Roman"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cs="Times New Roman" w:hint="default"/>
      </w:rPr>
    </w:lvl>
    <w:lvl w:ilvl="8" w:tplc="058C1806">
      <w:start w:val="1"/>
      <w:numFmt w:val="bullet"/>
      <w:lvlText w:val=""/>
      <w:lvlJc w:val="left"/>
      <w:pPr>
        <w:ind w:left="6480" w:hanging="360"/>
      </w:pPr>
      <w:rPr>
        <w:rFonts w:ascii="Wingdings" w:hAnsi="Wingdings" w:hint="default"/>
      </w:rPr>
    </w:lvl>
  </w:abstractNum>
  <w:num w:numId="1" w16cid:durableId="703948966">
    <w:abstractNumId w:val="4"/>
  </w:num>
  <w:num w:numId="2" w16cid:durableId="297423429">
    <w:abstractNumId w:val="5"/>
    <w:lvlOverride w:ilvl="0"/>
    <w:lvlOverride w:ilvl="1"/>
    <w:lvlOverride w:ilvl="2"/>
    <w:lvlOverride w:ilvl="3"/>
    <w:lvlOverride w:ilvl="4"/>
    <w:lvlOverride w:ilvl="5"/>
    <w:lvlOverride w:ilvl="6"/>
    <w:lvlOverride w:ilvl="7"/>
    <w:lvlOverride w:ilvl="8"/>
  </w:num>
  <w:num w:numId="3" w16cid:durableId="1180238757">
    <w:abstractNumId w:val="0"/>
  </w:num>
  <w:num w:numId="4" w16cid:durableId="638072628">
    <w:abstractNumId w:val="3"/>
  </w:num>
  <w:num w:numId="5" w16cid:durableId="1934704817">
    <w:abstractNumId w:val="1"/>
  </w:num>
  <w:num w:numId="6" w16cid:durableId="1681007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E1"/>
    <w:rsid w:val="00013857"/>
    <w:rsid w:val="000A1D8F"/>
    <w:rsid w:val="000A536A"/>
    <w:rsid w:val="001067DD"/>
    <w:rsid w:val="00122F80"/>
    <w:rsid w:val="0017778A"/>
    <w:rsid w:val="00196B97"/>
    <w:rsid w:val="0023694E"/>
    <w:rsid w:val="002A59A2"/>
    <w:rsid w:val="00343C80"/>
    <w:rsid w:val="00440BDB"/>
    <w:rsid w:val="0046572B"/>
    <w:rsid w:val="00490BEF"/>
    <w:rsid w:val="004A5089"/>
    <w:rsid w:val="004B32A2"/>
    <w:rsid w:val="00546696"/>
    <w:rsid w:val="00554474"/>
    <w:rsid w:val="005B7557"/>
    <w:rsid w:val="006345D6"/>
    <w:rsid w:val="00666A93"/>
    <w:rsid w:val="006A0F0C"/>
    <w:rsid w:val="006E599B"/>
    <w:rsid w:val="007B092C"/>
    <w:rsid w:val="007B1E2A"/>
    <w:rsid w:val="007E26C2"/>
    <w:rsid w:val="00882043"/>
    <w:rsid w:val="00890662"/>
    <w:rsid w:val="008B5300"/>
    <w:rsid w:val="009B7F6B"/>
    <w:rsid w:val="00A26D45"/>
    <w:rsid w:val="00A3312B"/>
    <w:rsid w:val="00AF2B23"/>
    <w:rsid w:val="00C141E8"/>
    <w:rsid w:val="00CA458A"/>
    <w:rsid w:val="00CE09FA"/>
    <w:rsid w:val="00CF550E"/>
    <w:rsid w:val="00D13013"/>
    <w:rsid w:val="00D4608F"/>
    <w:rsid w:val="00E022FE"/>
    <w:rsid w:val="00E31544"/>
    <w:rsid w:val="00EC59EF"/>
    <w:rsid w:val="00F350FF"/>
    <w:rsid w:val="00F713E1"/>
    <w:rsid w:val="00F73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0AF9"/>
  <w15:docId w15:val="{A76908A4-7B27-40B3-A2E4-9B6DC979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9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75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3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089"/>
    <w:pPr>
      <w:ind w:left="720"/>
      <w:contextualSpacing/>
    </w:pPr>
  </w:style>
  <w:style w:type="character" w:customStyle="1" w:styleId="Heading1Char">
    <w:name w:val="Heading 1 Char"/>
    <w:basedOn w:val="DefaultParagraphFont"/>
    <w:link w:val="Heading1"/>
    <w:uiPriority w:val="9"/>
    <w:rsid w:val="00CE09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B755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536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A536A"/>
    <w:rPr>
      <w:color w:val="0000FF"/>
      <w:u w:val="single"/>
    </w:rPr>
  </w:style>
  <w:style w:type="paragraph" w:styleId="TOCHeading">
    <w:name w:val="TOC Heading"/>
    <w:basedOn w:val="Heading1"/>
    <w:next w:val="Normal"/>
    <w:uiPriority w:val="39"/>
    <w:unhideWhenUsed/>
    <w:qFormat/>
    <w:rsid w:val="00882043"/>
    <w:pPr>
      <w:outlineLvl w:val="9"/>
    </w:pPr>
    <w:rPr>
      <w:lang w:eastAsia="en-GB"/>
    </w:rPr>
  </w:style>
  <w:style w:type="paragraph" w:styleId="TOC1">
    <w:name w:val="toc 1"/>
    <w:basedOn w:val="Normal"/>
    <w:next w:val="Normal"/>
    <w:autoRedefine/>
    <w:uiPriority w:val="39"/>
    <w:unhideWhenUsed/>
    <w:rsid w:val="00882043"/>
    <w:pPr>
      <w:spacing w:after="100"/>
    </w:pPr>
  </w:style>
  <w:style w:type="paragraph" w:styleId="Header">
    <w:name w:val="header"/>
    <w:basedOn w:val="Normal"/>
    <w:link w:val="HeaderChar"/>
    <w:uiPriority w:val="99"/>
    <w:unhideWhenUsed/>
    <w:rsid w:val="00882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043"/>
  </w:style>
  <w:style w:type="paragraph" w:styleId="Footer">
    <w:name w:val="footer"/>
    <w:basedOn w:val="Normal"/>
    <w:link w:val="FooterChar"/>
    <w:uiPriority w:val="99"/>
    <w:unhideWhenUsed/>
    <w:rsid w:val="00882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043"/>
  </w:style>
  <w:style w:type="paragraph" w:styleId="NormalWeb">
    <w:name w:val="Normal (Web)"/>
    <w:basedOn w:val="Normal"/>
    <w:uiPriority w:val="99"/>
    <w:semiHidden/>
    <w:unhideWhenUsed/>
    <w:rsid w:val="006345D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rsid w:val="00AF2B2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724271">
      <w:bodyDiv w:val="1"/>
      <w:marLeft w:val="0"/>
      <w:marRight w:val="0"/>
      <w:marTop w:val="0"/>
      <w:marBottom w:val="0"/>
      <w:divBdr>
        <w:top w:val="none" w:sz="0" w:space="0" w:color="auto"/>
        <w:left w:val="none" w:sz="0" w:space="0" w:color="auto"/>
        <w:bottom w:val="none" w:sz="0" w:space="0" w:color="auto"/>
        <w:right w:val="none" w:sz="0" w:space="0" w:color="auto"/>
      </w:divBdr>
      <w:divsChild>
        <w:div w:id="749154382">
          <w:marLeft w:val="0"/>
          <w:marRight w:val="0"/>
          <w:marTop w:val="0"/>
          <w:marBottom w:val="0"/>
          <w:divBdr>
            <w:top w:val="none" w:sz="0" w:space="0" w:color="auto"/>
            <w:left w:val="none" w:sz="0" w:space="0" w:color="auto"/>
            <w:bottom w:val="none" w:sz="0" w:space="0" w:color="auto"/>
            <w:right w:val="none" w:sz="0" w:space="0" w:color="auto"/>
          </w:divBdr>
          <w:divsChild>
            <w:div w:id="1928417175">
              <w:marLeft w:val="0"/>
              <w:marRight w:val="0"/>
              <w:marTop w:val="0"/>
              <w:marBottom w:val="0"/>
              <w:divBdr>
                <w:top w:val="none" w:sz="0" w:space="0" w:color="auto"/>
                <w:left w:val="none" w:sz="0" w:space="0" w:color="auto"/>
                <w:bottom w:val="none" w:sz="0" w:space="0" w:color="auto"/>
                <w:right w:val="none" w:sz="0" w:space="0" w:color="auto"/>
              </w:divBdr>
            </w:div>
            <w:div w:id="1950356246">
              <w:marLeft w:val="0"/>
              <w:marRight w:val="0"/>
              <w:marTop w:val="0"/>
              <w:marBottom w:val="0"/>
              <w:divBdr>
                <w:top w:val="none" w:sz="0" w:space="0" w:color="auto"/>
                <w:left w:val="none" w:sz="0" w:space="0" w:color="auto"/>
                <w:bottom w:val="none" w:sz="0" w:space="0" w:color="auto"/>
                <w:right w:val="none" w:sz="0" w:space="0" w:color="auto"/>
              </w:divBdr>
            </w:div>
            <w:div w:id="1126856553">
              <w:marLeft w:val="0"/>
              <w:marRight w:val="0"/>
              <w:marTop w:val="0"/>
              <w:marBottom w:val="0"/>
              <w:divBdr>
                <w:top w:val="none" w:sz="0" w:space="0" w:color="auto"/>
                <w:left w:val="none" w:sz="0" w:space="0" w:color="auto"/>
                <w:bottom w:val="none" w:sz="0" w:space="0" w:color="auto"/>
                <w:right w:val="none" w:sz="0" w:space="0" w:color="auto"/>
              </w:divBdr>
            </w:div>
            <w:div w:id="559944183">
              <w:marLeft w:val="0"/>
              <w:marRight w:val="0"/>
              <w:marTop w:val="0"/>
              <w:marBottom w:val="0"/>
              <w:divBdr>
                <w:top w:val="none" w:sz="0" w:space="0" w:color="auto"/>
                <w:left w:val="none" w:sz="0" w:space="0" w:color="auto"/>
                <w:bottom w:val="none" w:sz="0" w:space="0" w:color="auto"/>
                <w:right w:val="none" w:sz="0" w:space="0" w:color="auto"/>
              </w:divBdr>
            </w:div>
            <w:div w:id="1019624922">
              <w:marLeft w:val="0"/>
              <w:marRight w:val="0"/>
              <w:marTop w:val="0"/>
              <w:marBottom w:val="0"/>
              <w:divBdr>
                <w:top w:val="none" w:sz="0" w:space="0" w:color="auto"/>
                <w:left w:val="none" w:sz="0" w:space="0" w:color="auto"/>
                <w:bottom w:val="none" w:sz="0" w:space="0" w:color="auto"/>
                <w:right w:val="none" w:sz="0" w:space="0" w:color="auto"/>
              </w:divBdr>
            </w:div>
            <w:div w:id="2080637757">
              <w:marLeft w:val="0"/>
              <w:marRight w:val="0"/>
              <w:marTop w:val="0"/>
              <w:marBottom w:val="0"/>
              <w:divBdr>
                <w:top w:val="none" w:sz="0" w:space="0" w:color="auto"/>
                <w:left w:val="none" w:sz="0" w:space="0" w:color="auto"/>
                <w:bottom w:val="none" w:sz="0" w:space="0" w:color="auto"/>
                <w:right w:val="none" w:sz="0" w:space="0" w:color="auto"/>
              </w:divBdr>
            </w:div>
            <w:div w:id="1096750838">
              <w:marLeft w:val="0"/>
              <w:marRight w:val="0"/>
              <w:marTop w:val="0"/>
              <w:marBottom w:val="0"/>
              <w:divBdr>
                <w:top w:val="none" w:sz="0" w:space="0" w:color="auto"/>
                <w:left w:val="none" w:sz="0" w:space="0" w:color="auto"/>
                <w:bottom w:val="none" w:sz="0" w:space="0" w:color="auto"/>
                <w:right w:val="none" w:sz="0" w:space="0" w:color="auto"/>
              </w:divBdr>
            </w:div>
            <w:div w:id="1986884498">
              <w:marLeft w:val="0"/>
              <w:marRight w:val="0"/>
              <w:marTop w:val="0"/>
              <w:marBottom w:val="0"/>
              <w:divBdr>
                <w:top w:val="none" w:sz="0" w:space="0" w:color="auto"/>
                <w:left w:val="none" w:sz="0" w:space="0" w:color="auto"/>
                <w:bottom w:val="none" w:sz="0" w:space="0" w:color="auto"/>
                <w:right w:val="none" w:sz="0" w:space="0" w:color="auto"/>
              </w:divBdr>
            </w:div>
            <w:div w:id="1527527106">
              <w:marLeft w:val="0"/>
              <w:marRight w:val="0"/>
              <w:marTop w:val="0"/>
              <w:marBottom w:val="0"/>
              <w:divBdr>
                <w:top w:val="none" w:sz="0" w:space="0" w:color="auto"/>
                <w:left w:val="none" w:sz="0" w:space="0" w:color="auto"/>
                <w:bottom w:val="none" w:sz="0" w:space="0" w:color="auto"/>
                <w:right w:val="none" w:sz="0" w:space="0" w:color="auto"/>
              </w:divBdr>
            </w:div>
            <w:div w:id="1227759003">
              <w:marLeft w:val="0"/>
              <w:marRight w:val="0"/>
              <w:marTop w:val="0"/>
              <w:marBottom w:val="0"/>
              <w:divBdr>
                <w:top w:val="none" w:sz="0" w:space="0" w:color="auto"/>
                <w:left w:val="none" w:sz="0" w:space="0" w:color="auto"/>
                <w:bottom w:val="none" w:sz="0" w:space="0" w:color="auto"/>
                <w:right w:val="none" w:sz="0" w:space="0" w:color="auto"/>
              </w:divBdr>
            </w:div>
            <w:div w:id="138571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839530">
      <w:bodyDiv w:val="1"/>
      <w:marLeft w:val="0"/>
      <w:marRight w:val="0"/>
      <w:marTop w:val="0"/>
      <w:marBottom w:val="0"/>
      <w:divBdr>
        <w:top w:val="none" w:sz="0" w:space="0" w:color="auto"/>
        <w:left w:val="none" w:sz="0" w:space="0" w:color="auto"/>
        <w:bottom w:val="none" w:sz="0" w:space="0" w:color="auto"/>
        <w:right w:val="none" w:sz="0" w:space="0" w:color="auto"/>
      </w:divBdr>
    </w:div>
    <w:div w:id="1947957837">
      <w:bodyDiv w:val="1"/>
      <w:marLeft w:val="0"/>
      <w:marRight w:val="0"/>
      <w:marTop w:val="0"/>
      <w:marBottom w:val="0"/>
      <w:divBdr>
        <w:top w:val="none" w:sz="0" w:space="0" w:color="auto"/>
        <w:left w:val="none" w:sz="0" w:space="0" w:color="auto"/>
        <w:bottom w:val="none" w:sz="0" w:space="0" w:color="auto"/>
        <w:right w:val="none" w:sz="0" w:space="0" w:color="auto"/>
      </w:divBdr>
    </w:div>
    <w:div w:id="2127699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brarysearch.uwtsd.ac.uk/discovery/fulldisplay?docid=cdi_proquest_journals_199783385&amp;context=PC&amp;vid=44WHELF_UWTSD:44WHELF_UWTSD_VU1&amp;lang=en&amp;search_scope=MyInst_and_CI&amp;adaptor=Primo%20Central&amp;tab=Everything&amp;query=any%2Ccontains%2CPsychological%20Conditions%20of%20Personal%20Engagement%20and%20Disengagement%20at%20Work&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0A824-DDD9-46DA-B08B-CE990F8B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2379</Words>
  <Characters>13564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Cosa (2211474)</dc:creator>
  <cp:keywords/>
  <dc:description/>
  <cp:lastModifiedBy>Sorina Iulia Cosa</cp:lastModifiedBy>
  <cp:revision>6</cp:revision>
  <dcterms:created xsi:type="dcterms:W3CDTF">2023-11-16T20:26:00Z</dcterms:created>
  <dcterms:modified xsi:type="dcterms:W3CDTF">2023-11-21T13:49:00Z</dcterms:modified>
</cp:coreProperties>
</file>