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98CA5" w14:textId="77777777" w:rsidR="00684477" w:rsidRDefault="00684477" w:rsidP="007276DB">
      <w:pPr>
        <w:pStyle w:val="Default"/>
        <w:spacing w:line="360" w:lineRule="auto"/>
        <w:jc w:val="center"/>
        <w:rPr>
          <w:rFonts w:ascii="Arial" w:hAnsi="Arial" w:cs="Arial"/>
        </w:rPr>
      </w:pPr>
    </w:p>
    <w:p w14:paraId="49BA5B58" w14:textId="77777777" w:rsidR="00FF31ED" w:rsidRDefault="00FF31ED" w:rsidP="007276DB">
      <w:pPr>
        <w:pStyle w:val="Default"/>
        <w:spacing w:line="360" w:lineRule="auto"/>
        <w:jc w:val="center"/>
        <w:rPr>
          <w:rFonts w:ascii="Arial" w:hAnsi="Arial" w:cs="Arial"/>
        </w:rPr>
      </w:pPr>
    </w:p>
    <w:p w14:paraId="30E19311" w14:textId="77777777" w:rsidR="00FF31ED" w:rsidRPr="00684477" w:rsidRDefault="00FF31ED" w:rsidP="007276DB">
      <w:pPr>
        <w:pStyle w:val="Default"/>
        <w:spacing w:line="360" w:lineRule="auto"/>
        <w:jc w:val="center"/>
        <w:rPr>
          <w:rFonts w:ascii="Arial" w:hAnsi="Arial" w:cs="Arial"/>
        </w:rPr>
      </w:pPr>
    </w:p>
    <w:p w14:paraId="77BD0376" w14:textId="432D0429" w:rsidR="00684477" w:rsidRPr="00425100" w:rsidRDefault="00740418" w:rsidP="007276DB">
      <w:pPr>
        <w:pStyle w:val="Default"/>
        <w:spacing w:line="360" w:lineRule="auto"/>
        <w:jc w:val="center"/>
        <w:rPr>
          <w:rFonts w:ascii="Arial" w:hAnsi="Arial" w:cs="Arial"/>
          <w:sz w:val="48"/>
          <w:szCs w:val="48"/>
        </w:rPr>
      </w:pPr>
      <w:r>
        <w:rPr>
          <w:rFonts w:ascii="Arial" w:hAnsi="Arial" w:cs="Arial"/>
          <w:sz w:val="48"/>
          <w:szCs w:val="48"/>
        </w:rPr>
        <w:t>B</w:t>
      </w:r>
      <w:r w:rsidR="00684477" w:rsidRPr="00425100">
        <w:rPr>
          <w:rFonts w:ascii="Arial" w:hAnsi="Arial" w:cs="Arial"/>
          <w:sz w:val="48"/>
          <w:szCs w:val="48"/>
        </w:rPr>
        <w:t>MIH600</w:t>
      </w:r>
      <w:r w:rsidR="008F4C82">
        <w:rPr>
          <w:rFonts w:ascii="Arial" w:hAnsi="Arial" w:cs="Arial"/>
          <w:sz w:val="48"/>
          <w:szCs w:val="48"/>
        </w:rPr>
        <w:t>1</w:t>
      </w:r>
      <w:r w:rsidR="00684477" w:rsidRPr="00425100">
        <w:rPr>
          <w:rFonts w:ascii="Arial" w:hAnsi="Arial" w:cs="Arial"/>
          <w:sz w:val="48"/>
          <w:szCs w:val="48"/>
        </w:rPr>
        <w:t xml:space="preserve"> </w:t>
      </w:r>
      <w:r w:rsidR="008F4C82">
        <w:rPr>
          <w:rFonts w:ascii="Arial" w:hAnsi="Arial" w:cs="Arial"/>
          <w:sz w:val="48"/>
          <w:szCs w:val="48"/>
        </w:rPr>
        <w:t>Contemporary</w:t>
      </w:r>
      <w:r w:rsidR="00C05677">
        <w:rPr>
          <w:rFonts w:ascii="Arial" w:hAnsi="Arial" w:cs="Arial"/>
          <w:sz w:val="48"/>
          <w:szCs w:val="48"/>
        </w:rPr>
        <w:t xml:space="preserve"> Themes in Hospitality</w:t>
      </w:r>
    </w:p>
    <w:p w14:paraId="79513808" w14:textId="0B9A874B" w:rsidR="00016ECF" w:rsidRPr="00425100" w:rsidRDefault="00684477" w:rsidP="007276DB">
      <w:pPr>
        <w:pStyle w:val="Default"/>
        <w:spacing w:line="360" w:lineRule="auto"/>
        <w:jc w:val="center"/>
        <w:rPr>
          <w:rFonts w:ascii="Arial" w:hAnsi="Arial" w:cs="Arial"/>
        </w:rPr>
      </w:pPr>
      <w:r w:rsidRPr="00425100">
        <w:rPr>
          <w:rFonts w:ascii="Arial" w:hAnsi="Arial" w:cs="Arial"/>
          <w:sz w:val="36"/>
          <w:szCs w:val="36"/>
        </w:rPr>
        <w:t xml:space="preserve">Module Lead </w:t>
      </w:r>
      <w:r w:rsidR="00C05677">
        <w:rPr>
          <w:rFonts w:ascii="Arial" w:hAnsi="Arial" w:cs="Arial"/>
          <w:sz w:val="36"/>
          <w:szCs w:val="36"/>
        </w:rPr>
        <w:t xml:space="preserve">Dr. Ernest Balutie </w:t>
      </w:r>
      <w:r w:rsidR="005B7A77">
        <w:rPr>
          <w:rFonts w:ascii="Arial" w:hAnsi="Arial" w:cs="Arial"/>
          <w:sz w:val="36"/>
          <w:szCs w:val="36"/>
        </w:rPr>
        <w:t>Wavei</w:t>
      </w:r>
    </w:p>
    <w:p w14:paraId="07142383" w14:textId="77777777" w:rsidR="00016ECF" w:rsidRDefault="00016ECF" w:rsidP="007276DB">
      <w:pPr>
        <w:spacing w:line="360" w:lineRule="auto"/>
        <w:jc w:val="center"/>
        <w:rPr>
          <w:rFonts w:ascii="Arial" w:hAnsi="Arial" w:cs="Arial"/>
          <w:sz w:val="24"/>
          <w:szCs w:val="24"/>
        </w:rPr>
      </w:pPr>
    </w:p>
    <w:p w14:paraId="78F694B3" w14:textId="77777777" w:rsidR="007276DB" w:rsidRDefault="007276DB" w:rsidP="007276DB">
      <w:pPr>
        <w:spacing w:line="360" w:lineRule="auto"/>
        <w:jc w:val="center"/>
        <w:rPr>
          <w:rFonts w:ascii="Arial" w:hAnsi="Arial" w:cs="Arial"/>
          <w:sz w:val="24"/>
          <w:szCs w:val="24"/>
        </w:rPr>
      </w:pPr>
    </w:p>
    <w:p w14:paraId="02C99B94" w14:textId="77777777" w:rsidR="00FF31ED" w:rsidRDefault="00FF31ED" w:rsidP="007276DB">
      <w:pPr>
        <w:spacing w:line="360" w:lineRule="auto"/>
        <w:jc w:val="center"/>
        <w:rPr>
          <w:rFonts w:ascii="Arial" w:hAnsi="Arial" w:cs="Arial"/>
          <w:sz w:val="24"/>
          <w:szCs w:val="24"/>
        </w:rPr>
      </w:pPr>
    </w:p>
    <w:p w14:paraId="51B642A0" w14:textId="77777777" w:rsidR="00FF31ED" w:rsidRDefault="00FF31ED" w:rsidP="007276DB">
      <w:pPr>
        <w:spacing w:line="360" w:lineRule="auto"/>
        <w:jc w:val="center"/>
        <w:rPr>
          <w:rFonts w:ascii="Arial" w:hAnsi="Arial" w:cs="Arial"/>
          <w:sz w:val="24"/>
          <w:szCs w:val="24"/>
        </w:rPr>
      </w:pPr>
    </w:p>
    <w:p w14:paraId="7F622186" w14:textId="77777777" w:rsidR="00FF31ED" w:rsidRDefault="00FF31ED" w:rsidP="007276DB">
      <w:pPr>
        <w:spacing w:line="360" w:lineRule="auto"/>
        <w:jc w:val="center"/>
        <w:rPr>
          <w:rFonts w:ascii="Arial" w:hAnsi="Arial" w:cs="Arial"/>
          <w:sz w:val="24"/>
          <w:szCs w:val="24"/>
        </w:rPr>
      </w:pPr>
    </w:p>
    <w:p w14:paraId="205CF51F" w14:textId="284CA394" w:rsidR="00E34BC0" w:rsidRPr="00425100" w:rsidRDefault="00E34BC0" w:rsidP="007276DB">
      <w:pPr>
        <w:spacing w:line="360" w:lineRule="auto"/>
        <w:jc w:val="center"/>
        <w:rPr>
          <w:rFonts w:ascii="Arial" w:hAnsi="Arial" w:cs="Arial"/>
          <w:b/>
          <w:bCs/>
          <w:sz w:val="40"/>
          <w:szCs w:val="40"/>
        </w:rPr>
      </w:pPr>
      <w:r w:rsidRPr="00425100">
        <w:rPr>
          <w:rFonts w:ascii="Arial" w:hAnsi="Arial" w:cs="Arial"/>
          <w:b/>
          <w:bCs/>
          <w:sz w:val="40"/>
          <w:szCs w:val="40"/>
        </w:rPr>
        <w:t>Con</w:t>
      </w:r>
      <w:r w:rsidR="00016584">
        <w:rPr>
          <w:rFonts w:ascii="Arial" w:hAnsi="Arial" w:cs="Arial"/>
          <w:b/>
          <w:bCs/>
          <w:sz w:val="40"/>
          <w:szCs w:val="40"/>
        </w:rPr>
        <w:t>ference Research Paper</w:t>
      </w:r>
    </w:p>
    <w:p w14:paraId="72BF51DA" w14:textId="77777777" w:rsidR="00FF31ED" w:rsidRDefault="00FF31ED" w:rsidP="007276DB">
      <w:pPr>
        <w:spacing w:line="360" w:lineRule="auto"/>
        <w:jc w:val="center"/>
        <w:rPr>
          <w:rFonts w:ascii="Arial" w:hAnsi="Arial" w:cs="Arial"/>
          <w:sz w:val="40"/>
          <w:szCs w:val="40"/>
        </w:rPr>
      </w:pPr>
    </w:p>
    <w:p w14:paraId="5ABB4E09" w14:textId="77777777" w:rsidR="0013669D" w:rsidRPr="007276DB" w:rsidRDefault="0013669D" w:rsidP="007276DB">
      <w:pPr>
        <w:spacing w:line="360" w:lineRule="auto"/>
        <w:jc w:val="center"/>
        <w:rPr>
          <w:rFonts w:ascii="Arial" w:hAnsi="Arial" w:cs="Arial"/>
          <w:sz w:val="40"/>
          <w:szCs w:val="40"/>
        </w:rPr>
      </w:pPr>
    </w:p>
    <w:p w14:paraId="53501DA9" w14:textId="5EE05E2D" w:rsidR="007276DB" w:rsidRPr="0013669D" w:rsidRDefault="004E78FF" w:rsidP="007276DB">
      <w:pPr>
        <w:spacing w:line="360" w:lineRule="auto"/>
        <w:jc w:val="center"/>
        <w:rPr>
          <w:rFonts w:ascii="Arial" w:hAnsi="Arial" w:cs="Arial"/>
          <w:b/>
          <w:bCs/>
          <w:sz w:val="32"/>
          <w:szCs w:val="32"/>
        </w:rPr>
      </w:pPr>
      <w:r w:rsidRPr="0013669D">
        <w:rPr>
          <w:rFonts w:ascii="Arial" w:hAnsi="Arial" w:cs="Arial"/>
          <w:b/>
          <w:bCs/>
          <w:sz w:val="32"/>
          <w:szCs w:val="32"/>
        </w:rPr>
        <w:t>Sustainability and Net-Zero in the Hotel Industry: A Growing Emphasis on Eco-Friendly Practices in Global Hospitality</w:t>
      </w:r>
    </w:p>
    <w:p w14:paraId="543715E0" w14:textId="77777777" w:rsidR="007276DB" w:rsidRDefault="007276DB" w:rsidP="007276DB">
      <w:pPr>
        <w:spacing w:line="360" w:lineRule="auto"/>
        <w:jc w:val="center"/>
        <w:rPr>
          <w:rFonts w:ascii="Arial" w:hAnsi="Arial" w:cs="Arial"/>
          <w:sz w:val="32"/>
          <w:szCs w:val="32"/>
        </w:rPr>
      </w:pPr>
    </w:p>
    <w:p w14:paraId="0538F3EA" w14:textId="77777777" w:rsidR="00FF31ED" w:rsidRDefault="00FF31ED" w:rsidP="007276DB">
      <w:pPr>
        <w:spacing w:line="360" w:lineRule="auto"/>
        <w:jc w:val="center"/>
        <w:rPr>
          <w:rFonts w:ascii="Arial" w:hAnsi="Arial" w:cs="Arial"/>
          <w:sz w:val="32"/>
          <w:szCs w:val="32"/>
        </w:rPr>
      </w:pPr>
    </w:p>
    <w:p w14:paraId="44ADCF1C" w14:textId="77777777" w:rsidR="0013669D" w:rsidRPr="007276DB" w:rsidRDefault="0013669D" w:rsidP="007276DB">
      <w:pPr>
        <w:spacing w:line="360" w:lineRule="auto"/>
        <w:jc w:val="center"/>
        <w:rPr>
          <w:rFonts w:ascii="Arial" w:hAnsi="Arial" w:cs="Arial"/>
          <w:sz w:val="32"/>
          <w:szCs w:val="32"/>
        </w:rPr>
      </w:pPr>
    </w:p>
    <w:p w14:paraId="07E918E4" w14:textId="714C54DB" w:rsidR="00E34BC0" w:rsidRPr="00FF31ED" w:rsidRDefault="00374196" w:rsidP="007276DB">
      <w:pPr>
        <w:spacing w:line="360" w:lineRule="auto"/>
        <w:jc w:val="center"/>
        <w:rPr>
          <w:rFonts w:ascii="Arial" w:hAnsi="Arial" w:cs="Arial"/>
          <w:sz w:val="28"/>
          <w:szCs w:val="28"/>
        </w:rPr>
      </w:pPr>
      <w:r w:rsidRPr="00FF31ED">
        <w:rPr>
          <w:rFonts w:ascii="Arial" w:hAnsi="Arial" w:cs="Arial"/>
          <w:sz w:val="28"/>
          <w:szCs w:val="28"/>
        </w:rPr>
        <w:t>Catalina Gabriela Dumitru</w:t>
      </w:r>
    </w:p>
    <w:p w14:paraId="3E715D82" w14:textId="07C56B1A" w:rsidR="00374196" w:rsidRDefault="00374196" w:rsidP="007276DB">
      <w:pPr>
        <w:spacing w:line="360" w:lineRule="auto"/>
        <w:jc w:val="center"/>
        <w:rPr>
          <w:rFonts w:ascii="Arial" w:hAnsi="Arial" w:cs="Arial"/>
          <w:sz w:val="28"/>
          <w:szCs w:val="28"/>
        </w:rPr>
      </w:pPr>
      <w:r w:rsidRPr="00FF31ED">
        <w:rPr>
          <w:rFonts w:ascii="Arial" w:hAnsi="Arial" w:cs="Arial"/>
          <w:sz w:val="28"/>
          <w:szCs w:val="28"/>
        </w:rPr>
        <w:t>2209716</w:t>
      </w:r>
    </w:p>
    <w:p w14:paraId="152211C2" w14:textId="41F6B5E1" w:rsidR="00FF31ED" w:rsidRPr="00FF31ED" w:rsidRDefault="00FF31ED" w:rsidP="007276DB">
      <w:pPr>
        <w:spacing w:line="360" w:lineRule="auto"/>
        <w:jc w:val="center"/>
        <w:rPr>
          <w:rFonts w:ascii="Arial" w:hAnsi="Arial" w:cs="Arial"/>
          <w:sz w:val="28"/>
          <w:szCs w:val="28"/>
        </w:rPr>
      </w:pPr>
      <w:r>
        <w:rPr>
          <w:rFonts w:ascii="Arial" w:hAnsi="Arial" w:cs="Arial"/>
          <w:sz w:val="28"/>
          <w:szCs w:val="28"/>
        </w:rPr>
        <w:t xml:space="preserve">Wordcount </w:t>
      </w:r>
      <w:r w:rsidR="0013669D">
        <w:rPr>
          <w:rFonts w:ascii="Arial" w:hAnsi="Arial" w:cs="Arial"/>
          <w:sz w:val="28"/>
          <w:szCs w:val="28"/>
        </w:rPr>
        <w:t>26</w:t>
      </w:r>
      <w:r w:rsidR="00F42144">
        <w:rPr>
          <w:rFonts w:ascii="Arial" w:hAnsi="Arial" w:cs="Arial"/>
          <w:sz w:val="28"/>
          <w:szCs w:val="28"/>
        </w:rPr>
        <w:t>8</w:t>
      </w:r>
      <w:r w:rsidR="00CC26EB">
        <w:rPr>
          <w:rFonts w:ascii="Arial" w:hAnsi="Arial" w:cs="Arial"/>
          <w:sz w:val="28"/>
          <w:szCs w:val="28"/>
        </w:rPr>
        <w:t>5</w:t>
      </w:r>
    </w:p>
    <w:p w14:paraId="4D7449F1" w14:textId="77777777" w:rsidR="00016ECF" w:rsidRDefault="00016ECF" w:rsidP="00B8031C">
      <w:pPr>
        <w:spacing w:line="360" w:lineRule="auto"/>
        <w:jc w:val="both"/>
        <w:rPr>
          <w:rFonts w:ascii="Arial" w:hAnsi="Arial" w:cs="Arial"/>
          <w:sz w:val="24"/>
          <w:szCs w:val="24"/>
        </w:rPr>
      </w:pPr>
    </w:p>
    <w:p w14:paraId="20FE9B78" w14:textId="77777777" w:rsidR="004E78FF" w:rsidRPr="004E78FF" w:rsidRDefault="004E78FF" w:rsidP="004E78FF">
      <w:pPr>
        <w:spacing w:line="360" w:lineRule="auto"/>
        <w:jc w:val="both"/>
        <w:rPr>
          <w:rFonts w:ascii="Arial" w:hAnsi="Arial" w:cs="Arial"/>
          <w:sz w:val="24"/>
          <w:szCs w:val="24"/>
        </w:rPr>
      </w:pPr>
    </w:p>
    <w:p w14:paraId="0A43562B" w14:textId="77777777" w:rsidR="004E78FF" w:rsidRPr="004E78FF" w:rsidRDefault="004E78FF" w:rsidP="004E78FF">
      <w:pPr>
        <w:spacing w:line="360" w:lineRule="auto"/>
        <w:jc w:val="both"/>
        <w:rPr>
          <w:rFonts w:ascii="Arial" w:hAnsi="Arial" w:cs="Arial"/>
          <w:sz w:val="24"/>
          <w:szCs w:val="24"/>
        </w:rPr>
      </w:pPr>
    </w:p>
    <w:p w14:paraId="544D700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Abstract</w:t>
      </w:r>
    </w:p>
    <w:p w14:paraId="39D0D162" w14:textId="75DE4356"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global hospitality industry faces increasing pressure to align with sustainable development and achieve net-zero emissions. This paper explores how gradually sustainability appeared, how begun and how evolved; in actual, how hotels are responding to these challenges through eco-friendly innovations, responsible management practices and sustainability-driven strategies. It combines theoretical frameworks such as the Triple Bottom Line (Elkington, 1997) and Circular Economy with practical examples from international hotel brands collected from online, from brand’s sites. Findings highlight best practices, barriers to adoption and opportunities for transformation. A</w:t>
      </w:r>
      <w:r w:rsidR="00BF7DC2">
        <w:rPr>
          <w:rFonts w:ascii="Arial" w:hAnsi="Arial" w:cs="Arial"/>
          <w:sz w:val="24"/>
          <w:szCs w:val="24"/>
        </w:rPr>
        <w:t>lso contains an a</w:t>
      </w:r>
      <w:r w:rsidRPr="004E78FF">
        <w:rPr>
          <w:rFonts w:ascii="Arial" w:hAnsi="Arial" w:cs="Arial"/>
          <w:sz w:val="24"/>
          <w:szCs w:val="24"/>
        </w:rPr>
        <w:t>nalyse of impact of sustainability on hospitality. The study concludes with recommendations for integrating sustainability deeply into hotel operations while aligning with global environmental goals.</w:t>
      </w:r>
    </w:p>
    <w:p w14:paraId="1AFD5F97" w14:textId="77777777" w:rsidR="004E78FF" w:rsidRPr="004E78FF" w:rsidRDefault="004E78FF" w:rsidP="004E78FF">
      <w:pPr>
        <w:spacing w:line="360" w:lineRule="auto"/>
        <w:jc w:val="both"/>
        <w:rPr>
          <w:rFonts w:ascii="Arial" w:hAnsi="Arial" w:cs="Arial"/>
          <w:sz w:val="24"/>
          <w:szCs w:val="24"/>
        </w:rPr>
      </w:pPr>
    </w:p>
    <w:p w14:paraId="0548E62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Research Aim and Objectives</w:t>
      </w:r>
    </w:p>
    <w:p w14:paraId="58B2CFF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Aim:</w:t>
      </w:r>
    </w:p>
    <w:p w14:paraId="5EE045F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investigate the integration of sustainability and net-zero strategies in the global hotel industry and their practical implications for hospitality management.</w:t>
      </w:r>
    </w:p>
    <w:p w14:paraId="5CE8E06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Objectives:</w:t>
      </w:r>
    </w:p>
    <w:p w14:paraId="6CF5E12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examine the theoretical foundations underpinning sustainability in hospitality.</w:t>
      </w:r>
    </w:p>
    <w:p w14:paraId="2FCB7A2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explore global trends and initiatives influencing hotel sustainability efforts.</w:t>
      </w:r>
    </w:p>
    <w:p w14:paraId="2C1ABE2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identify best practices and innovations in sustainable hotel operations.</w:t>
      </w:r>
    </w:p>
    <w:p w14:paraId="18FCD12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analyse challenges faced by hotels in implementing net-zero strategies.</w:t>
      </w:r>
    </w:p>
    <w:p w14:paraId="35F0A4D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 provide recommendations for sustainable transformation in hotel management.</w:t>
      </w:r>
    </w:p>
    <w:p w14:paraId="6BF1174F" w14:textId="77777777" w:rsidR="004E78FF" w:rsidRDefault="004E78FF" w:rsidP="004E78FF">
      <w:pPr>
        <w:spacing w:line="360" w:lineRule="auto"/>
        <w:jc w:val="both"/>
        <w:rPr>
          <w:rFonts w:ascii="Arial" w:hAnsi="Arial" w:cs="Arial"/>
          <w:sz w:val="24"/>
          <w:szCs w:val="24"/>
        </w:rPr>
      </w:pPr>
    </w:p>
    <w:p w14:paraId="25152180" w14:textId="77777777" w:rsidR="0013669D" w:rsidRDefault="0013669D" w:rsidP="004E78FF">
      <w:pPr>
        <w:spacing w:line="360" w:lineRule="auto"/>
        <w:jc w:val="both"/>
        <w:rPr>
          <w:rFonts w:ascii="Arial" w:hAnsi="Arial" w:cs="Arial"/>
          <w:sz w:val="24"/>
          <w:szCs w:val="24"/>
        </w:rPr>
      </w:pPr>
    </w:p>
    <w:p w14:paraId="093A7650" w14:textId="77777777" w:rsidR="0013669D" w:rsidRPr="004E78FF" w:rsidRDefault="0013669D" w:rsidP="004E78FF">
      <w:pPr>
        <w:spacing w:line="360" w:lineRule="auto"/>
        <w:jc w:val="both"/>
        <w:rPr>
          <w:rFonts w:ascii="Arial" w:hAnsi="Arial" w:cs="Arial"/>
          <w:sz w:val="24"/>
          <w:szCs w:val="24"/>
        </w:rPr>
      </w:pPr>
    </w:p>
    <w:p w14:paraId="1B1822E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Introduction</w:t>
      </w:r>
    </w:p>
    <w:p w14:paraId="0800568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hospitality and hotel industry plays a pivotal role in global economic development, but its operations also significantly impact the environment through high levels of energy consumption, waste production, and carbon emissions. As climate change intensifies and consumer expectations evolve, sustainability and net-zero practices have become central to strategic decision-making within the sector. Achieving net-zero—defined as balancing emitted and removed greenhouse gases—has emerged as a critical objective in aligning with global environmental goals such as the Paris Agreement and the United Nations Sustainable Development Goals (UN SDGs).</w:t>
      </w:r>
    </w:p>
    <w:p w14:paraId="10046BF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Sustainability in the hotel industry extends beyond environmental conservation; it incorporates social responsibility, ethical labour practices, and long-term economic resilience. The application of sustainability frameworks, such as the Triple Bottom Line and Circular Economy, provides hotels with a structured approach to integrate environmental, social, and economic goals into their daily operations (Elkington, 1997). Moreover, growing political pressure, stakeholder activism, and technological innovation are reshaping how the industry adapts to these challenges. As hotels navigate complex global markets, the adoption of sustainable and net-zero strategies is not just an ethical imperative, but a competitive necessity (Deloitte, 2023). This paper explores the intersection of theory and practice in sustainability, critically assessing the industry’s responses and future trajectory.</w:t>
      </w:r>
    </w:p>
    <w:p w14:paraId="14AF6E74" w14:textId="77777777" w:rsidR="004E78FF" w:rsidRPr="004E78FF" w:rsidRDefault="004E78FF" w:rsidP="004E78FF">
      <w:pPr>
        <w:spacing w:line="360" w:lineRule="auto"/>
        <w:jc w:val="both"/>
        <w:rPr>
          <w:rFonts w:ascii="Arial" w:hAnsi="Arial" w:cs="Arial"/>
          <w:sz w:val="24"/>
          <w:szCs w:val="24"/>
        </w:rPr>
      </w:pPr>
    </w:p>
    <w:p w14:paraId="292D0BB1" w14:textId="77777777" w:rsidR="004E78FF" w:rsidRPr="004E78FF" w:rsidRDefault="004E78FF" w:rsidP="004E78FF">
      <w:pPr>
        <w:spacing w:line="360" w:lineRule="auto"/>
        <w:jc w:val="both"/>
        <w:rPr>
          <w:rFonts w:ascii="Arial" w:hAnsi="Arial" w:cs="Arial"/>
          <w:sz w:val="24"/>
          <w:szCs w:val="24"/>
        </w:rPr>
      </w:pPr>
    </w:p>
    <w:p w14:paraId="40265DF1" w14:textId="77777777" w:rsidR="004E78FF" w:rsidRPr="004E78FF" w:rsidRDefault="004E78FF" w:rsidP="004E78FF">
      <w:pPr>
        <w:spacing w:line="360" w:lineRule="auto"/>
        <w:jc w:val="both"/>
        <w:rPr>
          <w:rFonts w:ascii="Arial" w:hAnsi="Arial" w:cs="Arial"/>
          <w:sz w:val="24"/>
          <w:szCs w:val="24"/>
        </w:rPr>
      </w:pPr>
    </w:p>
    <w:p w14:paraId="1AEEBBD2" w14:textId="77777777" w:rsidR="004E78FF" w:rsidRPr="004E78FF" w:rsidRDefault="004E78FF" w:rsidP="004E78FF">
      <w:pPr>
        <w:spacing w:line="360" w:lineRule="auto"/>
        <w:jc w:val="both"/>
        <w:rPr>
          <w:rFonts w:ascii="Arial" w:hAnsi="Arial" w:cs="Arial"/>
          <w:sz w:val="24"/>
          <w:szCs w:val="24"/>
        </w:rPr>
      </w:pPr>
    </w:p>
    <w:p w14:paraId="53A835E3" w14:textId="77777777" w:rsidR="004E78FF" w:rsidRPr="004E78FF" w:rsidRDefault="004E78FF" w:rsidP="004E78FF">
      <w:pPr>
        <w:spacing w:line="360" w:lineRule="auto"/>
        <w:jc w:val="both"/>
        <w:rPr>
          <w:rFonts w:ascii="Arial" w:hAnsi="Arial" w:cs="Arial"/>
          <w:sz w:val="24"/>
          <w:szCs w:val="24"/>
        </w:rPr>
      </w:pPr>
    </w:p>
    <w:p w14:paraId="7728340E" w14:textId="77777777" w:rsidR="004E78FF" w:rsidRPr="004E78FF" w:rsidRDefault="004E78FF" w:rsidP="004E78FF">
      <w:pPr>
        <w:spacing w:line="360" w:lineRule="auto"/>
        <w:jc w:val="both"/>
        <w:rPr>
          <w:rFonts w:ascii="Arial" w:hAnsi="Arial" w:cs="Arial"/>
          <w:sz w:val="24"/>
          <w:szCs w:val="24"/>
        </w:rPr>
      </w:pPr>
    </w:p>
    <w:p w14:paraId="5C62012F" w14:textId="77777777" w:rsidR="004E78FF" w:rsidRPr="004E78FF" w:rsidRDefault="004E78FF" w:rsidP="004E78FF">
      <w:pPr>
        <w:spacing w:line="360" w:lineRule="auto"/>
        <w:jc w:val="both"/>
        <w:rPr>
          <w:rFonts w:ascii="Arial" w:hAnsi="Arial" w:cs="Arial"/>
          <w:sz w:val="24"/>
          <w:szCs w:val="24"/>
        </w:rPr>
      </w:pPr>
    </w:p>
    <w:p w14:paraId="36D44AE8" w14:textId="77777777" w:rsidR="004E78FF" w:rsidRPr="004E78FF" w:rsidRDefault="004E78FF" w:rsidP="004E78FF">
      <w:pPr>
        <w:spacing w:line="360" w:lineRule="auto"/>
        <w:jc w:val="both"/>
        <w:rPr>
          <w:rFonts w:ascii="Arial" w:hAnsi="Arial" w:cs="Arial"/>
          <w:sz w:val="24"/>
          <w:szCs w:val="24"/>
        </w:rPr>
      </w:pPr>
    </w:p>
    <w:p w14:paraId="094A702A" w14:textId="77777777" w:rsidR="004E78FF" w:rsidRPr="004E78FF" w:rsidRDefault="004E78FF" w:rsidP="004E78FF">
      <w:pPr>
        <w:spacing w:line="360" w:lineRule="auto"/>
        <w:jc w:val="both"/>
        <w:rPr>
          <w:rFonts w:ascii="Arial" w:hAnsi="Arial" w:cs="Arial"/>
          <w:sz w:val="24"/>
          <w:szCs w:val="24"/>
        </w:rPr>
      </w:pPr>
    </w:p>
    <w:p w14:paraId="07BDB27C" w14:textId="77777777" w:rsidR="004E78FF" w:rsidRDefault="004E78FF" w:rsidP="004E78FF">
      <w:pPr>
        <w:spacing w:line="360" w:lineRule="auto"/>
        <w:jc w:val="both"/>
        <w:rPr>
          <w:rFonts w:ascii="Arial" w:hAnsi="Arial" w:cs="Arial"/>
          <w:sz w:val="24"/>
          <w:szCs w:val="24"/>
        </w:rPr>
      </w:pPr>
      <w:r w:rsidRPr="004E78FF">
        <w:rPr>
          <w:rFonts w:ascii="Arial" w:hAnsi="Arial" w:cs="Arial"/>
          <w:sz w:val="24"/>
          <w:szCs w:val="24"/>
        </w:rPr>
        <w:t>2. Literature review</w:t>
      </w:r>
    </w:p>
    <w:p w14:paraId="4BC09278" w14:textId="77777777" w:rsidR="007D5172" w:rsidRPr="004E78FF" w:rsidRDefault="007D5172" w:rsidP="004E78FF">
      <w:pPr>
        <w:spacing w:line="360" w:lineRule="auto"/>
        <w:jc w:val="both"/>
        <w:rPr>
          <w:rFonts w:ascii="Arial" w:hAnsi="Arial" w:cs="Arial"/>
          <w:sz w:val="24"/>
          <w:szCs w:val="24"/>
        </w:rPr>
      </w:pPr>
    </w:p>
    <w:p w14:paraId="1374ED8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hospitality industry, as one of the fastest-growing sectors worldwide, significantly contributes to environmental degradation through energy consumption, carbon emissions, water usage, and waste generation. In response to the urgent need for climate action, hotels are increasingly embracing sustainability and net-zero commitments. Net-zero refers to the balance between greenhouse gas emissions produced and removed from the atmosphere, which has become a guiding objective for many global organizations.</w:t>
      </w:r>
    </w:p>
    <w:p w14:paraId="07C8390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This research aims to investigate how sustainability and net-zero strategies are being adopted in the hotel industry. By linking theoretical concepts with practical applications, the study provides insight into how hospitality operations can be transformed to align with global sustainability standards.</w:t>
      </w:r>
    </w:p>
    <w:p w14:paraId="6467AAA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2.1. Theoretical Concepts</w:t>
      </w:r>
    </w:p>
    <w:p w14:paraId="7809DA5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Triple Bottom Line (TBL) by Elkington (1997) emphasizes sustainability across three dimensions: People, Planet, and Profit. Circular Economy promotes reducing, reusing, and recycling resources within the value chain to minimize waste. Net-Zero involves reducing greenhouse gas emissions and offsetting the remainder to achieve a carbon-neutral footprint.</w:t>
      </w:r>
    </w:p>
    <w:p w14:paraId="2D0B605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Carbon reduction and the pursuit of net-zero emissions have emerged as critical areas of focus within the sustainability agenda of the hospitality industry. Hotels, as energy-intensive establishments, contribute significantly to greenhouse gas (GHG) emissions through heating, cooling, lighting, laundry, food production, and transportation (Jones, Hillier and Comfort, 2020). Consequently, carbon management and decarbonization strategies have become essential components of sustainable hospitality operations.</w:t>
      </w:r>
    </w:p>
    <w:p w14:paraId="287B4D0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Recent literature highlights that the drive towards net-zero has intensified following the 2015 Paris Agreement and the establishment of global initiatives such as the UN Sustainable Development Goals (SDGs) and the Race to Zero campaign, which directly challenge industries—including hospitality—to decarbonize operations (UNFCCC, 2015; United Nations, 2015). In response, hotels are increasingly adopting renewable energy </w:t>
      </w:r>
      <w:r w:rsidRPr="004E78FF">
        <w:rPr>
          <w:rFonts w:ascii="Arial" w:hAnsi="Arial" w:cs="Arial"/>
          <w:sz w:val="24"/>
          <w:szCs w:val="24"/>
        </w:rPr>
        <w:lastRenderedPageBreak/>
        <w:t>systems, improving energy efficiency through smart building technologies, and offsetting unavoidable emissions through verified carbon credits (Kumar and Dixit, 2023).</w:t>
      </w:r>
    </w:p>
    <w:p w14:paraId="1D480A6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2.2. Sustainability in Hospitality</w:t>
      </w:r>
    </w:p>
    <w:p w14:paraId="6FC4A02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Hotels are highly resource-intensive. Traditional operations contribute to high energy usage, extensive food waste, and substantial carbon emissions. Sustainable hospitality involves adopting practices that reduce this impact, such as energy-efficient systems, sustainable procurement, and green certifications (e.g., LEED, Green Key).</w:t>
      </w:r>
    </w:p>
    <w:p w14:paraId="65401C7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Major global hotel brands have demonstrated leadership in this space. Hilton’s “Travel with Purpose” program, for example, aims to cut Scope 1 and Scope 2 emissions by 75% across its managed portfolio by 2030 (Hilton, 2023). Similarly, Accor’s Planet 21 initiative focuses on reducing carbon intensity per room and investing in sustainable building practices (Accor, 2023). Marriott’s “Serve 360” also includes carbon tracking tools and the integration of low-carbon materials in construction. These programs have shown tangible benefits, such as reduced utility costs, enhanced brand reputation, and improved investor confidence through Environmental, Social and Governance (ESG) reporting (Deloitte, 2023).</w:t>
      </w:r>
    </w:p>
    <w:p w14:paraId="679081C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However, recent critical reviews reveal several limitations. Despite the adoption of net-zero targets, many hotels lack clear implementation roadmaps, especially concerning Scope 3 emissions—those indirect emissions from supply chains and guest travel (Bohdanowicz and Zientara, 2022). Smaller or independent hotels often face financial and technical barriers to investing in renewable infrastructure or retrofitting older properties (Jones et al., 2020). Moreover, concerns around “greenwashing” persist, as some brands promote sustainability more aggressively in marketing than in measurable operational outcomes (Peattie and Crane, 2005). On paper, green tendencies are reforming, in reality are more or less in implementing stages, which is a continuous improvement.</w:t>
      </w:r>
    </w:p>
    <w:p w14:paraId="2DCEAD5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2.3. Global Influences</w:t>
      </w:r>
    </w:p>
    <w:p w14:paraId="6CDDCA5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International frameworks such as the United Nations Sustainable Development Goals (SDGs) and the Paris Climate Agreement are catalysing sustainability in hospitality. Pioneer’s initiatives been standardized and defined to be achieved by criteria. Organizations like the Sustainable Hospitality Alliance provide strategic roadmaps for hotel brands to achieve environmental targets.</w:t>
      </w:r>
    </w:p>
    <w:p w14:paraId="13A8214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Global forums such as the Sustainable Hospitality Alliance (SHA) and World Travel &amp; Tourism Council (WTTC) provide critical frameworks and toolkits for operationalizing sustainability. SHA’s “Pathway to Net Positive Hospitality” outlines best practices for reducing emissions, including guidelines for sustainable procurement, energy audits, and carbon reporting systems (Sustainable Hospitality Alliance, 2024). Meanwhile, WTTC’s Net Zero Roadmap emphasizes collaboration, digital transformation, and access to green finance for accelerating climate action in the hospitality sector (WTTC, 2023).</w:t>
      </w:r>
    </w:p>
    <w:p w14:paraId="3410968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 conclusion, while the hospitality industry has made substantial progress in carbon reduction, gaps in execution, financing, and standardization remain. Future research and practical interventions must focus on bridging these gaps through cross-sector collaboration, innovative technologies, and transparent measurement systems.</w:t>
      </w:r>
    </w:p>
    <w:p w14:paraId="7B6C7430" w14:textId="77777777" w:rsidR="004E78FF" w:rsidRPr="004E78FF" w:rsidRDefault="004E78FF" w:rsidP="004E78FF">
      <w:pPr>
        <w:spacing w:line="360" w:lineRule="auto"/>
        <w:jc w:val="both"/>
        <w:rPr>
          <w:rFonts w:ascii="Arial" w:hAnsi="Arial" w:cs="Arial"/>
          <w:sz w:val="24"/>
          <w:szCs w:val="24"/>
        </w:rPr>
      </w:pPr>
    </w:p>
    <w:p w14:paraId="0AB254E5" w14:textId="77777777" w:rsidR="004E78FF" w:rsidRPr="004E78FF" w:rsidRDefault="004E78FF" w:rsidP="004E78FF">
      <w:pPr>
        <w:spacing w:line="360" w:lineRule="auto"/>
        <w:jc w:val="both"/>
        <w:rPr>
          <w:rFonts w:ascii="Arial" w:hAnsi="Arial" w:cs="Arial"/>
          <w:sz w:val="24"/>
          <w:szCs w:val="24"/>
        </w:rPr>
      </w:pPr>
    </w:p>
    <w:p w14:paraId="766F879D" w14:textId="77777777" w:rsidR="004E78FF" w:rsidRDefault="004E78FF" w:rsidP="004E78FF">
      <w:pPr>
        <w:spacing w:line="360" w:lineRule="auto"/>
        <w:jc w:val="both"/>
        <w:rPr>
          <w:rFonts w:ascii="Arial" w:hAnsi="Arial" w:cs="Arial"/>
          <w:sz w:val="24"/>
          <w:szCs w:val="24"/>
        </w:rPr>
      </w:pPr>
    </w:p>
    <w:p w14:paraId="25CB442D" w14:textId="77777777" w:rsidR="00EE3CC8" w:rsidRDefault="00EE3CC8" w:rsidP="004E78FF">
      <w:pPr>
        <w:spacing w:line="360" w:lineRule="auto"/>
        <w:jc w:val="both"/>
        <w:rPr>
          <w:rFonts w:ascii="Arial" w:hAnsi="Arial" w:cs="Arial"/>
          <w:sz w:val="24"/>
          <w:szCs w:val="24"/>
        </w:rPr>
      </w:pPr>
    </w:p>
    <w:p w14:paraId="51021C77" w14:textId="77777777" w:rsidR="00EE3CC8" w:rsidRDefault="00EE3CC8" w:rsidP="004E78FF">
      <w:pPr>
        <w:spacing w:line="360" w:lineRule="auto"/>
        <w:jc w:val="both"/>
        <w:rPr>
          <w:rFonts w:ascii="Arial" w:hAnsi="Arial" w:cs="Arial"/>
          <w:sz w:val="24"/>
          <w:szCs w:val="24"/>
        </w:rPr>
      </w:pPr>
    </w:p>
    <w:p w14:paraId="12A83184" w14:textId="77777777" w:rsidR="00EE3CC8" w:rsidRDefault="00EE3CC8" w:rsidP="004E78FF">
      <w:pPr>
        <w:spacing w:line="360" w:lineRule="auto"/>
        <w:jc w:val="both"/>
        <w:rPr>
          <w:rFonts w:ascii="Arial" w:hAnsi="Arial" w:cs="Arial"/>
          <w:sz w:val="24"/>
          <w:szCs w:val="24"/>
        </w:rPr>
      </w:pPr>
    </w:p>
    <w:p w14:paraId="2AC0661E" w14:textId="77777777" w:rsidR="00EE3CC8" w:rsidRDefault="00EE3CC8" w:rsidP="004E78FF">
      <w:pPr>
        <w:spacing w:line="360" w:lineRule="auto"/>
        <w:jc w:val="both"/>
        <w:rPr>
          <w:rFonts w:ascii="Arial" w:hAnsi="Arial" w:cs="Arial"/>
          <w:sz w:val="24"/>
          <w:szCs w:val="24"/>
        </w:rPr>
      </w:pPr>
    </w:p>
    <w:p w14:paraId="34B42E15" w14:textId="77777777" w:rsidR="00EE3CC8" w:rsidRDefault="00EE3CC8" w:rsidP="004E78FF">
      <w:pPr>
        <w:spacing w:line="360" w:lineRule="auto"/>
        <w:jc w:val="both"/>
        <w:rPr>
          <w:rFonts w:ascii="Arial" w:hAnsi="Arial" w:cs="Arial"/>
          <w:sz w:val="24"/>
          <w:szCs w:val="24"/>
        </w:rPr>
      </w:pPr>
    </w:p>
    <w:p w14:paraId="0703279E" w14:textId="77777777" w:rsidR="00EE3CC8" w:rsidRDefault="00EE3CC8" w:rsidP="004E78FF">
      <w:pPr>
        <w:spacing w:line="360" w:lineRule="auto"/>
        <w:jc w:val="both"/>
        <w:rPr>
          <w:rFonts w:ascii="Arial" w:hAnsi="Arial" w:cs="Arial"/>
          <w:sz w:val="24"/>
          <w:szCs w:val="24"/>
        </w:rPr>
      </w:pPr>
    </w:p>
    <w:p w14:paraId="4C2EDEF1" w14:textId="77777777" w:rsidR="00EE3CC8" w:rsidRDefault="00EE3CC8" w:rsidP="004E78FF">
      <w:pPr>
        <w:spacing w:line="360" w:lineRule="auto"/>
        <w:jc w:val="both"/>
        <w:rPr>
          <w:rFonts w:ascii="Arial" w:hAnsi="Arial" w:cs="Arial"/>
          <w:sz w:val="24"/>
          <w:szCs w:val="24"/>
        </w:rPr>
      </w:pPr>
    </w:p>
    <w:p w14:paraId="4F9D7BD7" w14:textId="77777777" w:rsidR="00EE3CC8" w:rsidRDefault="00EE3CC8" w:rsidP="004E78FF">
      <w:pPr>
        <w:spacing w:line="360" w:lineRule="auto"/>
        <w:jc w:val="both"/>
        <w:rPr>
          <w:rFonts w:ascii="Arial" w:hAnsi="Arial" w:cs="Arial"/>
          <w:sz w:val="24"/>
          <w:szCs w:val="24"/>
        </w:rPr>
      </w:pPr>
    </w:p>
    <w:p w14:paraId="39033923" w14:textId="77777777" w:rsidR="00EE3CC8" w:rsidRDefault="00EE3CC8" w:rsidP="004E78FF">
      <w:pPr>
        <w:spacing w:line="360" w:lineRule="auto"/>
        <w:jc w:val="both"/>
        <w:rPr>
          <w:rFonts w:ascii="Arial" w:hAnsi="Arial" w:cs="Arial"/>
          <w:sz w:val="24"/>
          <w:szCs w:val="24"/>
        </w:rPr>
      </w:pPr>
    </w:p>
    <w:p w14:paraId="482CFCEF" w14:textId="77777777" w:rsidR="00EE3CC8" w:rsidRDefault="00EE3CC8" w:rsidP="004E78FF">
      <w:pPr>
        <w:spacing w:line="360" w:lineRule="auto"/>
        <w:jc w:val="both"/>
        <w:rPr>
          <w:rFonts w:ascii="Arial" w:hAnsi="Arial" w:cs="Arial"/>
          <w:sz w:val="24"/>
          <w:szCs w:val="24"/>
        </w:rPr>
      </w:pPr>
    </w:p>
    <w:p w14:paraId="1CF1CC77" w14:textId="77777777" w:rsidR="00EE3CC8" w:rsidRDefault="00EE3CC8" w:rsidP="004E78FF">
      <w:pPr>
        <w:spacing w:line="360" w:lineRule="auto"/>
        <w:jc w:val="both"/>
        <w:rPr>
          <w:rFonts w:ascii="Arial" w:hAnsi="Arial" w:cs="Arial"/>
          <w:sz w:val="24"/>
          <w:szCs w:val="24"/>
        </w:rPr>
      </w:pPr>
    </w:p>
    <w:p w14:paraId="6E7755D7" w14:textId="77777777" w:rsidR="00EE3CC8" w:rsidRDefault="00EE3CC8" w:rsidP="004E78FF">
      <w:pPr>
        <w:spacing w:line="360" w:lineRule="auto"/>
        <w:jc w:val="both"/>
        <w:rPr>
          <w:rFonts w:ascii="Arial" w:hAnsi="Arial" w:cs="Arial"/>
          <w:sz w:val="24"/>
          <w:szCs w:val="24"/>
        </w:rPr>
      </w:pPr>
    </w:p>
    <w:p w14:paraId="6E2288AF" w14:textId="77777777" w:rsidR="00EE3CC8" w:rsidRDefault="00EE3CC8" w:rsidP="004E78FF">
      <w:pPr>
        <w:spacing w:line="360" w:lineRule="auto"/>
        <w:jc w:val="both"/>
        <w:rPr>
          <w:rFonts w:ascii="Arial" w:hAnsi="Arial" w:cs="Arial"/>
          <w:sz w:val="24"/>
          <w:szCs w:val="24"/>
        </w:rPr>
      </w:pPr>
    </w:p>
    <w:p w14:paraId="40BAEB87" w14:textId="77777777" w:rsidR="007D5172" w:rsidRDefault="007D5172" w:rsidP="004E78FF">
      <w:pPr>
        <w:spacing w:line="360" w:lineRule="auto"/>
        <w:jc w:val="both"/>
        <w:rPr>
          <w:rFonts w:ascii="Arial" w:hAnsi="Arial" w:cs="Arial"/>
          <w:sz w:val="24"/>
          <w:szCs w:val="24"/>
        </w:rPr>
      </w:pPr>
    </w:p>
    <w:p w14:paraId="05CB7E05" w14:textId="77777777" w:rsidR="007D5172" w:rsidRPr="004E78FF" w:rsidRDefault="007D5172" w:rsidP="004E78FF">
      <w:pPr>
        <w:spacing w:line="360" w:lineRule="auto"/>
        <w:jc w:val="both"/>
        <w:rPr>
          <w:rFonts w:ascii="Arial" w:hAnsi="Arial" w:cs="Arial"/>
          <w:sz w:val="24"/>
          <w:szCs w:val="24"/>
        </w:rPr>
      </w:pPr>
    </w:p>
    <w:p w14:paraId="2FB29B9B" w14:textId="77777777" w:rsidR="004E78FF" w:rsidRPr="004E78FF" w:rsidRDefault="004E78FF" w:rsidP="004E78FF">
      <w:pPr>
        <w:spacing w:line="360" w:lineRule="auto"/>
        <w:jc w:val="both"/>
        <w:rPr>
          <w:rFonts w:ascii="Arial" w:hAnsi="Arial" w:cs="Arial"/>
          <w:sz w:val="24"/>
          <w:szCs w:val="24"/>
        </w:rPr>
      </w:pPr>
    </w:p>
    <w:p w14:paraId="72084FAA" w14:textId="77777777" w:rsidR="004E78FF" w:rsidRDefault="004E78FF" w:rsidP="004E78FF">
      <w:pPr>
        <w:spacing w:line="360" w:lineRule="auto"/>
        <w:jc w:val="both"/>
        <w:rPr>
          <w:rFonts w:ascii="Arial" w:hAnsi="Arial" w:cs="Arial"/>
          <w:sz w:val="24"/>
          <w:szCs w:val="24"/>
        </w:rPr>
      </w:pPr>
      <w:r w:rsidRPr="004E78FF">
        <w:rPr>
          <w:rFonts w:ascii="Arial" w:hAnsi="Arial" w:cs="Arial"/>
          <w:sz w:val="24"/>
          <w:szCs w:val="24"/>
        </w:rPr>
        <w:t>3. Methodology</w:t>
      </w:r>
    </w:p>
    <w:p w14:paraId="38DE83A9" w14:textId="77777777" w:rsidR="007D5172" w:rsidRPr="004E78FF" w:rsidRDefault="007D5172" w:rsidP="004E78FF">
      <w:pPr>
        <w:spacing w:line="360" w:lineRule="auto"/>
        <w:jc w:val="both"/>
        <w:rPr>
          <w:rFonts w:ascii="Arial" w:hAnsi="Arial" w:cs="Arial"/>
          <w:sz w:val="24"/>
          <w:szCs w:val="24"/>
        </w:rPr>
      </w:pPr>
    </w:p>
    <w:p w14:paraId="43E51C1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This qualitative research adopts a case study approach using secondary data from industry reports, journal articles, and sustainability disclosures of major hotel groups (e.g., Marriott, Accor, IHG). Data been collected mostly online from academic theoretical books and articles and from certain hotel/ brand’s online sites. Where is now and where is going. Thematic analysis was applied to identify patterns related to sustainable practices, challenges, and outcomes. Historical evolution of sustainability has been studied from samples, then theoretical terms explained, definitions and key concepts developed, how been implemented in hospitality, current situation in industry studied deep to the individual sample, by brand, country and hotel indeed. Same way, by samples, what hotels are doing in sustainability, considering tendencies but also industry challenges, reality was assessed in connection with emerging trends and future of hospitality. With collected data on the case studied, a PEST Analysis on the Impact of Sustainability in hospitality, considering strengths and limitations for each factor. A big part of the online databases been resume on few simple lines, as patterns, various efforts are synthetised by purposes and their certification, brands are following a frame scheme, strategical management of corporations could bring a fresh perspective, innovation creating the step further in subject.</w:t>
      </w:r>
    </w:p>
    <w:p w14:paraId="4773E849" w14:textId="77777777" w:rsidR="004E78FF" w:rsidRPr="004E78FF" w:rsidRDefault="004E78FF" w:rsidP="004E78FF">
      <w:pPr>
        <w:spacing w:line="360" w:lineRule="auto"/>
        <w:jc w:val="both"/>
        <w:rPr>
          <w:rFonts w:ascii="Arial" w:hAnsi="Arial" w:cs="Arial"/>
          <w:sz w:val="24"/>
          <w:szCs w:val="24"/>
        </w:rPr>
      </w:pPr>
    </w:p>
    <w:p w14:paraId="44A3265D" w14:textId="77777777" w:rsidR="004E78FF" w:rsidRDefault="004E78FF" w:rsidP="004E78FF">
      <w:pPr>
        <w:spacing w:line="360" w:lineRule="auto"/>
        <w:jc w:val="both"/>
        <w:rPr>
          <w:rFonts w:ascii="Arial" w:hAnsi="Arial" w:cs="Arial"/>
          <w:sz w:val="24"/>
          <w:szCs w:val="24"/>
        </w:rPr>
      </w:pPr>
    </w:p>
    <w:p w14:paraId="747671FD" w14:textId="77777777" w:rsidR="007D5172" w:rsidRDefault="007D5172" w:rsidP="004E78FF">
      <w:pPr>
        <w:spacing w:line="360" w:lineRule="auto"/>
        <w:jc w:val="both"/>
        <w:rPr>
          <w:rFonts w:ascii="Arial" w:hAnsi="Arial" w:cs="Arial"/>
          <w:sz w:val="24"/>
          <w:szCs w:val="24"/>
        </w:rPr>
      </w:pPr>
    </w:p>
    <w:p w14:paraId="3BEBCE64" w14:textId="77777777" w:rsidR="007D5172" w:rsidRDefault="007D5172" w:rsidP="004E78FF">
      <w:pPr>
        <w:spacing w:line="360" w:lineRule="auto"/>
        <w:jc w:val="both"/>
        <w:rPr>
          <w:rFonts w:ascii="Arial" w:hAnsi="Arial" w:cs="Arial"/>
          <w:sz w:val="24"/>
          <w:szCs w:val="24"/>
        </w:rPr>
      </w:pPr>
    </w:p>
    <w:p w14:paraId="68FB58A3" w14:textId="77777777" w:rsidR="007D5172" w:rsidRDefault="007D5172" w:rsidP="004E78FF">
      <w:pPr>
        <w:spacing w:line="360" w:lineRule="auto"/>
        <w:jc w:val="both"/>
        <w:rPr>
          <w:rFonts w:ascii="Arial" w:hAnsi="Arial" w:cs="Arial"/>
          <w:sz w:val="24"/>
          <w:szCs w:val="24"/>
        </w:rPr>
      </w:pPr>
    </w:p>
    <w:p w14:paraId="2B72C8B3" w14:textId="77777777" w:rsidR="007D5172" w:rsidRDefault="007D5172" w:rsidP="004E78FF">
      <w:pPr>
        <w:spacing w:line="360" w:lineRule="auto"/>
        <w:jc w:val="both"/>
        <w:rPr>
          <w:rFonts w:ascii="Arial" w:hAnsi="Arial" w:cs="Arial"/>
          <w:sz w:val="24"/>
          <w:szCs w:val="24"/>
        </w:rPr>
      </w:pPr>
    </w:p>
    <w:p w14:paraId="6CBEB326" w14:textId="77777777" w:rsidR="007D5172" w:rsidRDefault="007D5172" w:rsidP="004E78FF">
      <w:pPr>
        <w:spacing w:line="360" w:lineRule="auto"/>
        <w:jc w:val="both"/>
        <w:rPr>
          <w:rFonts w:ascii="Arial" w:hAnsi="Arial" w:cs="Arial"/>
          <w:sz w:val="24"/>
          <w:szCs w:val="24"/>
        </w:rPr>
      </w:pPr>
    </w:p>
    <w:p w14:paraId="6DF1ECD2" w14:textId="77777777" w:rsidR="007D5172" w:rsidRDefault="007D5172" w:rsidP="004E78FF">
      <w:pPr>
        <w:spacing w:line="360" w:lineRule="auto"/>
        <w:jc w:val="both"/>
        <w:rPr>
          <w:rFonts w:ascii="Arial" w:hAnsi="Arial" w:cs="Arial"/>
          <w:sz w:val="24"/>
          <w:szCs w:val="24"/>
        </w:rPr>
      </w:pPr>
    </w:p>
    <w:p w14:paraId="11D34ABD" w14:textId="77777777" w:rsidR="007D5172" w:rsidRPr="004E78FF" w:rsidRDefault="007D5172" w:rsidP="004E78FF">
      <w:pPr>
        <w:spacing w:line="360" w:lineRule="auto"/>
        <w:jc w:val="both"/>
        <w:rPr>
          <w:rFonts w:ascii="Arial" w:hAnsi="Arial" w:cs="Arial"/>
          <w:sz w:val="24"/>
          <w:szCs w:val="24"/>
        </w:rPr>
      </w:pPr>
    </w:p>
    <w:p w14:paraId="4203A290" w14:textId="3ADBB20D" w:rsidR="004E78FF" w:rsidRPr="004E78FF" w:rsidRDefault="006F1B00" w:rsidP="004E78FF">
      <w:pPr>
        <w:spacing w:line="360" w:lineRule="auto"/>
        <w:jc w:val="both"/>
        <w:rPr>
          <w:rFonts w:ascii="Arial" w:hAnsi="Arial" w:cs="Arial"/>
          <w:sz w:val="24"/>
          <w:szCs w:val="24"/>
        </w:rPr>
      </w:pPr>
      <w:r>
        <w:rPr>
          <w:rFonts w:ascii="Arial" w:hAnsi="Arial" w:cs="Arial"/>
          <w:sz w:val="24"/>
          <w:szCs w:val="24"/>
        </w:rPr>
        <w:t>4</w:t>
      </w:r>
      <w:r w:rsidR="004E78FF" w:rsidRPr="004E78FF">
        <w:rPr>
          <w:rFonts w:ascii="Arial" w:hAnsi="Arial" w:cs="Arial"/>
          <w:sz w:val="24"/>
          <w:szCs w:val="24"/>
        </w:rPr>
        <w:t>. Findings and Analysis</w:t>
      </w:r>
    </w:p>
    <w:p w14:paraId="208053EB" w14:textId="7943786D" w:rsidR="004E78FF" w:rsidRPr="004E78FF" w:rsidRDefault="006F1B00" w:rsidP="004E78FF">
      <w:pPr>
        <w:spacing w:line="360" w:lineRule="auto"/>
        <w:jc w:val="both"/>
        <w:rPr>
          <w:rFonts w:ascii="Arial" w:hAnsi="Arial" w:cs="Arial"/>
          <w:sz w:val="24"/>
          <w:szCs w:val="24"/>
        </w:rPr>
      </w:pPr>
      <w:r>
        <w:rPr>
          <w:rFonts w:ascii="Arial" w:hAnsi="Arial" w:cs="Arial"/>
          <w:sz w:val="24"/>
          <w:szCs w:val="24"/>
        </w:rPr>
        <w:t>4</w:t>
      </w:r>
      <w:r w:rsidR="004E78FF" w:rsidRPr="004E78FF">
        <w:rPr>
          <w:rFonts w:ascii="Arial" w:hAnsi="Arial" w:cs="Arial"/>
          <w:sz w:val="24"/>
          <w:szCs w:val="24"/>
        </w:rPr>
        <w:t>.1. Best Practices in Sustainable Hotel Operations from samples</w:t>
      </w:r>
      <w:r w:rsidR="0047346B">
        <w:rPr>
          <w:rFonts w:ascii="Arial" w:hAnsi="Arial" w:cs="Arial"/>
          <w:sz w:val="24"/>
          <w:szCs w:val="24"/>
        </w:rPr>
        <w:t xml:space="preserve"> of actual</w:t>
      </w:r>
    </w:p>
    <w:p w14:paraId="76201D8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Energy Efficiency: Hilton’s “Travel with Purpose” program achieved a 35% reduction in energy use across properties through LED lighting, motion sensors, and smart climate systems.</w:t>
      </w:r>
    </w:p>
    <w:p w14:paraId="4919EF5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Waste Management: Accor's Planet 21 program emphasizes zero-waste kitchens and digital menus to cut paper use.</w:t>
      </w:r>
    </w:p>
    <w:p w14:paraId="02FF4C5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Water Conservation: Marriott utilizes low-flow fixtures and linen reuse policies to reduce water consumption by 15% globally.</w:t>
      </w:r>
    </w:p>
    <w:p w14:paraId="1720BC3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Sustainable Procurement: IHG prioritizes local and organic sourcing, reducing transportation emissions and supporting local economies.</w:t>
      </w:r>
    </w:p>
    <w:p w14:paraId="5DE1413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Green Building Design: Boutique eco-hotels use passive design, solar panels, and green roofs.</w:t>
      </w:r>
    </w:p>
    <w:p w14:paraId="258F53B7" w14:textId="77777777" w:rsidR="004E78FF" w:rsidRPr="004E78FF" w:rsidRDefault="004E78FF" w:rsidP="004E78FF">
      <w:pPr>
        <w:spacing w:line="360" w:lineRule="auto"/>
        <w:jc w:val="both"/>
        <w:rPr>
          <w:rFonts w:ascii="Arial" w:hAnsi="Arial" w:cs="Arial"/>
          <w:sz w:val="24"/>
          <w:szCs w:val="24"/>
        </w:rPr>
      </w:pPr>
    </w:p>
    <w:p w14:paraId="068B5592" w14:textId="7E09CD2F" w:rsidR="004E78FF" w:rsidRPr="004E78FF" w:rsidRDefault="006F1B00" w:rsidP="004E78FF">
      <w:pPr>
        <w:spacing w:line="360" w:lineRule="auto"/>
        <w:jc w:val="both"/>
        <w:rPr>
          <w:rFonts w:ascii="Arial" w:hAnsi="Arial" w:cs="Arial"/>
          <w:sz w:val="24"/>
          <w:szCs w:val="24"/>
        </w:rPr>
      </w:pPr>
      <w:r>
        <w:rPr>
          <w:rFonts w:ascii="Arial" w:hAnsi="Arial" w:cs="Arial"/>
          <w:sz w:val="24"/>
          <w:szCs w:val="24"/>
        </w:rPr>
        <w:t>4</w:t>
      </w:r>
      <w:r w:rsidR="004E78FF" w:rsidRPr="004E78FF">
        <w:rPr>
          <w:rFonts w:ascii="Arial" w:hAnsi="Arial" w:cs="Arial"/>
          <w:sz w:val="24"/>
          <w:szCs w:val="24"/>
        </w:rPr>
        <w:t>.2. Stakeholder Engagement as common trait</w:t>
      </w:r>
    </w:p>
    <w:p w14:paraId="2A5E7D7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Guests increasingly prefer eco-certified hotels and are willing to pay more for green accommodations.</w:t>
      </w:r>
    </w:p>
    <w:p w14:paraId="05FFCCE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Staff engagement is key, with training programs on sustainability practices enhancing performance and accountability.</w:t>
      </w:r>
    </w:p>
    <w:p w14:paraId="41651DE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Investors are scrutinizing ESG (Environmental, Social, Governance) performance as part of financial risk assessments.</w:t>
      </w:r>
    </w:p>
    <w:p w14:paraId="5F39DCAC" w14:textId="77777777" w:rsidR="004E78FF" w:rsidRPr="004E78FF" w:rsidRDefault="004E78FF" w:rsidP="004E78FF">
      <w:pPr>
        <w:spacing w:line="360" w:lineRule="auto"/>
        <w:jc w:val="both"/>
        <w:rPr>
          <w:rFonts w:ascii="Arial" w:hAnsi="Arial" w:cs="Arial"/>
          <w:sz w:val="24"/>
          <w:szCs w:val="24"/>
        </w:rPr>
      </w:pPr>
    </w:p>
    <w:p w14:paraId="49D38894" w14:textId="0EB938CE" w:rsidR="004E78FF" w:rsidRPr="004E78FF" w:rsidRDefault="006F1B00" w:rsidP="004E78FF">
      <w:pPr>
        <w:spacing w:line="360" w:lineRule="auto"/>
        <w:jc w:val="both"/>
        <w:rPr>
          <w:rFonts w:ascii="Arial" w:hAnsi="Arial" w:cs="Arial"/>
          <w:sz w:val="24"/>
          <w:szCs w:val="24"/>
        </w:rPr>
      </w:pPr>
      <w:r>
        <w:rPr>
          <w:rFonts w:ascii="Arial" w:hAnsi="Arial" w:cs="Arial"/>
          <w:sz w:val="24"/>
          <w:szCs w:val="24"/>
        </w:rPr>
        <w:t>4</w:t>
      </w:r>
      <w:r w:rsidR="004E78FF" w:rsidRPr="004E78FF">
        <w:rPr>
          <w:rFonts w:ascii="Arial" w:hAnsi="Arial" w:cs="Arial"/>
          <w:sz w:val="24"/>
          <w:szCs w:val="24"/>
        </w:rPr>
        <w:t>.3 Sustainability and Net-Zero in the Hotel Industry: Concepts, History, and Future Outlook</w:t>
      </w:r>
    </w:p>
    <w:p w14:paraId="532B644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1. Definitions and Key Concepts</w:t>
      </w:r>
    </w:p>
    <w:p w14:paraId="42B3528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Sustainability</w:t>
      </w:r>
    </w:p>
    <w:p w14:paraId="7471271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Sustainability refers to the capacity to meet the needs of the present without compromising the ability of future generations to meet their own needs (Brundtland Report, 1987). In hospitality, it encompasses environmental, social and economic dimensions of operations.</w:t>
      </w:r>
    </w:p>
    <w:p w14:paraId="33F5330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Net-Zero</w:t>
      </w:r>
    </w:p>
    <w:p w14:paraId="60B2C09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Net-zero refers to reducing greenhouse gas (GHG) emissions to as close to zero as possible, with any remaining emissions being offset through carbon removal measures (IPCC, 2022).</w:t>
      </w:r>
    </w:p>
    <w:p w14:paraId="4493848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Triple Bottom Line (TBL)</w:t>
      </w:r>
    </w:p>
    <w:p w14:paraId="6A4EF0F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 sustainability framework that evaluates performance based on three pillars: People (social), Planet (environment), and Profit (economic) (Elkington, 1997) Between all three is future tend.</w:t>
      </w:r>
    </w:p>
    <w:p w14:paraId="717E7AE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Circular Economy</w:t>
      </w:r>
    </w:p>
    <w:p w14:paraId="1C3F08C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An economic system aimed at eliminating waste and the continual use of resources, applicable to hotel supply chains, energy use, and product life cycles (Ellen MacArthur Foundation, 2019).</w:t>
      </w:r>
    </w:p>
    <w:p w14:paraId="213A528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2. History and Evolution</w:t>
      </w:r>
    </w:p>
    <w:p w14:paraId="557C25A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Early Environmental Awareness (1970s–1990s)</w:t>
      </w:r>
    </w:p>
    <w:p w14:paraId="16BD957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Hotels began introducing basic conservation practices (e.g., towel reuse).</w:t>
      </w:r>
    </w:p>
    <w:p w14:paraId="021BE49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UN Earth Summits laid the groundwork for global environmental policy (e.g., Rio 1992).</w:t>
      </w:r>
    </w:p>
    <w:p w14:paraId="25138B0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Rise of Sustainable Hospitality (2000s–2015)</w:t>
      </w:r>
    </w:p>
    <w:p w14:paraId="79CA4A8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Green certifications (e.g., LEED, Green Globe, EarthCheck) gained prominence.</w:t>
      </w:r>
    </w:p>
    <w:p w14:paraId="609938C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Hotels began reporting environmental performance.</w:t>
      </w:r>
    </w:p>
    <w:p w14:paraId="7124760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Global Sustainable Tourism Criteria (GSTC) were adopted.</w:t>
      </w:r>
    </w:p>
    <w:p w14:paraId="1ED0997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Paris Agreement and the SDGs (2015–Present)</w:t>
      </w:r>
    </w:p>
    <w:p w14:paraId="439B9F8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Paris Agreement (2015) and UN SDGs (2015) created a framework for global carbon reduction.</w:t>
      </w:r>
    </w:p>
    <w:p w14:paraId="4443D43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Many hotel groups adopted ESG reporting and science-based targets.</w:t>
      </w:r>
    </w:p>
    <w:p w14:paraId="659EA2A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3. Current Situation in the Hotel Industry</w:t>
      </w:r>
    </w:p>
    <w:p w14:paraId="11D3A91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Adoption of Sustainable Operations</w:t>
      </w:r>
    </w:p>
    <w:p w14:paraId="000A432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Brands like Marriott, Hilton, Accor, and IHG have adopted sustainability frameworks (e.g., Marriott’s Serve 360, Hilton’s Travel with Purpose).</w:t>
      </w:r>
    </w:p>
    <w:p w14:paraId="24BDFAD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Carbon reduction, renewable energy, green design, and waste management are key practices.</w:t>
      </w:r>
    </w:p>
    <w:p w14:paraId="274BF5C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Carbon Neutral and Net-Zero Goals</w:t>
      </w:r>
    </w:p>
    <w:p w14:paraId="281F955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Scandic Hotels: First hotel chain to be 100% carbon-neutral in operations.</w:t>
      </w:r>
    </w:p>
    <w:p w14:paraId="5EB165E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Accor aims to eliminate single-use plastics and reach net-zero carbon by 2050.</w:t>
      </w:r>
    </w:p>
    <w:p w14:paraId="56A012D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Industry Challenges</w:t>
      </w:r>
    </w:p>
    <w:p w14:paraId="55FF582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High capital cost for green infrastructure</w:t>
      </w:r>
    </w:p>
    <w:p w14:paraId="3FE4F9A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Limited staff training and awareness</w:t>
      </w:r>
    </w:p>
    <w:p w14:paraId="4E4950D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Regulatory gaps in certain regions (Jones, 2016)</w:t>
      </w:r>
    </w:p>
    <w:p w14:paraId="6667A05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4. Emerging Trends and the Future of Sustainability in Hospitality</w:t>
      </w:r>
    </w:p>
    <w:p w14:paraId="307E85D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Trend 1: Smart and Green Technology</w:t>
      </w:r>
    </w:p>
    <w:p w14:paraId="00E256D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Use of AI, IoT, and smart thermostats to monitor and reduce energy use.</w:t>
      </w:r>
    </w:p>
    <w:p w14:paraId="062A2AA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Touchless guest services reducing environmental impact (Bharwani, 2021).</w:t>
      </w:r>
    </w:p>
    <w:p w14:paraId="1AB248F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Trend 2: Regenerative Hospitality</w:t>
      </w:r>
    </w:p>
    <w:p w14:paraId="44A709D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Moving beyond sustainability to regenerate ecosystems (Hunt, 2020) (e.g., 1 Hotels, Six Senses).</w:t>
      </w:r>
    </w:p>
    <w:p w14:paraId="5730E47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Trend 3: Scope 3 Emissions and Supply Chain Focus</w:t>
      </w:r>
    </w:p>
    <w:p w14:paraId="09BA891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Addressing indirect emissions from suppliers and guest activities (Sustainable Hospitality Alliance, 2024).</w:t>
      </w:r>
    </w:p>
    <w:p w14:paraId="542A36F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Trend 4: Guest-Centric Sustainability</w:t>
      </w:r>
    </w:p>
    <w:p w14:paraId="728B3BA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Personalised green experiences (carbon offset options, green loyalty rewards) (Statista, 2024).</w:t>
      </w:r>
    </w:p>
    <w:p w14:paraId="627C700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Increased guest demand for visible eco-practices.</w:t>
      </w:r>
    </w:p>
    <w:p w14:paraId="0684BB09" w14:textId="77777777" w:rsidR="004E78FF" w:rsidRPr="004E78FF" w:rsidRDefault="004E78FF" w:rsidP="004E78FF">
      <w:pPr>
        <w:spacing w:line="360" w:lineRule="auto"/>
        <w:jc w:val="both"/>
        <w:rPr>
          <w:rFonts w:ascii="Arial" w:hAnsi="Arial" w:cs="Arial"/>
          <w:sz w:val="24"/>
          <w:szCs w:val="24"/>
        </w:rPr>
      </w:pPr>
    </w:p>
    <w:p w14:paraId="2D07F42E" w14:textId="51E24D95" w:rsidR="004E78FF" w:rsidRPr="004E78FF" w:rsidRDefault="004F2EE7" w:rsidP="004E78FF">
      <w:pPr>
        <w:spacing w:line="360" w:lineRule="auto"/>
        <w:jc w:val="both"/>
        <w:rPr>
          <w:rFonts w:ascii="Arial" w:hAnsi="Arial" w:cs="Arial"/>
          <w:sz w:val="24"/>
          <w:szCs w:val="24"/>
        </w:rPr>
      </w:pPr>
      <w:r>
        <w:rPr>
          <w:rFonts w:ascii="Arial" w:hAnsi="Arial" w:cs="Arial"/>
          <w:sz w:val="24"/>
          <w:szCs w:val="24"/>
        </w:rPr>
        <w:t>4</w:t>
      </w:r>
      <w:r w:rsidR="0099189A">
        <w:rPr>
          <w:rFonts w:ascii="Arial" w:hAnsi="Arial" w:cs="Arial"/>
          <w:sz w:val="24"/>
          <w:szCs w:val="24"/>
        </w:rPr>
        <w:t>.4</w:t>
      </w:r>
      <w:r w:rsidR="004E78FF" w:rsidRPr="004E78FF">
        <w:rPr>
          <w:rFonts w:ascii="Arial" w:hAnsi="Arial" w:cs="Arial"/>
          <w:sz w:val="24"/>
          <w:szCs w:val="24"/>
        </w:rPr>
        <w:t>. PEST Analysis: The Impact of Sustainability on the Hotel Industry</w:t>
      </w:r>
      <w:r w:rsidR="00BF7079">
        <w:rPr>
          <w:rFonts w:ascii="Arial" w:hAnsi="Arial" w:cs="Arial"/>
          <w:sz w:val="24"/>
          <w:szCs w:val="24"/>
        </w:rPr>
        <w:t xml:space="preserve">, </w:t>
      </w:r>
      <w:r w:rsidR="00D835B1">
        <w:rPr>
          <w:rFonts w:ascii="Arial" w:hAnsi="Arial" w:cs="Arial"/>
          <w:sz w:val="24"/>
          <w:szCs w:val="24"/>
        </w:rPr>
        <w:t xml:space="preserve">analysed as impact </w:t>
      </w:r>
      <w:r w:rsidR="00BF7079">
        <w:rPr>
          <w:rFonts w:ascii="Arial" w:hAnsi="Arial" w:cs="Arial"/>
          <w:sz w:val="24"/>
          <w:szCs w:val="24"/>
        </w:rPr>
        <w:t xml:space="preserve">to hospitality </w:t>
      </w:r>
      <w:r w:rsidR="00D835B1">
        <w:rPr>
          <w:rFonts w:ascii="Arial" w:hAnsi="Arial" w:cs="Arial"/>
          <w:sz w:val="24"/>
          <w:szCs w:val="24"/>
        </w:rPr>
        <w:t xml:space="preserve">and </w:t>
      </w:r>
      <w:r w:rsidR="004A33F2">
        <w:rPr>
          <w:rFonts w:ascii="Arial" w:hAnsi="Arial" w:cs="Arial"/>
          <w:sz w:val="24"/>
          <w:szCs w:val="24"/>
        </w:rPr>
        <w:t>industry response to impact, also strengths and limitation for each factor</w:t>
      </w:r>
      <w:r w:rsidR="00BF7079">
        <w:rPr>
          <w:rFonts w:ascii="Arial" w:hAnsi="Arial" w:cs="Arial"/>
          <w:sz w:val="24"/>
          <w:szCs w:val="24"/>
        </w:rPr>
        <w:t>.</w:t>
      </w:r>
    </w:p>
    <w:p w14:paraId="252F4D1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1. Political Factors</w:t>
      </w:r>
    </w:p>
    <w:p w14:paraId="22AE71E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Impact:</w:t>
      </w:r>
    </w:p>
    <w:p w14:paraId="1953B9D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Governments and international bodies are imposing stricter climate regulations, emissions targets, and green certifications. Hotels must comply with national and regional sustainability laws or face penalties.</w:t>
      </w:r>
    </w:p>
    <w:p w14:paraId="3C0DB65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Industry Responses:</w:t>
      </w:r>
    </w:p>
    <w:p w14:paraId="7519E34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European Union's Green Deal and “Fit for 55” require hospitality businesses to reduce emissions and energy usage (European Commission, 2022).</w:t>
      </w:r>
    </w:p>
    <w:p w14:paraId="7D30FE4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Scandic Hotels voluntarily achieved 100% carbon neutrality in operations to align with national Scandinavian climate policies.</w:t>
      </w:r>
    </w:p>
    <w:p w14:paraId="5B988BD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Strengths:</w:t>
      </w:r>
    </w:p>
    <w:p w14:paraId="0639960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Enhances long-term brand credibility through regulatory compliance.</w:t>
      </w:r>
    </w:p>
    <w:p w14:paraId="6A3DDCC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Public–private partnerships (e.g. tax incentives) can reduce implementation costs.</w:t>
      </w:r>
    </w:p>
    <w:p w14:paraId="624C257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Limitations:</w:t>
      </w:r>
    </w:p>
    <w:p w14:paraId="1E456E1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Regulatory fragmentation across regions causes uncertainty for global hotel chains.</w:t>
      </w:r>
    </w:p>
    <w:p w14:paraId="689E375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Compliance may be financially burdensome for small and medium-sized hotels.</w:t>
      </w:r>
    </w:p>
    <w:p w14:paraId="6473DA6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2. Economic Factors</w:t>
      </w:r>
    </w:p>
    <w:p w14:paraId="4B8DAE0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Impact:</w:t>
      </w:r>
    </w:p>
    <w:p w14:paraId="155A26E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Sustainability influences operational costs, ROI, and consumer spending. Energy-efficient technology and sustainable procurement may require high upfront investments but can yield long-term savings (Deloitte, 2023).</w:t>
      </w:r>
    </w:p>
    <w:p w14:paraId="3E921B2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Industry Responses:</w:t>
      </w:r>
    </w:p>
    <w:p w14:paraId="0629188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Hilton's Travel with Purpose program cut energy use by 35% while saving on utility costs.</w:t>
      </w:r>
    </w:p>
    <w:p w14:paraId="719E35E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Marriott's Serve 360 includes a green procurement policy that improves supply chain efficiency.</w:t>
      </w:r>
    </w:p>
    <w:p w14:paraId="5D86B05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Strengths:</w:t>
      </w:r>
    </w:p>
    <w:p w14:paraId="1328CAB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Sustainable practices (LEDs, smart HVAC) reduce costs over time.</w:t>
      </w:r>
    </w:p>
    <w:p w14:paraId="1EF5635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Increasing demand from eco-conscious travellers willing to pay premium rates.</w:t>
      </w:r>
    </w:p>
    <w:p w14:paraId="46EFBA9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Limitations:</w:t>
      </w:r>
    </w:p>
    <w:p w14:paraId="75D549F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ROI from green investments often takes years, discouraging short-term-focused stakeholders.</w:t>
      </w:r>
    </w:p>
    <w:p w14:paraId="12830A7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Inflation and global crises (e.g., COVID-19, war in Ukraine) shift priorities away from sustainability.</w:t>
      </w:r>
    </w:p>
    <w:p w14:paraId="303D2BF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3. Social Factors</w:t>
      </w:r>
    </w:p>
    <w:p w14:paraId="35CC33E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Impact:</w:t>
      </w:r>
    </w:p>
    <w:p w14:paraId="75EF7C2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Growing public awareness around climate change has shaped guest expectations and staff engagement. Travelers increasingly seek eco-certified accommodations and transparent sustainability communications.</w:t>
      </w:r>
    </w:p>
    <w:p w14:paraId="7F7AEB8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Industry Responses:</w:t>
      </w:r>
    </w:p>
    <w:p w14:paraId="29ABD5D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Accor's Planet 21 engages guests in sustainability (e.g., towel reuse programs) and invests in staff training.</w:t>
      </w:r>
    </w:p>
    <w:p w14:paraId="403793E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Six Senses Resorts offer fully immersive sustainable guest experiences including organic dining, nature restoration, and community engagement.</w:t>
      </w:r>
    </w:p>
    <w:p w14:paraId="2F3246A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Strengths:</w:t>
      </w:r>
    </w:p>
    <w:p w14:paraId="36CE76C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Builds emotional connection with guests, driving loyalty and positive reviews.</w:t>
      </w:r>
    </w:p>
    <w:p w14:paraId="29AF638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Improves employee morale and retention when staff are involved in green initiatives.</w:t>
      </w:r>
    </w:p>
    <w:p w14:paraId="488AAEA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Limitations:</w:t>
      </w:r>
    </w:p>
    <w:p w14:paraId="0B5A15E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Consumer expectations vary across cultures; not all guests value or understand sustainability efforts (Peattie, 2005).</w:t>
      </w:r>
    </w:p>
    <w:p w14:paraId="1A0625D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“Greenwashing” — superficial or misleading eco-claims — can backfire and damage trust (Peattie, 2005).</w:t>
      </w:r>
    </w:p>
    <w:p w14:paraId="3DB335A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4. Technological Factors</w:t>
      </w:r>
    </w:p>
    <w:p w14:paraId="1F1E961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Impact:</w:t>
      </w:r>
    </w:p>
    <w:p w14:paraId="737100A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Advances in green technology, automation, and digital monitoring tools support sustainability goals. Technologies improve efficiency, reduce waste, and enable carbon tracking.</w:t>
      </w:r>
    </w:p>
    <w:p w14:paraId="513373D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Industry Responses:</w:t>
      </w:r>
    </w:p>
    <w:p w14:paraId="3DEEEEB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IHG’s Green Engage System uses AI and big data to measure energy and water use across properties.</w:t>
      </w:r>
    </w:p>
    <w:p w14:paraId="1248E1D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Many hotels implement IoT-enabled smart rooms to monitor lighting and HVAC usage based on occupancy.</w:t>
      </w:r>
    </w:p>
    <w:p w14:paraId="110D86A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Strengths:</w:t>
      </w:r>
    </w:p>
    <w:p w14:paraId="4EF42E7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Enables data-driven sustainability management and real-time monitoring also, can integrate into marketing tools to promote green credentials.</w:t>
      </w:r>
    </w:p>
    <w:p w14:paraId="08A7EEC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Sustainability can be a competitive advantage, appealing to a growing market segment because enables cost savings, brand trust, and future-proofing against regulations.</w:t>
      </w:r>
    </w:p>
    <w:p w14:paraId="2D80878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Limitations:</w:t>
      </w:r>
    </w:p>
    <w:p w14:paraId="36DB750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High cost of adoption, especially for older buildings requiring retrofitting.</w:t>
      </w:r>
    </w:p>
    <w:p w14:paraId="1C2619A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Technological failures or mismanagement can reduce sustainability gains.</w:t>
      </w:r>
    </w:p>
    <w:p w14:paraId="7CB2589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High costs of implementation and slow ROI deter especially small or independent operators.</w:t>
      </w:r>
    </w:p>
    <w:p w14:paraId="60FE1CB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Cultural variation and inconsistent guest participation affect success.</w:t>
      </w:r>
    </w:p>
    <w:p w14:paraId="0FA022E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Risk of greenwashing undermining genuine efforts.</w:t>
      </w:r>
    </w:p>
    <w:p w14:paraId="0D678E8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Requires strong leadership and internal change management to succeed.</w:t>
      </w:r>
    </w:p>
    <w:p w14:paraId="58D46527" w14:textId="77777777" w:rsidR="004E78FF" w:rsidRPr="004E78FF" w:rsidRDefault="004E78FF" w:rsidP="004E78FF">
      <w:pPr>
        <w:spacing w:line="360" w:lineRule="auto"/>
        <w:jc w:val="both"/>
        <w:rPr>
          <w:rFonts w:ascii="Arial" w:hAnsi="Arial" w:cs="Arial"/>
          <w:sz w:val="24"/>
          <w:szCs w:val="24"/>
        </w:rPr>
      </w:pPr>
    </w:p>
    <w:p w14:paraId="6739704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The findings support the theoretical argument that sustainability must be integrated into the strategic core of hospitality management. However, gaps persist between ambition and execution. For example, while some brands excel in environmental innovation, others lag due to budget limitations or fragmented regulations.</w:t>
      </w:r>
    </w:p>
    <w:p w14:paraId="2194DE8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Additionally, the complexity of measuring carbon neutrality accurately, along with inconsistent guest behaviour and regional challenges, hinders uniform adoption. Still, the alignment of industry practices with net-zero targets shows promising momentum.</w:t>
      </w:r>
    </w:p>
    <w:p w14:paraId="6728FA17" w14:textId="77777777" w:rsidR="004E78FF" w:rsidRPr="004E78FF" w:rsidRDefault="004E78FF" w:rsidP="004E78FF">
      <w:pPr>
        <w:spacing w:line="360" w:lineRule="auto"/>
        <w:jc w:val="both"/>
        <w:rPr>
          <w:rFonts w:ascii="Arial" w:hAnsi="Arial" w:cs="Arial"/>
          <w:sz w:val="24"/>
          <w:szCs w:val="24"/>
        </w:rPr>
      </w:pPr>
    </w:p>
    <w:p w14:paraId="2A0F2E88" w14:textId="77777777" w:rsidR="004E78FF" w:rsidRDefault="004E78FF" w:rsidP="004E78FF">
      <w:pPr>
        <w:spacing w:line="360" w:lineRule="auto"/>
        <w:jc w:val="both"/>
        <w:rPr>
          <w:rFonts w:ascii="Arial" w:hAnsi="Arial" w:cs="Arial"/>
          <w:sz w:val="24"/>
          <w:szCs w:val="24"/>
        </w:rPr>
      </w:pPr>
    </w:p>
    <w:p w14:paraId="68BFB596" w14:textId="77777777" w:rsidR="00B068C3" w:rsidRDefault="00B068C3" w:rsidP="004E78FF">
      <w:pPr>
        <w:spacing w:line="360" w:lineRule="auto"/>
        <w:jc w:val="both"/>
        <w:rPr>
          <w:rFonts w:ascii="Arial" w:hAnsi="Arial" w:cs="Arial"/>
          <w:sz w:val="24"/>
          <w:szCs w:val="24"/>
        </w:rPr>
      </w:pPr>
    </w:p>
    <w:p w14:paraId="0D7AEB45" w14:textId="77777777" w:rsidR="00B068C3" w:rsidRDefault="00B068C3" w:rsidP="004E78FF">
      <w:pPr>
        <w:spacing w:line="360" w:lineRule="auto"/>
        <w:jc w:val="both"/>
        <w:rPr>
          <w:rFonts w:ascii="Arial" w:hAnsi="Arial" w:cs="Arial"/>
          <w:sz w:val="24"/>
          <w:szCs w:val="24"/>
        </w:rPr>
      </w:pPr>
    </w:p>
    <w:p w14:paraId="098A7953" w14:textId="77777777" w:rsidR="00B068C3" w:rsidRDefault="00B068C3" w:rsidP="004E78FF">
      <w:pPr>
        <w:spacing w:line="360" w:lineRule="auto"/>
        <w:jc w:val="both"/>
        <w:rPr>
          <w:rFonts w:ascii="Arial" w:hAnsi="Arial" w:cs="Arial"/>
          <w:sz w:val="24"/>
          <w:szCs w:val="24"/>
        </w:rPr>
      </w:pPr>
    </w:p>
    <w:p w14:paraId="2F781F4C" w14:textId="77777777" w:rsidR="00B068C3" w:rsidRDefault="00B068C3" w:rsidP="004E78FF">
      <w:pPr>
        <w:spacing w:line="360" w:lineRule="auto"/>
        <w:jc w:val="both"/>
        <w:rPr>
          <w:rFonts w:ascii="Arial" w:hAnsi="Arial" w:cs="Arial"/>
          <w:sz w:val="24"/>
          <w:szCs w:val="24"/>
        </w:rPr>
      </w:pPr>
    </w:p>
    <w:p w14:paraId="20F9CFC7" w14:textId="77777777" w:rsidR="00B068C3" w:rsidRDefault="00B068C3" w:rsidP="004E78FF">
      <w:pPr>
        <w:spacing w:line="360" w:lineRule="auto"/>
        <w:jc w:val="both"/>
        <w:rPr>
          <w:rFonts w:ascii="Arial" w:hAnsi="Arial" w:cs="Arial"/>
          <w:sz w:val="24"/>
          <w:szCs w:val="24"/>
        </w:rPr>
      </w:pPr>
    </w:p>
    <w:p w14:paraId="119DF233" w14:textId="77777777" w:rsidR="00B068C3" w:rsidRDefault="00B068C3" w:rsidP="004E78FF">
      <w:pPr>
        <w:spacing w:line="360" w:lineRule="auto"/>
        <w:jc w:val="both"/>
        <w:rPr>
          <w:rFonts w:ascii="Arial" w:hAnsi="Arial" w:cs="Arial"/>
          <w:sz w:val="24"/>
          <w:szCs w:val="24"/>
        </w:rPr>
      </w:pPr>
    </w:p>
    <w:p w14:paraId="76D19F27" w14:textId="77777777" w:rsidR="00B068C3" w:rsidRDefault="00B068C3" w:rsidP="004E78FF">
      <w:pPr>
        <w:spacing w:line="360" w:lineRule="auto"/>
        <w:jc w:val="both"/>
        <w:rPr>
          <w:rFonts w:ascii="Arial" w:hAnsi="Arial" w:cs="Arial"/>
          <w:sz w:val="24"/>
          <w:szCs w:val="24"/>
        </w:rPr>
      </w:pPr>
    </w:p>
    <w:p w14:paraId="66FD0B4C" w14:textId="77777777" w:rsidR="00B068C3" w:rsidRDefault="00B068C3" w:rsidP="004E78FF">
      <w:pPr>
        <w:spacing w:line="360" w:lineRule="auto"/>
        <w:jc w:val="both"/>
        <w:rPr>
          <w:rFonts w:ascii="Arial" w:hAnsi="Arial" w:cs="Arial"/>
          <w:sz w:val="24"/>
          <w:szCs w:val="24"/>
        </w:rPr>
      </w:pPr>
    </w:p>
    <w:p w14:paraId="71255E29" w14:textId="77777777" w:rsidR="00B068C3" w:rsidRDefault="00B068C3" w:rsidP="004E78FF">
      <w:pPr>
        <w:spacing w:line="360" w:lineRule="auto"/>
        <w:jc w:val="both"/>
        <w:rPr>
          <w:rFonts w:ascii="Arial" w:hAnsi="Arial" w:cs="Arial"/>
          <w:sz w:val="24"/>
          <w:szCs w:val="24"/>
        </w:rPr>
      </w:pPr>
    </w:p>
    <w:p w14:paraId="535A5CA1" w14:textId="77777777" w:rsidR="00B068C3" w:rsidRDefault="00B068C3" w:rsidP="004E78FF">
      <w:pPr>
        <w:spacing w:line="360" w:lineRule="auto"/>
        <w:jc w:val="both"/>
        <w:rPr>
          <w:rFonts w:ascii="Arial" w:hAnsi="Arial" w:cs="Arial"/>
          <w:sz w:val="24"/>
          <w:szCs w:val="24"/>
        </w:rPr>
      </w:pPr>
    </w:p>
    <w:p w14:paraId="420684BB" w14:textId="77777777" w:rsidR="00B068C3" w:rsidRDefault="00B068C3" w:rsidP="004E78FF">
      <w:pPr>
        <w:spacing w:line="360" w:lineRule="auto"/>
        <w:jc w:val="both"/>
        <w:rPr>
          <w:rFonts w:ascii="Arial" w:hAnsi="Arial" w:cs="Arial"/>
          <w:sz w:val="24"/>
          <w:szCs w:val="24"/>
        </w:rPr>
      </w:pPr>
    </w:p>
    <w:p w14:paraId="29BB269E" w14:textId="77777777" w:rsidR="00B068C3" w:rsidRDefault="00B068C3" w:rsidP="004E78FF">
      <w:pPr>
        <w:spacing w:line="360" w:lineRule="auto"/>
        <w:jc w:val="both"/>
        <w:rPr>
          <w:rFonts w:ascii="Arial" w:hAnsi="Arial" w:cs="Arial"/>
          <w:sz w:val="24"/>
          <w:szCs w:val="24"/>
        </w:rPr>
      </w:pPr>
    </w:p>
    <w:p w14:paraId="2805A924" w14:textId="77777777" w:rsidR="00B068C3" w:rsidRDefault="00B068C3" w:rsidP="004E78FF">
      <w:pPr>
        <w:spacing w:line="360" w:lineRule="auto"/>
        <w:jc w:val="both"/>
        <w:rPr>
          <w:rFonts w:ascii="Arial" w:hAnsi="Arial" w:cs="Arial"/>
          <w:sz w:val="24"/>
          <w:szCs w:val="24"/>
        </w:rPr>
      </w:pPr>
    </w:p>
    <w:p w14:paraId="20DFA7B1" w14:textId="77777777" w:rsidR="00E91C32" w:rsidRDefault="00E91C32" w:rsidP="004E78FF">
      <w:pPr>
        <w:spacing w:line="360" w:lineRule="auto"/>
        <w:jc w:val="both"/>
        <w:rPr>
          <w:rFonts w:ascii="Arial" w:hAnsi="Arial" w:cs="Arial"/>
          <w:sz w:val="24"/>
          <w:szCs w:val="24"/>
        </w:rPr>
      </w:pPr>
    </w:p>
    <w:p w14:paraId="55FB6777" w14:textId="77777777" w:rsidR="00E91C32" w:rsidRDefault="00E91C32" w:rsidP="004E78FF">
      <w:pPr>
        <w:spacing w:line="360" w:lineRule="auto"/>
        <w:jc w:val="both"/>
        <w:rPr>
          <w:rFonts w:ascii="Arial" w:hAnsi="Arial" w:cs="Arial"/>
          <w:sz w:val="24"/>
          <w:szCs w:val="24"/>
        </w:rPr>
      </w:pPr>
    </w:p>
    <w:p w14:paraId="7DABA785" w14:textId="77777777" w:rsidR="00E91C32" w:rsidRPr="004E78FF" w:rsidRDefault="00E91C32" w:rsidP="004E78FF">
      <w:pPr>
        <w:spacing w:line="360" w:lineRule="auto"/>
        <w:jc w:val="both"/>
        <w:rPr>
          <w:rFonts w:ascii="Arial" w:hAnsi="Arial" w:cs="Arial"/>
          <w:sz w:val="24"/>
          <w:szCs w:val="24"/>
        </w:rPr>
      </w:pPr>
    </w:p>
    <w:p w14:paraId="2378D9A5" w14:textId="77777777" w:rsidR="004E78FF" w:rsidRPr="004E78FF" w:rsidRDefault="004E78FF" w:rsidP="004E78FF">
      <w:pPr>
        <w:spacing w:line="360" w:lineRule="auto"/>
        <w:jc w:val="both"/>
        <w:rPr>
          <w:rFonts w:ascii="Arial" w:hAnsi="Arial" w:cs="Arial"/>
          <w:sz w:val="24"/>
          <w:szCs w:val="24"/>
        </w:rPr>
      </w:pPr>
    </w:p>
    <w:p w14:paraId="6E42584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Conclusion</w:t>
      </w:r>
    </w:p>
    <w:p w14:paraId="02422EC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hotel industry is making notable progress in embracing sustainability and net-zero practices. Through energy efficiency, responsible sourcing, and green certifications, hotels are reshaping their operations. Yet, challenges such as high investment costs, lack of regulation, and operational inertia remain. The hotel industry plays a critical role in the global transition toward sustainability and net-zero emissions. Carbon reduction strategies, renewable energy adoption, and ESG reporting have become central to operations, driven by regulatory, social, and market pressures. While large hotel brands show measurable progress, challenges remain, particularly for smaller operators lacking resources. Technological innovation, industry collaboration, and credible measurement frameworks are vital for future success. To remain competitive and ethically responsible, the hospitality sector must embed sustainability not as an option, but as a core element of business strategy.</w:t>
      </w:r>
    </w:p>
    <w:p w14:paraId="40097A1C" w14:textId="77777777" w:rsidR="004E78FF" w:rsidRPr="004E78FF" w:rsidRDefault="004E78FF" w:rsidP="004E78FF">
      <w:pPr>
        <w:spacing w:line="360" w:lineRule="auto"/>
        <w:jc w:val="both"/>
        <w:rPr>
          <w:rFonts w:ascii="Arial" w:hAnsi="Arial" w:cs="Arial"/>
          <w:sz w:val="24"/>
          <w:szCs w:val="24"/>
        </w:rPr>
      </w:pPr>
    </w:p>
    <w:p w14:paraId="469E5AA4"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Recommendations </w:t>
      </w:r>
    </w:p>
    <w:p w14:paraId="4408279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Based on the evaluation of carbon reduction and net-zero practices, several actionable recommendations are proposed for the hospitality and hotel industry:</w:t>
      </w:r>
    </w:p>
    <w:p w14:paraId="07E36F7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Develop Scalable Net-Zero Strategies</w:t>
      </w:r>
    </w:p>
    <w:p w14:paraId="3B374CF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Hotels of all sizes should adopt tiered sustainability roadmaps based on operational scale, starting with low-cost actions such as energy audits, water conservation, and staff training. Larger properties can invest in renewable energy and carbon offsetting, while smaller operators may collaborate in shared green initiatives through regional alliances.</w:t>
      </w:r>
    </w:p>
    <w:p w14:paraId="539096C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Standardize Measurement and Reporting</w:t>
      </w:r>
    </w:p>
    <w:p w14:paraId="6CF5B54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The industry needs universal standards for tracking and reporting carbon emissions, especially Scope 3 (indirect) emissions. Adoption of tools like the Hotel Carbon Measurement Initiative (HCMI) and participation in platforms such as the Global Sustainable Tourism Council (GSTC) can improve transparency and benchmarking.</w:t>
      </w:r>
    </w:p>
    <w:p w14:paraId="29381BD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Invest in Training and Guest Engagement</w:t>
      </w:r>
    </w:p>
    <w:p w14:paraId="6891DA9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Sustainability success depends on behaviour change. Staff at all levels should receive regular sustainability training, and guests should be engaged through clear communication </w:t>
      </w:r>
      <w:r w:rsidRPr="004E78FF">
        <w:rPr>
          <w:rFonts w:ascii="Arial" w:hAnsi="Arial" w:cs="Arial"/>
          <w:sz w:val="24"/>
          <w:szCs w:val="24"/>
        </w:rPr>
        <w:lastRenderedPageBreak/>
        <w:t>of environmental practices, such as towel reuse, local sourcing, and energy-saving features.</w:t>
      </w:r>
    </w:p>
    <w:p w14:paraId="3E7C46AC"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Encourage Public–Private Partnerships</w:t>
      </w:r>
    </w:p>
    <w:p w14:paraId="40B0109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Hotels should seek collaboration with local governments, NGOs, and technology providers to access grants, green financing, and pilot new innovations like smart energy systems and circular supply chains.</w:t>
      </w:r>
    </w:p>
    <w:p w14:paraId="3D7893F2"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Embed Sustainability in Corporate Strategy</w:t>
      </w:r>
    </w:p>
    <w:p w14:paraId="55D07BC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Finally, sustainability should move beyond marketing into the core of hotel operations, governance, and brand identity. Leaders must align sustainability targets with performance metrics, strategic planning, and long-term business models to achieve meaningful and measurable impact.</w:t>
      </w:r>
    </w:p>
    <w:p w14:paraId="3A28C14E" w14:textId="2F6A53F3"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Also, </w:t>
      </w:r>
      <w:r w:rsidR="009D557F">
        <w:rPr>
          <w:rFonts w:ascii="Arial" w:hAnsi="Arial" w:cs="Arial"/>
          <w:sz w:val="24"/>
          <w:szCs w:val="24"/>
        </w:rPr>
        <w:t xml:space="preserve">last but not least, </w:t>
      </w:r>
      <w:r w:rsidRPr="004E78FF">
        <w:rPr>
          <w:rFonts w:ascii="Arial" w:hAnsi="Arial" w:cs="Arial"/>
          <w:sz w:val="24"/>
          <w:szCs w:val="24"/>
        </w:rPr>
        <w:t>Set Measurable ESG Targets: Hotels should adopt clear, transparent goals aligned with global sustainability standards.</w:t>
      </w:r>
    </w:p>
    <w:p w14:paraId="488CA28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Invest in Innovation: Adoption of IoT and AI can enhance energy and waste monitoring.</w:t>
      </w:r>
    </w:p>
    <w:p w14:paraId="5644030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Train and Engage Employees: Staff awareness and empowerment are essential to sustainable transformation.</w:t>
      </w:r>
    </w:p>
    <w:p w14:paraId="0A3562F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Educate Guests: Promoting sustainable behaviours among guests can support operational goals.</w:t>
      </w:r>
    </w:p>
    <w:p w14:paraId="3D233AE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Collaborate Across the Supply Chain: Partnering with sustainable suppliers strengthens the value chain.</w:t>
      </w:r>
    </w:p>
    <w:p w14:paraId="0B97BC90" w14:textId="77777777" w:rsidR="004E78FF" w:rsidRPr="004E78FF" w:rsidRDefault="004E78FF" w:rsidP="004E78FF">
      <w:pPr>
        <w:spacing w:line="360" w:lineRule="auto"/>
        <w:jc w:val="both"/>
        <w:rPr>
          <w:rFonts w:ascii="Arial" w:hAnsi="Arial" w:cs="Arial"/>
          <w:sz w:val="24"/>
          <w:szCs w:val="24"/>
        </w:rPr>
      </w:pPr>
    </w:p>
    <w:p w14:paraId="57299177" w14:textId="77777777" w:rsidR="004E78FF" w:rsidRDefault="004E78FF" w:rsidP="004E78FF">
      <w:pPr>
        <w:spacing w:line="360" w:lineRule="auto"/>
        <w:jc w:val="both"/>
        <w:rPr>
          <w:rFonts w:ascii="Arial" w:hAnsi="Arial" w:cs="Arial"/>
          <w:sz w:val="24"/>
          <w:szCs w:val="24"/>
        </w:rPr>
      </w:pPr>
    </w:p>
    <w:p w14:paraId="59AFE74D" w14:textId="77777777" w:rsidR="00E91C32" w:rsidRDefault="00E91C32" w:rsidP="004E78FF">
      <w:pPr>
        <w:spacing w:line="360" w:lineRule="auto"/>
        <w:jc w:val="both"/>
        <w:rPr>
          <w:rFonts w:ascii="Arial" w:hAnsi="Arial" w:cs="Arial"/>
          <w:sz w:val="24"/>
          <w:szCs w:val="24"/>
        </w:rPr>
      </w:pPr>
    </w:p>
    <w:p w14:paraId="328F7CAD" w14:textId="77777777" w:rsidR="00E91C32" w:rsidRDefault="00E91C32" w:rsidP="004E78FF">
      <w:pPr>
        <w:spacing w:line="360" w:lineRule="auto"/>
        <w:jc w:val="both"/>
        <w:rPr>
          <w:rFonts w:ascii="Arial" w:hAnsi="Arial" w:cs="Arial"/>
          <w:sz w:val="24"/>
          <w:szCs w:val="24"/>
        </w:rPr>
      </w:pPr>
    </w:p>
    <w:p w14:paraId="5DDB66DC" w14:textId="77777777" w:rsidR="00E91C32" w:rsidRDefault="00E91C32" w:rsidP="004E78FF">
      <w:pPr>
        <w:spacing w:line="360" w:lineRule="auto"/>
        <w:jc w:val="both"/>
        <w:rPr>
          <w:rFonts w:ascii="Arial" w:hAnsi="Arial" w:cs="Arial"/>
          <w:sz w:val="24"/>
          <w:szCs w:val="24"/>
        </w:rPr>
      </w:pPr>
    </w:p>
    <w:p w14:paraId="0F519766" w14:textId="77777777" w:rsidR="00E91C32" w:rsidRPr="004E78FF" w:rsidRDefault="00E91C32" w:rsidP="004E78FF">
      <w:pPr>
        <w:spacing w:line="360" w:lineRule="auto"/>
        <w:jc w:val="both"/>
        <w:rPr>
          <w:rFonts w:ascii="Arial" w:hAnsi="Arial" w:cs="Arial"/>
          <w:sz w:val="24"/>
          <w:szCs w:val="24"/>
        </w:rPr>
      </w:pPr>
    </w:p>
    <w:p w14:paraId="70BE6210" w14:textId="77777777" w:rsidR="004E78FF" w:rsidRPr="004E78FF" w:rsidRDefault="004E78FF" w:rsidP="004E78FF">
      <w:pPr>
        <w:spacing w:line="360" w:lineRule="auto"/>
        <w:jc w:val="both"/>
        <w:rPr>
          <w:rFonts w:ascii="Arial" w:hAnsi="Arial" w:cs="Arial"/>
          <w:sz w:val="24"/>
          <w:szCs w:val="24"/>
        </w:rPr>
      </w:pPr>
    </w:p>
    <w:p w14:paraId="52C4E5D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 xml:space="preserve">References </w:t>
      </w:r>
    </w:p>
    <w:p w14:paraId="66B33868" w14:textId="77777777" w:rsidR="004E78FF" w:rsidRPr="004E78FF" w:rsidRDefault="004E78FF" w:rsidP="004E78FF">
      <w:pPr>
        <w:spacing w:line="360" w:lineRule="auto"/>
        <w:jc w:val="both"/>
        <w:rPr>
          <w:rFonts w:ascii="Arial" w:hAnsi="Arial" w:cs="Arial"/>
          <w:sz w:val="24"/>
          <w:szCs w:val="24"/>
        </w:rPr>
      </w:pPr>
    </w:p>
    <w:p w14:paraId="0487E7E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Accor, 2023. Planet 21 – </w:t>
      </w:r>
      <w:r w:rsidRPr="00372575">
        <w:rPr>
          <w:rFonts w:ascii="Arial" w:hAnsi="Arial" w:cs="Arial"/>
          <w:i/>
          <w:iCs/>
          <w:sz w:val="24"/>
          <w:szCs w:val="24"/>
        </w:rPr>
        <w:t>Acting for Positive Hospitality.</w:t>
      </w:r>
      <w:r w:rsidRPr="004E78FF">
        <w:rPr>
          <w:rFonts w:ascii="Arial" w:hAnsi="Arial" w:cs="Arial"/>
          <w:sz w:val="24"/>
          <w:szCs w:val="24"/>
        </w:rPr>
        <w:t xml:space="preserve"> [online] Available at: https://group.accor.com/en/sustainable-development </w:t>
      </w:r>
    </w:p>
    <w:p w14:paraId="6CD8D8B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Accor, 2023. </w:t>
      </w:r>
      <w:r w:rsidRPr="00372575">
        <w:rPr>
          <w:rFonts w:ascii="Arial" w:hAnsi="Arial" w:cs="Arial"/>
          <w:i/>
          <w:iCs/>
          <w:sz w:val="24"/>
          <w:szCs w:val="24"/>
        </w:rPr>
        <w:t>Sustainable Development Report</w:t>
      </w:r>
      <w:r w:rsidRPr="004E78FF">
        <w:rPr>
          <w:rFonts w:ascii="Arial" w:hAnsi="Arial" w:cs="Arial"/>
          <w:sz w:val="24"/>
          <w:szCs w:val="24"/>
        </w:rPr>
        <w:t xml:space="preserve">. [online] Available at: https://group.accor.com/en/sustainable-development </w:t>
      </w:r>
    </w:p>
    <w:p w14:paraId="55FDF297" w14:textId="246C53DA"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Bharwani, S. and Mathews, D., 2021. </w:t>
      </w:r>
      <w:r w:rsidR="00372575">
        <w:rPr>
          <w:rFonts w:ascii="Arial" w:hAnsi="Arial" w:cs="Arial"/>
          <w:sz w:val="24"/>
          <w:szCs w:val="24"/>
        </w:rPr>
        <w:t>“</w:t>
      </w:r>
      <w:r w:rsidRPr="004E78FF">
        <w:rPr>
          <w:rFonts w:ascii="Arial" w:hAnsi="Arial" w:cs="Arial"/>
          <w:sz w:val="24"/>
          <w:szCs w:val="24"/>
        </w:rPr>
        <w:t>Digital transformation and sustainability in hotels</w:t>
      </w:r>
      <w:r w:rsidR="00372575">
        <w:rPr>
          <w:rFonts w:ascii="Arial" w:hAnsi="Arial" w:cs="Arial"/>
          <w:sz w:val="24"/>
          <w:szCs w:val="24"/>
        </w:rPr>
        <w:t>”</w:t>
      </w:r>
      <w:r w:rsidRPr="004E78FF">
        <w:rPr>
          <w:rFonts w:ascii="Arial" w:hAnsi="Arial" w:cs="Arial"/>
          <w:sz w:val="24"/>
          <w:szCs w:val="24"/>
        </w:rPr>
        <w:t xml:space="preserve">. </w:t>
      </w:r>
      <w:r w:rsidRPr="00372575">
        <w:rPr>
          <w:rFonts w:ascii="Arial" w:hAnsi="Arial" w:cs="Arial"/>
          <w:i/>
          <w:iCs/>
          <w:sz w:val="24"/>
          <w:szCs w:val="24"/>
        </w:rPr>
        <w:t>Tourism Review,</w:t>
      </w:r>
      <w:r w:rsidRPr="004E78FF">
        <w:rPr>
          <w:rFonts w:ascii="Arial" w:hAnsi="Arial" w:cs="Arial"/>
          <w:sz w:val="24"/>
          <w:szCs w:val="24"/>
        </w:rPr>
        <w:t xml:space="preserve"> 76(4), pp.1042–1057.</w:t>
      </w:r>
    </w:p>
    <w:p w14:paraId="0A50611A" w14:textId="3A56C414"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Bohdanowicz, P. and Zientara, P., 2022. </w:t>
      </w:r>
      <w:r w:rsidR="00372575">
        <w:rPr>
          <w:rFonts w:ascii="Arial" w:hAnsi="Arial" w:cs="Arial"/>
          <w:sz w:val="24"/>
          <w:szCs w:val="24"/>
        </w:rPr>
        <w:t>“</w:t>
      </w:r>
      <w:r w:rsidRPr="004E78FF">
        <w:rPr>
          <w:rFonts w:ascii="Arial" w:hAnsi="Arial" w:cs="Arial"/>
          <w:sz w:val="24"/>
          <w:szCs w:val="24"/>
        </w:rPr>
        <w:t>Sustainable hotel operations: An integrative framework for performance and implementation</w:t>
      </w:r>
      <w:r w:rsidR="00372575">
        <w:rPr>
          <w:rFonts w:ascii="Arial" w:hAnsi="Arial" w:cs="Arial"/>
          <w:sz w:val="24"/>
          <w:szCs w:val="24"/>
        </w:rPr>
        <w:t>”</w:t>
      </w:r>
      <w:r w:rsidRPr="004E78FF">
        <w:rPr>
          <w:rFonts w:ascii="Arial" w:hAnsi="Arial" w:cs="Arial"/>
          <w:sz w:val="24"/>
          <w:szCs w:val="24"/>
        </w:rPr>
        <w:t xml:space="preserve">. </w:t>
      </w:r>
      <w:r w:rsidRPr="00372575">
        <w:rPr>
          <w:rFonts w:ascii="Arial" w:hAnsi="Arial" w:cs="Arial"/>
          <w:i/>
          <w:iCs/>
          <w:sz w:val="24"/>
          <w:szCs w:val="24"/>
        </w:rPr>
        <w:t>Journal of Sustainable Tourism</w:t>
      </w:r>
      <w:r w:rsidRPr="004E78FF">
        <w:rPr>
          <w:rFonts w:ascii="Arial" w:hAnsi="Arial" w:cs="Arial"/>
          <w:sz w:val="24"/>
          <w:szCs w:val="24"/>
        </w:rPr>
        <w:t>, 30(3), pp.387–409.</w:t>
      </w:r>
    </w:p>
    <w:p w14:paraId="48A9D88B"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Bohdanowicz-Godfrey, P., 2022. </w:t>
      </w:r>
      <w:r w:rsidRPr="00372575">
        <w:rPr>
          <w:rFonts w:ascii="Arial" w:hAnsi="Arial" w:cs="Arial"/>
          <w:i/>
          <w:iCs/>
          <w:sz w:val="24"/>
          <w:szCs w:val="24"/>
        </w:rPr>
        <w:t>Hotel Sustainability and Responsible Tourism: Managing Environmental Impact</w:t>
      </w:r>
      <w:r w:rsidRPr="004E78FF">
        <w:rPr>
          <w:rFonts w:ascii="Arial" w:hAnsi="Arial" w:cs="Arial"/>
          <w:sz w:val="24"/>
          <w:szCs w:val="24"/>
        </w:rPr>
        <w:t>. London: Springer Nature.</w:t>
      </w:r>
    </w:p>
    <w:p w14:paraId="36E52BE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Deloitte, 2023. </w:t>
      </w:r>
      <w:r w:rsidRPr="00372575">
        <w:rPr>
          <w:rFonts w:ascii="Arial" w:hAnsi="Arial" w:cs="Arial"/>
          <w:i/>
          <w:iCs/>
          <w:sz w:val="24"/>
          <w:szCs w:val="24"/>
        </w:rPr>
        <w:t>Sustainable Hospitality: Navigating ESG, Carbon and Net-Zero</w:t>
      </w:r>
      <w:r w:rsidRPr="004E78FF">
        <w:rPr>
          <w:rFonts w:ascii="Arial" w:hAnsi="Arial" w:cs="Arial"/>
          <w:sz w:val="24"/>
          <w:szCs w:val="24"/>
        </w:rPr>
        <w:t>. [online] Available at: https://www2.deloitte.com</w:t>
      </w:r>
    </w:p>
    <w:p w14:paraId="10D1395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Elkington, J., 1997. </w:t>
      </w:r>
      <w:r w:rsidRPr="00372575">
        <w:rPr>
          <w:rFonts w:ascii="Arial" w:hAnsi="Arial" w:cs="Arial"/>
          <w:i/>
          <w:iCs/>
          <w:sz w:val="24"/>
          <w:szCs w:val="24"/>
        </w:rPr>
        <w:t>Cannibals with Forks: The Triple Bottom Line of 21st Century Business</w:t>
      </w:r>
      <w:r w:rsidRPr="004E78FF">
        <w:rPr>
          <w:rFonts w:ascii="Arial" w:hAnsi="Arial" w:cs="Arial"/>
          <w:sz w:val="24"/>
          <w:szCs w:val="24"/>
        </w:rPr>
        <w:t>. Oxford: Capstone Publishing.</w:t>
      </w:r>
    </w:p>
    <w:p w14:paraId="4591C04E" w14:textId="62ECF208"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Ellen MacArthur Foundation, 2019. </w:t>
      </w:r>
      <w:r w:rsidRPr="00372575">
        <w:rPr>
          <w:rFonts w:ascii="Arial" w:hAnsi="Arial" w:cs="Arial"/>
          <w:i/>
          <w:iCs/>
          <w:sz w:val="24"/>
          <w:szCs w:val="24"/>
        </w:rPr>
        <w:t>Completing the Picture: How the Circular Economy Tackles Climate Change</w:t>
      </w:r>
      <w:r w:rsidRPr="004E78FF">
        <w:rPr>
          <w:rFonts w:ascii="Arial" w:hAnsi="Arial" w:cs="Arial"/>
          <w:sz w:val="24"/>
          <w:szCs w:val="24"/>
        </w:rPr>
        <w:t xml:space="preserve">. [online] Available at: </w:t>
      </w:r>
      <w:r w:rsidR="00372575">
        <w:rPr>
          <w:rFonts w:ascii="Arial" w:hAnsi="Arial" w:cs="Arial"/>
          <w:sz w:val="24"/>
          <w:szCs w:val="24"/>
        </w:rPr>
        <w:t>https://ellenmacarthurfoundation</w:t>
      </w:r>
      <w:r w:rsidRPr="004E78FF">
        <w:rPr>
          <w:rFonts w:ascii="Arial" w:hAnsi="Arial" w:cs="Arial"/>
          <w:sz w:val="24"/>
          <w:szCs w:val="24"/>
        </w:rPr>
        <w:t>.</w:t>
      </w:r>
      <w:r w:rsidR="00372575">
        <w:rPr>
          <w:rFonts w:ascii="Arial" w:hAnsi="Arial" w:cs="Arial"/>
          <w:sz w:val="24"/>
          <w:szCs w:val="24"/>
        </w:rPr>
        <w:t xml:space="preserve"> </w:t>
      </w:r>
      <w:r w:rsidRPr="004E78FF">
        <w:rPr>
          <w:rFonts w:ascii="Arial" w:hAnsi="Arial" w:cs="Arial"/>
          <w:sz w:val="24"/>
          <w:szCs w:val="24"/>
        </w:rPr>
        <w:t>org/completing-the-picture</w:t>
      </w:r>
    </w:p>
    <w:p w14:paraId="038B5A4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European Commission, 2022. </w:t>
      </w:r>
      <w:r w:rsidRPr="00372575">
        <w:rPr>
          <w:rFonts w:ascii="Arial" w:hAnsi="Arial" w:cs="Arial"/>
          <w:i/>
          <w:iCs/>
          <w:sz w:val="24"/>
          <w:szCs w:val="24"/>
        </w:rPr>
        <w:t>The European Green Deal and Fit for 55</w:t>
      </w:r>
      <w:r w:rsidRPr="004E78FF">
        <w:rPr>
          <w:rFonts w:ascii="Arial" w:hAnsi="Arial" w:cs="Arial"/>
          <w:sz w:val="24"/>
          <w:szCs w:val="24"/>
        </w:rPr>
        <w:t xml:space="preserve">. [online] Available at: https://ec.europa.eu </w:t>
      </w:r>
    </w:p>
    <w:p w14:paraId="1413763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Global Sustainable Tourism Council (GSTC), 2013</w:t>
      </w:r>
      <w:r w:rsidRPr="00372575">
        <w:rPr>
          <w:rFonts w:ascii="Arial" w:hAnsi="Arial" w:cs="Arial"/>
          <w:i/>
          <w:iCs/>
          <w:sz w:val="24"/>
          <w:szCs w:val="24"/>
        </w:rPr>
        <w:t>. Global Criteria for Hotels and Tour Operators.</w:t>
      </w:r>
      <w:r w:rsidRPr="004E78FF">
        <w:rPr>
          <w:rFonts w:ascii="Arial" w:hAnsi="Arial" w:cs="Arial"/>
          <w:sz w:val="24"/>
          <w:szCs w:val="24"/>
        </w:rPr>
        <w:t xml:space="preserve"> [online] Available at: https://www.gstcouncil.org</w:t>
      </w:r>
    </w:p>
    <w:p w14:paraId="49AAF1B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Hall, C.M., Gossling, S. and Scott, D., 2021. </w:t>
      </w:r>
      <w:r w:rsidRPr="00372575">
        <w:rPr>
          <w:rFonts w:ascii="Arial" w:hAnsi="Arial" w:cs="Arial"/>
          <w:i/>
          <w:iCs/>
          <w:sz w:val="24"/>
          <w:szCs w:val="24"/>
        </w:rPr>
        <w:t>Tourism and Climate Change: Impacts, Adaptation and Mitigation</w:t>
      </w:r>
      <w:r w:rsidRPr="004E78FF">
        <w:rPr>
          <w:rFonts w:ascii="Arial" w:hAnsi="Arial" w:cs="Arial"/>
          <w:sz w:val="24"/>
          <w:szCs w:val="24"/>
        </w:rPr>
        <w:t>. 2nd ed. Bristol: Channel View Publications.</w:t>
      </w:r>
    </w:p>
    <w:p w14:paraId="3E073213"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Hilton, 2023. </w:t>
      </w:r>
      <w:r w:rsidRPr="00372575">
        <w:rPr>
          <w:rFonts w:ascii="Arial" w:hAnsi="Arial" w:cs="Arial"/>
          <w:i/>
          <w:iCs/>
          <w:sz w:val="24"/>
          <w:szCs w:val="24"/>
        </w:rPr>
        <w:t>Travel with Purpose 2030 Goals Progress Report</w:t>
      </w:r>
      <w:r w:rsidRPr="004E78FF">
        <w:rPr>
          <w:rFonts w:ascii="Arial" w:hAnsi="Arial" w:cs="Arial"/>
          <w:sz w:val="24"/>
          <w:szCs w:val="24"/>
        </w:rPr>
        <w:t xml:space="preserve">. [online] Available at: https://esg.hilton.com </w:t>
      </w:r>
    </w:p>
    <w:p w14:paraId="3518D8C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 xml:space="preserve">Hilton, 2023. </w:t>
      </w:r>
      <w:r w:rsidRPr="00372575">
        <w:rPr>
          <w:rFonts w:ascii="Arial" w:hAnsi="Arial" w:cs="Arial"/>
          <w:i/>
          <w:iCs/>
          <w:sz w:val="24"/>
          <w:szCs w:val="24"/>
        </w:rPr>
        <w:t>Travel with Purpose ESG Report</w:t>
      </w:r>
      <w:r w:rsidRPr="004E78FF">
        <w:rPr>
          <w:rFonts w:ascii="Arial" w:hAnsi="Arial" w:cs="Arial"/>
          <w:sz w:val="24"/>
          <w:szCs w:val="24"/>
        </w:rPr>
        <w:t xml:space="preserve">. [online] Available at: https://esg.hilton.com </w:t>
      </w:r>
    </w:p>
    <w:p w14:paraId="1540DD8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Hunt, C. and Ninemeier, J., 2020</w:t>
      </w:r>
      <w:r w:rsidRPr="00372575">
        <w:rPr>
          <w:rFonts w:ascii="Arial" w:hAnsi="Arial" w:cs="Arial"/>
          <w:i/>
          <w:iCs/>
          <w:sz w:val="24"/>
          <w:szCs w:val="24"/>
        </w:rPr>
        <w:t>. Hospitality Sustainability: Principles and Practice</w:t>
      </w:r>
      <w:r w:rsidRPr="004E78FF">
        <w:rPr>
          <w:rFonts w:ascii="Arial" w:hAnsi="Arial" w:cs="Arial"/>
          <w:sz w:val="24"/>
          <w:szCs w:val="24"/>
        </w:rPr>
        <w:t>. New York: Routledge.</w:t>
      </w:r>
    </w:p>
    <w:p w14:paraId="748037D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IHG Hotels &amp; Resorts, 2023. </w:t>
      </w:r>
      <w:r w:rsidRPr="00372575">
        <w:rPr>
          <w:rFonts w:ascii="Arial" w:hAnsi="Arial" w:cs="Arial"/>
          <w:i/>
          <w:iCs/>
          <w:sz w:val="24"/>
          <w:szCs w:val="24"/>
        </w:rPr>
        <w:t>Journey to Tomorrow: Responsible Business Report.</w:t>
      </w:r>
      <w:r w:rsidRPr="004E78FF">
        <w:rPr>
          <w:rFonts w:ascii="Arial" w:hAnsi="Arial" w:cs="Arial"/>
          <w:sz w:val="24"/>
          <w:szCs w:val="24"/>
        </w:rPr>
        <w:t xml:space="preserve"> [online] Available at: https://www.ihgplc.com/en/responsible-business</w:t>
      </w:r>
    </w:p>
    <w:p w14:paraId="75EB609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Intergovernmental Panel on Climate Change (IPCC), 2022. </w:t>
      </w:r>
      <w:r w:rsidRPr="00372575">
        <w:rPr>
          <w:rFonts w:ascii="Arial" w:hAnsi="Arial" w:cs="Arial"/>
          <w:i/>
          <w:iCs/>
          <w:sz w:val="24"/>
          <w:szCs w:val="24"/>
        </w:rPr>
        <w:t>Climate Change 2022: Mitigation of Climate Change.</w:t>
      </w:r>
      <w:r w:rsidRPr="004E78FF">
        <w:rPr>
          <w:rFonts w:ascii="Arial" w:hAnsi="Arial" w:cs="Arial"/>
          <w:sz w:val="24"/>
          <w:szCs w:val="24"/>
        </w:rPr>
        <w:t xml:space="preserve"> [online] Available at: https://www.ipcc.ch/report/ar6/wg3/  </w:t>
      </w:r>
    </w:p>
    <w:p w14:paraId="61E46155" w14:textId="09EE9E6E"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Jones, P., Hillier, D. and Comfort, D., 2020. </w:t>
      </w:r>
      <w:r w:rsidR="00372575">
        <w:rPr>
          <w:rFonts w:ascii="Arial" w:hAnsi="Arial" w:cs="Arial"/>
          <w:sz w:val="24"/>
          <w:szCs w:val="24"/>
        </w:rPr>
        <w:t>“</w:t>
      </w:r>
      <w:r w:rsidRPr="004E78FF">
        <w:rPr>
          <w:rFonts w:ascii="Arial" w:hAnsi="Arial" w:cs="Arial"/>
          <w:sz w:val="24"/>
          <w:szCs w:val="24"/>
        </w:rPr>
        <w:t>Sustainability in the global hospitality industry: Challenges and opportunities</w:t>
      </w:r>
      <w:r w:rsidR="00372575">
        <w:rPr>
          <w:rFonts w:ascii="Arial" w:hAnsi="Arial" w:cs="Arial"/>
          <w:sz w:val="24"/>
          <w:szCs w:val="24"/>
        </w:rPr>
        <w:t>”</w:t>
      </w:r>
      <w:r w:rsidRPr="004E78FF">
        <w:rPr>
          <w:rFonts w:ascii="Arial" w:hAnsi="Arial" w:cs="Arial"/>
          <w:sz w:val="24"/>
          <w:szCs w:val="24"/>
        </w:rPr>
        <w:t xml:space="preserve">. </w:t>
      </w:r>
      <w:r w:rsidRPr="00372575">
        <w:rPr>
          <w:rFonts w:ascii="Arial" w:hAnsi="Arial" w:cs="Arial"/>
          <w:i/>
          <w:iCs/>
          <w:sz w:val="24"/>
          <w:szCs w:val="24"/>
        </w:rPr>
        <w:t>International Journal of Contemporary Hospitality Management</w:t>
      </w:r>
      <w:r w:rsidRPr="004E78FF">
        <w:rPr>
          <w:rFonts w:ascii="Arial" w:hAnsi="Arial" w:cs="Arial"/>
          <w:sz w:val="24"/>
          <w:szCs w:val="24"/>
        </w:rPr>
        <w:t>, 32(1), pp.1–19.</w:t>
      </w:r>
    </w:p>
    <w:p w14:paraId="1176DECF" w14:textId="123E229B"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Jones, P., Hillier, D. and Comfort, D., 2016. </w:t>
      </w:r>
      <w:r w:rsidR="00372575">
        <w:rPr>
          <w:rFonts w:ascii="Arial" w:hAnsi="Arial" w:cs="Arial"/>
          <w:sz w:val="24"/>
          <w:szCs w:val="24"/>
        </w:rPr>
        <w:t>“</w:t>
      </w:r>
      <w:r w:rsidRPr="004E78FF">
        <w:rPr>
          <w:rFonts w:ascii="Arial" w:hAnsi="Arial" w:cs="Arial"/>
          <w:sz w:val="24"/>
          <w:szCs w:val="24"/>
        </w:rPr>
        <w:t>Sustainability in the global hotel industry</w:t>
      </w:r>
      <w:r w:rsidR="00372575">
        <w:rPr>
          <w:rFonts w:ascii="Arial" w:hAnsi="Arial" w:cs="Arial"/>
          <w:sz w:val="24"/>
          <w:szCs w:val="24"/>
        </w:rPr>
        <w:t>”</w:t>
      </w:r>
      <w:r w:rsidRPr="004E78FF">
        <w:rPr>
          <w:rFonts w:ascii="Arial" w:hAnsi="Arial" w:cs="Arial"/>
          <w:sz w:val="24"/>
          <w:szCs w:val="24"/>
        </w:rPr>
        <w:t xml:space="preserve">. </w:t>
      </w:r>
      <w:r w:rsidRPr="00372575">
        <w:rPr>
          <w:rFonts w:ascii="Arial" w:hAnsi="Arial" w:cs="Arial"/>
          <w:i/>
          <w:iCs/>
          <w:sz w:val="24"/>
          <w:szCs w:val="24"/>
        </w:rPr>
        <w:t>International Journal of Contemporary Hospitality Management</w:t>
      </w:r>
      <w:r w:rsidRPr="004E78FF">
        <w:rPr>
          <w:rFonts w:ascii="Arial" w:hAnsi="Arial" w:cs="Arial"/>
          <w:sz w:val="24"/>
          <w:szCs w:val="24"/>
        </w:rPr>
        <w:t>, 28(1), pp.36–67.</w:t>
      </w:r>
    </w:p>
    <w:p w14:paraId="184E7861" w14:textId="1C248D2F"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Kumar, V. and Dixit, A., 2023. </w:t>
      </w:r>
      <w:r w:rsidR="00B4625F">
        <w:rPr>
          <w:rFonts w:ascii="Arial" w:hAnsi="Arial" w:cs="Arial"/>
          <w:sz w:val="24"/>
          <w:szCs w:val="24"/>
        </w:rPr>
        <w:t>“</w:t>
      </w:r>
      <w:r w:rsidRPr="004E78FF">
        <w:rPr>
          <w:rFonts w:ascii="Arial" w:hAnsi="Arial" w:cs="Arial"/>
          <w:sz w:val="24"/>
          <w:szCs w:val="24"/>
        </w:rPr>
        <w:t>Net-zero strategies in the global hospitality sector: A review of green innovations and policy challenges</w:t>
      </w:r>
      <w:r w:rsidR="00B4625F">
        <w:rPr>
          <w:rFonts w:ascii="Arial" w:hAnsi="Arial" w:cs="Arial"/>
          <w:sz w:val="24"/>
          <w:szCs w:val="24"/>
        </w:rPr>
        <w:t>”</w:t>
      </w:r>
      <w:r w:rsidRPr="004E78FF">
        <w:rPr>
          <w:rFonts w:ascii="Arial" w:hAnsi="Arial" w:cs="Arial"/>
          <w:sz w:val="24"/>
          <w:szCs w:val="24"/>
        </w:rPr>
        <w:t xml:space="preserve">. </w:t>
      </w:r>
      <w:r w:rsidRPr="00B4625F">
        <w:rPr>
          <w:rFonts w:ascii="Arial" w:hAnsi="Arial" w:cs="Arial"/>
          <w:i/>
          <w:iCs/>
          <w:sz w:val="24"/>
          <w:szCs w:val="24"/>
        </w:rPr>
        <w:t>International Journal of Hospitality Management,</w:t>
      </w:r>
      <w:r w:rsidRPr="004E78FF">
        <w:rPr>
          <w:rFonts w:ascii="Arial" w:hAnsi="Arial" w:cs="Arial"/>
          <w:sz w:val="24"/>
          <w:szCs w:val="24"/>
        </w:rPr>
        <w:t xml:space="preserve"> 108, p.103378.</w:t>
      </w:r>
    </w:p>
    <w:p w14:paraId="156CD82A"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Marriott International, 2023</w:t>
      </w:r>
      <w:r w:rsidRPr="00B4625F">
        <w:rPr>
          <w:rFonts w:ascii="Arial" w:hAnsi="Arial" w:cs="Arial"/>
          <w:i/>
          <w:iCs/>
          <w:sz w:val="24"/>
          <w:szCs w:val="24"/>
        </w:rPr>
        <w:t>. Serve 360: Doing Good in Every Direction</w:t>
      </w:r>
      <w:r w:rsidRPr="004E78FF">
        <w:rPr>
          <w:rFonts w:ascii="Arial" w:hAnsi="Arial" w:cs="Arial"/>
          <w:sz w:val="24"/>
          <w:szCs w:val="24"/>
        </w:rPr>
        <w:t>. [online] Available at: https://serve360.marriott.com</w:t>
      </w:r>
    </w:p>
    <w:p w14:paraId="0BAD7C35" w14:textId="23E35CCC"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Marriott International, 2023</w:t>
      </w:r>
      <w:r w:rsidRPr="009D6B36">
        <w:rPr>
          <w:rFonts w:ascii="Arial" w:hAnsi="Arial" w:cs="Arial"/>
          <w:i/>
          <w:iCs/>
          <w:sz w:val="24"/>
          <w:szCs w:val="24"/>
        </w:rPr>
        <w:t>. Serve 360 Report</w:t>
      </w:r>
      <w:r w:rsidRPr="004E78FF">
        <w:rPr>
          <w:rFonts w:ascii="Arial" w:hAnsi="Arial" w:cs="Arial"/>
          <w:sz w:val="24"/>
          <w:szCs w:val="24"/>
        </w:rPr>
        <w:t xml:space="preserve">. </w:t>
      </w:r>
      <w:r w:rsidR="00B4625F">
        <w:rPr>
          <w:rFonts w:ascii="Arial" w:hAnsi="Arial" w:cs="Arial"/>
          <w:sz w:val="24"/>
          <w:szCs w:val="24"/>
        </w:rPr>
        <w:t>,</w:t>
      </w:r>
      <w:r w:rsidRPr="004E78FF">
        <w:rPr>
          <w:rFonts w:ascii="Arial" w:hAnsi="Arial" w:cs="Arial"/>
          <w:sz w:val="24"/>
          <w:szCs w:val="24"/>
        </w:rPr>
        <w:t xml:space="preserve">https://serve360.marriott.com   </w:t>
      </w:r>
    </w:p>
    <w:p w14:paraId="1982B288"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Peattie, K. and Crane, A., 2005. </w:t>
      </w:r>
      <w:r w:rsidRPr="009D6B36">
        <w:rPr>
          <w:rFonts w:ascii="Arial" w:hAnsi="Arial" w:cs="Arial"/>
          <w:i/>
          <w:iCs/>
          <w:sz w:val="24"/>
          <w:szCs w:val="24"/>
        </w:rPr>
        <w:t>Green marketing: legend, myth, farce or prophesy? Qualitative Market Research</w:t>
      </w:r>
      <w:r w:rsidRPr="004E78FF">
        <w:rPr>
          <w:rFonts w:ascii="Arial" w:hAnsi="Arial" w:cs="Arial"/>
          <w:sz w:val="24"/>
          <w:szCs w:val="24"/>
        </w:rPr>
        <w:t>, 8(4), pp.357–370</w:t>
      </w:r>
    </w:p>
    <w:p w14:paraId="4607C48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SAGE Journals and Emerald Insight: </w:t>
      </w:r>
      <w:r w:rsidRPr="009D6B36">
        <w:rPr>
          <w:rFonts w:ascii="Arial" w:hAnsi="Arial" w:cs="Arial"/>
          <w:i/>
          <w:iCs/>
          <w:sz w:val="24"/>
          <w:szCs w:val="24"/>
        </w:rPr>
        <w:t>Hospitality and tourism studies</w:t>
      </w:r>
    </w:p>
    <w:p w14:paraId="330A4C13" w14:textId="6240C3BE"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https://journals.sagepub.com</w:t>
      </w:r>
      <w:r w:rsidR="009D6B36">
        <w:rPr>
          <w:rFonts w:ascii="Arial" w:hAnsi="Arial" w:cs="Arial"/>
          <w:sz w:val="24"/>
          <w:szCs w:val="24"/>
        </w:rPr>
        <w:t>,</w:t>
      </w:r>
      <w:r w:rsidRPr="004E78FF">
        <w:rPr>
          <w:rFonts w:ascii="Arial" w:hAnsi="Arial" w:cs="Arial"/>
          <w:sz w:val="24"/>
          <w:szCs w:val="24"/>
        </w:rPr>
        <w:t xml:space="preserve"> https://www.emerald.com/insight/</w:t>
      </w:r>
    </w:p>
    <w:p w14:paraId="2D154C1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Scandic Hotels Group, 2022. </w:t>
      </w:r>
      <w:r w:rsidRPr="001701DE">
        <w:rPr>
          <w:rFonts w:ascii="Arial" w:hAnsi="Arial" w:cs="Arial"/>
          <w:i/>
          <w:iCs/>
          <w:sz w:val="24"/>
          <w:szCs w:val="24"/>
        </w:rPr>
        <w:t>Sustainability Report 2022</w:t>
      </w:r>
      <w:r w:rsidRPr="004E78FF">
        <w:rPr>
          <w:rFonts w:ascii="Arial" w:hAnsi="Arial" w:cs="Arial"/>
          <w:sz w:val="24"/>
          <w:szCs w:val="24"/>
        </w:rPr>
        <w:t xml:space="preserve">. [online] Available at: https://www.scandichotelsgroup.com/sustainability/ </w:t>
      </w:r>
    </w:p>
    <w:p w14:paraId="25160539"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ScienceDirect and Taylor &amp; Francis Online: </w:t>
      </w:r>
      <w:r w:rsidRPr="001701DE">
        <w:rPr>
          <w:rFonts w:ascii="Arial" w:hAnsi="Arial" w:cs="Arial"/>
          <w:i/>
          <w:iCs/>
          <w:sz w:val="24"/>
          <w:szCs w:val="24"/>
        </w:rPr>
        <w:t>Peer-reviewed research articles</w:t>
      </w:r>
    </w:p>
    <w:p w14:paraId="58D32BE1"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https://www.sciencedirect.com | https://www.tandfonline.com</w:t>
      </w:r>
    </w:p>
    <w:p w14:paraId="38473E3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https://www.statista.com</w:t>
      </w:r>
    </w:p>
    <w:p w14:paraId="202A97E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lastRenderedPageBreak/>
        <w:t xml:space="preserve">Statista, 2024. </w:t>
      </w:r>
      <w:r w:rsidRPr="001701DE">
        <w:rPr>
          <w:rFonts w:ascii="Arial" w:hAnsi="Arial" w:cs="Arial"/>
          <w:i/>
          <w:iCs/>
          <w:sz w:val="24"/>
          <w:szCs w:val="24"/>
        </w:rPr>
        <w:t>Sustainable Travel: Consumer Trends</w:t>
      </w:r>
      <w:r w:rsidRPr="004E78FF">
        <w:rPr>
          <w:rFonts w:ascii="Arial" w:hAnsi="Arial" w:cs="Arial"/>
          <w:sz w:val="24"/>
          <w:szCs w:val="24"/>
        </w:rPr>
        <w:t>. [online] Available at: https://www.statista.com/statistics/1109830/global-sustainable-travel-trends/</w:t>
      </w:r>
    </w:p>
    <w:p w14:paraId="1D123D2E"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Sustainable Hospitality Alliance, 2024</w:t>
      </w:r>
      <w:r w:rsidRPr="001701DE">
        <w:rPr>
          <w:rFonts w:ascii="Arial" w:hAnsi="Arial" w:cs="Arial"/>
          <w:i/>
          <w:iCs/>
          <w:sz w:val="24"/>
          <w:szCs w:val="24"/>
        </w:rPr>
        <w:t>. Pathway to Net Positive Hospitality.</w:t>
      </w:r>
      <w:r w:rsidRPr="004E78FF">
        <w:rPr>
          <w:rFonts w:ascii="Arial" w:hAnsi="Arial" w:cs="Arial"/>
          <w:sz w:val="24"/>
          <w:szCs w:val="24"/>
        </w:rPr>
        <w:t xml:space="preserve"> [online] Available at: https://sustainablehospitalityalliance.org </w:t>
      </w:r>
    </w:p>
    <w:p w14:paraId="5FC1D365"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United Nations, 2015. Transforming our world: the 2030 </w:t>
      </w:r>
      <w:r w:rsidRPr="001701DE">
        <w:rPr>
          <w:rFonts w:ascii="Arial" w:hAnsi="Arial" w:cs="Arial"/>
          <w:i/>
          <w:iCs/>
          <w:sz w:val="24"/>
          <w:szCs w:val="24"/>
        </w:rPr>
        <w:t>Agenda for Sustainable Development</w:t>
      </w:r>
      <w:r w:rsidRPr="004E78FF">
        <w:rPr>
          <w:rFonts w:ascii="Arial" w:hAnsi="Arial" w:cs="Arial"/>
          <w:sz w:val="24"/>
          <w:szCs w:val="24"/>
        </w:rPr>
        <w:t xml:space="preserve">. [online] Available at: https://sdgs.un.org/2030agenda </w:t>
      </w:r>
    </w:p>
    <w:p w14:paraId="29D7A0AF"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United Nations Framework Convention on Climate Change (UNFCCC), 2015. </w:t>
      </w:r>
      <w:r w:rsidRPr="00D55041">
        <w:rPr>
          <w:rFonts w:ascii="Arial" w:hAnsi="Arial" w:cs="Arial"/>
          <w:i/>
          <w:iCs/>
          <w:sz w:val="24"/>
          <w:szCs w:val="24"/>
        </w:rPr>
        <w:t>The Paris Agreement.</w:t>
      </w:r>
      <w:r w:rsidRPr="004E78FF">
        <w:rPr>
          <w:rFonts w:ascii="Arial" w:hAnsi="Arial" w:cs="Arial"/>
          <w:sz w:val="24"/>
          <w:szCs w:val="24"/>
        </w:rPr>
        <w:t xml:space="preserve"> [online] Available at: https://unfccc.int/process-and-meetings/the-paris-agreement/the-paris-agreement </w:t>
      </w:r>
    </w:p>
    <w:p w14:paraId="503C2EFE" w14:textId="6969D42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United Nations, 1992. </w:t>
      </w:r>
      <w:r w:rsidRPr="00D55041">
        <w:rPr>
          <w:rFonts w:ascii="Arial" w:hAnsi="Arial" w:cs="Arial"/>
          <w:i/>
          <w:iCs/>
          <w:sz w:val="24"/>
          <w:szCs w:val="24"/>
        </w:rPr>
        <w:t>Agenda 21.</w:t>
      </w:r>
      <w:r w:rsidRPr="004E78FF">
        <w:rPr>
          <w:rFonts w:ascii="Arial" w:hAnsi="Arial" w:cs="Arial"/>
          <w:sz w:val="24"/>
          <w:szCs w:val="24"/>
        </w:rPr>
        <w:t xml:space="preserve"> Available at: https://sustainable</w:t>
      </w:r>
      <w:r w:rsidR="00D55041">
        <w:rPr>
          <w:rFonts w:ascii="Arial" w:hAnsi="Arial" w:cs="Arial"/>
          <w:sz w:val="24"/>
          <w:szCs w:val="24"/>
        </w:rPr>
        <w:t xml:space="preserve"> </w:t>
      </w:r>
      <w:r w:rsidRPr="004E78FF">
        <w:rPr>
          <w:rFonts w:ascii="Arial" w:hAnsi="Arial" w:cs="Arial"/>
          <w:sz w:val="24"/>
          <w:szCs w:val="24"/>
        </w:rPr>
        <w:t>development.</w:t>
      </w:r>
      <w:r w:rsidR="00D55041">
        <w:rPr>
          <w:rFonts w:ascii="Arial" w:hAnsi="Arial" w:cs="Arial"/>
          <w:sz w:val="24"/>
          <w:szCs w:val="24"/>
        </w:rPr>
        <w:t xml:space="preserve"> </w:t>
      </w:r>
      <w:r w:rsidRPr="004E78FF">
        <w:rPr>
          <w:rFonts w:ascii="Arial" w:hAnsi="Arial" w:cs="Arial"/>
          <w:sz w:val="24"/>
          <w:szCs w:val="24"/>
        </w:rPr>
        <w:t>un.org/outcomedocuments/agenda21</w:t>
      </w:r>
    </w:p>
    <w:p w14:paraId="2FE3A2D0"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United Nations, 2015. </w:t>
      </w:r>
      <w:r w:rsidRPr="008C427A">
        <w:rPr>
          <w:rFonts w:ascii="Arial" w:hAnsi="Arial" w:cs="Arial"/>
          <w:i/>
          <w:iCs/>
          <w:sz w:val="24"/>
          <w:szCs w:val="24"/>
        </w:rPr>
        <w:t>Transforming Our World: The 2030 Agenda for Sustainable Development.</w:t>
      </w:r>
      <w:r w:rsidRPr="004E78FF">
        <w:rPr>
          <w:rFonts w:ascii="Arial" w:hAnsi="Arial" w:cs="Arial"/>
          <w:sz w:val="24"/>
          <w:szCs w:val="24"/>
        </w:rPr>
        <w:t xml:space="preserve"> [online] Available at: https://sdgs.un.org/2030agenda </w:t>
      </w:r>
    </w:p>
    <w:p w14:paraId="4AE9C58D"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UNFCCC, 2015</w:t>
      </w:r>
      <w:r w:rsidRPr="008C427A">
        <w:rPr>
          <w:rFonts w:ascii="Arial" w:hAnsi="Arial" w:cs="Arial"/>
          <w:i/>
          <w:iCs/>
          <w:sz w:val="24"/>
          <w:szCs w:val="24"/>
        </w:rPr>
        <w:t>. The Paris Agreement</w:t>
      </w:r>
      <w:r w:rsidRPr="004E78FF">
        <w:rPr>
          <w:rFonts w:ascii="Arial" w:hAnsi="Arial" w:cs="Arial"/>
          <w:sz w:val="24"/>
          <w:szCs w:val="24"/>
        </w:rPr>
        <w:t xml:space="preserve">. [online] Available at: https://unfccc.int/process-and-meetings/the-paris-agreement/the-paris-agreement </w:t>
      </w:r>
    </w:p>
    <w:p w14:paraId="054C90B6"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World Commission on Environment and Development (WCED), 1987</w:t>
      </w:r>
      <w:r w:rsidRPr="008C427A">
        <w:rPr>
          <w:rFonts w:ascii="Arial" w:hAnsi="Arial" w:cs="Arial"/>
          <w:i/>
          <w:iCs/>
          <w:sz w:val="24"/>
          <w:szCs w:val="24"/>
        </w:rPr>
        <w:t>. Our Common Future</w:t>
      </w:r>
      <w:r w:rsidRPr="004E78FF">
        <w:rPr>
          <w:rFonts w:ascii="Arial" w:hAnsi="Arial" w:cs="Arial"/>
          <w:sz w:val="24"/>
          <w:szCs w:val="24"/>
        </w:rPr>
        <w:t>. Oxford: Oxford University Press</w:t>
      </w:r>
    </w:p>
    <w:p w14:paraId="65584B77" w14:textId="77777777" w:rsidR="004E78FF" w:rsidRP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WTTC, 2023. </w:t>
      </w:r>
      <w:r w:rsidRPr="008C427A">
        <w:rPr>
          <w:rFonts w:ascii="Arial" w:hAnsi="Arial" w:cs="Arial"/>
          <w:i/>
          <w:iCs/>
          <w:sz w:val="24"/>
          <w:szCs w:val="24"/>
        </w:rPr>
        <w:t>Environmental Action in Hospitality: The Road to Net Zero</w:t>
      </w:r>
      <w:r w:rsidRPr="004E78FF">
        <w:rPr>
          <w:rFonts w:ascii="Arial" w:hAnsi="Arial" w:cs="Arial"/>
          <w:sz w:val="24"/>
          <w:szCs w:val="24"/>
        </w:rPr>
        <w:t>. [online] Available at: https://wttc.org/Research/Net-Zero-Roadmap</w:t>
      </w:r>
    </w:p>
    <w:p w14:paraId="698BD091" w14:textId="784E5ED7" w:rsidR="004E78FF" w:rsidRDefault="004E78FF" w:rsidP="004E78FF">
      <w:pPr>
        <w:spacing w:line="360" w:lineRule="auto"/>
        <w:jc w:val="both"/>
        <w:rPr>
          <w:rFonts w:ascii="Arial" w:hAnsi="Arial" w:cs="Arial"/>
          <w:sz w:val="24"/>
          <w:szCs w:val="24"/>
        </w:rPr>
      </w:pPr>
      <w:r w:rsidRPr="004E78FF">
        <w:rPr>
          <w:rFonts w:ascii="Arial" w:hAnsi="Arial" w:cs="Arial"/>
          <w:sz w:val="24"/>
          <w:szCs w:val="24"/>
        </w:rPr>
        <w:t xml:space="preserve">Zhang, H., Leung, X.Y. and Ma, E., 2021. </w:t>
      </w:r>
      <w:r w:rsidR="00B4625F">
        <w:rPr>
          <w:rFonts w:ascii="Arial" w:hAnsi="Arial" w:cs="Arial"/>
          <w:sz w:val="24"/>
          <w:szCs w:val="24"/>
        </w:rPr>
        <w:t>“</w:t>
      </w:r>
      <w:r w:rsidRPr="004E78FF">
        <w:rPr>
          <w:rFonts w:ascii="Arial" w:hAnsi="Arial" w:cs="Arial"/>
          <w:sz w:val="24"/>
          <w:szCs w:val="24"/>
        </w:rPr>
        <w:t>Hospitality and tourism education for sustainable development: A systematic review</w:t>
      </w:r>
      <w:r w:rsidR="00B4625F">
        <w:rPr>
          <w:rFonts w:ascii="Arial" w:hAnsi="Arial" w:cs="Arial"/>
          <w:sz w:val="24"/>
          <w:szCs w:val="24"/>
        </w:rPr>
        <w:t>”</w:t>
      </w:r>
      <w:r w:rsidRPr="004E78FF">
        <w:rPr>
          <w:rFonts w:ascii="Arial" w:hAnsi="Arial" w:cs="Arial"/>
          <w:sz w:val="24"/>
          <w:szCs w:val="24"/>
        </w:rPr>
        <w:t xml:space="preserve">. </w:t>
      </w:r>
      <w:r w:rsidRPr="008C427A">
        <w:rPr>
          <w:rFonts w:ascii="Arial" w:hAnsi="Arial" w:cs="Arial"/>
          <w:i/>
          <w:iCs/>
          <w:sz w:val="24"/>
          <w:szCs w:val="24"/>
        </w:rPr>
        <w:t>Tourism Management Perspectives</w:t>
      </w:r>
      <w:r w:rsidRPr="004E78FF">
        <w:rPr>
          <w:rFonts w:ascii="Arial" w:hAnsi="Arial" w:cs="Arial"/>
          <w:sz w:val="24"/>
          <w:szCs w:val="24"/>
        </w:rPr>
        <w:t>, 40, p.100881</w:t>
      </w:r>
    </w:p>
    <w:sectPr w:rsidR="004E78FF" w:rsidSect="00F4763B">
      <w:footerReference w:type="default" r:id="rId6"/>
      <w:pgSz w:w="11906" w:h="16838"/>
      <w:pgMar w:top="1418" w:right="113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406A8" w14:textId="77777777" w:rsidR="00A9319B" w:rsidRDefault="00A9319B" w:rsidP="00DE0E6E">
      <w:pPr>
        <w:spacing w:after="0" w:line="240" w:lineRule="auto"/>
      </w:pPr>
      <w:r>
        <w:separator/>
      </w:r>
    </w:p>
  </w:endnote>
  <w:endnote w:type="continuationSeparator" w:id="0">
    <w:p w14:paraId="3265480E" w14:textId="77777777" w:rsidR="00A9319B" w:rsidRDefault="00A9319B" w:rsidP="00DE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39791"/>
      <w:docPartObj>
        <w:docPartGallery w:val="Page Numbers (Bottom of Page)"/>
        <w:docPartUnique/>
      </w:docPartObj>
    </w:sdtPr>
    <w:sdtEndPr>
      <w:rPr>
        <w:noProof/>
      </w:rPr>
    </w:sdtEndPr>
    <w:sdtContent>
      <w:p w14:paraId="14DE232C" w14:textId="514BEEF5" w:rsidR="00DE0E6E" w:rsidRDefault="00DE0E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C18E06" w14:textId="77777777" w:rsidR="00DE0E6E" w:rsidRDefault="00DE0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68F31" w14:textId="77777777" w:rsidR="00A9319B" w:rsidRDefault="00A9319B" w:rsidP="00DE0E6E">
      <w:pPr>
        <w:spacing w:after="0" w:line="240" w:lineRule="auto"/>
      </w:pPr>
      <w:r>
        <w:separator/>
      </w:r>
    </w:p>
  </w:footnote>
  <w:footnote w:type="continuationSeparator" w:id="0">
    <w:p w14:paraId="2CB116CB" w14:textId="77777777" w:rsidR="00A9319B" w:rsidRDefault="00A9319B" w:rsidP="00DE0E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ECF"/>
    <w:rsid w:val="00006B38"/>
    <w:rsid w:val="00016584"/>
    <w:rsid w:val="00016ECF"/>
    <w:rsid w:val="00021C62"/>
    <w:rsid w:val="0002311D"/>
    <w:rsid w:val="00032708"/>
    <w:rsid w:val="000444D9"/>
    <w:rsid w:val="00055D6E"/>
    <w:rsid w:val="000708E9"/>
    <w:rsid w:val="00074E6A"/>
    <w:rsid w:val="000854D9"/>
    <w:rsid w:val="00091DA8"/>
    <w:rsid w:val="000A56CE"/>
    <w:rsid w:val="000B20F1"/>
    <w:rsid w:val="000C66EE"/>
    <w:rsid w:val="000D22A7"/>
    <w:rsid w:val="00126857"/>
    <w:rsid w:val="00131648"/>
    <w:rsid w:val="00133FCB"/>
    <w:rsid w:val="0013669D"/>
    <w:rsid w:val="001502E7"/>
    <w:rsid w:val="0015147B"/>
    <w:rsid w:val="00151954"/>
    <w:rsid w:val="00151E17"/>
    <w:rsid w:val="001701DE"/>
    <w:rsid w:val="00181818"/>
    <w:rsid w:val="00186AB7"/>
    <w:rsid w:val="001F1902"/>
    <w:rsid w:val="001F552A"/>
    <w:rsid w:val="002019EF"/>
    <w:rsid w:val="00203CBE"/>
    <w:rsid w:val="00214B1B"/>
    <w:rsid w:val="00223CA2"/>
    <w:rsid w:val="00253063"/>
    <w:rsid w:val="0026365D"/>
    <w:rsid w:val="00274E77"/>
    <w:rsid w:val="0028346C"/>
    <w:rsid w:val="0028720F"/>
    <w:rsid w:val="002B2C79"/>
    <w:rsid w:val="002B6122"/>
    <w:rsid w:val="002D3BC4"/>
    <w:rsid w:val="002D7154"/>
    <w:rsid w:val="002F3865"/>
    <w:rsid w:val="002F78EC"/>
    <w:rsid w:val="00305B20"/>
    <w:rsid w:val="00310810"/>
    <w:rsid w:val="003110B4"/>
    <w:rsid w:val="00355ACE"/>
    <w:rsid w:val="0036347F"/>
    <w:rsid w:val="00372575"/>
    <w:rsid w:val="00374196"/>
    <w:rsid w:val="0038777D"/>
    <w:rsid w:val="003932E8"/>
    <w:rsid w:val="003A79C1"/>
    <w:rsid w:val="003B3539"/>
    <w:rsid w:val="003B63D5"/>
    <w:rsid w:val="00425100"/>
    <w:rsid w:val="00465845"/>
    <w:rsid w:val="00465DC1"/>
    <w:rsid w:val="0047346B"/>
    <w:rsid w:val="00483FDF"/>
    <w:rsid w:val="0049349B"/>
    <w:rsid w:val="004A33F2"/>
    <w:rsid w:val="004C5C5A"/>
    <w:rsid w:val="004C6F81"/>
    <w:rsid w:val="004D4000"/>
    <w:rsid w:val="004D7B92"/>
    <w:rsid w:val="004E78FF"/>
    <w:rsid w:val="004F2EE7"/>
    <w:rsid w:val="004F4629"/>
    <w:rsid w:val="00542ED0"/>
    <w:rsid w:val="0057317D"/>
    <w:rsid w:val="00582F35"/>
    <w:rsid w:val="005B289D"/>
    <w:rsid w:val="005B5D70"/>
    <w:rsid w:val="005B6E07"/>
    <w:rsid w:val="005B7A77"/>
    <w:rsid w:val="005C76F3"/>
    <w:rsid w:val="005D5CE4"/>
    <w:rsid w:val="00603127"/>
    <w:rsid w:val="00637015"/>
    <w:rsid w:val="006609E8"/>
    <w:rsid w:val="00676EDC"/>
    <w:rsid w:val="00684477"/>
    <w:rsid w:val="00693CE2"/>
    <w:rsid w:val="006B5B1A"/>
    <w:rsid w:val="006E6C7A"/>
    <w:rsid w:val="006F1B00"/>
    <w:rsid w:val="006F5614"/>
    <w:rsid w:val="00701C2D"/>
    <w:rsid w:val="00703AFB"/>
    <w:rsid w:val="00723BBB"/>
    <w:rsid w:val="007259E3"/>
    <w:rsid w:val="007276DB"/>
    <w:rsid w:val="007279BD"/>
    <w:rsid w:val="00740418"/>
    <w:rsid w:val="007548D8"/>
    <w:rsid w:val="007B7997"/>
    <w:rsid w:val="007D5172"/>
    <w:rsid w:val="007E4D77"/>
    <w:rsid w:val="007E7CFB"/>
    <w:rsid w:val="007F537D"/>
    <w:rsid w:val="00804E0D"/>
    <w:rsid w:val="00807F3B"/>
    <w:rsid w:val="008113B5"/>
    <w:rsid w:val="00815A9F"/>
    <w:rsid w:val="008223DB"/>
    <w:rsid w:val="008512D7"/>
    <w:rsid w:val="00862DF6"/>
    <w:rsid w:val="00875E06"/>
    <w:rsid w:val="008B238B"/>
    <w:rsid w:val="008C427A"/>
    <w:rsid w:val="008F4C82"/>
    <w:rsid w:val="009106A6"/>
    <w:rsid w:val="0091605A"/>
    <w:rsid w:val="00916595"/>
    <w:rsid w:val="00926660"/>
    <w:rsid w:val="00931EA2"/>
    <w:rsid w:val="00934A94"/>
    <w:rsid w:val="009400C9"/>
    <w:rsid w:val="00957CA6"/>
    <w:rsid w:val="00964B06"/>
    <w:rsid w:val="0097381D"/>
    <w:rsid w:val="00981CC7"/>
    <w:rsid w:val="0099189A"/>
    <w:rsid w:val="009A502C"/>
    <w:rsid w:val="009B0779"/>
    <w:rsid w:val="009D1803"/>
    <w:rsid w:val="009D557F"/>
    <w:rsid w:val="009D6B36"/>
    <w:rsid w:val="009E2F86"/>
    <w:rsid w:val="009F340E"/>
    <w:rsid w:val="00A12342"/>
    <w:rsid w:val="00A201CE"/>
    <w:rsid w:val="00A252AA"/>
    <w:rsid w:val="00A44048"/>
    <w:rsid w:val="00A44ACD"/>
    <w:rsid w:val="00A53C19"/>
    <w:rsid w:val="00A66DA5"/>
    <w:rsid w:val="00A737A8"/>
    <w:rsid w:val="00A91734"/>
    <w:rsid w:val="00A9319B"/>
    <w:rsid w:val="00AD2154"/>
    <w:rsid w:val="00AD4930"/>
    <w:rsid w:val="00AE708C"/>
    <w:rsid w:val="00AF0FCE"/>
    <w:rsid w:val="00AF22A5"/>
    <w:rsid w:val="00B068C3"/>
    <w:rsid w:val="00B132AA"/>
    <w:rsid w:val="00B173DC"/>
    <w:rsid w:val="00B21DBD"/>
    <w:rsid w:val="00B32E59"/>
    <w:rsid w:val="00B417C1"/>
    <w:rsid w:val="00B4625F"/>
    <w:rsid w:val="00B516B8"/>
    <w:rsid w:val="00B53444"/>
    <w:rsid w:val="00B60C1C"/>
    <w:rsid w:val="00B6671F"/>
    <w:rsid w:val="00B8031C"/>
    <w:rsid w:val="00B90D4C"/>
    <w:rsid w:val="00BA015B"/>
    <w:rsid w:val="00BA3AAC"/>
    <w:rsid w:val="00BB2A3F"/>
    <w:rsid w:val="00BB3185"/>
    <w:rsid w:val="00BB7DFC"/>
    <w:rsid w:val="00BC2237"/>
    <w:rsid w:val="00BC2E57"/>
    <w:rsid w:val="00BE6ECA"/>
    <w:rsid w:val="00BF7079"/>
    <w:rsid w:val="00BF7DC2"/>
    <w:rsid w:val="00C05677"/>
    <w:rsid w:val="00C41D38"/>
    <w:rsid w:val="00C56B12"/>
    <w:rsid w:val="00CB3891"/>
    <w:rsid w:val="00CC063D"/>
    <w:rsid w:val="00CC26EB"/>
    <w:rsid w:val="00CD5C0D"/>
    <w:rsid w:val="00D23DE1"/>
    <w:rsid w:val="00D25186"/>
    <w:rsid w:val="00D277C8"/>
    <w:rsid w:val="00D55041"/>
    <w:rsid w:val="00D636A0"/>
    <w:rsid w:val="00D80A85"/>
    <w:rsid w:val="00D835B1"/>
    <w:rsid w:val="00D93032"/>
    <w:rsid w:val="00D9738F"/>
    <w:rsid w:val="00DA0DA2"/>
    <w:rsid w:val="00DA30DB"/>
    <w:rsid w:val="00DA33EE"/>
    <w:rsid w:val="00DA4A7D"/>
    <w:rsid w:val="00DB4A21"/>
    <w:rsid w:val="00DC5226"/>
    <w:rsid w:val="00DE0E6E"/>
    <w:rsid w:val="00DF3272"/>
    <w:rsid w:val="00DF7D0C"/>
    <w:rsid w:val="00DF7F4E"/>
    <w:rsid w:val="00E003EA"/>
    <w:rsid w:val="00E12B09"/>
    <w:rsid w:val="00E34BC0"/>
    <w:rsid w:val="00E415B9"/>
    <w:rsid w:val="00E478DC"/>
    <w:rsid w:val="00E52CBC"/>
    <w:rsid w:val="00E60E56"/>
    <w:rsid w:val="00E91655"/>
    <w:rsid w:val="00E91C32"/>
    <w:rsid w:val="00EA0DBC"/>
    <w:rsid w:val="00EC35D9"/>
    <w:rsid w:val="00ED0EBD"/>
    <w:rsid w:val="00ED5A71"/>
    <w:rsid w:val="00EE3CC8"/>
    <w:rsid w:val="00EF7A12"/>
    <w:rsid w:val="00F2248A"/>
    <w:rsid w:val="00F3337E"/>
    <w:rsid w:val="00F42144"/>
    <w:rsid w:val="00F4763B"/>
    <w:rsid w:val="00F65609"/>
    <w:rsid w:val="00F778C4"/>
    <w:rsid w:val="00F838F4"/>
    <w:rsid w:val="00F86194"/>
    <w:rsid w:val="00F961A8"/>
    <w:rsid w:val="00F96BB6"/>
    <w:rsid w:val="00FA66F9"/>
    <w:rsid w:val="00FB6BB1"/>
    <w:rsid w:val="00FC629E"/>
    <w:rsid w:val="00FF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5E12"/>
  <w15:chartTrackingRefBased/>
  <w15:docId w15:val="{FF6B44DE-E46D-4C65-BF3F-49A9C63F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ECF"/>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016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ECF"/>
    <w:rPr>
      <w:rFonts w:eastAsiaTheme="majorEastAsia" w:cstheme="majorBidi"/>
      <w:color w:val="272727" w:themeColor="text1" w:themeTint="D8"/>
    </w:rPr>
  </w:style>
  <w:style w:type="paragraph" w:styleId="Title">
    <w:name w:val="Title"/>
    <w:basedOn w:val="Normal"/>
    <w:next w:val="Normal"/>
    <w:link w:val="TitleChar"/>
    <w:uiPriority w:val="10"/>
    <w:qFormat/>
    <w:rsid w:val="0001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ECF"/>
    <w:pPr>
      <w:spacing w:before="160"/>
      <w:jc w:val="center"/>
    </w:pPr>
    <w:rPr>
      <w:i/>
      <w:iCs/>
      <w:color w:val="404040" w:themeColor="text1" w:themeTint="BF"/>
    </w:rPr>
  </w:style>
  <w:style w:type="character" w:customStyle="1" w:styleId="QuoteChar">
    <w:name w:val="Quote Char"/>
    <w:basedOn w:val="DefaultParagraphFont"/>
    <w:link w:val="Quote"/>
    <w:uiPriority w:val="29"/>
    <w:rsid w:val="00016ECF"/>
    <w:rPr>
      <w:i/>
      <w:iCs/>
      <w:color w:val="404040" w:themeColor="text1" w:themeTint="BF"/>
    </w:rPr>
  </w:style>
  <w:style w:type="paragraph" w:styleId="ListParagraph">
    <w:name w:val="List Paragraph"/>
    <w:basedOn w:val="Normal"/>
    <w:uiPriority w:val="34"/>
    <w:qFormat/>
    <w:rsid w:val="00016ECF"/>
    <w:pPr>
      <w:ind w:left="720"/>
      <w:contextualSpacing/>
    </w:pPr>
  </w:style>
  <w:style w:type="character" w:styleId="IntenseEmphasis">
    <w:name w:val="Intense Emphasis"/>
    <w:basedOn w:val="DefaultParagraphFont"/>
    <w:uiPriority w:val="21"/>
    <w:qFormat/>
    <w:rsid w:val="00016ECF"/>
    <w:rPr>
      <w:i/>
      <w:iCs/>
      <w:color w:val="0F4761" w:themeColor="accent1" w:themeShade="BF"/>
    </w:rPr>
  </w:style>
  <w:style w:type="paragraph" w:styleId="IntenseQuote">
    <w:name w:val="Intense Quote"/>
    <w:basedOn w:val="Normal"/>
    <w:next w:val="Normal"/>
    <w:link w:val="IntenseQuoteChar"/>
    <w:uiPriority w:val="30"/>
    <w:qFormat/>
    <w:rsid w:val="00016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ECF"/>
    <w:rPr>
      <w:i/>
      <w:iCs/>
      <w:color w:val="0F4761" w:themeColor="accent1" w:themeShade="BF"/>
    </w:rPr>
  </w:style>
  <w:style w:type="character" w:styleId="IntenseReference">
    <w:name w:val="Intense Reference"/>
    <w:basedOn w:val="DefaultParagraphFont"/>
    <w:uiPriority w:val="32"/>
    <w:qFormat/>
    <w:rsid w:val="00016ECF"/>
    <w:rPr>
      <w:b/>
      <w:bCs/>
      <w:smallCaps/>
      <w:color w:val="0F4761" w:themeColor="accent1" w:themeShade="BF"/>
      <w:spacing w:val="5"/>
    </w:rPr>
  </w:style>
  <w:style w:type="paragraph" w:customStyle="1" w:styleId="Default">
    <w:name w:val="Default"/>
    <w:rsid w:val="00684477"/>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DE0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6E"/>
    <w:rPr>
      <w:rFonts w:ascii="Aptos" w:eastAsia="Aptos" w:hAnsi="Aptos" w:cs="Times New Roman"/>
    </w:rPr>
  </w:style>
  <w:style w:type="paragraph" w:styleId="Footer">
    <w:name w:val="footer"/>
    <w:basedOn w:val="Normal"/>
    <w:link w:val="FooterChar"/>
    <w:uiPriority w:val="99"/>
    <w:unhideWhenUsed/>
    <w:rsid w:val="00DE0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6E"/>
    <w:rPr>
      <w:rFonts w:ascii="Aptos" w:eastAsia="Aptos" w:hAnsi="Aptos" w:cs="Times New Roman"/>
    </w:rPr>
  </w:style>
  <w:style w:type="character" w:styleId="Hyperlink">
    <w:name w:val="Hyperlink"/>
    <w:basedOn w:val="DefaultParagraphFont"/>
    <w:uiPriority w:val="99"/>
    <w:unhideWhenUsed/>
    <w:rsid w:val="00D55041"/>
    <w:rPr>
      <w:color w:val="467886" w:themeColor="hyperlink"/>
      <w:u w:val="single"/>
    </w:rPr>
  </w:style>
  <w:style w:type="character" w:styleId="UnresolvedMention">
    <w:name w:val="Unresolved Mention"/>
    <w:basedOn w:val="DefaultParagraphFont"/>
    <w:uiPriority w:val="99"/>
    <w:semiHidden/>
    <w:unhideWhenUsed/>
    <w:rsid w:val="00D55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92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4094</Words>
  <Characters>23338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31</cp:revision>
  <dcterms:created xsi:type="dcterms:W3CDTF">2025-05-26T12:43:00Z</dcterms:created>
  <dcterms:modified xsi:type="dcterms:W3CDTF">2025-05-26T13:14:00Z</dcterms:modified>
</cp:coreProperties>
</file>