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73659D" w14:textId="77777777" w:rsidR="001C61B1" w:rsidRDefault="00BB24A0">
      <w:pPr>
        <w:jc w:val="center"/>
        <w:rPr>
          <w:rFonts w:ascii="Arial" w:hAnsi="Arial" w:cs="Arial"/>
          <w:sz w:val="50"/>
          <w:szCs w:val="50"/>
          <w:lang w:val="en-IN" w:eastAsia="en-IN"/>
        </w:rPr>
      </w:pPr>
      <w:r>
        <w:rPr>
          <w:rFonts w:ascii="Arial" w:hAnsi="Arial" w:cs="Arial"/>
          <w:sz w:val="50"/>
          <w:szCs w:val="50"/>
          <w:lang w:val="en-IN" w:eastAsia="en-IN"/>
        </w:rPr>
        <w:t>Digital Transformation in the Health and Care Professions</w:t>
      </w:r>
    </w:p>
    <w:p w14:paraId="04021E2E" w14:textId="77777777" w:rsidR="001C61B1" w:rsidRDefault="00BB24A0">
      <w:pPr>
        <w:jc w:val="center"/>
        <w:rPr>
          <w:rFonts w:ascii="Arial" w:hAnsi="Arial" w:cs="Arial"/>
          <w:sz w:val="40"/>
          <w:szCs w:val="40"/>
          <w:lang w:val="en-IN" w:eastAsia="en-IN"/>
        </w:rPr>
      </w:pPr>
      <w:r>
        <w:rPr>
          <w:rFonts w:ascii="Arial" w:hAnsi="Arial" w:cs="Arial"/>
          <w:sz w:val="40"/>
          <w:szCs w:val="40"/>
          <w:lang w:val="en-IN" w:eastAsia="en-IN"/>
        </w:rPr>
        <w:t>BMHP6026</w:t>
      </w:r>
    </w:p>
    <w:p w14:paraId="54FC14F3" w14:textId="77777777" w:rsidR="001C61B1" w:rsidRDefault="00BB24A0">
      <w:pPr>
        <w:jc w:val="center"/>
        <w:rPr>
          <w:rFonts w:ascii="Arial" w:hAnsi="Arial" w:cs="Arial"/>
          <w:sz w:val="40"/>
          <w:szCs w:val="40"/>
          <w:lang w:val="en-IN" w:eastAsia="en-IN"/>
        </w:rPr>
      </w:pPr>
      <w:r>
        <w:rPr>
          <w:rFonts w:ascii="Arial" w:hAnsi="Arial" w:cs="Arial"/>
          <w:sz w:val="40"/>
          <w:szCs w:val="40"/>
          <w:lang w:val="en-IN" w:eastAsia="en-IN"/>
        </w:rPr>
        <w:t>Component 1: Written</w:t>
      </w:r>
    </w:p>
    <w:p w14:paraId="63724A58" w14:textId="77777777" w:rsidR="001C61B1" w:rsidRDefault="00BB24A0">
      <w:pPr>
        <w:jc w:val="center"/>
        <w:rPr>
          <w:rFonts w:ascii="Arial" w:hAnsi="Arial" w:cs="Arial"/>
          <w:sz w:val="40"/>
          <w:szCs w:val="40"/>
          <w:lang w:val="en-IN" w:eastAsia="en-IN"/>
        </w:rPr>
      </w:pPr>
      <w:r>
        <w:rPr>
          <w:rFonts w:ascii="Arial" w:hAnsi="Arial" w:cs="Arial"/>
          <w:sz w:val="40"/>
          <w:szCs w:val="40"/>
          <w:lang w:val="en-IN" w:eastAsia="en-IN"/>
        </w:rPr>
        <w:t>Report</w:t>
      </w:r>
    </w:p>
    <w:p w14:paraId="45BEC6C1" w14:textId="77777777" w:rsidR="001C61B1" w:rsidRDefault="001C61B1">
      <w:pPr>
        <w:rPr>
          <w:rFonts w:ascii="Arial" w:hAnsi="Arial" w:cs="Arial"/>
          <w:lang w:val="en-IN" w:eastAsia="en-IN"/>
        </w:rPr>
      </w:pPr>
    </w:p>
    <w:p w14:paraId="07E0A0AA" w14:textId="77777777" w:rsidR="001C61B1" w:rsidRDefault="001C61B1">
      <w:pPr>
        <w:rPr>
          <w:rFonts w:ascii="Arial" w:hAnsi="Arial" w:cs="Arial"/>
          <w:lang w:val="en-IN" w:eastAsia="en-IN"/>
        </w:rPr>
      </w:pPr>
    </w:p>
    <w:p w14:paraId="2C02A08D" w14:textId="77777777" w:rsidR="001C61B1" w:rsidRDefault="001C61B1">
      <w:pPr>
        <w:rPr>
          <w:rFonts w:ascii="Arial" w:hAnsi="Arial" w:cs="Arial"/>
          <w:lang w:val="en-IN" w:eastAsia="en-IN"/>
        </w:rPr>
      </w:pPr>
    </w:p>
    <w:p w14:paraId="43AF3753" w14:textId="77777777" w:rsidR="001C61B1" w:rsidRDefault="001C61B1">
      <w:pPr>
        <w:rPr>
          <w:rFonts w:ascii="Arial" w:hAnsi="Arial" w:cs="Arial"/>
          <w:lang w:val="en-IN" w:eastAsia="en-IN"/>
        </w:rPr>
      </w:pPr>
    </w:p>
    <w:p w14:paraId="621A4D55" w14:textId="77777777" w:rsidR="001C61B1" w:rsidRDefault="001C61B1">
      <w:pPr>
        <w:rPr>
          <w:rFonts w:ascii="Arial" w:hAnsi="Arial" w:cs="Arial"/>
          <w:lang w:val="en-IN" w:eastAsia="en-IN"/>
        </w:rPr>
      </w:pPr>
    </w:p>
    <w:p w14:paraId="7AB8B0B6" w14:textId="77777777" w:rsidR="001C61B1" w:rsidRDefault="001C61B1">
      <w:pPr>
        <w:rPr>
          <w:rFonts w:ascii="Arial" w:hAnsi="Arial" w:cs="Arial"/>
          <w:lang w:val="en-IN" w:eastAsia="en-IN"/>
        </w:rPr>
      </w:pPr>
    </w:p>
    <w:p w14:paraId="3647BA7E" w14:textId="77777777" w:rsidR="001C61B1" w:rsidRDefault="001C61B1">
      <w:pPr>
        <w:rPr>
          <w:rFonts w:ascii="Arial" w:hAnsi="Arial" w:cs="Arial"/>
          <w:lang w:val="en-IN" w:eastAsia="en-IN"/>
        </w:rPr>
      </w:pPr>
    </w:p>
    <w:p w14:paraId="10AF5A9C" w14:textId="77777777" w:rsidR="001C61B1" w:rsidRDefault="001C61B1">
      <w:pPr>
        <w:rPr>
          <w:rFonts w:ascii="Arial" w:hAnsi="Arial" w:cs="Arial"/>
          <w:lang w:val="en-IN" w:eastAsia="en-IN"/>
        </w:rPr>
      </w:pPr>
    </w:p>
    <w:p w14:paraId="6680A83A" w14:textId="77777777" w:rsidR="001C61B1" w:rsidRDefault="001C61B1">
      <w:pPr>
        <w:rPr>
          <w:rFonts w:ascii="Arial" w:hAnsi="Arial" w:cs="Arial"/>
          <w:lang w:val="en-IN" w:eastAsia="en-IN"/>
        </w:rPr>
      </w:pPr>
    </w:p>
    <w:p w14:paraId="4630146B" w14:textId="77777777" w:rsidR="001C61B1" w:rsidRDefault="001C61B1">
      <w:pPr>
        <w:rPr>
          <w:rFonts w:ascii="Arial" w:hAnsi="Arial" w:cs="Arial"/>
          <w:lang w:val="en-IN" w:eastAsia="en-IN"/>
        </w:rPr>
      </w:pPr>
    </w:p>
    <w:p w14:paraId="3C09F721" w14:textId="77777777" w:rsidR="001C61B1" w:rsidRDefault="001C61B1">
      <w:pPr>
        <w:rPr>
          <w:rFonts w:ascii="Arial" w:hAnsi="Arial" w:cs="Arial"/>
          <w:lang w:val="en-IN" w:eastAsia="en-IN"/>
        </w:rPr>
      </w:pPr>
    </w:p>
    <w:p w14:paraId="42D1C1FC" w14:textId="77777777" w:rsidR="001C61B1" w:rsidRDefault="001C61B1">
      <w:pPr>
        <w:rPr>
          <w:rFonts w:ascii="Arial" w:hAnsi="Arial" w:cs="Arial"/>
          <w:lang w:val="en-IN" w:eastAsia="en-IN"/>
        </w:rPr>
      </w:pPr>
    </w:p>
    <w:p w14:paraId="2EC2431C" w14:textId="77777777" w:rsidR="001C61B1" w:rsidRDefault="001C61B1">
      <w:pPr>
        <w:rPr>
          <w:rFonts w:ascii="Arial" w:hAnsi="Arial" w:cs="Arial"/>
          <w:lang w:val="en-IN" w:eastAsia="en-IN"/>
        </w:rPr>
      </w:pPr>
    </w:p>
    <w:p w14:paraId="586BD883" w14:textId="77777777" w:rsidR="001C61B1" w:rsidRDefault="001C61B1">
      <w:pPr>
        <w:rPr>
          <w:rFonts w:ascii="Arial" w:hAnsi="Arial" w:cs="Arial"/>
          <w:lang w:val="en-IN" w:eastAsia="en-IN"/>
        </w:rPr>
      </w:pPr>
    </w:p>
    <w:p w14:paraId="4313611E" w14:textId="77777777" w:rsidR="001C61B1" w:rsidRDefault="00BB24A0">
      <w:pPr>
        <w:rPr>
          <w:rFonts w:ascii="Arial" w:hAnsi="Arial" w:cs="Arial"/>
          <w:lang w:val="en-IN" w:eastAsia="en-IN"/>
        </w:rPr>
      </w:pPr>
      <w:r>
        <w:rPr>
          <w:rFonts w:ascii="Arial" w:hAnsi="Arial" w:cs="Arial"/>
          <w:lang w:val="en-IN" w:eastAsia="en-IN"/>
        </w:rPr>
        <w:t>Student Name</w:t>
      </w:r>
    </w:p>
    <w:p w14:paraId="70C84766" w14:textId="77777777" w:rsidR="001C61B1" w:rsidRDefault="00BB24A0">
      <w:pPr>
        <w:rPr>
          <w:rFonts w:ascii="Arial" w:hAnsi="Arial" w:cs="Arial"/>
          <w:lang w:val="en-IN" w:eastAsia="en-IN"/>
        </w:rPr>
      </w:pPr>
      <w:r>
        <w:rPr>
          <w:rFonts w:ascii="Arial" w:hAnsi="Arial" w:cs="Arial"/>
          <w:lang w:val="en-IN" w:eastAsia="en-IN"/>
        </w:rPr>
        <w:t>Student Number</w:t>
      </w:r>
    </w:p>
    <w:p w14:paraId="7C0EF2B1" w14:textId="77777777" w:rsidR="001C61B1" w:rsidRDefault="00BB24A0">
      <w:pPr>
        <w:spacing w:before="0" w:after="200"/>
        <w:jc w:val="left"/>
        <w:rPr>
          <w:rFonts w:ascii="Arial" w:eastAsia="Times New Roman" w:hAnsi="Arial" w:cs="Arial"/>
          <w:b/>
          <w:bCs/>
          <w:color w:val="000000" w:themeColor="text1"/>
          <w:sz w:val="28"/>
          <w:szCs w:val="28"/>
          <w:lang w:val="en-IN" w:eastAsia="en-IN"/>
        </w:rPr>
      </w:pPr>
      <w:r>
        <w:rPr>
          <w:rFonts w:ascii="Arial" w:eastAsia="Times New Roman" w:hAnsi="Arial" w:cs="Arial"/>
          <w:lang w:val="en-IN" w:eastAsia="en-IN"/>
        </w:rPr>
        <w:br w:type="page"/>
      </w:r>
    </w:p>
    <w:sdt>
      <w:sdtPr>
        <w:rPr>
          <w:rFonts w:ascii="Times New Roman" w:eastAsiaTheme="minorHAnsi" w:hAnsi="Times New Roman" w:cstheme="minorBidi"/>
          <w:b/>
          <w:bCs/>
          <w:color w:val="auto"/>
          <w:sz w:val="22"/>
          <w:szCs w:val="22"/>
          <w:lang w:val="en-GB"/>
        </w:rPr>
        <w:id w:val="-1884400597"/>
        <w:docPartObj>
          <w:docPartGallery w:val="Table of Contents"/>
          <w:docPartUnique/>
        </w:docPartObj>
      </w:sdtPr>
      <w:sdtEndPr/>
      <w:sdtContent>
        <w:p w14:paraId="00DC63AD" w14:textId="77777777" w:rsidR="001C61B1" w:rsidRDefault="00BB24A0">
          <w:pPr>
            <w:pStyle w:val="TOCHeading1"/>
            <w:jc w:val="center"/>
            <w:rPr>
              <w:rFonts w:ascii="Arial" w:hAnsi="Arial" w:cs="Arial"/>
              <w:b/>
              <w:bCs/>
              <w:color w:val="000000" w:themeColor="text1"/>
            </w:rPr>
          </w:pPr>
          <w:r>
            <w:rPr>
              <w:rFonts w:ascii="Arial" w:hAnsi="Arial" w:cs="Arial"/>
              <w:b/>
              <w:bCs/>
              <w:color w:val="000000" w:themeColor="text1"/>
            </w:rPr>
            <w:t>Table of Contents</w:t>
          </w:r>
        </w:p>
        <w:p w14:paraId="626BDBE4" w14:textId="77777777" w:rsidR="001C61B1" w:rsidRDefault="00BB24A0">
          <w:pPr>
            <w:pStyle w:val="TOC1"/>
            <w:tabs>
              <w:tab w:val="right" w:leader="dot" w:pos="9016"/>
            </w:tabs>
          </w:pPr>
          <w:r>
            <w:fldChar w:fldCharType="begin"/>
          </w:r>
          <w:r>
            <w:instrText xml:space="preserve"> TOC \o "1-3" \h \z \u </w:instrText>
          </w:r>
          <w:r>
            <w:fldChar w:fldCharType="separate"/>
          </w:r>
          <w:hyperlink w:anchor="_Toc242181631" w:history="1">
            <w:r>
              <w:rPr>
                <w:rStyle w:val="Hyperlink"/>
                <w:rFonts w:ascii="Arial" w:eastAsia="Times New Roman" w:hAnsi="Arial" w:cs="Arial"/>
                <w:lang w:val="en-IN" w:eastAsia="en-IN"/>
              </w:rPr>
              <w:t>Introduction</w:t>
            </w:r>
            <w:r>
              <w:tab/>
            </w:r>
            <w:r>
              <w:fldChar w:fldCharType="begin"/>
            </w:r>
            <w:r>
              <w:instrText xml:space="preserve"> PAGEREF _Toc242181631 \h </w:instrText>
            </w:r>
            <w:r>
              <w:fldChar w:fldCharType="separate"/>
            </w:r>
            <w:r>
              <w:t>2</w:t>
            </w:r>
            <w:r>
              <w:fldChar w:fldCharType="end"/>
            </w:r>
          </w:hyperlink>
        </w:p>
        <w:p w14:paraId="36D9E745" w14:textId="77777777" w:rsidR="001C61B1" w:rsidRDefault="00BB24A0">
          <w:pPr>
            <w:pStyle w:val="TOC1"/>
            <w:tabs>
              <w:tab w:val="right" w:leader="dot" w:pos="9016"/>
            </w:tabs>
          </w:pPr>
          <w:hyperlink w:anchor="_Toc242181632" w:history="1">
            <w:r>
              <w:rPr>
                <w:rStyle w:val="Hyperlink"/>
                <w:rFonts w:ascii="Arial" w:eastAsia="Times New Roman" w:hAnsi="Arial" w:cs="Arial"/>
                <w:lang w:val="en-IN" w:eastAsia="en-IN"/>
              </w:rPr>
              <w:t>Overview of Continuous Glucose Monitoring System</w:t>
            </w:r>
            <w:r>
              <w:tab/>
            </w:r>
            <w:r>
              <w:fldChar w:fldCharType="begin"/>
            </w:r>
            <w:r>
              <w:instrText xml:space="preserve"> PAGEREF _Toc242181632 \h </w:instrText>
            </w:r>
            <w:r>
              <w:fldChar w:fldCharType="separate"/>
            </w:r>
            <w:r>
              <w:t>3</w:t>
            </w:r>
            <w:r>
              <w:fldChar w:fldCharType="end"/>
            </w:r>
          </w:hyperlink>
        </w:p>
        <w:p w14:paraId="4A147CC2" w14:textId="77777777" w:rsidR="001C61B1" w:rsidRDefault="00BB24A0">
          <w:pPr>
            <w:pStyle w:val="TOC1"/>
            <w:tabs>
              <w:tab w:val="right" w:leader="dot" w:pos="9016"/>
            </w:tabs>
          </w:pPr>
          <w:hyperlink w:anchor="_Toc242181633" w:history="1">
            <w:r>
              <w:rPr>
                <w:rStyle w:val="Hyperlink"/>
                <w:rFonts w:ascii="Arial" w:eastAsia="Times New Roman" w:hAnsi="Arial" w:cs="Arial"/>
                <w:lang w:val="en-IN" w:eastAsia="en-IN"/>
              </w:rPr>
              <w:t>National Digital Transformation Policy Context</w:t>
            </w:r>
            <w:r>
              <w:tab/>
            </w:r>
            <w:r>
              <w:fldChar w:fldCharType="begin"/>
            </w:r>
            <w:r>
              <w:instrText xml:space="preserve"> PAGEREF _Toc242181633 \h </w:instrText>
            </w:r>
            <w:r>
              <w:fldChar w:fldCharType="separate"/>
            </w:r>
            <w:r>
              <w:t>4</w:t>
            </w:r>
            <w:r>
              <w:fldChar w:fldCharType="end"/>
            </w:r>
          </w:hyperlink>
        </w:p>
        <w:p w14:paraId="6F712EC7" w14:textId="77777777" w:rsidR="001C61B1" w:rsidRDefault="00BB24A0">
          <w:pPr>
            <w:pStyle w:val="TOC1"/>
            <w:tabs>
              <w:tab w:val="right" w:leader="dot" w:pos="9016"/>
            </w:tabs>
          </w:pPr>
          <w:hyperlink w:anchor="_Toc242181634" w:history="1">
            <w:r>
              <w:rPr>
                <w:rStyle w:val="Hyperlink"/>
                <w:rFonts w:ascii="Arial" w:eastAsia="Times New Roman" w:hAnsi="Arial" w:cs="Arial"/>
                <w:lang w:val="en-IN" w:eastAsia="en-IN"/>
              </w:rPr>
              <w:t>Workforce Impact</w:t>
            </w:r>
            <w:r>
              <w:tab/>
            </w:r>
            <w:r>
              <w:fldChar w:fldCharType="begin"/>
            </w:r>
            <w:r>
              <w:instrText xml:space="preserve"> PAGEREF _Toc242181634 \h </w:instrText>
            </w:r>
            <w:r>
              <w:fldChar w:fldCharType="separate"/>
            </w:r>
            <w:r>
              <w:t>5</w:t>
            </w:r>
            <w:r>
              <w:fldChar w:fldCharType="end"/>
            </w:r>
          </w:hyperlink>
        </w:p>
        <w:p w14:paraId="5C771BEF" w14:textId="77777777" w:rsidR="001C61B1" w:rsidRDefault="00BB24A0">
          <w:pPr>
            <w:pStyle w:val="TOC1"/>
            <w:tabs>
              <w:tab w:val="right" w:leader="dot" w:pos="9016"/>
            </w:tabs>
          </w:pPr>
          <w:hyperlink w:anchor="_Toc242181635" w:history="1">
            <w:r>
              <w:rPr>
                <w:rStyle w:val="Hyperlink"/>
                <w:rFonts w:ascii="Arial" w:eastAsia="Times New Roman" w:hAnsi="Arial" w:cs="Arial"/>
                <w:lang w:val="en-IN" w:eastAsia="en-IN"/>
              </w:rPr>
              <w:t>Impact on Service Delivery</w:t>
            </w:r>
            <w:r>
              <w:tab/>
            </w:r>
            <w:r>
              <w:fldChar w:fldCharType="begin"/>
            </w:r>
            <w:r>
              <w:instrText xml:space="preserve"> PAGEREF _Toc242181635 \h </w:instrText>
            </w:r>
            <w:r>
              <w:fldChar w:fldCharType="separate"/>
            </w:r>
            <w:r>
              <w:t>6</w:t>
            </w:r>
            <w:r>
              <w:fldChar w:fldCharType="end"/>
            </w:r>
          </w:hyperlink>
        </w:p>
        <w:p w14:paraId="14EC1AB7" w14:textId="77777777" w:rsidR="001C61B1" w:rsidRDefault="00BB24A0">
          <w:pPr>
            <w:pStyle w:val="TOC1"/>
            <w:tabs>
              <w:tab w:val="right" w:leader="dot" w:pos="9016"/>
            </w:tabs>
          </w:pPr>
          <w:hyperlink w:anchor="_Toc242181636" w:history="1">
            <w:r>
              <w:rPr>
                <w:rStyle w:val="Hyperlink"/>
                <w:rFonts w:ascii="Arial" w:eastAsia="Times New Roman" w:hAnsi="Arial" w:cs="Arial"/>
                <w:lang w:val="en-IN" w:eastAsia="en-IN"/>
              </w:rPr>
              <w:t>Impact on Patients/Service Users</w:t>
            </w:r>
            <w:r>
              <w:tab/>
            </w:r>
            <w:r>
              <w:fldChar w:fldCharType="begin"/>
            </w:r>
            <w:r>
              <w:instrText xml:space="preserve"> PAGEREF _Toc242181636 \h </w:instrText>
            </w:r>
            <w:r>
              <w:fldChar w:fldCharType="separate"/>
            </w:r>
            <w:r>
              <w:t>7</w:t>
            </w:r>
            <w:r>
              <w:fldChar w:fldCharType="end"/>
            </w:r>
          </w:hyperlink>
        </w:p>
        <w:p w14:paraId="44140572" w14:textId="77777777" w:rsidR="001C61B1" w:rsidRDefault="00BB24A0">
          <w:pPr>
            <w:pStyle w:val="TOC1"/>
            <w:tabs>
              <w:tab w:val="right" w:leader="dot" w:pos="9016"/>
            </w:tabs>
          </w:pPr>
          <w:hyperlink w:anchor="_Toc242181637" w:history="1">
            <w:r>
              <w:rPr>
                <w:rStyle w:val="Hyperlink"/>
                <w:rFonts w:ascii="Arial" w:eastAsia="Times New Roman" w:hAnsi="Arial" w:cs="Arial"/>
                <w:lang w:val="en-IN" w:eastAsia="en-IN"/>
              </w:rPr>
              <w:t>Impact on Community</w:t>
            </w:r>
            <w:r>
              <w:tab/>
            </w:r>
            <w:r>
              <w:fldChar w:fldCharType="begin"/>
            </w:r>
            <w:r>
              <w:instrText xml:space="preserve"> PAGEREF _Toc242181637 \h </w:instrText>
            </w:r>
            <w:r>
              <w:fldChar w:fldCharType="separate"/>
            </w:r>
            <w:r>
              <w:t>8</w:t>
            </w:r>
            <w:r>
              <w:fldChar w:fldCharType="end"/>
            </w:r>
          </w:hyperlink>
        </w:p>
        <w:p w14:paraId="0B5E25B7" w14:textId="77777777" w:rsidR="001C61B1" w:rsidRDefault="00BB24A0">
          <w:pPr>
            <w:pStyle w:val="TOC1"/>
            <w:tabs>
              <w:tab w:val="right" w:leader="dot" w:pos="9016"/>
            </w:tabs>
          </w:pPr>
          <w:hyperlink w:anchor="_Toc242181638" w:history="1">
            <w:r>
              <w:rPr>
                <w:rStyle w:val="Hyperlink"/>
                <w:rFonts w:ascii="Arial" w:eastAsia="Times New Roman" w:hAnsi="Arial" w:cs="Arial"/>
                <w:lang w:val="en-IN" w:eastAsia="en-IN"/>
              </w:rPr>
              <w:t>Data Governance and Ethical Use of Data</w:t>
            </w:r>
            <w:r>
              <w:tab/>
            </w:r>
            <w:r>
              <w:fldChar w:fldCharType="begin"/>
            </w:r>
            <w:r>
              <w:instrText xml:space="preserve"> PAGEREF _Toc242181638 \h </w:instrText>
            </w:r>
            <w:r>
              <w:fldChar w:fldCharType="separate"/>
            </w:r>
            <w:r>
              <w:t>9</w:t>
            </w:r>
            <w:r>
              <w:fldChar w:fldCharType="end"/>
            </w:r>
          </w:hyperlink>
        </w:p>
        <w:p w14:paraId="68372578" w14:textId="77777777" w:rsidR="001C61B1" w:rsidRDefault="00BB24A0">
          <w:pPr>
            <w:pStyle w:val="TOC1"/>
            <w:tabs>
              <w:tab w:val="right" w:leader="dot" w:pos="9016"/>
            </w:tabs>
          </w:pPr>
          <w:hyperlink w:anchor="_Toc242181639" w:history="1">
            <w:r>
              <w:rPr>
                <w:rStyle w:val="Hyperlink"/>
                <w:rFonts w:ascii="Arial" w:eastAsia="Times New Roman" w:hAnsi="Arial" w:cs="Arial"/>
                <w:lang w:val="en-IN" w:eastAsia="en-IN"/>
              </w:rPr>
              <w:t>Conclusion</w:t>
            </w:r>
            <w:r>
              <w:tab/>
            </w:r>
            <w:r>
              <w:fldChar w:fldCharType="begin"/>
            </w:r>
            <w:r>
              <w:instrText xml:space="preserve"> PAGEREF _Toc242181639 \h </w:instrText>
            </w:r>
            <w:r>
              <w:fldChar w:fldCharType="separate"/>
            </w:r>
            <w:r>
              <w:t>10</w:t>
            </w:r>
            <w:r>
              <w:fldChar w:fldCharType="end"/>
            </w:r>
          </w:hyperlink>
        </w:p>
        <w:p w14:paraId="4945AA4F" w14:textId="77777777" w:rsidR="001C61B1" w:rsidRDefault="00BB24A0">
          <w:pPr>
            <w:pStyle w:val="TOC1"/>
            <w:tabs>
              <w:tab w:val="right" w:leader="dot" w:pos="9016"/>
            </w:tabs>
          </w:pPr>
          <w:hyperlink w:anchor="_Toc242181640" w:history="1">
            <w:r>
              <w:rPr>
                <w:rStyle w:val="Hyperlink"/>
                <w:rFonts w:ascii="Arial" w:hAnsi="Arial" w:cs="Arial"/>
                <w:lang w:val="en-IN" w:eastAsia="en-IN"/>
              </w:rPr>
              <w:t>References</w:t>
            </w:r>
            <w:r>
              <w:tab/>
            </w:r>
            <w:r>
              <w:fldChar w:fldCharType="begin"/>
            </w:r>
            <w:r>
              <w:instrText xml:space="preserve"> PAGEREF _Toc242181640 \h </w:instrText>
            </w:r>
            <w:r>
              <w:fldChar w:fldCharType="separate"/>
            </w:r>
            <w:r>
              <w:t>11</w:t>
            </w:r>
            <w:r>
              <w:fldChar w:fldCharType="end"/>
            </w:r>
          </w:hyperlink>
        </w:p>
        <w:p w14:paraId="5C001239" w14:textId="77777777" w:rsidR="001C61B1" w:rsidRDefault="00BB24A0">
          <w:r>
            <w:rPr>
              <w:b/>
              <w:bCs/>
            </w:rPr>
            <w:fldChar w:fldCharType="end"/>
          </w:r>
        </w:p>
      </w:sdtContent>
    </w:sdt>
    <w:p w14:paraId="41C3BF6B" w14:textId="77777777" w:rsidR="001C61B1" w:rsidRDefault="001C61B1">
      <w:pPr>
        <w:pStyle w:val="Heading1"/>
        <w:rPr>
          <w:rFonts w:ascii="Arial" w:eastAsia="Times New Roman" w:hAnsi="Arial" w:cs="Arial"/>
          <w:lang w:val="en-IN" w:eastAsia="en-IN"/>
        </w:rPr>
      </w:pPr>
    </w:p>
    <w:p w14:paraId="07FEB87E" w14:textId="77777777" w:rsidR="001C61B1" w:rsidRDefault="00BB24A0">
      <w:pPr>
        <w:spacing w:before="0" w:after="200" w:line="276" w:lineRule="auto"/>
        <w:jc w:val="left"/>
        <w:rPr>
          <w:rFonts w:ascii="Arial" w:eastAsia="Times New Roman" w:hAnsi="Arial" w:cs="Arial"/>
          <w:b/>
          <w:bCs/>
          <w:color w:val="000000" w:themeColor="text1"/>
          <w:sz w:val="28"/>
          <w:szCs w:val="28"/>
          <w:lang w:val="en-IN" w:eastAsia="en-IN"/>
        </w:rPr>
      </w:pPr>
      <w:bookmarkStart w:id="0" w:name="_Toc242181631"/>
      <w:r>
        <w:rPr>
          <w:rFonts w:ascii="Arial" w:eastAsia="Times New Roman" w:hAnsi="Arial" w:cs="Arial"/>
          <w:lang w:val="en-IN" w:eastAsia="en-IN"/>
        </w:rPr>
        <w:br w:type="page"/>
      </w:r>
    </w:p>
    <w:p w14:paraId="7EEDEEDB" w14:textId="77777777" w:rsidR="001C61B1" w:rsidRDefault="00BB24A0">
      <w:pPr>
        <w:pStyle w:val="Heading1"/>
        <w:rPr>
          <w:rFonts w:ascii="Arial" w:eastAsia="Times New Roman" w:hAnsi="Arial" w:cs="Arial"/>
          <w:lang w:val="en-IN" w:eastAsia="en-IN"/>
        </w:rPr>
      </w:pPr>
      <w:r>
        <w:rPr>
          <w:rFonts w:ascii="Arial" w:eastAsia="Times New Roman" w:hAnsi="Arial" w:cs="Arial"/>
          <w:lang w:val="en-IN" w:eastAsia="en-IN"/>
        </w:rPr>
        <w:t>Introduction</w:t>
      </w:r>
      <w:bookmarkEnd w:id="0"/>
    </w:p>
    <w:p w14:paraId="167F30D7" w14:textId="1C295928" w:rsidR="001C61B1" w:rsidRDefault="00BB24A0">
      <w:pPr>
        <w:rPr>
          <w:rFonts w:ascii="Arial" w:hAnsi="Arial" w:cs="Arial"/>
          <w:szCs w:val="24"/>
          <w:lang w:val="en-IN" w:eastAsia="en-IN"/>
        </w:rPr>
      </w:pPr>
      <w:r>
        <w:rPr>
          <w:rFonts w:ascii="Arial" w:hAnsi="Arial" w:cs="Arial"/>
          <w:szCs w:val="24"/>
          <w:lang w:val="en-IN" w:eastAsia="en-IN"/>
        </w:rPr>
        <w:t>Digital transformation is the process of incorporating digital technologies to reshape healthcare processes to achieve higher outcomes and better patient experiences (</w:t>
      </w:r>
      <w:r>
        <w:rPr>
          <w:rFonts w:ascii="Arial" w:hAnsi="Arial" w:cs="Arial"/>
          <w:shd w:val="clear" w:color="auto" w:fill="FFFFFF"/>
        </w:rPr>
        <w:t xml:space="preserve">Dal Mas </w:t>
      </w:r>
      <w:r>
        <w:rPr>
          <w:rFonts w:ascii="Arial" w:hAnsi="Arial" w:cs="Arial"/>
          <w:i/>
          <w:shd w:val="clear" w:color="auto" w:fill="FFFFFF"/>
        </w:rPr>
        <w:t>et al.,</w:t>
      </w:r>
      <w:r>
        <w:rPr>
          <w:rFonts w:ascii="Arial" w:hAnsi="Arial" w:cs="Arial"/>
          <w:shd w:val="clear" w:color="auto" w:fill="FFFFFF"/>
        </w:rPr>
        <w:t xml:space="preserve"> 2023</w:t>
      </w:r>
      <w:r>
        <w:rPr>
          <w:rFonts w:ascii="Arial" w:hAnsi="Arial" w:cs="Arial"/>
          <w:szCs w:val="24"/>
          <w:lang w:val="en-IN" w:eastAsia="en-IN"/>
        </w:rPr>
        <w:t xml:space="preserve">). In UK health and social care, transformation is becoming of great significance to enhance efficiency, accessibility and personalised care. This report </w:t>
      </w:r>
      <w:r w:rsidR="006D72EA">
        <w:rPr>
          <w:rFonts w:ascii="Arial" w:hAnsi="Arial" w:cs="Arial"/>
          <w:szCs w:val="24"/>
          <w:lang w:val="en-IN" w:eastAsia="en-IN"/>
        </w:rPr>
        <w:t>will be a</w:t>
      </w:r>
      <w:r>
        <w:rPr>
          <w:rFonts w:ascii="Arial" w:hAnsi="Arial" w:cs="Arial"/>
          <w:szCs w:val="24"/>
          <w:lang w:val="en-IN" w:eastAsia="en-IN"/>
        </w:rPr>
        <w:t xml:space="preserve"> critical evaluation of Continuous Glucose Monitoring (CGM) technology, with emphasis on its implementation, including its positive and negative effects on workforce, service delivery, patients and communities.</w:t>
      </w:r>
    </w:p>
    <w:p w14:paraId="515CBF8C" w14:textId="77777777" w:rsidR="001C61B1" w:rsidRDefault="001C61B1">
      <w:pPr>
        <w:rPr>
          <w:rFonts w:ascii="Arial" w:hAnsi="Arial" w:cs="Arial"/>
          <w:szCs w:val="24"/>
          <w:lang w:val="en-IN" w:eastAsia="en-IN"/>
        </w:rPr>
      </w:pPr>
    </w:p>
    <w:p w14:paraId="60CBC10E" w14:textId="77777777" w:rsidR="001C61B1" w:rsidRDefault="00BB24A0">
      <w:pPr>
        <w:spacing w:before="0" w:after="200"/>
        <w:jc w:val="left"/>
        <w:rPr>
          <w:rFonts w:ascii="Arial" w:eastAsia="Times New Roman" w:hAnsi="Arial" w:cs="Arial"/>
          <w:b/>
          <w:bCs/>
          <w:color w:val="000000" w:themeColor="text1"/>
          <w:sz w:val="28"/>
          <w:szCs w:val="28"/>
          <w:lang w:val="en-IN" w:eastAsia="en-IN"/>
        </w:rPr>
      </w:pPr>
      <w:r>
        <w:rPr>
          <w:rFonts w:ascii="Arial" w:eastAsia="Times New Roman" w:hAnsi="Arial" w:cs="Arial"/>
          <w:lang w:val="en-IN" w:eastAsia="en-IN"/>
        </w:rPr>
        <w:br w:type="page"/>
      </w:r>
    </w:p>
    <w:p w14:paraId="27DC0951" w14:textId="77777777" w:rsidR="001C61B1" w:rsidRDefault="00BB24A0">
      <w:pPr>
        <w:pStyle w:val="Heading1"/>
        <w:rPr>
          <w:rFonts w:ascii="Arial" w:eastAsia="Times New Roman" w:hAnsi="Arial" w:cs="Arial"/>
          <w:lang w:val="en-IN" w:eastAsia="en-IN"/>
        </w:rPr>
      </w:pPr>
      <w:bookmarkStart w:id="1" w:name="_Toc242181632"/>
      <w:r>
        <w:rPr>
          <w:rFonts w:ascii="Arial" w:eastAsia="Times New Roman" w:hAnsi="Arial" w:cs="Arial"/>
          <w:lang w:val="en-IN" w:eastAsia="en-IN"/>
        </w:rPr>
        <w:t>Overview of Continuous Glucose Monitoring System</w:t>
      </w:r>
      <w:bookmarkEnd w:id="1"/>
    </w:p>
    <w:p w14:paraId="64F4A1A3" w14:textId="77777777" w:rsidR="001C61B1" w:rsidRDefault="00BB24A0">
      <w:pPr>
        <w:rPr>
          <w:rFonts w:ascii="Arial" w:hAnsi="Arial" w:cs="Arial"/>
          <w:szCs w:val="24"/>
          <w:lang w:val="en-IN" w:eastAsia="en-IN"/>
        </w:rPr>
      </w:pPr>
      <w:r>
        <w:rPr>
          <w:rFonts w:ascii="Arial" w:hAnsi="Arial" w:cs="Arial"/>
          <w:szCs w:val="24"/>
          <w:lang w:val="en-IN" w:eastAsia="en-IN"/>
        </w:rPr>
        <w:t>Continuous Glucose Monitoring (CGM) is an electronic gadget that comprises electronic sensors (worn against the body) that help one to monitor interstitial fluid glucose levels in real-time (</w:t>
      </w:r>
      <w:r>
        <w:rPr>
          <w:rFonts w:ascii="Arial" w:hAnsi="Arial" w:cs="Arial"/>
          <w:shd w:val="clear" w:color="auto" w:fill="FFFFFF"/>
        </w:rPr>
        <w:t xml:space="preserve">Freckmann </w:t>
      </w:r>
      <w:r>
        <w:rPr>
          <w:rFonts w:ascii="Arial" w:hAnsi="Arial" w:cs="Arial"/>
          <w:i/>
          <w:shd w:val="clear" w:color="auto" w:fill="FFFFFF"/>
        </w:rPr>
        <w:t>et al.,</w:t>
      </w:r>
      <w:r>
        <w:rPr>
          <w:rFonts w:ascii="Arial" w:hAnsi="Arial" w:cs="Arial"/>
          <w:shd w:val="clear" w:color="auto" w:fill="FFFFFF"/>
        </w:rPr>
        <w:t xml:space="preserve"> 2023</w:t>
      </w:r>
      <w:r>
        <w:rPr>
          <w:rFonts w:ascii="Arial" w:hAnsi="Arial" w:cs="Arial"/>
          <w:szCs w:val="24"/>
          <w:lang w:val="en-IN" w:eastAsia="en-IN"/>
        </w:rPr>
        <w:t>). The findings are transmitted to the compatible readers or smartphones where the users and clinicians can employ to identify trends in glucose and exchange information. In the UK, NHS CGM access has increased significantly in the last ten years, especially with revised NICE guidance, which helps to support the broader use of CGM in individuals with type 1 diabetes and insulin-treated type 2 diabetes.</w:t>
      </w:r>
    </w:p>
    <w:p w14:paraId="53953087" w14:textId="77777777" w:rsidR="001C61B1" w:rsidRDefault="001C61B1">
      <w:pPr>
        <w:rPr>
          <w:rFonts w:ascii="Arial" w:hAnsi="Arial" w:cs="Arial"/>
          <w:szCs w:val="24"/>
          <w:lang w:val="en-IN" w:eastAsia="en-IN"/>
        </w:rPr>
      </w:pPr>
    </w:p>
    <w:p w14:paraId="024E4E70" w14:textId="77777777" w:rsidR="001C61B1" w:rsidRDefault="00BB24A0">
      <w:pPr>
        <w:spacing w:before="0" w:after="200"/>
        <w:jc w:val="left"/>
        <w:rPr>
          <w:rFonts w:ascii="Arial" w:eastAsia="Times New Roman" w:hAnsi="Arial" w:cs="Arial"/>
          <w:b/>
          <w:bCs/>
          <w:color w:val="000000" w:themeColor="text1"/>
          <w:sz w:val="28"/>
          <w:szCs w:val="28"/>
          <w:lang w:val="en-IN" w:eastAsia="en-IN"/>
        </w:rPr>
      </w:pPr>
      <w:r>
        <w:rPr>
          <w:rFonts w:ascii="Arial" w:eastAsia="Times New Roman" w:hAnsi="Arial" w:cs="Arial"/>
          <w:lang w:val="en-IN" w:eastAsia="en-IN"/>
        </w:rPr>
        <w:br w:type="page"/>
      </w:r>
    </w:p>
    <w:p w14:paraId="430F61CC" w14:textId="77777777" w:rsidR="001C61B1" w:rsidRDefault="00BB24A0">
      <w:pPr>
        <w:pStyle w:val="Heading1"/>
        <w:rPr>
          <w:rFonts w:ascii="Arial" w:eastAsia="Times New Roman" w:hAnsi="Arial" w:cs="Arial"/>
          <w:lang w:val="en-IN" w:eastAsia="en-IN"/>
        </w:rPr>
      </w:pPr>
      <w:bookmarkStart w:id="2" w:name="_Toc242181633"/>
      <w:r>
        <w:rPr>
          <w:rFonts w:ascii="Arial" w:eastAsia="Times New Roman" w:hAnsi="Arial" w:cs="Arial"/>
          <w:lang w:val="en-IN" w:eastAsia="en-IN"/>
        </w:rPr>
        <w:t>National Digital Transformation Policy Context</w:t>
      </w:r>
      <w:bookmarkEnd w:id="2"/>
    </w:p>
    <w:p w14:paraId="6043EB4D" w14:textId="77777777" w:rsidR="001C61B1" w:rsidRDefault="00BB24A0">
      <w:pPr>
        <w:rPr>
          <w:rFonts w:ascii="Arial" w:hAnsi="Arial" w:cs="Arial"/>
          <w:szCs w:val="24"/>
          <w:lang w:val="en-IN" w:eastAsia="en-IN"/>
        </w:rPr>
      </w:pPr>
      <w:r>
        <w:rPr>
          <w:rFonts w:ascii="Arial" w:hAnsi="Arial" w:cs="Arial"/>
          <w:szCs w:val="24"/>
          <w:lang w:val="en-IN" w:eastAsia="en-IN"/>
        </w:rPr>
        <w:t>CGM supports the digital transformation agenda of England by empowering its data-driven, preventative and personalised treatment of diabetes. Digitally enabled care and more control by patients are supported in a “Plan for Digital Health and Social Care (2022)”, and safe, effective and inclusive digital services are upheld in “What Good Looks Like” (</w:t>
      </w:r>
      <w:r>
        <w:rPr>
          <w:rFonts w:ascii="Arial" w:hAnsi="Arial" w:cs="Arial"/>
          <w:shd w:val="clear" w:color="auto" w:fill="FFFFFF"/>
        </w:rPr>
        <w:t>Gov UK, 2022</w:t>
      </w:r>
      <w:r>
        <w:rPr>
          <w:rFonts w:ascii="Arial" w:hAnsi="Arial" w:cs="Arial"/>
          <w:szCs w:val="24"/>
          <w:lang w:val="en-IN" w:eastAsia="en-IN"/>
        </w:rPr>
        <w:t>). The “Ten Year Health Plan of England (2025)” additionally emphasises the transformation of care, between analogue and digital, and sickness and prevention (</w:t>
      </w:r>
      <w:r>
        <w:rPr>
          <w:rFonts w:ascii="Arial" w:hAnsi="Arial" w:cs="Arial"/>
          <w:shd w:val="clear" w:color="auto" w:fill="FFFFFF"/>
        </w:rPr>
        <w:t>Gov UK, 2025</w:t>
      </w:r>
      <w:r>
        <w:rPr>
          <w:rFonts w:ascii="Arial" w:hAnsi="Arial" w:cs="Arial"/>
          <w:szCs w:val="24"/>
          <w:lang w:val="en-IN" w:eastAsia="en-IN"/>
        </w:rPr>
        <w:t>). CGM promotes these aspirations by providing continuous glucose information and prior intervention. Nevertheless, policy aspirations require fair access, access to digital capabilities, and successful integration into clinical practice, or digital change might promote underlying health disparities.</w:t>
      </w:r>
    </w:p>
    <w:p w14:paraId="48BCB04F" w14:textId="77777777" w:rsidR="001C61B1" w:rsidRDefault="00BB24A0">
      <w:pPr>
        <w:spacing w:before="0" w:after="200"/>
        <w:jc w:val="left"/>
        <w:rPr>
          <w:rFonts w:ascii="Arial" w:eastAsia="Times New Roman" w:hAnsi="Arial" w:cs="Arial"/>
          <w:b/>
          <w:bCs/>
          <w:color w:val="000000" w:themeColor="text1"/>
          <w:sz w:val="28"/>
          <w:szCs w:val="28"/>
          <w:lang w:val="en-IN" w:eastAsia="en-IN"/>
        </w:rPr>
      </w:pPr>
      <w:r>
        <w:rPr>
          <w:rFonts w:ascii="Arial" w:eastAsia="Times New Roman" w:hAnsi="Arial" w:cs="Arial"/>
          <w:lang w:val="en-IN" w:eastAsia="en-IN"/>
        </w:rPr>
        <w:br w:type="page"/>
      </w:r>
    </w:p>
    <w:p w14:paraId="388E865C" w14:textId="77777777" w:rsidR="001C61B1" w:rsidRDefault="00BB24A0">
      <w:pPr>
        <w:pStyle w:val="Heading1"/>
        <w:rPr>
          <w:rFonts w:ascii="Arial" w:eastAsia="Times New Roman" w:hAnsi="Arial" w:cs="Arial"/>
          <w:lang w:val="en-IN" w:eastAsia="en-IN"/>
        </w:rPr>
      </w:pPr>
      <w:bookmarkStart w:id="3" w:name="_Toc242181634"/>
      <w:r>
        <w:rPr>
          <w:rFonts w:ascii="Arial" w:eastAsia="Times New Roman" w:hAnsi="Arial" w:cs="Arial"/>
          <w:lang w:val="en-IN" w:eastAsia="en-IN"/>
        </w:rPr>
        <w:t>Workforce Impact</w:t>
      </w:r>
      <w:bookmarkEnd w:id="3"/>
    </w:p>
    <w:p w14:paraId="7BEF7237" w14:textId="77777777" w:rsidR="001C61B1" w:rsidRDefault="00BB24A0">
      <w:pPr>
        <w:rPr>
          <w:rFonts w:ascii="Arial" w:hAnsi="Arial" w:cs="Arial"/>
          <w:szCs w:val="24"/>
          <w:lang w:val="en-IN" w:eastAsia="en-IN"/>
        </w:rPr>
      </w:pPr>
      <w:r>
        <w:rPr>
          <w:rFonts w:ascii="Arial" w:hAnsi="Arial" w:cs="Arial"/>
          <w:szCs w:val="24"/>
          <w:lang w:val="en-IN" w:eastAsia="en-IN"/>
        </w:rPr>
        <w:t>Continuous Glucose Monitoring (CGM) has revolutionised the conduct of the diabetes workforce in the UK by modifying the manner in which health care practitioners can collect, interpret and act on the glucose information. On the positive side, CGM has allowed nurses, professionals of diabetes, and physicians to have thorough glucose trend information, but not individual results (</w:t>
      </w:r>
      <w:r>
        <w:rPr>
          <w:rFonts w:ascii="Arial" w:hAnsi="Arial" w:cs="Arial"/>
          <w:shd w:val="clear" w:color="auto" w:fill="FFFFFF"/>
        </w:rPr>
        <w:t xml:space="preserve">Di Molfetta </w:t>
      </w:r>
      <w:r>
        <w:rPr>
          <w:rFonts w:ascii="Arial" w:hAnsi="Arial" w:cs="Arial"/>
          <w:i/>
          <w:shd w:val="clear" w:color="auto" w:fill="FFFFFF"/>
        </w:rPr>
        <w:t>et al.,</w:t>
      </w:r>
      <w:r>
        <w:rPr>
          <w:rFonts w:ascii="Arial" w:hAnsi="Arial" w:cs="Arial"/>
          <w:shd w:val="clear" w:color="auto" w:fill="FFFFFF"/>
        </w:rPr>
        <w:t xml:space="preserve"> 2023</w:t>
      </w:r>
      <w:r>
        <w:rPr>
          <w:rFonts w:ascii="Arial" w:hAnsi="Arial" w:cs="Arial"/>
          <w:szCs w:val="24"/>
          <w:lang w:val="en-IN" w:eastAsia="en-IN"/>
        </w:rPr>
        <w:t>). NHS England emphasises that there is no need to restrict CGM data, it is possible to share it with the diabetic teams, and assist clinicians to discuss the trends and act even when the consultation is held online. It can aid in making clinical decisions more informed and potentially modify professional practice to place diabetes management in a proactive way, rather than responding to bouts of hypo- or hyperglycaemia.</w:t>
      </w:r>
    </w:p>
    <w:p w14:paraId="6CF4171D" w14:textId="77777777" w:rsidR="001C61B1" w:rsidRDefault="00BB24A0">
      <w:pPr>
        <w:rPr>
          <w:rFonts w:ascii="Arial" w:hAnsi="Arial" w:cs="Arial"/>
          <w:szCs w:val="24"/>
          <w:lang w:val="en-IN" w:eastAsia="en-IN"/>
        </w:rPr>
      </w:pPr>
      <w:r>
        <w:rPr>
          <w:rFonts w:ascii="Arial" w:hAnsi="Arial" w:cs="Arial"/>
          <w:szCs w:val="24"/>
          <w:lang w:val="en-IN" w:eastAsia="en-IN"/>
        </w:rPr>
        <w:t>CGM can also promote greater flexibility of work in primary and specialist care. NHS London guidelines promote the use of self-management with the corresponding professional assistance and the provision of online learning tools to medical professionals who do not specialise in diabetes. As a result, CGM knowledge is no longer limited to specialist diabetologists, and this may allow properly trained primary-care practitioners to be more involved in the management of diabetes.</w:t>
      </w:r>
    </w:p>
    <w:p w14:paraId="13BC33B0" w14:textId="77777777" w:rsidR="001C61B1" w:rsidRDefault="00BB24A0">
      <w:pPr>
        <w:rPr>
          <w:rFonts w:ascii="Arial" w:hAnsi="Arial" w:cs="Arial"/>
          <w:szCs w:val="24"/>
          <w:lang w:val="en-IN" w:eastAsia="en-IN"/>
        </w:rPr>
      </w:pPr>
      <w:r>
        <w:rPr>
          <w:rFonts w:ascii="Arial" w:hAnsi="Arial" w:cs="Arial"/>
          <w:szCs w:val="24"/>
          <w:lang w:val="en-IN" w:eastAsia="en-IN"/>
        </w:rPr>
        <w:t>Yet, there are serious complications connected with the workforce benefits. CGM generates huge amounts of data, such as trends of glucose and time-in-range data, and professionals need to acquire the skill of data interpretation and to transform digital data into safe clinical decisions. The diabetes toolkit developed by NHS England specifically prescribes regular staff education on technologies such as CGM and revisiting multidisciplinary-team skills (</w:t>
      </w:r>
      <w:r>
        <w:rPr>
          <w:rFonts w:ascii="Arial" w:hAnsi="Arial" w:cs="Arial"/>
          <w:shd w:val="clear" w:color="auto" w:fill="FFFFFF"/>
        </w:rPr>
        <w:t>Lewis, Oser and Wheeler, 2023</w:t>
      </w:r>
      <w:r>
        <w:rPr>
          <w:rFonts w:ascii="Arial" w:hAnsi="Arial" w:cs="Arial"/>
          <w:szCs w:val="24"/>
          <w:lang w:val="en-IN" w:eastAsia="en-IN"/>
        </w:rPr>
        <w:t>). This results in training needs and may add pressure to already limited clinical capacity. The move towards related hybrid closed-loop technology enabled by NHS England expressly recognises the range of differences in specialist workforce capacity between NHS trusts and the necessity to develop clinical capabilities.</w:t>
      </w:r>
    </w:p>
    <w:p w14:paraId="3D453D73" w14:textId="77777777" w:rsidR="001C61B1" w:rsidRDefault="00BB24A0">
      <w:pPr>
        <w:rPr>
          <w:rFonts w:ascii="Arial" w:hAnsi="Arial" w:cs="Arial"/>
          <w:szCs w:val="24"/>
          <w:lang w:val="en-IN" w:eastAsia="en-IN"/>
        </w:rPr>
      </w:pPr>
      <w:r>
        <w:rPr>
          <w:rFonts w:ascii="Arial" w:hAnsi="Arial" w:cs="Arial"/>
          <w:szCs w:val="24"/>
          <w:lang w:val="en-IN" w:eastAsia="en-IN"/>
        </w:rPr>
        <w:t>CGM thus does not merely lessen workforce load, but it actually redistributes it. The systematic checking of glucose can be more automated and distanced, leaving clinicians with more duties of interpretation of digital data, patient education and tech-help. The value of its workforce, on the other hand, relies on the competent manpower of the organisation, i.e. staffing, secured training time and uniform digital talents, but not solely on technology uptake.</w:t>
      </w:r>
    </w:p>
    <w:p w14:paraId="2F39845B" w14:textId="77777777" w:rsidR="001C61B1" w:rsidRDefault="001C61B1">
      <w:pPr>
        <w:rPr>
          <w:rFonts w:ascii="Arial" w:hAnsi="Arial" w:cs="Arial"/>
          <w:szCs w:val="24"/>
          <w:lang w:val="en-IN" w:eastAsia="en-IN"/>
        </w:rPr>
      </w:pPr>
    </w:p>
    <w:p w14:paraId="17D7F56B" w14:textId="77777777" w:rsidR="001C61B1" w:rsidRDefault="00BB24A0">
      <w:pPr>
        <w:pStyle w:val="Heading1"/>
        <w:rPr>
          <w:rFonts w:ascii="Arial" w:eastAsia="Times New Roman" w:hAnsi="Arial" w:cs="Arial"/>
          <w:lang w:val="en-IN" w:eastAsia="en-IN"/>
        </w:rPr>
      </w:pPr>
      <w:bookmarkStart w:id="4" w:name="_Toc242181635"/>
      <w:r>
        <w:rPr>
          <w:rFonts w:ascii="Arial" w:eastAsia="Times New Roman" w:hAnsi="Arial" w:cs="Arial"/>
          <w:lang w:val="en-IN" w:eastAsia="en-IN"/>
        </w:rPr>
        <w:t>Impact on Service Delivery</w:t>
      </w:r>
      <w:bookmarkEnd w:id="4"/>
    </w:p>
    <w:p w14:paraId="39610F72" w14:textId="77777777" w:rsidR="001C61B1" w:rsidRDefault="00BB24A0">
      <w:pPr>
        <w:rPr>
          <w:rFonts w:ascii="Arial" w:hAnsi="Arial" w:cs="Arial"/>
          <w:szCs w:val="24"/>
          <w:lang w:val="en-IN" w:eastAsia="en-IN"/>
        </w:rPr>
      </w:pPr>
      <w:r>
        <w:rPr>
          <w:rFonts w:ascii="Arial" w:hAnsi="Arial" w:cs="Arial"/>
          <w:szCs w:val="24"/>
          <w:lang w:val="en-IN" w:eastAsia="en-IN"/>
        </w:rPr>
        <w:t>CGM has transformed the model of service provision greatly in the area of diabetes by removing the use of episodic finger-prick testing in provision by providing continuous glucose information (</w:t>
      </w:r>
      <w:r>
        <w:rPr>
          <w:rFonts w:ascii="Arial" w:hAnsi="Arial" w:cs="Arial"/>
          <w:shd w:val="clear" w:color="auto" w:fill="FFFFFF"/>
        </w:rPr>
        <w:t xml:space="preserve">Isaacson </w:t>
      </w:r>
      <w:r>
        <w:rPr>
          <w:rFonts w:ascii="Arial" w:hAnsi="Arial" w:cs="Arial"/>
          <w:i/>
          <w:shd w:val="clear" w:color="auto" w:fill="FFFFFF"/>
        </w:rPr>
        <w:t>et al.,</w:t>
      </w:r>
      <w:r>
        <w:rPr>
          <w:rFonts w:ascii="Arial" w:hAnsi="Arial" w:cs="Arial"/>
          <w:shd w:val="clear" w:color="auto" w:fill="FFFFFF"/>
        </w:rPr>
        <w:t xml:space="preserve"> 2022</w:t>
      </w:r>
      <w:r>
        <w:rPr>
          <w:rFonts w:ascii="Arial" w:hAnsi="Arial" w:cs="Arial"/>
          <w:szCs w:val="24"/>
          <w:lang w:val="en-IN" w:eastAsia="en-IN"/>
        </w:rPr>
        <w:t>). NICE finds evidence that CGM is associated with improvements in time within target glucose range, a decreased level of HbA1c and potentially a decrease in severe or nocturnal hypoglycaemia. Healthcare professionals can also access data, and it can be reviewed during virtual visits, allowing the assessment of it remotely and reducing the amount of standard face-to-face follow-ups. This aids in the earlier detection of diminishing glucose control and responsive adjustment of therapy.</w:t>
      </w:r>
    </w:p>
    <w:p w14:paraId="785B5D5D" w14:textId="77777777" w:rsidR="001C61B1" w:rsidRDefault="00BB24A0">
      <w:pPr>
        <w:rPr>
          <w:rFonts w:ascii="Arial" w:hAnsi="Arial" w:cs="Arial"/>
          <w:szCs w:val="24"/>
          <w:lang w:val="en-IN" w:eastAsia="en-IN"/>
        </w:rPr>
      </w:pPr>
      <w:r>
        <w:rPr>
          <w:rFonts w:ascii="Arial" w:hAnsi="Arial" w:cs="Arial"/>
          <w:szCs w:val="24"/>
          <w:lang w:val="en-IN" w:eastAsia="en-IN"/>
        </w:rPr>
        <w:t>At scale, implementation proves that it is gaining momentum in NHS services. Over 200,000 individuals in the UK had taken out non-invasive glucose-monitoring devices via the NHS by December 2022, and eight out of ten individuals with type 1 diabetes had access to the technology (</w:t>
      </w:r>
      <w:r>
        <w:rPr>
          <w:rFonts w:ascii="Arial" w:hAnsi="Arial" w:cs="Arial"/>
          <w:shd w:val="clear" w:color="auto" w:fill="FFFFFF"/>
        </w:rPr>
        <w:t>Independent, 2022</w:t>
      </w:r>
      <w:r>
        <w:rPr>
          <w:rFonts w:ascii="Arial" w:hAnsi="Arial" w:cs="Arial"/>
          <w:szCs w:val="24"/>
          <w:lang w:val="en-IN" w:eastAsia="en-IN"/>
        </w:rPr>
        <w:t xml:space="preserve">). Nonetheless, there has not been a geographic uniformity in implementation. An example is that in NHS East of England, flash-monitoring uptake in March 2023 was 62% in contrast with the national uptake at 74.4%, and the regional difference in service adoption remains varied </w:t>
      </w:r>
      <w:r>
        <w:rPr>
          <w:rFonts w:ascii="Arial" w:hAnsi="Arial" w:cs="Arial"/>
          <w:lang w:val="en-IN" w:eastAsia="en-IN"/>
        </w:rPr>
        <w:t>(</w:t>
      </w:r>
      <w:r>
        <w:rPr>
          <w:rFonts w:ascii="Arial" w:hAnsi="Arial" w:cs="Arial"/>
          <w:shd w:val="clear" w:color="auto" w:fill="FFFFFF"/>
        </w:rPr>
        <w:t>NHS England, 2024</w:t>
      </w:r>
      <w:r>
        <w:rPr>
          <w:rFonts w:ascii="Arial" w:hAnsi="Arial" w:cs="Arial"/>
          <w:lang w:val="en-IN" w:eastAsia="en-IN"/>
        </w:rPr>
        <w:t>)</w:t>
      </w:r>
      <w:r>
        <w:rPr>
          <w:rFonts w:ascii="Arial" w:hAnsi="Arial" w:cs="Arial"/>
          <w:szCs w:val="24"/>
          <w:lang w:val="en-IN" w:eastAsia="en-IN"/>
        </w:rPr>
        <w:t>.</w:t>
      </w:r>
    </w:p>
    <w:p w14:paraId="7D5C99F0" w14:textId="77777777" w:rsidR="001C61B1" w:rsidRDefault="00BB24A0">
      <w:pPr>
        <w:rPr>
          <w:rFonts w:ascii="Arial" w:hAnsi="Arial" w:cs="Arial"/>
          <w:szCs w:val="24"/>
          <w:lang w:val="en-IN" w:eastAsia="en-IN"/>
        </w:rPr>
      </w:pPr>
      <w:r>
        <w:rPr>
          <w:rFonts w:ascii="Arial" w:hAnsi="Arial" w:cs="Arial"/>
          <w:szCs w:val="24"/>
          <w:lang w:val="en-IN" w:eastAsia="en-IN"/>
        </w:rPr>
        <w:t>However, e-monitoring does not necessarily generate more efficient services. CGM and devices, as well as clinics and education, must be funded, including sensors and devices. NICE adds that some more time on the part of the clinician might be needed in analysing the glucose reports. Still, better control would have the potential to reduce hospital admissions and complications. In addition, interoperability is important since the choice of devices to use should be based on how data is gathered, compatibility with other technologies and their ability to share information with healthcare workers (</w:t>
      </w:r>
      <w:r>
        <w:rPr>
          <w:rFonts w:ascii="Arial" w:hAnsi="Arial" w:cs="Arial"/>
          <w:shd w:val="clear" w:color="auto" w:fill="FFFFFF"/>
        </w:rPr>
        <w:t xml:space="preserve">Olamoyegun </w:t>
      </w:r>
      <w:r>
        <w:rPr>
          <w:rFonts w:ascii="Arial" w:hAnsi="Arial" w:cs="Arial"/>
          <w:i/>
          <w:shd w:val="clear" w:color="auto" w:fill="FFFFFF"/>
        </w:rPr>
        <w:t>et al.,</w:t>
      </w:r>
      <w:r>
        <w:rPr>
          <w:rFonts w:ascii="Arial" w:hAnsi="Arial" w:cs="Arial"/>
          <w:shd w:val="clear" w:color="auto" w:fill="FFFFFF"/>
        </w:rPr>
        <w:t xml:space="preserve"> 2026</w:t>
      </w:r>
      <w:r>
        <w:rPr>
          <w:rFonts w:ascii="Arial" w:hAnsi="Arial" w:cs="Arial"/>
          <w:szCs w:val="24"/>
          <w:lang w:val="en-IN" w:eastAsia="en-IN"/>
        </w:rPr>
        <w:t>). Technical failure implies the use of conventional blood-glucose testing as a backup as well. This means that CGM is able to transform diabetes services to be more continuous, preventative and accessible remotely, yet its effectiveness at a service level is reliant upon the reliability of technology, interoperable systems, adequate clinical capacity and overall implementation by all NHS organisations.</w:t>
      </w:r>
    </w:p>
    <w:p w14:paraId="0271DDFA" w14:textId="77777777" w:rsidR="001C61B1" w:rsidRDefault="00BB24A0">
      <w:pPr>
        <w:spacing w:before="0" w:after="200"/>
        <w:jc w:val="left"/>
        <w:rPr>
          <w:rFonts w:ascii="Arial" w:eastAsia="Times New Roman" w:hAnsi="Arial" w:cs="Arial"/>
          <w:b/>
          <w:bCs/>
          <w:color w:val="000000" w:themeColor="text1"/>
          <w:sz w:val="28"/>
          <w:szCs w:val="28"/>
          <w:lang w:val="en-IN" w:eastAsia="en-IN"/>
        </w:rPr>
      </w:pPr>
      <w:r>
        <w:rPr>
          <w:rFonts w:ascii="Arial" w:eastAsia="Times New Roman" w:hAnsi="Arial" w:cs="Arial"/>
          <w:lang w:val="en-IN" w:eastAsia="en-IN"/>
        </w:rPr>
        <w:br w:type="page"/>
      </w:r>
    </w:p>
    <w:p w14:paraId="78A730C6" w14:textId="77777777" w:rsidR="001C61B1" w:rsidRDefault="00BB24A0">
      <w:pPr>
        <w:pStyle w:val="Heading1"/>
        <w:rPr>
          <w:rFonts w:ascii="Arial" w:eastAsia="Times New Roman" w:hAnsi="Arial" w:cs="Arial"/>
          <w:lang w:val="en-IN" w:eastAsia="en-IN"/>
        </w:rPr>
      </w:pPr>
      <w:bookmarkStart w:id="5" w:name="_Toc242181636"/>
      <w:r>
        <w:rPr>
          <w:rFonts w:ascii="Arial" w:eastAsia="Times New Roman" w:hAnsi="Arial" w:cs="Arial"/>
          <w:lang w:val="en-IN" w:eastAsia="en-IN"/>
        </w:rPr>
        <w:t>Impact on Patients/Service Users</w:t>
      </w:r>
      <w:bookmarkEnd w:id="5"/>
    </w:p>
    <w:p w14:paraId="5CCBF90F" w14:textId="77777777" w:rsidR="001C61B1" w:rsidRDefault="00BB24A0">
      <w:pPr>
        <w:rPr>
          <w:rFonts w:ascii="Arial" w:hAnsi="Arial" w:cs="Arial"/>
          <w:szCs w:val="24"/>
          <w:lang w:val="en-IN" w:eastAsia="en-IN"/>
        </w:rPr>
      </w:pPr>
      <w:r>
        <w:rPr>
          <w:rFonts w:ascii="Arial" w:hAnsi="Arial" w:cs="Arial"/>
          <w:szCs w:val="24"/>
          <w:lang w:val="en-IN" w:eastAsia="en-IN"/>
        </w:rPr>
        <w:t>By informing patients about glucose during the day and night, CGM can significantly enhance the patient's experience of self-management of diabetes. It also eliminates the necessity of conducting of frequent finger-prick testing (unlike traditional monitoring) and allows the user to know whether the amount of glucose is going up or down.Such increased visibility allows responding to hypo- or hyperglycaemia earlier and can lead to greater independence and confidence. For example, according to NICE, CGM is reported to be linked with lower levels of HbA1c and more time in the target glucose range in adults with type 1 diabetes (</w:t>
      </w:r>
      <w:r>
        <w:rPr>
          <w:rFonts w:ascii="Arial" w:hAnsi="Arial" w:cs="Arial"/>
          <w:shd w:val="clear" w:color="auto" w:fill="FFFFFF"/>
        </w:rPr>
        <w:t>Clark, Polonsky and Soriano, 2024</w:t>
      </w:r>
      <w:r>
        <w:rPr>
          <w:rFonts w:ascii="Arial" w:hAnsi="Arial" w:cs="Arial"/>
          <w:szCs w:val="24"/>
          <w:lang w:val="en-IN" w:eastAsia="en-IN"/>
        </w:rPr>
        <w:t>). CGM also has the potential to make some individuals with disabilities who are unable to perform finger-prick monitoring on their own less reliant on carers, enhancing autonomy.</w:t>
      </w:r>
    </w:p>
    <w:p w14:paraId="5EFEFE34" w14:textId="77777777" w:rsidR="001C61B1" w:rsidRDefault="00BB24A0">
      <w:pPr>
        <w:rPr>
          <w:rFonts w:ascii="Arial" w:hAnsi="Arial" w:cs="Arial"/>
          <w:szCs w:val="24"/>
          <w:lang w:val="en-IN" w:eastAsia="en-IN"/>
        </w:rPr>
      </w:pPr>
      <w:r>
        <w:rPr>
          <w:rFonts w:ascii="Arial" w:hAnsi="Arial" w:cs="Arial"/>
          <w:szCs w:val="24"/>
          <w:lang w:val="en-IN" w:eastAsia="en-IN"/>
        </w:rPr>
        <w:t>Moreover, the monitoring process can be simplified twice due to smartphone- or receiver-based access, and glucose data can be disseminated to diabetes teams to conduct clinical analysis. This advantage is demonstrated by NHS England, which provides maternity diabetes services, according to which CGM data can be shared with the care teams and discussed in virtual consultations. It can enhance the level of participation from patients since they are able to comprehend the correlations between glucose, food, and activity with insulin better.</w:t>
      </w:r>
    </w:p>
    <w:p w14:paraId="32DE8AD1" w14:textId="77777777" w:rsidR="001C61B1" w:rsidRDefault="00BB24A0">
      <w:pPr>
        <w:rPr>
          <w:rFonts w:ascii="Arial" w:hAnsi="Arial" w:cs="Arial"/>
          <w:szCs w:val="24"/>
          <w:lang w:val="en-IN" w:eastAsia="en-IN"/>
        </w:rPr>
      </w:pPr>
      <w:r>
        <w:rPr>
          <w:rFonts w:ascii="Arial" w:hAnsi="Arial" w:cs="Arial"/>
          <w:szCs w:val="24"/>
          <w:lang w:val="en-IN" w:eastAsia="en-IN"/>
        </w:rPr>
        <w:t>But as much as they can access more information, it may not enhance the experience of every patient. Data overload, worry and alarm fatigue, especially when repeated alerts have been made at night, are the problems that Diabetes UK identifies. For example, sensors can also be irritating to the skin; they can make diabetes more visible to other people, and people have to adapt to new technology. Another weakness is accuracy, as the interstitial glucose levels may not keep pace with blood glucose levels (</w:t>
      </w:r>
      <w:r>
        <w:rPr>
          <w:rFonts w:ascii="Arial" w:hAnsi="Arial" w:cs="Arial"/>
          <w:shd w:val="clear" w:color="auto" w:fill="FFFFFF"/>
        </w:rPr>
        <w:t>Aggarwal, Pathak and Goyal, 2022</w:t>
      </w:r>
      <w:r>
        <w:rPr>
          <w:rFonts w:ascii="Arial" w:hAnsi="Arial" w:cs="Arial"/>
          <w:szCs w:val="24"/>
          <w:lang w:val="en-IN" w:eastAsia="en-IN"/>
        </w:rPr>
        <w:t>). Hence, the NHS recommends that periodic finger-pricking tests are required, especially in hypoglycaemia or bradyglycaemia or in response to a rapidly changing glucose level. In addition, the benefits are able to be provided on-the-fly. The reason NICE admits is a lower level of adherence to CGM in socioeconomically deprived populations, and the importance of the information provided and support offered to individuals with disabilities or language requirements in culturally competent manners. Thus, autonomy and glycaemic control can be improved and the patient-centred value of CGM hinges on the usability, education, psychological support and access to the digital platform all equally.</w:t>
      </w:r>
    </w:p>
    <w:p w14:paraId="07BF9FEB" w14:textId="77777777" w:rsidR="001C61B1" w:rsidRDefault="00BB24A0">
      <w:pPr>
        <w:pStyle w:val="Heading1"/>
        <w:rPr>
          <w:rFonts w:ascii="Arial" w:eastAsia="Times New Roman" w:hAnsi="Arial" w:cs="Arial"/>
          <w:lang w:val="en-IN" w:eastAsia="en-IN"/>
        </w:rPr>
      </w:pPr>
      <w:bookmarkStart w:id="6" w:name="_Toc242181637"/>
      <w:r>
        <w:rPr>
          <w:rFonts w:ascii="Arial" w:eastAsia="Times New Roman" w:hAnsi="Arial" w:cs="Arial"/>
          <w:lang w:val="en-IN" w:eastAsia="en-IN"/>
        </w:rPr>
        <w:t>Impact on Community</w:t>
      </w:r>
      <w:bookmarkEnd w:id="6"/>
    </w:p>
    <w:p w14:paraId="3ECBA3BC" w14:textId="77777777" w:rsidR="001C61B1" w:rsidRDefault="00BB24A0">
      <w:pPr>
        <w:rPr>
          <w:rFonts w:ascii="Arial" w:hAnsi="Arial" w:cs="Arial"/>
          <w:szCs w:val="24"/>
          <w:lang w:val="en-IN" w:eastAsia="en-IN"/>
        </w:rPr>
      </w:pPr>
      <w:r>
        <w:rPr>
          <w:rFonts w:ascii="Arial" w:hAnsi="Arial" w:cs="Arial"/>
          <w:szCs w:val="24"/>
          <w:lang w:val="en-IN" w:eastAsia="en-IN"/>
        </w:rPr>
        <w:t>CGM goes beyond hospitals in offering diabetes care in homes, educational institutions, workplaces and even communities. The constant monitoring experienced in children and youths can reduce disruptive testing with finger-pricks and enable an individual to monitor glucose trends during regular activities (</w:t>
      </w:r>
      <w:r>
        <w:rPr>
          <w:rFonts w:ascii="Arial" w:hAnsi="Arial" w:cs="Arial"/>
          <w:shd w:val="clear" w:color="auto" w:fill="FFFFFF"/>
        </w:rPr>
        <w:t xml:space="preserve">Enlow </w:t>
      </w:r>
      <w:r>
        <w:rPr>
          <w:rFonts w:ascii="Arial" w:hAnsi="Arial" w:cs="Arial"/>
          <w:i/>
          <w:shd w:val="clear" w:color="auto" w:fill="FFFFFF"/>
        </w:rPr>
        <w:t>et al.,</w:t>
      </w:r>
      <w:r>
        <w:rPr>
          <w:rFonts w:ascii="Arial" w:hAnsi="Arial" w:cs="Arial"/>
          <w:shd w:val="clear" w:color="auto" w:fill="FFFFFF"/>
        </w:rPr>
        <w:t xml:space="preserve"> 2024</w:t>
      </w:r>
      <w:r>
        <w:rPr>
          <w:rFonts w:ascii="Arial" w:hAnsi="Arial" w:cs="Arial"/>
          <w:szCs w:val="24"/>
          <w:lang w:val="en-IN" w:eastAsia="en-IN"/>
        </w:rPr>
        <w:t>). Recognising that certain CGM devices can enable the electronic sharing of glucose data, NICE believes that this could help parents and carers to manage diabetes outside a healthcare setting. Similarly, at-work use enables adults to check glucose by using a connected device to do so, and still perform business; Diabetes UK reports that a significant proportion of adults with type 1 diabetes and a few with type 2 diabetes do CGM at work now. In this way, CGM will be able to facilitate independence and the transition from self-care of diabetes to community-based management of the disease.</w:t>
      </w:r>
    </w:p>
    <w:p w14:paraId="7155811D" w14:textId="77777777" w:rsidR="001C61B1" w:rsidRDefault="00BB24A0">
      <w:pPr>
        <w:rPr>
          <w:rFonts w:ascii="Arial" w:hAnsi="Arial" w:cs="Arial"/>
          <w:szCs w:val="24"/>
          <w:lang w:val="en-IN" w:eastAsia="en-IN"/>
        </w:rPr>
      </w:pPr>
      <w:r>
        <w:rPr>
          <w:rFonts w:ascii="Arial" w:hAnsi="Arial" w:cs="Arial"/>
          <w:szCs w:val="24"/>
          <w:lang w:val="en-IN" w:eastAsia="en-IN"/>
        </w:rPr>
        <w:t>Widespread public-health benefits would accrue from CGM as well. According to NHS England, real-time CGM used by children and youth with type 1 diabetes has been linked with fewer cases of diabetic ketoacidosis, implying that there may be a decrease in avoidable instances of acute care. Involvement of families can also enhance the safety aspect, as a number of devices enable the sharing of alerts with carers when there is an abnormal glucose level. Nevertheless, this connectedness has the potential to add burdens to family members and possibly blur the line between active support and active monitoring.</w:t>
      </w:r>
    </w:p>
    <w:p w14:paraId="71D9047B" w14:textId="77777777" w:rsidR="001C61B1" w:rsidRDefault="00BB24A0">
      <w:pPr>
        <w:rPr>
          <w:rFonts w:ascii="Arial" w:hAnsi="Arial" w:cs="Arial"/>
          <w:szCs w:val="24"/>
          <w:lang w:val="en-IN" w:eastAsia="en-IN"/>
        </w:rPr>
      </w:pPr>
      <w:r>
        <w:rPr>
          <w:rFonts w:ascii="Arial" w:hAnsi="Arial" w:cs="Arial"/>
          <w:szCs w:val="24"/>
          <w:lang w:val="en-IN" w:eastAsia="en-IN"/>
        </w:rPr>
        <w:t>More importantly, CGM has the potential to recreate the inequalities present in the communities. NHS England lists the ongoing inequities in the uptake of diabetes technology on the basis of ethnicity and socioeconomic deprivation, with less-disadvantaged and minority populations experiencing worse access and results (</w:t>
      </w:r>
      <w:r>
        <w:rPr>
          <w:rFonts w:ascii="Arial" w:hAnsi="Arial" w:cs="Arial"/>
          <w:shd w:val="clear" w:color="auto" w:fill="FFFFFF"/>
        </w:rPr>
        <w:t>Gavin III and Bailey, 2023</w:t>
      </w:r>
      <w:r>
        <w:rPr>
          <w:rFonts w:ascii="Arial" w:hAnsi="Arial" w:cs="Arial"/>
          <w:szCs w:val="24"/>
          <w:lang w:val="en-IN" w:eastAsia="en-IN"/>
        </w:rPr>
        <w:t>). In turn, the NHS England programme Core20PLUS5 specifically targets a greater proportion of children in the most deprived quintile and ethnic-minority groups to be able to access real-time CGM. Digital exclusion also makes it more complex to implement since certain systems will demand smartphones, internet access and high levels of digital literacy. Thus, as much as CGM is able to decentralise management of diabetes and help people live healthier lifestyles, inequalities in the distribution of resources, connectivity and technological confidence imply that the merits of CGM will not be shared evenly across UK communities.</w:t>
      </w:r>
    </w:p>
    <w:p w14:paraId="6456391D" w14:textId="77777777" w:rsidR="001C61B1" w:rsidRDefault="00BB24A0">
      <w:pPr>
        <w:spacing w:before="0" w:after="200"/>
        <w:jc w:val="left"/>
        <w:rPr>
          <w:rFonts w:ascii="Arial" w:hAnsi="Arial" w:cs="Arial"/>
          <w:lang w:val="en-IN" w:eastAsia="en-IN"/>
        </w:rPr>
      </w:pPr>
      <w:r>
        <w:rPr>
          <w:rFonts w:ascii="Arial" w:hAnsi="Arial" w:cs="Arial"/>
          <w:lang w:val="en-IN" w:eastAsia="en-IN"/>
        </w:rPr>
        <w:br w:type="page"/>
      </w:r>
    </w:p>
    <w:p w14:paraId="26010BCB" w14:textId="77777777" w:rsidR="001C61B1" w:rsidRDefault="00BB24A0">
      <w:pPr>
        <w:pStyle w:val="Heading1"/>
        <w:rPr>
          <w:rFonts w:ascii="Arial" w:eastAsia="Times New Roman" w:hAnsi="Arial" w:cs="Arial"/>
          <w:lang w:val="en-IN" w:eastAsia="en-IN"/>
        </w:rPr>
      </w:pPr>
      <w:bookmarkStart w:id="7" w:name="_Toc242181638"/>
      <w:r>
        <w:rPr>
          <w:rFonts w:ascii="Arial" w:eastAsia="Times New Roman" w:hAnsi="Arial" w:cs="Arial"/>
          <w:lang w:val="en-IN" w:eastAsia="en-IN"/>
        </w:rPr>
        <w:t>Data Governance and Ethical Use of Data</w:t>
      </w:r>
      <w:bookmarkEnd w:id="7"/>
    </w:p>
    <w:p w14:paraId="35C1926F" w14:textId="77777777" w:rsidR="001C61B1" w:rsidRDefault="00BB24A0">
      <w:pPr>
        <w:rPr>
          <w:rFonts w:ascii="Arial" w:hAnsi="Arial" w:cs="Arial"/>
          <w:szCs w:val="24"/>
          <w:lang w:val="en-IN" w:eastAsia="en-IN"/>
        </w:rPr>
      </w:pPr>
      <w:r>
        <w:rPr>
          <w:rFonts w:ascii="Arial" w:hAnsi="Arial" w:cs="Arial"/>
          <w:szCs w:val="24"/>
          <w:lang w:val="en-IN" w:eastAsia="en-IN"/>
        </w:rPr>
        <w:t>CGM produces sensitive health information classified as special-category data under UK GDPR that must be better protected and have a valid reason to be processed. The “Data Protection Act 2018” also mandates the lawful, fair and transparent processing of health data (</w:t>
      </w:r>
      <w:r>
        <w:rPr>
          <w:rFonts w:ascii="Arial" w:hAnsi="Arial" w:cs="Arial"/>
          <w:shd w:val="clear" w:color="auto" w:fill="FFFFFF"/>
        </w:rPr>
        <w:t>Legislation UK, 2018</w:t>
      </w:r>
      <w:r>
        <w:rPr>
          <w:rFonts w:ascii="Arial" w:hAnsi="Arial" w:cs="Arial"/>
          <w:szCs w:val="24"/>
          <w:lang w:val="en-IN" w:eastAsia="en-IN"/>
        </w:rPr>
        <w:t>). Following the collection, storage and transmission of data as part of CGM, data minimisation, access control, and strong cybersecurity must be implemented. Patients should be informed with whom they share information with (clinicians and third parties) and have meaningful control where possible. Ethically, privacy invasion, commercial access and digital illiteracy of disadvantaged groups could undermine integrity and disadvantage vulnerable groups. A lack of transparency, security and equal involvement may result in ethical misery.</w:t>
      </w:r>
    </w:p>
    <w:p w14:paraId="48DE2149" w14:textId="77777777" w:rsidR="001C61B1" w:rsidRDefault="001C61B1">
      <w:pPr>
        <w:rPr>
          <w:rFonts w:ascii="Arial" w:hAnsi="Arial" w:cs="Arial"/>
          <w:szCs w:val="24"/>
          <w:lang w:val="en-IN" w:eastAsia="en-IN"/>
        </w:rPr>
      </w:pPr>
    </w:p>
    <w:p w14:paraId="10085763" w14:textId="77777777" w:rsidR="001C61B1" w:rsidRDefault="00BB24A0">
      <w:pPr>
        <w:spacing w:before="0" w:after="200"/>
        <w:jc w:val="left"/>
        <w:rPr>
          <w:rFonts w:ascii="Arial" w:eastAsia="Times New Roman" w:hAnsi="Arial" w:cs="Arial"/>
          <w:b/>
          <w:bCs/>
          <w:color w:val="000000" w:themeColor="text1"/>
          <w:sz w:val="28"/>
          <w:szCs w:val="28"/>
          <w:lang w:val="en-IN" w:eastAsia="en-IN"/>
        </w:rPr>
      </w:pPr>
      <w:r>
        <w:rPr>
          <w:rFonts w:ascii="Arial" w:eastAsia="Times New Roman" w:hAnsi="Arial" w:cs="Arial"/>
          <w:lang w:val="en-IN" w:eastAsia="en-IN"/>
        </w:rPr>
        <w:br w:type="page"/>
      </w:r>
    </w:p>
    <w:p w14:paraId="428522BD" w14:textId="77777777" w:rsidR="001C61B1" w:rsidRDefault="00BB24A0">
      <w:pPr>
        <w:pStyle w:val="Heading1"/>
        <w:rPr>
          <w:rFonts w:ascii="Arial" w:eastAsia="Times New Roman" w:hAnsi="Arial" w:cs="Arial"/>
          <w:lang w:val="en-IN" w:eastAsia="en-IN"/>
        </w:rPr>
      </w:pPr>
      <w:bookmarkStart w:id="8" w:name="_Toc242181639"/>
      <w:r>
        <w:rPr>
          <w:rFonts w:ascii="Arial" w:eastAsia="Times New Roman" w:hAnsi="Arial" w:cs="Arial"/>
          <w:lang w:val="en-IN" w:eastAsia="en-IN"/>
        </w:rPr>
        <w:t>Conclusion</w:t>
      </w:r>
      <w:bookmarkEnd w:id="8"/>
    </w:p>
    <w:p w14:paraId="3D7E4265" w14:textId="77777777" w:rsidR="001C61B1" w:rsidRDefault="00BB24A0">
      <w:pPr>
        <w:rPr>
          <w:rFonts w:ascii="Arial" w:hAnsi="Arial" w:cs="Arial"/>
          <w:szCs w:val="24"/>
          <w:lang w:val="en-IN" w:eastAsia="en-IN"/>
        </w:rPr>
      </w:pPr>
      <w:r>
        <w:rPr>
          <w:rFonts w:ascii="Arial" w:hAnsi="Arial" w:cs="Arial"/>
          <w:szCs w:val="24"/>
          <w:lang w:val="en-IN" w:eastAsia="en-IN"/>
        </w:rPr>
        <w:t>In general, CGM is an important UK diabetes care digital innovation that provides a continuum of monitoring, continuous management and increased patient autonomy. It has been implemented positively, affecting workforce practice, delivery of services and care to communities. Nevertheless, digital workload, technical constraints, privacy issues and disparities in access prove that the advantages do not have a universal application. Thus, the success of CGM does not solely focus on the technological presence but on qualified operators, inclusive application, data governance and fair accessibility among various societies.</w:t>
      </w:r>
    </w:p>
    <w:p w14:paraId="52B2523E" w14:textId="77777777" w:rsidR="001C61B1" w:rsidRDefault="00BB24A0">
      <w:pPr>
        <w:rPr>
          <w:rFonts w:ascii="Arial" w:hAnsi="Arial" w:cs="Arial"/>
          <w:lang w:val="en-IN" w:eastAsia="en-IN"/>
        </w:rPr>
      </w:pPr>
      <w:r>
        <w:rPr>
          <w:rFonts w:ascii="Arial" w:hAnsi="Arial" w:cs="Arial"/>
          <w:lang w:val="en-IN" w:eastAsia="en-IN"/>
        </w:rPr>
        <w:br w:type="page"/>
      </w:r>
    </w:p>
    <w:p w14:paraId="6C8F2E45" w14:textId="77777777" w:rsidR="001C61B1" w:rsidRDefault="00BB24A0">
      <w:pPr>
        <w:pStyle w:val="Heading1"/>
        <w:rPr>
          <w:rFonts w:ascii="Arial" w:hAnsi="Arial" w:cs="Arial"/>
          <w:lang w:val="en-IN" w:eastAsia="en-IN"/>
        </w:rPr>
      </w:pPr>
      <w:bookmarkStart w:id="9" w:name="_Toc242181640"/>
      <w:r>
        <w:rPr>
          <w:rFonts w:ascii="Arial" w:hAnsi="Arial" w:cs="Arial"/>
          <w:lang w:val="en-IN" w:eastAsia="en-IN"/>
        </w:rPr>
        <w:t>References</w:t>
      </w:r>
      <w:bookmarkEnd w:id="9"/>
    </w:p>
    <w:p w14:paraId="79E83210" w14:textId="77777777" w:rsidR="001C61B1" w:rsidRDefault="00BB24A0">
      <w:pPr>
        <w:rPr>
          <w:rFonts w:ascii="Arial" w:hAnsi="Arial" w:cs="Arial"/>
          <w:shd w:val="clear" w:color="auto" w:fill="FFFFFF"/>
        </w:rPr>
      </w:pPr>
      <w:r>
        <w:rPr>
          <w:rFonts w:ascii="Arial" w:hAnsi="Arial" w:cs="Arial"/>
          <w:shd w:val="clear" w:color="auto" w:fill="FFFFFF"/>
        </w:rPr>
        <w:t xml:space="preserve">Aggarwal, A., Pathak, S., and Goyal, R. (2022). Clinical and economic outcomes of continuous glucose monitoring system (CGMS) in patients with diabetes mellitus: a systematic literature review. </w:t>
      </w:r>
      <w:r>
        <w:rPr>
          <w:rFonts w:ascii="Arial" w:hAnsi="Arial" w:cs="Arial"/>
          <w:i/>
          <w:iCs/>
          <w:shd w:val="clear" w:color="auto" w:fill="FFFFFF"/>
        </w:rPr>
        <w:t>Diabetes Research and Clinical Practice</w:t>
      </w:r>
      <w:r>
        <w:rPr>
          <w:rFonts w:ascii="Arial" w:hAnsi="Arial" w:cs="Arial"/>
          <w:shd w:val="clear" w:color="auto" w:fill="FFFFFF"/>
        </w:rPr>
        <w:t xml:space="preserve">, </w:t>
      </w:r>
      <w:r>
        <w:rPr>
          <w:rFonts w:ascii="Arial" w:hAnsi="Arial" w:cs="Arial"/>
          <w:i/>
          <w:iCs/>
          <w:shd w:val="clear" w:color="auto" w:fill="FFFFFF"/>
        </w:rPr>
        <w:t>186</w:t>
      </w:r>
      <w:r>
        <w:rPr>
          <w:rFonts w:ascii="Arial" w:hAnsi="Arial" w:cs="Arial"/>
          <w:shd w:val="clear" w:color="auto" w:fill="FFFFFF"/>
        </w:rPr>
        <w:t xml:space="preserve">, 109825. </w:t>
      </w:r>
      <w:hyperlink r:id="rId7" w:history="1">
        <w:r>
          <w:rPr>
            <w:rStyle w:val="Hyperlink"/>
            <w:rFonts w:ascii="Arial" w:hAnsi="Arial" w:cs="Arial"/>
            <w:shd w:val="clear" w:color="auto" w:fill="FFFFFF"/>
          </w:rPr>
          <w:t>https://doi.org/10.1016/j.diabres.2022.109825</w:t>
        </w:r>
      </w:hyperlink>
    </w:p>
    <w:p w14:paraId="5ED60187" w14:textId="77777777" w:rsidR="001C61B1" w:rsidRDefault="00BB24A0">
      <w:pPr>
        <w:rPr>
          <w:rFonts w:ascii="Arial" w:hAnsi="Arial" w:cs="Arial"/>
          <w:shd w:val="clear" w:color="auto" w:fill="FFFFFF"/>
        </w:rPr>
      </w:pPr>
      <w:r>
        <w:rPr>
          <w:rFonts w:ascii="Arial" w:hAnsi="Arial" w:cs="Arial"/>
          <w:shd w:val="clear" w:color="auto" w:fill="FFFFFF"/>
        </w:rPr>
        <w:t xml:space="preserve">Clark, T. L., Polonsky, W. H., and Soriano, E. C. (2024). The potential impact of continuous glucose monitoring use on diabetes-related attitudes and behaviors in adults with type 2 diabetes: a qualitative investigation of the patient experience. </w:t>
      </w:r>
      <w:r>
        <w:rPr>
          <w:rFonts w:ascii="Arial" w:hAnsi="Arial" w:cs="Arial"/>
          <w:i/>
          <w:iCs/>
          <w:shd w:val="clear" w:color="auto" w:fill="FFFFFF"/>
        </w:rPr>
        <w:t>Diabetes technology &amp; therapeutics</w:t>
      </w:r>
      <w:r>
        <w:rPr>
          <w:rFonts w:ascii="Arial" w:hAnsi="Arial" w:cs="Arial"/>
          <w:shd w:val="clear" w:color="auto" w:fill="FFFFFF"/>
        </w:rPr>
        <w:t xml:space="preserve">, </w:t>
      </w:r>
      <w:r>
        <w:rPr>
          <w:rFonts w:ascii="Arial" w:hAnsi="Arial" w:cs="Arial"/>
          <w:i/>
          <w:iCs/>
          <w:shd w:val="clear" w:color="auto" w:fill="FFFFFF"/>
        </w:rPr>
        <w:t>26</w:t>
      </w:r>
      <w:r>
        <w:rPr>
          <w:rFonts w:ascii="Arial" w:hAnsi="Arial" w:cs="Arial"/>
          <w:shd w:val="clear" w:color="auto" w:fill="FFFFFF"/>
        </w:rPr>
        <w:t xml:space="preserve">(10), 700-708. </w:t>
      </w:r>
      <w:hyperlink r:id="rId8" w:history="1">
        <w:r>
          <w:rPr>
            <w:rStyle w:val="Hyperlink"/>
            <w:rFonts w:ascii="Arial" w:hAnsi="Arial" w:cs="Arial"/>
            <w:shd w:val="clear" w:color="auto" w:fill="FFFFFF"/>
          </w:rPr>
          <w:t>https://doi.org/10.1089/dia.2023.0612</w:t>
        </w:r>
      </w:hyperlink>
    </w:p>
    <w:p w14:paraId="35A84B75" w14:textId="77777777" w:rsidR="001C61B1" w:rsidRDefault="00BB24A0">
      <w:pPr>
        <w:rPr>
          <w:rFonts w:ascii="Arial" w:hAnsi="Arial" w:cs="Arial"/>
          <w:shd w:val="clear" w:color="auto" w:fill="FFFFFF"/>
        </w:rPr>
      </w:pPr>
      <w:r>
        <w:rPr>
          <w:rFonts w:ascii="Arial" w:hAnsi="Arial" w:cs="Arial"/>
          <w:shd w:val="clear" w:color="auto" w:fill="FFFFFF"/>
        </w:rPr>
        <w:t xml:space="preserve">Dal Mas, F., Massaro, M., Rippa, P., and Secundo, G. (2023). The challenges of digital transformation in healthcare: An interdisciplinary literature review, framework, and future research agenda. </w:t>
      </w:r>
      <w:r>
        <w:rPr>
          <w:rFonts w:ascii="Arial" w:hAnsi="Arial" w:cs="Arial"/>
          <w:i/>
          <w:iCs/>
          <w:shd w:val="clear" w:color="auto" w:fill="FFFFFF"/>
        </w:rPr>
        <w:t>Technovation</w:t>
      </w:r>
      <w:r>
        <w:rPr>
          <w:rFonts w:ascii="Arial" w:hAnsi="Arial" w:cs="Arial"/>
          <w:shd w:val="clear" w:color="auto" w:fill="FFFFFF"/>
        </w:rPr>
        <w:t xml:space="preserve">, </w:t>
      </w:r>
      <w:r>
        <w:rPr>
          <w:rFonts w:ascii="Arial" w:hAnsi="Arial" w:cs="Arial"/>
          <w:i/>
          <w:iCs/>
          <w:shd w:val="clear" w:color="auto" w:fill="FFFFFF"/>
        </w:rPr>
        <w:t>123</w:t>
      </w:r>
      <w:r>
        <w:rPr>
          <w:rFonts w:ascii="Arial" w:hAnsi="Arial" w:cs="Arial"/>
          <w:shd w:val="clear" w:color="auto" w:fill="FFFFFF"/>
        </w:rPr>
        <w:t xml:space="preserve">, 102716. </w:t>
      </w:r>
      <w:hyperlink r:id="rId9" w:history="1">
        <w:r>
          <w:rPr>
            <w:rStyle w:val="Hyperlink"/>
            <w:rFonts w:ascii="Arial" w:hAnsi="Arial" w:cs="Arial"/>
            <w:shd w:val="clear" w:color="auto" w:fill="FFFFFF"/>
          </w:rPr>
          <w:t>https://doi.org/10.1016/j.technovation.2023.102716</w:t>
        </w:r>
      </w:hyperlink>
    </w:p>
    <w:p w14:paraId="7963FB14" w14:textId="77777777" w:rsidR="001C61B1" w:rsidRDefault="00BB24A0">
      <w:pPr>
        <w:rPr>
          <w:rFonts w:ascii="Arial" w:hAnsi="Arial" w:cs="Arial"/>
          <w:shd w:val="clear" w:color="auto" w:fill="FFFFFF"/>
        </w:rPr>
      </w:pPr>
      <w:r>
        <w:rPr>
          <w:rFonts w:ascii="Arial" w:hAnsi="Arial" w:cs="Arial"/>
          <w:shd w:val="clear" w:color="auto" w:fill="FFFFFF"/>
        </w:rPr>
        <w:t>Di Molfetta, S., Caruso, I., Cignarelli, A., Natalicchio, A., Perrini, S., Laviola, L., and Giorgino, F. (2023). Professional continuous glucose monitoring in patients with diabetes mellitus: A systematic review and meta</w:t>
      </w:r>
      <w:r>
        <w:rPr>
          <w:rFonts w:ascii="Cambria Math" w:hAnsi="Cambria Math" w:cs="Cambria Math"/>
          <w:shd w:val="clear" w:color="auto" w:fill="FFFFFF"/>
        </w:rPr>
        <w:t>‐</w:t>
      </w:r>
      <w:r>
        <w:rPr>
          <w:rFonts w:ascii="Arial" w:hAnsi="Arial" w:cs="Arial"/>
          <w:shd w:val="clear" w:color="auto" w:fill="FFFFFF"/>
        </w:rPr>
        <w:t xml:space="preserve">analysis. </w:t>
      </w:r>
      <w:r>
        <w:rPr>
          <w:rFonts w:ascii="Arial" w:hAnsi="Arial" w:cs="Arial"/>
          <w:i/>
          <w:iCs/>
          <w:shd w:val="clear" w:color="auto" w:fill="FFFFFF"/>
        </w:rPr>
        <w:t>Diabetes, Obesity and Metabolism</w:t>
      </w:r>
      <w:r>
        <w:rPr>
          <w:rFonts w:ascii="Arial" w:hAnsi="Arial" w:cs="Arial"/>
          <w:shd w:val="clear" w:color="auto" w:fill="FFFFFF"/>
        </w:rPr>
        <w:t xml:space="preserve">, </w:t>
      </w:r>
      <w:r>
        <w:rPr>
          <w:rFonts w:ascii="Arial" w:hAnsi="Arial" w:cs="Arial"/>
          <w:i/>
          <w:iCs/>
          <w:shd w:val="clear" w:color="auto" w:fill="FFFFFF"/>
        </w:rPr>
        <w:t>25</w:t>
      </w:r>
      <w:r>
        <w:rPr>
          <w:rFonts w:ascii="Arial" w:hAnsi="Arial" w:cs="Arial"/>
          <w:shd w:val="clear" w:color="auto" w:fill="FFFFFF"/>
        </w:rPr>
        <w:t>(5), 1301-1310. https://doi.org/10.1111/dom.14981</w:t>
      </w:r>
    </w:p>
    <w:p w14:paraId="7CFA42D3" w14:textId="77777777" w:rsidR="001C61B1" w:rsidRDefault="00BB24A0">
      <w:pPr>
        <w:rPr>
          <w:rFonts w:ascii="Arial" w:hAnsi="Arial" w:cs="Arial"/>
          <w:shd w:val="clear" w:color="auto" w:fill="FFFFFF"/>
        </w:rPr>
      </w:pPr>
      <w:r>
        <w:rPr>
          <w:rFonts w:ascii="Arial" w:hAnsi="Arial" w:cs="Arial"/>
          <w:shd w:val="clear" w:color="auto" w:fill="FFFFFF"/>
        </w:rPr>
        <w:t xml:space="preserve">Enlow, P. T., Thomas, C., Milkes, A., Carakushansky, M., Doyle, D., Wysocki, T., and Alderfer, M. A. (2024). Patient, family, community, and health care system predictors of continuous glucose monitor use. </w:t>
      </w:r>
      <w:r>
        <w:rPr>
          <w:rFonts w:ascii="Arial" w:hAnsi="Arial" w:cs="Arial"/>
          <w:i/>
          <w:iCs/>
          <w:shd w:val="clear" w:color="auto" w:fill="FFFFFF"/>
        </w:rPr>
        <w:t>Clinical Practice in Pediatric Psychology</w:t>
      </w:r>
      <w:r>
        <w:rPr>
          <w:rFonts w:ascii="Arial" w:hAnsi="Arial" w:cs="Arial"/>
          <w:shd w:val="clear" w:color="auto" w:fill="FFFFFF"/>
        </w:rPr>
        <w:t xml:space="preserve">, </w:t>
      </w:r>
      <w:r>
        <w:rPr>
          <w:rFonts w:ascii="Arial" w:hAnsi="Arial" w:cs="Arial"/>
          <w:i/>
          <w:iCs/>
          <w:shd w:val="clear" w:color="auto" w:fill="FFFFFF"/>
        </w:rPr>
        <w:t>12</w:t>
      </w:r>
      <w:r>
        <w:rPr>
          <w:rFonts w:ascii="Arial" w:hAnsi="Arial" w:cs="Arial"/>
          <w:shd w:val="clear" w:color="auto" w:fill="FFFFFF"/>
        </w:rPr>
        <w:t>(2), 181-192. https://doi.org/10.1037/cpp0000503</w:t>
      </w:r>
    </w:p>
    <w:p w14:paraId="1399F115" w14:textId="77777777" w:rsidR="001C61B1" w:rsidRDefault="00BB24A0">
      <w:pPr>
        <w:rPr>
          <w:rFonts w:ascii="Arial" w:hAnsi="Arial" w:cs="Arial"/>
          <w:shd w:val="clear" w:color="auto" w:fill="FFFFFF"/>
        </w:rPr>
      </w:pPr>
      <w:r>
        <w:rPr>
          <w:rFonts w:ascii="Arial" w:hAnsi="Arial" w:cs="Arial"/>
          <w:shd w:val="clear" w:color="auto" w:fill="FFFFFF"/>
        </w:rPr>
        <w:t xml:space="preserve">Freckmann, G., Eichenlaub, M., Waldenmaier, D., Pleus, S., Wehrstedt, S., Haug, C., and Slingerland, R. J. (2023). Clinical performance evaluation of continuous glucose monitoring systems: a scoping review and recommendations for reporting. </w:t>
      </w:r>
      <w:r>
        <w:rPr>
          <w:rFonts w:ascii="Arial" w:hAnsi="Arial" w:cs="Arial"/>
          <w:i/>
          <w:iCs/>
          <w:shd w:val="clear" w:color="auto" w:fill="FFFFFF"/>
        </w:rPr>
        <w:t>Journal of diabetes science and technology</w:t>
      </w:r>
      <w:r>
        <w:rPr>
          <w:rFonts w:ascii="Arial" w:hAnsi="Arial" w:cs="Arial"/>
          <w:shd w:val="clear" w:color="auto" w:fill="FFFFFF"/>
        </w:rPr>
        <w:t xml:space="preserve">, </w:t>
      </w:r>
      <w:r>
        <w:rPr>
          <w:rFonts w:ascii="Arial" w:hAnsi="Arial" w:cs="Arial"/>
          <w:i/>
          <w:iCs/>
          <w:shd w:val="clear" w:color="auto" w:fill="FFFFFF"/>
        </w:rPr>
        <w:t>17</w:t>
      </w:r>
      <w:r>
        <w:rPr>
          <w:rFonts w:ascii="Arial" w:hAnsi="Arial" w:cs="Arial"/>
          <w:shd w:val="clear" w:color="auto" w:fill="FFFFFF"/>
        </w:rPr>
        <w:t xml:space="preserve">(6), 1506-1526. </w:t>
      </w:r>
      <w:hyperlink r:id="rId10" w:history="1">
        <w:r>
          <w:rPr>
            <w:rStyle w:val="Hyperlink"/>
            <w:rFonts w:ascii="Arial" w:hAnsi="Arial" w:cs="Arial"/>
            <w:shd w:val="clear" w:color="auto" w:fill="FFFFFF"/>
          </w:rPr>
          <w:t>https://doi.org/10.1177/19322968231190941</w:t>
        </w:r>
      </w:hyperlink>
    </w:p>
    <w:p w14:paraId="0628BEC6" w14:textId="77777777" w:rsidR="001C61B1" w:rsidRDefault="00BB24A0">
      <w:pPr>
        <w:rPr>
          <w:rFonts w:ascii="Arial" w:hAnsi="Arial" w:cs="Arial"/>
          <w:shd w:val="clear" w:color="auto" w:fill="FFFFFF"/>
        </w:rPr>
      </w:pPr>
      <w:r>
        <w:rPr>
          <w:rFonts w:ascii="Arial" w:hAnsi="Arial" w:cs="Arial"/>
          <w:shd w:val="clear" w:color="auto" w:fill="FFFFFF"/>
        </w:rPr>
        <w:t xml:space="preserve">Gavin III, J. R., and Bailey, C. J. (2023). Continuous glucose monitoring impact and implications of real-world evidence: past, present, and future. </w:t>
      </w:r>
      <w:r>
        <w:rPr>
          <w:rFonts w:ascii="Arial" w:hAnsi="Arial" w:cs="Arial"/>
          <w:i/>
          <w:iCs/>
          <w:shd w:val="clear" w:color="auto" w:fill="FFFFFF"/>
        </w:rPr>
        <w:t>Diabetes technology &amp; therapeutics</w:t>
      </w:r>
      <w:r>
        <w:rPr>
          <w:rFonts w:ascii="Arial" w:hAnsi="Arial" w:cs="Arial"/>
          <w:shd w:val="clear" w:color="auto" w:fill="FFFFFF"/>
        </w:rPr>
        <w:t xml:space="preserve">, </w:t>
      </w:r>
      <w:r>
        <w:rPr>
          <w:rFonts w:ascii="Arial" w:hAnsi="Arial" w:cs="Arial"/>
          <w:i/>
          <w:iCs/>
          <w:shd w:val="clear" w:color="auto" w:fill="FFFFFF"/>
        </w:rPr>
        <w:t>25</w:t>
      </w:r>
      <w:r>
        <w:rPr>
          <w:rFonts w:ascii="Arial" w:hAnsi="Arial" w:cs="Arial"/>
          <w:shd w:val="clear" w:color="auto" w:fill="FFFFFF"/>
        </w:rPr>
        <w:t xml:space="preserve">(3_suppl), S-5. </w:t>
      </w:r>
      <w:hyperlink r:id="rId11" w:history="1">
        <w:r>
          <w:rPr>
            <w:rStyle w:val="Hyperlink"/>
            <w:rFonts w:ascii="Arial" w:hAnsi="Arial" w:cs="Arial"/>
            <w:shd w:val="clear" w:color="auto" w:fill="FFFFFF"/>
          </w:rPr>
          <w:t>https://doi.org/10.1089/dia.2023.0057</w:t>
        </w:r>
      </w:hyperlink>
    </w:p>
    <w:p w14:paraId="5DDD81A3" w14:textId="77777777" w:rsidR="001C61B1" w:rsidRDefault="00BB24A0">
      <w:pPr>
        <w:rPr>
          <w:rFonts w:ascii="Arial" w:hAnsi="Arial" w:cs="Arial"/>
          <w:shd w:val="clear" w:color="auto" w:fill="FFFFFF"/>
        </w:rPr>
      </w:pPr>
      <w:r>
        <w:rPr>
          <w:rFonts w:ascii="Arial" w:hAnsi="Arial" w:cs="Arial"/>
          <w:shd w:val="clear" w:color="auto" w:fill="FFFFFF"/>
        </w:rPr>
        <w:t xml:space="preserve">Gov UK. (2022). </w:t>
      </w:r>
      <w:r>
        <w:rPr>
          <w:rFonts w:ascii="Arial" w:hAnsi="Arial" w:cs="Arial"/>
          <w:i/>
          <w:shd w:val="clear" w:color="auto" w:fill="FFFFFF"/>
        </w:rPr>
        <w:t>A plan for digital health and social care</w:t>
      </w:r>
      <w:r>
        <w:rPr>
          <w:rFonts w:ascii="Arial" w:hAnsi="Arial" w:cs="Arial"/>
          <w:shd w:val="clear" w:color="auto" w:fill="FFFFFF"/>
        </w:rPr>
        <w:t>. Accessed through: &lt; https://www.gov.uk/government/publications/a-plan-for-digital-health-and-social-care/a-plan-for-digital-health-and-social-care &gt; (Accessed on: 06.10.2026)</w:t>
      </w:r>
    </w:p>
    <w:p w14:paraId="17C18428" w14:textId="77777777" w:rsidR="001C61B1" w:rsidRDefault="00BB24A0">
      <w:pPr>
        <w:rPr>
          <w:rFonts w:ascii="Arial" w:hAnsi="Arial" w:cs="Arial"/>
          <w:shd w:val="clear" w:color="auto" w:fill="FFFFFF"/>
        </w:rPr>
      </w:pPr>
      <w:r>
        <w:rPr>
          <w:rFonts w:ascii="Arial" w:hAnsi="Arial" w:cs="Arial"/>
          <w:shd w:val="clear" w:color="auto" w:fill="FFFFFF"/>
        </w:rPr>
        <w:t xml:space="preserve">Gov UK. (2025). </w:t>
      </w:r>
      <w:r>
        <w:rPr>
          <w:rFonts w:ascii="Arial" w:hAnsi="Arial" w:cs="Arial"/>
          <w:i/>
          <w:shd w:val="clear" w:color="auto" w:fill="FFFFFF"/>
        </w:rPr>
        <w:t>Fit for the future: 10 Year Health Plan for England</w:t>
      </w:r>
      <w:r>
        <w:rPr>
          <w:rFonts w:ascii="Arial" w:hAnsi="Arial" w:cs="Arial"/>
          <w:shd w:val="clear" w:color="auto" w:fill="FFFFFF"/>
        </w:rPr>
        <w:t>. Accessed through: &lt; https://www.gov.uk/government/publications/10-year-health-plan-for-england-fit-for-the-future/fit-for-the-future-10-year-health-plan-for-england-accessible-version &gt; (Accessed on: 06.10.2026)</w:t>
      </w:r>
    </w:p>
    <w:p w14:paraId="461ACEB4" w14:textId="77777777" w:rsidR="001C61B1" w:rsidRDefault="00BB24A0">
      <w:pPr>
        <w:rPr>
          <w:rFonts w:ascii="Arial" w:hAnsi="Arial" w:cs="Arial"/>
          <w:shd w:val="clear" w:color="auto" w:fill="FFFFFF"/>
        </w:rPr>
      </w:pPr>
      <w:r>
        <w:rPr>
          <w:rFonts w:ascii="Arial" w:hAnsi="Arial" w:cs="Arial"/>
          <w:shd w:val="clear" w:color="auto" w:fill="FFFFFF"/>
        </w:rPr>
        <w:t xml:space="preserve">Independent. (2022). </w:t>
      </w:r>
      <w:r>
        <w:rPr>
          <w:rFonts w:ascii="Arial" w:hAnsi="Arial" w:cs="Arial"/>
          <w:i/>
          <w:shd w:val="clear" w:color="auto" w:fill="FFFFFF"/>
        </w:rPr>
        <w:t>Hundreds of thousands of diabetes patients now using ‘life-changing’ gadgets</w:t>
      </w:r>
      <w:r>
        <w:rPr>
          <w:rFonts w:ascii="Arial" w:hAnsi="Arial" w:cs="Arial"/>
          <w:shd w:val="clear" w:color="auto" w:fill="FFFFFF"/>
        </w:rPr>
        <w:t>. Accessed through: &lt; https://www.independent.co.uk/news/uk/nhs-england-steve-barclay-england-b2253891.html &gt; (Accessed on: 06.10.2026)</w:t>
      </w:r>
    </w:p>
    <w:p w14:paraId="5056FDD0" w14:textId="77777777" w:rsidR="001C61B1" w:rsidRDefault="00BB24A0">
      <w:pPr>
        <w:rPr>
          <w:rFonts w:ascii="Arial" w:hAnsi="Arial" w:cs="Arial"/>
          <w:shd w:val="clear" w:color="auto" w:fill="FFFFFF"/>
        </w:rPr>
      </w:pPr>
      <w:r>
        <w:rPr>
          <w:rFonts w:ascii="Arial" w:hAnsi="Arial" w:cs="Arial"/>
          <w:shd w:val="clear" w:color="auto" w:fill="FFFFFF"/>
        </w:rPr>
        <w:t xml:space="preserve">Isaacson, B., Kaufusi, S., Sorensen, J., Joy, E., Jones, C., Ingram, V., and Briesacher, M. (2022). Demonstrating the clinical impact of continuous glucose monitoring within an integrated healthcare delivery system. </w:t>
      </w:r>
      <w:r>
        <w:rPr>
          <w:rFonts w:ascii="Arial" w:hAnsi="Arial" w:cs="Arial"/>
          <w:i/>
          <w:iCs/>
          <w:shd w:val="clear" w:color="auto" w:fill="FFFFFF"/>
        </w:rPr>
        <w:t>Journal of diabetes science and technology</w:t>
      </w:r>
      <w:r>
        <w:rPr>
          <w:rFonts w:ascii="Arial" w:hAnsi="Arial" w:cs="Arial"/>
          <w:shd w:val="clear" w:color="auto" w:fill="FFFFFF"/>
        </w:rPr>
        <w:t xml:space="preserve">, </w:t>
      </w:r>
      <w:r>
        <w:rPr>
          <w:rFonts w:ascii="Arial" w:hAnsi="Arial" w:cs="Arial"/>
          <w:i/>
          <w:iCs/>
          <w:shd w:val="clear" w:color="auto" w:fill="FFFFFF"/>
        </w:rPr>
        <w:t>16</w:t>
      </w:r>
      <w:r>
        <w:rPr>
          <w:rFonts w:ascii="Arial" w:hAnsi="Arial" w:cs="Arial"/>
          <w:shd w:val="clear" w:color="auto" w:fill="FFFFFF"/>
        </w:rPr>
        <w:t>(2), 383-389. https://doi.org/10.1177/1932296820955228</w:t>
      </w:r>
    </w:p>
    <w:p w14:paraId="32A76420" w14:textId="77777777" w:rsidR="001C61B1" w:rsidRDefault="00BB24A0">
      <w:pPr>
        <w:rPr>
          <w:rFonts w:ascii="Arial" w:hAnsi="Arial" w:cs="Arial"/>
          <w:shd w:val="clear" w:color="auto" w:fill="FFFFFF"/>
        </w:rPr>
      </w:pPr>
      <w:r>
        <w:rPr>
          <w:rFonts w:ascii="Arial" w:hAnsi="Arial" w:cs="Arial"/>
          <w:shd w:val="clear" w:color="auto" w:fill="FFFFFF"/>
        </w:rPr>
        <w:t xml:space="preserve">Legislation UK. (2018). </w:t>
      </w:r>
      <w:r>
        <w:rPr>
          <w:rFonts w:ascii="Arial" w:hAnsi="Arial" w:cs="Arial"/>
          <w:i/>
          <w:shd w:val="clear" w:color="auto" w:fill="FFFFFF"/>
        </w:rPr>
        <w:t>Data Protection Act 2018</w:t>
      </w:r>
      <w:r>
        <w:rPr>
          <w:rFonts w:ascii="Arial" w:hAnsi="Arial" w:cs="Arial"/>
          <w:shd w:val="clear" w:color="auto" w:fill="FFFFFF"/>
        </w:rPr>
        <w:t>. Accessed through: &lt; https://www.legislation.gov.uk/ukpga/2018/12/contents &gt; (Accessed on: 06.10.2026)</w:t>
      </w:r>
    </w:p>
    <w:p w14:paraId="23211866" w14:textId="77777777" w:rsidR="001C61B1" w:rsidRDefault="00BB24A0">
      <w:pPr>
        <w:rPr>
          <w:rFonts w:ascii="Arial" w:hAnsi="Arial" w:cs="Arial"/>
          <w:shd w:val="clear" w:color="auto" w:fill="FFFFFF"/>
        </w:rPr>
      </w:pPr>
      <w:r>
        <w:rPr>
          <w:rFonts w:ascii="Arial" w:hAnsi="Arial" w:cs="Arial"/>
          <w:shd w:val="clear" w:color="auto" w:fill="FFFFFF"/>
        </w:rPr>
        <w:t xml:space="preserve">Lewis, D. M., Oser, T. K., and Wheeler, B. J. (2023). Continuous glucose monitoring. </w:t>
      </w:r>
      <w:r>
        <w:rPr>
          <w:rFonts w:ascii="Arial" w:hAnsi="Arial" w:cs="Arial"/>
          <w:i/>
          <w:iCs/>
          <w:shd w:val="clear" w:color="auto" w:fill="FFFFFF"/>
        </w:rPr>
        <w:t>bmj</w:t>
      </w:r>
      <w:r>
        <w:rPr>
          <w:rFonts w:ascii="Arial" w:hAnsi="Arial" w:cs="Arial"/>
          <w:shd w:val="clear" w:color="auto" w:fill="FFFFFF"/>
        </w:rPr>
        <w:t xml:space="preserve">, </w:t>
      </w:r>
      <w:r>
        <w:rPr>
          <w:rFonts w:ascii="Arial" w:hAnsi="Arial" w:cs="Arial"/>
          <w:i/>
          <w:iCs/>
          <w:shd w:val="clear" w:color="auto" w:fill="FFFFFF"/>
        </w:rPr>
        <w:t>380</w:t>
      </w:r>
      <w:r>
        <w:rPr>
          <w:rFonts w:ascii="Arial" w:hAnsi="Arial" w:cs="Arial"/>
          <w:shd w:val="clear" w:color="auto" w:fill="FFFFFF"/>
        </w:rPr>
        <w:t>. https://doi.org/10.1136/bmj-2022-072420</w:t>
      </w:r>
    </w:p>
    <w:p w14:paraId="200B7407" w14:textId="77777777" w:rsidR="001C61B1" w:rsidRDefault="00BB24A0">
      <w:pPr>
        <w:rPr>
          <w:rFonts w:ascii="Arial" w:hAnsi="Arial" w:cs="Arial"/>
          <w:shd w:val="clear" w:color="auto" w:fill="FFFFFF"/>
        </w:rPr>
      </w:pPr>
      <w:r>
        <w:rPr>
          <w:rFonts w:ascii="Arial" w:hAnsi="Arial" w:cs="Arial"/>
          <w:shd w:val="clear" w:color="auto" w:fill="FFFFFF"/>
        </w:rPr>
        <w:t>NHS England. (2024). ANNUAL REPORT 2023-2024 CVD, Respiratory, Diabetes and Renal Clinical Networks. Accessed through: &lt; https://www.england.nhs.uk/east-of-england/wp-content/uploads/sites/47/2025/09/ANNUAL-REPORT-2023-24-FINAL.pdf &gt; (Accessed on: 06.10.2026)</w:t>
      </w:r>
    </w:p>
    <w:p w14:paraId="531944A9" w14:textId="77777777" w:rsidR="001C61B1" w:rsidRDefault="00BB24A0">
      <w:pPr>
        <w:rPr>
          <w:rFonts w:ascii="Arial" w:hAnsi="Arial" w:cs="Arial"/>
          <w:shd w:val="clear" w:color="auto" w:fill="FFFFFF"/>
        </w:rPr>
      </w:pPr>
      <w:r>
        <w:rPr>
          <w:rFonts w:ascii="Arial" w:hAnsi="Arial" w:cs="Arial"/>
          <w:shd w:val="clear" w:color="auto" w:fill="FFFFFF"/>
        </w:rPr>
        <w:t xml:space="preserve">Olamoyegun, M. A., Olamoyegun, O. D., Akinlade, A. T., Saliu, O. O., and Adeyemi, T. A. (2026). Use of continuous glucose monitoring (CGM) in diabetes management in Africa: opportunities, challenges, and future prospects. </w:t>
      </w:r>
      <w:r>
        <w:rPr>
          <w:rFonts w:ascii="Arial" w:hAnsi="Arial" w:cs="Arial"/>
          <w:i/>
          <w:iCs/>
          <w:shd w:val="clear" w:color="auto" w:fill="FFFFFF"/>
        </w:rPr>
        <w:t>Cardiovascular Diabetology–Endocrinology Reports</w:t>
      </w:r>
      <w:r>
        <w:rPr>
          <w:rFonts w:ascii="Arial" w:hAnsi="Arial" w:cs="Arial"/>
          <w:shd w:val="clear" w:color="auto" w:fill="FFFFFF"/>
        </w:rPr>
        <w:t xml:space="preserve">, </w:t>
      </w:r>
      <w:r>
        <w:rPr>
          <w:rFonts w:ascii="Arial" w:hAnsi="Arial" w:cs="Arial"/>
          <w:i/>
          <w:iCs/>
          <w:shd w:val="clear" w:color="auto" w:fill="FFFFFF"/>
        </w:rPr>
        <w:t>12</w:t>
      </w:r>
      <w:r>
        <w:rPr>
          <w:rFonts w:ascii="Arial" w:hAnsi="Arial" w:cs="Arial"/>
          <w:shd w:val="clear" w:color="auto" w:fill="FFFFFF"/>
        </w:rPr>
        <w:t>(1), 41. https://doi.org/10.1186/s40842-026-00310-7</w:t>
      </w:r>
    </w:p>
    <w:p w14:paraId="25F6F36D" w14:textId="77777777" w:rsidR="001C61B1" w:rsidRDefault="001C61B1">
      <w:pPr>
        <w:rPr>
          <w:rFonts w:ascii="Arial" w:hAnsi="Arial" w:cs="Arial"/>
          <w:lang w:val="en-IN" w:eastAsia="en-IN"/>
        </w:rPr>
      </w:pPr>
    </w:p>
    <w:p w14:paraId="3D8D452E" w14:textId="77777777" w:rsidR="001C61B1" w:rsidRDefault="001C61B1">
      <w:pPr>
        <w:rPr>
          <w:rFonts w:ascii="Arial" w:hAnsi="Arial" w:cs="Arial"/>
        </w:rPr>
      </w:pPr>
    </w:p>
    <w:sectPr w:rsidR="001C61B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0A28D4" w14:textId="77777777" w:rsidR="00C10BBF" w:rsidRDefault="00C10BBF">
      <w:pPr>
        <w:spacing w:line="240" w:lineRule="auto"/>
      </w:pPr>
      <w:r>
        <w:separator/>
      </w:r>
    </w:p>
  </w:endnote>
  <w:endnote w:type="continuationSeparator" w:id="0">
    <w:p w14:paraId="01359BC4" w14:textId="77777777" w:rsidR="00C10BBF" w:rsidRDefault="00C10B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16751921"/>
      <w:docPartObj>
        <w:docPartGallery w:val="AutoText"/>
      </w:docPartObj>
    </w:sdtPr>
    <w:sdtEndPr/>
    <w:sdtContent>
      <w:p w14:paraId="275F6017" w14:textId="6B24FDC2" w:rsidR="001C61B1" w:rsidRDefault="00BB24A0">
        <w:pPr>
          <w:pStyle w:val="Footer"/>
          <w:jc w:val="right"/>
        </w:pPr>
        <w:r>
          <w:fldChar w:fldCharType="begin"/>
        </w:r>
        <w:r>
          <w:instrText xml:space="preserve"> PAGE   \* MERGEFORMAT </w:instrText>
        </w:r>
        <w:r>
          <w:fldChar w:fldCharType="separate"/>
        </w:r>
        <w:r w:rsidR="007D52FF">
          <w:rPr>
            <w:noProof/>
          </w:rPr>
          <w:t>3</w:t>
        </w:r>
        <w:r>
          <w:fldChar w:fldCharType="end"/>
        </w:r>
      </w:p>
    </w:sdtContent>
  </w:sdt>
  <w:p w14:paraId="7F60056C" w14:textId="77777777" w:rsidR="001C61B1" w:rsidRDefault="001C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567F77A" w14:textId="77777777" w:rsidR="00C10BBF" w:rsidRDefault="00C10BBF">
      <w:pPr>
        <w:spacing w:before="0" w:after="0"/>
      </w:pPr>
      <w:r>
        <w:separator/>
      </w:r>
    </w:p>
  </w:footnote>
  <w:footnote w:type="continuationSeparator" w:id="0">
    <w:p w14:paraId="1CB80796" w14:textId="77777777" w:rsidR="00C10BBF" w:rsidRDefault="00C10BBF">
      <w:pPr>
        <w:spacing w:before="0" w:after="0"/>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6061"/>
    <w:rsid w:val="000749BD"/>
    <w:rsid w:val="000A6599"/>
    <w:rsid w:val="000E6E3E"/>
    <w:rsid w:val="00121AF7"/>
    <w:rsid w:val="00147063"/>
    <w:rsid w:val="0016252D"/>
    <w:rsid w:val="00165F5D"/>
    <w:rsid w:val="001C61B1"/>
    <w:rsid w:val="001F7023"/>
    <w:rsid w:val="00205DBC"/>
    <w:rsid w:val="00210BB6"/>
    <w:rsid w:val="00255960"/>
    <w:rsid w:val="00257189"/>
    <w:rsid w:val="0026388E"/>
    <w:rsid w:val="00267238"/>
    <w:rsid w:val="00286D83"/>
    <w:rsid w:val="002A48D9"/>
    <w:rsid w:val="002C0D47"/>
    <w:rsid w:val="002C6C61"/>
    <w:rsid w:val="00307A99"/>
    <w:rsid w:val="003D15DE"/>
    <w:rsid w:val="0040138A"/>
    <w:rsid w:val="00405302"/>
    <w:rsid w:val="00413F3B"/>
    <w:rsid w:val="00431621"/>
    <w:rsid w:val="00442D3C"/>
    <w:rsid w:val="00451108"/>
    <w:rsid w:val="00474AC6"/>
    <w:rsid w:val="004D2287"/>
    <w:rsid w:val="005363D5"/>
    <w:rsid w:val="00544A39"/>
    <w:rsid w:val="005C2E2B"/>
    <w:rsid w:val="005C751E"/>
    <w:rsid w:val="005E7369"/>
    <w:rsid w:val="00647C2C"/>
    <w:rsid w:val="00695420"/>
    <w:rsid w:val="00697BE8"/>
    <w:rsid w:val="006D72EA"/>
    <w:rsid w:val="006F34EA"/>
    <w:rsid w:val="00701EF2"/>
    <w:rsid w:val="007168E1"/>
    <w:rsid w:val="00724C35"/>
    <w:rsid w:val="00727945"/>
    <w:rsid w:val="00762092"/>
    <w:rsid w:val="00767856"/>
    <w:rsid w:val="00787DE5"/>
    <w:rsid w:val="00793BBC"/>
    <w:rsid w:val="007D469F"/>
    <w:rsid w:val="007D52FF"/>
    <w:rsid w:val="008149C6"/>
    <w:rsid w:val="008337D5"/>
    <w:rsid w:val="00836FFA"/>
    <w:rsid w:val="008675E5"/>
    <w:rsid w:val="008939E6"/>
    <w:rsid w:val="008F02F3"/>
    <w:rsid w:val="00925E9D"/>
    <w:rsid w:val="009559F8"/>
    <w:rsid w:val="00957E35"/>
    <w:rsid w:val="00960E9A"/>
    <w:rsid w:val="009A4601"/>
    <w:rsid w:val="009B3ADB"/>
    <w:rsid w:val="009E09C2"/>
    <w:rsid w:val="009E41DD"/>
    <w:rsid w:val="00A234E4"/>
    <w:rsid w:val="00A318A8"/>
    <w:rsid w:val="00A45BF3"/>
    <w:rsid w:val="00AF6A9C"/>
    <w:rsid w:val="00B07C8E"/>
    <w:rsid w:val="00B30179"/>
    <w:rsid w:val="00B5175E"/>
    <w:rsid w:val="00BB24A0"/>
    <w:rsid w:val="00BC5CD0"/>
    <w:rsid w:val="00BD4D8B"/>
    <w:rsid w:val="00BD622D"/>
    <w:rsid w:val="00BD71FC"/>
    <w:rsid w:val="00C103B8"/>
    <w:rsid w:val="00C10BBF"/>
    <w:rsid w:val="00C14637"/>
    <w:rsid w:val="00C3392B"/>
    <w:rsid w:val="00C42179"/>
    <w:rsid w:val="00CC5CA1"/>
    <w:rsid w:val="00CE0EB7"/>
    <w:rsid w:val="00D156BA"/>
    <w:rsid w:val="00D47CF1"/>
    <w:rsid w:val="00D654C8"/>
    <w:rsid w:val="00D7022A"/>
    <w:rsid w:val="00D93537"/>
    <w:rsid w:val="00E624F3"/>
    <w:rsid w:val="00ED41E3"/>
    <w:rsid w:val="00EE7D2F"/>
    <w:rsid w:val="00EF5B22"/>
    <w:rsid w:val="00F16069"/>
    <w:rsid w:val="00F56775"/>
    <w:rsid w:val="00F64F0B"/>
    <w:rsid w:val="00FA4409"/>
    <w:rsid w:val="00FA4CDD"/>
    <w:rsid w:val="00FA609E"/>
    <w:rsid w:val="00FD6061"/>
    <w:rsid w:val="00FE4691"/>
    <w:rsid w:val="11DD7ADE"/>
    <w:rsid w:val="219815B4"/>
    <w:rsid w:val="61DC6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C5FBD"/>
  <w15:docId w15:val="{3EE5712F-521C-411C-8215-0B60D4E9D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jc w:val="both"/>
    </w:pPr>
    <w:rPr>
      <w:rFonts w:ascii="Times New Roman" w:hAnsi="Times New Roman"/>
      <w:sz w:val="22"/>
      <w:szCs w:val="22"/>
      <w:lang w:val="en-GB" w:eastAsia="en-US"/>
    </w:rPr>
  </w:style>
  <w:style w:type="paragraph" w:styleId="Heading1">
    <w:name w:val="heading 1"/>
    <w:basedOn w:val="Normal"/>
    <w:next w:val="Normal"/>
    <w:link w:val="Heading1Char"/>
    <w:autoRedefine/>
    <w:uiPriority w:val="9"/>
    <w:qFormat/>
    <w:pPr>
      <w:keepNext/>
      <w:keepLines/>
      <w:spacing w:before="600" w:after="24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pPr>
      <w:keepNext/>
      <w:keepLines/>
      <w:outlineLvl w:val="1"/>
    </w:pPr>
    <w:rPr>
      <w:rFonts w:eastAsiaTheme="majorEastAsia" w:cstheme="majorBidi"/>
      <w:bCs/>
      <w:color w:val="000000" w:themeColor="text1"/>
      <w:sz w:val="26"/>
      <w:szCs w:val="26"/>
      <w:u w:val="single"/>
    </w:rPr>
  </w:style>
  <w:style w:type="paragraph" w:styleId="Heading3">
    <w:name w:val="heading 3"/>
    <w:basedOn w:val="Normal"/>
    <w:next w:val="Normal"/>
    <w:link w:val="Heading3Char"/>
    <w:autoRedefine/>
    <w:uiPriority w:val="9"/>
    <w:semiHidden/>
    <w:unhideWhenUsed/>
    <w:qFormat/>
    <w:pPr>
      <w:keepNext/>
      <w:keepLines/>
      <w:spacing w:before="0" w:after="0"/>
      <w:outlineLvl w:val="2"/>
    </w:pPr>
    <w:rPr>
      <w:rFonts w:asciiTheme="majorHAnsi" w:eastAsiaTheme="majorEastAsia" w:hAnsiTheme="majorHAnsi"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jc w:val="left"/>
    </w:pPr>
  </w:style>
  <w:style w:type="paragraph" w:styleId="Footer">
    <w:name w:val="footer"/>
    <w:basedOn w:val="Normal"/>
    <w:link w:val="FooterChar"/>
    <w:uiPriority w:val="99"/>
    <w:unhideWhenUsed/>
    <w:pPr>
      <w:tabs>
        <w:tab w:val="center" w:pos="4513"/>
        <w:tab w:val="right" w:pos="9026"/>
      </w:tabs>
      <w:spacing w:before="0" w:after="0" w:line="240" w:lineRule="auto"/>
    </w:pPr>
  </w:style>
  <w:style w:type="paragraph" w:styleId="Header">
    <w:name w:val="header"/>
    <w:basedOn w:val="Normal"/>
    <w:link w:val="HeaderChar"/>
    <w:uiPriority w:val="99"/>
    <w:unhideWhenUsed/>
    <w:pPr>
      <w:tabs>
        <w:tab w:val="center" w:pos="4513"/>
        <w:tab w:val="right" w:pos="9026"/>
      </w:tabs>
      <w:spacing w:before="0" w:after="0" w:line="240" w:lineRule="auto"/>
    </w:pPr>
  </w:style>
  <w:style w:type="character" w:styleId="Hyperlink">
    <w:name w:val="Hyperlink"/>
    <w:basedOn w:val="DefaultParagraphFont"/>
    <w:uiPriority w:val="99"/>
    <w:unhideWhenUsed/>
    <w:rPr>
      <w:color w:val="0000FF" w:themeColor="hyperlink"/>
      <w:u w:val="single"/>
    </w:rPr>
  </w:style>
  <w:style w:type="paragraph" w:styleId="Title">
    <w:name w:val="Title"/>
    <w:basedOn w:val="Normal"/>
    <w:next w:val="Normal"/>
    <w:link w:val="TitleChar"/>
    <w:autoRedefine/>
    <w:uiPriority w:val="10"/>
    <w:qFormat/>
    <w:pPr>
      <w:pBdr>
        <w:bottom w:val="single" w:sz="8" w:space="4" w:color="4F81BD" w:themeColor="accent1"/>
      </w:pBdr>
      <w:spacing w:before="0" w:after="300"/>
      <w:contextualSpacing/>
    </w:pPr>
    <w:rPr>
      <w:rFonts w:eastAsiaTheme="majorEastAsia" w:cstheme="majorBidi"/>
      <w:color w:val="000000" w:themeColor="text1"/>
      <w:spacing w:val="5"/>
      <w:kern w:val="28"/>
      <w:sz w:val="52"/>
      <w:szCs w:val="52"/>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Cs/>
      <w:color w:val="000000" w:themeColor="text1"/>
      <w:sz w:val="26"/>
      <w:szCs w:val="26"/>
      <w:u w:val="single"/>
    </w:rPr>
  </w:style>
  <w:style w:type="character" w:customStyle="1" w:styleId="TitleChar">
    <w:name w:val="Title Char"/>
    <w:basedOn w:val="DefaultParagraphFont"/>
    <w:link w:val="Title"/>
    <w:uiPriority w:val="10"/>
    <w:rPr>
      <w:rFonts w:ascii="Times New Roman" w:eastAsiaTheme="majorEastAsia" w:hAnsi="Times New Roman" w:cstheme="majorBidi"/>
      <w:color w:val="000000" w:themeColor="text1"/>
      <w:spacing w:val="5"/>
      <w:kern w:val="28"/>
      <w:sz w:val="52"/>
      <w:szCs w:val="52"/>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Cs/>
      <w:i/>
      <w:color w:val="000000" w:themeColor="text1"/>
      <w:sz w:val="24"/>
    </w:r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bCs w:val="0"/>
      <w:color w:val="365F91" w:themeColor="accent1" w:themeShade="BF"/>
      <w:sz w:val="32"/>
      <w:szCs w:val="32"/>
      <w:lang w:val="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D72EA"/>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72EA"/>
    <w:rPr>
      <w:rFonts w:ascii="Segoe UI" w:hAnsi="Segoe UI" w:cs="Segoe UI"/>
      <w:sz w:val="18"/>
      <w:szCs w:val="18"/>
      <w:lang w:val="en-GB" w:eastAsia="en-US"/>
    </w:rPr>
  </w:style>
  <w:style w:type="paragraph" w:styleId="CommentSubject">
    <w:name w:val="annotation subject"/>
    <w:basedOn w:val="CommentText"/>
    <w:next w:val="CommentText"/>
    <w:link w:val="CommentSubjectChar"/>
    <w:uiPriority w:val="99"/>
    <w:semiHidden/>
    <w:unhideWhenUsed/>
    <w:rsid w:val="00B5175E"/>
    <w:pPr>
      <w:spacing w:line="240" w:lineRule="auto"/>
      <w:jc w:val="both"/>
    </w:pPr>
    <w:rPr>
      <w:b/>
      <w:bCs/>
      <w:sz w:val="20"/>
      <w:szCs w:val="20"/>
    </w:rPr>
  </w:style>
  <w:style w:type="character" w:customStyle="1" w:styleId="CommentTextChar">
    <w:name w:val="Comment Text Char"/>
    <w:basedOn w:val="DefaultParagraphFont"/>
    <w:link w:val="CommentText"/>
    <w:uiPriority w:val="99"/>
    <w:semiHidden/>
    <w:rsid w:val="00B5175E"/>
    <w:rPr>
      <w:rFonts w:ascii="Times New Roman" w:hAnsi="Times New Roman"/>
      <w:sz w:val="22"/>
      <w:szCs w:val="22"/>
      <w:lang w:val="en-GB" w:eastAsia="en-US"/>
    </w:rPr>
  </w:style>
  <w:style w:type="character" w:customStyle="1" w:styleId="CommentSubjectChar">
    <w:name w:val="Comment Subject Char"/>
    <w:basedOn w:val="CommentTextChar"/>
    <w:link w:val="CommentSubject"/>
    <w:uiPriority w:val="99"/>
    <w:semiHidden/>
    <w:rsid w:val="00B5175E"/>
    <w:rPr>
      <w:rFonts w:ascii="Times New Roman" w:hAnsi="Times New Roman"/>
      <w:b/>
      <w:bCs/>
      <w:sz w:val="22"/>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89/dia.2023.061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diabres.2022.10982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9/dia.2023.0057" TargetMode="External"/><Relationship Id="rId5" Type="http://schemas.openxmlformats.org/officeDocument/2006/relationships/footnotes" Target="footnotes.xml"/><Relationship Id="rId10" Type="http://schemas.openxmlformats.org/officeDocument/2006/relationships/hyperlink" Target="https://doi.org/10.1177/19322968231190941" TargetMode="External"/><Relationship Id="rId4" Type="http://schemas.openxmlformats.org/officeDocument/2006/relationships/webSettings" Target="webSettings.xml"/><Relationship Id="rId9" Type="http://schemas.openxmlformats.org/officeDocument/2006/relationships/hyperlink" Target="https://doi.org/10.1016/j.technovation.2023.1027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21673-D865-4491-84F7-5610D012CB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2871</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Kallo (2333623)</cp:lastModifiedBy>
  <cp:revision>2</cp:revision>
  <dcterms:created xsi:type="dcterms:W3CDTF">2026-10-18T13:17:00Z</dcterms:created>
  <dcterms:modified xsi:type="dcterms:W3CDTF">2026-10-18T13:17:00Z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9f27364f368f2c4857b7c5b0a86650225d30139dc2c2d187474bc31d113ed388</vt:lpwstr>
  </property>
  <property fmtid="{D5CDD505-2E9C-101B-9397-08002B2CF9AE}" pid="3" name="KSOProductBuildVer">
    <vt:lpwstr>2057-12.2.0.23206</vt:lpwstr>
  </property>
  <property fmtid="{D5CDD505-2E9C-101B-9397-08002B2CF9AE}" pid="4" name="ICV">
    <vt:lpwstr>12B2D40646EF42E39CD06C596A899EFE_12</vt:lpwstr>
  </property>
</Properties>
</file>