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B6E9C0" w14:textId="77777777" w:rsidR="005F6E3B" w:rsidRDefault="005F6E3B" w:rsidP="005F6E3B">
      <w:pPr>
        <w:pStyle w:val="Title"/>
        <w:spacing w:line="360" w:lineRule="auto"/>
        <w:jc w:val="center"/>
        <w:rPr>
          <w:rFonts w:ascii="Arial" w:hAnsi="Arial" w:cs="Arial"/>
        </w:rPr>
      </w:pPr>
      <w:r>
        <w:rPr>
          <w:noProof/>
          <w:sz w:val="20"/>
        </w:rPr>
        <w:drawing>
          <wp:inline distT="0" distB="0" distL="0" distR="0" wp14:anchorId="399AD0F1" wp14:editId="034E8CF0">
            <wp:extent cx="1816607" cy="637031"/>
            <wp:effectExtent l="0" t="0" r="0" b="0"/>
            <wp:docPr id="240834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1816607" cy="637031"/>
                    </a:xfrm>
                    <a:prstGeom prst="rect">
                      <a:avLst/>
                    </a:prstGeom>
                  </pic:spPr>
                </pic:pic>
              </a:graphicData>
            </a:graphic>
          </wp:inline>
        </w:drawing>
      </w:r>
    </w:p>
    <w:p w14:paraId="273274D8" w14:textId="77777777" w:rsidR="005F6E3B" w:rsidRDefault="005F6E3B" w:rsidP="005F6E3B">
      <w:pPr>
        <w:pStyle w:val="Title"/>
        <w:spacing w:line="360" w:lineRule="auto"/>
        <w:rPr>
          <w:rFonts w:ascii="Arial"/>
          <w:b/>
          <w:sz w:val="22"/>
        </w:rPr>
      </w:pPr>
    </w:p>
    <w:p w14:paraId="2330130E" w14:textId="77777777" w:rsidR="00EC3E1D" w:rsidRPr="000D16B1" w:rsidRDefault="00EC3E1D" w:rsidP="005F6E3B">
      <w:pPr>
        <w:spacing w:after="60" w:line="360" w:lineRule="auto"/>
        <w:jc w:val="center"/>
        <w:rPr>
          <w:rFonts w:cs="Arial"/>
        </w:rPr>
      </w:pPr>
      <w:r w:rsidRPr="000D16B1">
        <w:rPr>
          <w:rFonts w:cs="Arial"/>
          <w:b/>
          <w:bCs/>
          <w:color w:val="1F4E78"/>
          <w:sz w:val="32"/>
          <w:szCs w:val="32"/>
        </w:rPr>
        <w:t>HYATT HOTELS CORPORATION</w:t>
      </w:r>
    </w:p>
    <w:p w14:paraId="0657D608" w14:textId="77777777" w:rsidR="00EC3E1D" w:rsidRPr="000D16B1" w:rsidRDefault="00EC3E1D" w:rsidP="005F6E3B">
      <w:pPr>
        <w:spacing w:after="60" w:line="360" w:lineRule="auto"/>
        <w:jc w:val="center"/>
        <w:rPr>
          <w:rFonts w:cs="Arial"/>
        </w:rPr>
      </w:pPr>
      <w:r w:rsidRPr="000D16B1">
        <w:rPr>
          <w:rFonts w:cs="Arial"/>
          <w:b/>
          <w:bCs/>
          <w:szCs w:val="24"/>
        </w:rPr>
        <w:t>Key Financial Ratio Analysis — Fiscal Years 2020–2024</w:t>
      </w:r>
    </w:p>
    <w:p w14:paraId="72BAB17E" w14:textId="12ACE1B9" w:rsidR="000D16B1" w:rsidRDefault="00EC3E1D" w:rsidP="005F6E3B">
      <w:pPr>
        <w:spacing w:after="300" w:line="360" w:lineRule="auto"/>
        <w:jc w:val="center"/>
        <w:rPr>
          <w:rFonts w:cs="Arial"/>
          <w:i/>
          <w:iCs/>
          <w:color w:val="808080"/>
        </w:rPr>
      </w:pPr>
      <w:r w:rsidRPr="000D16B1">
        <w:rPr>
          <w:rFonts w:cs="Arial"/>
          <w:i/>
          <w:iCs/>
          <w:color w:val="808080"/>
        </w:rPr>
        <w:t>Profitability, Liquidity, Efficiency, and Leverage Ratios, with Explanations Sourced from Hyatt's FY2020–FY2024 Form 10-K Filings</w:t>
      </w:r>
    </w:p>
    <w:p w14:paraId="797B69C7" w14:textId="292035D2" w:rsidR="005F6E3B" w:rsidRPr="005F6E3B" w:rsidRDefault="005F6E3B" w:rsidP="005F6E3B">
      <w:pPr>
        <w:pStyle w:val="Title"/>
        <w:spacing w:line="360" w:lineRule="auto"/>
        <w:rPr>
          <w:rFonts w:ascii="Arial"/>
          <w:bCs/>
          <w:spacing w:val="-2"/>
          <w:sz w:val="28"/>
          <w:szCs w:val="28"/>
        </w:rPr>
      </w:pPr>
      <w:r w:rsidRPr="003A4F70">
        <w:rPr>
          <w:rFonts w:ascii="Arial"/>
          <w:b/>
          <w:sz w:val="28"/>
          <w:szCs w:val="28"/>
        </w:rPr>
        <w:t>Student</w:t>
      </w:r>
      <w:r w:rsidRPr="003A4F70">
        <w:rPr>
          <w:rFonts w:ascii="Arial"/>
          <w:b/>
          <w:spacing w:val="-3"/>
          <w:sz w:val="28"/>
          <w:szCs w:val="28"/>
        </w:rPr>
        <w:t xml:space="preserve"> </w:t>
      </w:r>
      <w:r w:rsidRPr="003A4F70">
        <w:rPr>
          <w:rFonts w:ascii="Arial"/>
          <w:b/>
          <w:spacing w:val="-2"/>
          <w:sz w:val="28"/>
          <w:szCs w:val="28"/>
        </w:rPr>
        <w:t>name:</w:t>
      </w:r>
      <w:r w:rsidRPr="005F6E3B">
        <w:t xml:space="preserve"> </w:t>
      </w:r>
      <w:r w:rsidRPr="005F6E3B">
        <w:rPr>
          <w:rFonts w:ascii="Arial"/>
          <w:bCs/>
          <w:spacing w:val="-2"/>
          <w:sz w:val="28"/>
          <w:szCs w:val="28"/>
        </w:rPr>
        <w:t>Tarjan Bhandari</w:t>
      </w:r>
    </w:p>
    <w:p w14:paraId="0E95F387" w14:textId="159E80CB" w:rsidR="005F6E3B" w:rsidRPr="003A4F70" w:rsidRDefault="005F6E3B" w:rsidP="005F6E3B">
      <w:pPr>
        <w:pStyle w:val="TableParagraph"/>
        <w:spacing w:before="120" w:line="360" w:lineRule="auto"/>
        <w:rPr>
          <w:rFonts w:ascii="Arial"/>
          <w:b/>
          <w:sz w:val="28"/>
          <w:szCs w:val="28"/>
        </w:rPr>
      </w:pPr>
      <w:r w:rsidRPr="003A4F70">
        <w:rPr>
          <w:rFonts w:ascii="Arial"/>
          <w:b/>
          <w:sz w:val="28"/>
          <w:szCs w:val="28"/>
        </w:rPr>
        <w:t>Student</w:t>
      </w:r>
      <w:r w:rsidRPr="003A4F70">
        <w:rPr>
          <w:rFonts w:ascii="Arial"/>
          <w:b/>
          <w:spacing w:val="-3"/>
          <w:sz w:val="28"/>
          <w:szCs w:val="28"/>
        </w:rPr>
        <w:t xml:space="preserve"> </w:t>
      </w:r>
      <w:r w:rsidRPr="003A4F70">
        <w:rPr>
          <w:rFonts w:ascii="Arial"/>
          <w:b/>
          <w:sz w:val="28"/>
          <w:szCs w:val="28"/>
        </w:rPr>
        <w:t xml:space="preserve">ID </w:t>
      </w:r>
      <w:r w:rsidRPr="003A4F70">
        <w:rPr>
          <w:rFonts w:ascii="Arial"/>
          <w:b/>
          <w:spacing w:val="-2"/>
          <w:sz w:val="28"/>
          <w:szCs w:val="28"/>
        </w:rPr>
        <w:t>number:</w:t>
      </w:r>
      <w:r>
        <w:rPr>
          <w:rFonts w:ascii="Arial"/>
          <w:b/>
          <w:spacing w:val="-2"/>
          <w:sz w:val="28"/>
          <w:szCs w:val="28"/>
        </w:rPr>
        <w:t xml:space="preserve"> </w:t>
      </w:r>
      <w:r w:rsidRPr="005F6E3B">
        <w:rPr>
          <w:rFonts w:ascii="Arial"/>
          <w:bCs/>
          <w:spacing w:val="-2"/>
          <w:sz w:val="28"/>
          <w:szCs w:val="28"/>
        </w:rPr>
        <w:t>2542504</w:t>
      </w:r>
    </w:p>
    <w:p w14:paraId="29AC3BD0" w14:textId="77777777" w:rsidR="005F6E3B" w:rsidRPr="003A4F70" w:rsidRDefault="005F6E3B" w:rsidP="005F6E3B">
      <w:pPr>
        <w:pStyle w:val="TableParagraph"/>
        <w:spacing w:before="120" w:line="360" w:lineRule="auto"/>
        <w:rPr>
          <w:rFonts w:ascii="Arial"/>
          <w:b/>
          <w:sz w:val="28"/>
          <w:szCs w:val="28"/>
        </w:rPr>
      </w:pPr>
      <w:proofErr w:type="spellStart"/>
      <w:r w:rsidRPr="003A4F70">
        <w:rPr>
          <w:rFonts w:ascii="Arial"/>
          <w:b/>
          <w:spacing w:val="-2"/>
          <w:sz w:val="28"/>
          <w:szCs w:val="28"/>
        </w:rPr>
        <w:t>Programme</w:t>
      </w:r>
      <w:proofErr w:type="spellEnd"/>
      <w:r w:rsidRPr="003A4F70">
        <w:rPr>
          <w:rFonts w:ascii="Arial"/>
          <w:b/>
          <w:spacing w:val="-2"/>
          <w:sz w:val="28"/>
          <w:szCs w:val="28"/>
        </w:rPr>
        <w:t>:</w:t>
      </w:r>
      <w:r w:rsidRPr="003A4F70">
        <w:rPr>
          <w:rFonts w:ascii="Arial"/>
          <w:b/>
          <w:sz w:val="28"/>
          <w:szCs w:val="28"/>
        </w:rPr>
        <w:t xml:space="preserve"> </w:t>
      </w:r>
      <w:r w:rsidRPr="003A4F70">
        <w:rPr>
          <w:rFonts w:ascii="Arial"/>
          <w:bCs/>
          <w:sz w:val="28"/>
          <w:szCs w:val="28"/>
        </w:rPr>
        <w:t>Master</w:t>
      </w:r>
      <w:r w:rsidRPr="003A4F70">
        <w:rPr>
          <w:rFonts w:ascii="Arial"/>
          <w:bCs/>
          <w:spacing w:val="-2"/>
          <w:sz w:val="28"/>
          <w:szCs w:val="28"/>
        </w:rPr>
        <w:t xml:space="preserve"> </w:t>
      </w:r>
      <w:r w:rsidRPr="003A4F70">
        <w:rPr>
          <w:rFonts w:ascii="Arial"/>
          <w:bCs/>
          <w:sz w:val="28"/>
          <w:szCs w:val="28"/>
        </w:rPr>
        <w:t>of</w:t>
      </w:r>
      <w:r w:rsidRPr="003A4F70">
        <w:rPr>
          <w:rFonts w:ascii="Arial"/>
          <w:bCs/>
          <w:spacing w:val="-5"/>
          <w:sz w:val="28"/>
          <w:szCs w:val="28"/>
        </w:rPr>
        <w:t xml:space="preserve"> </w:t>
      </w:r>
      <w:r w:rsidRPr="003A4F70">
        <w:rPr>
          <w:rFonts w:ascii="Arial"/>
          <w:bCs/>
          <w:sz w:val="28"/>
          <w:szCs w:val="28"/>
        </w:rPr>
        <w:t>Business</w:t>
      </w:r>
      <w:r w:rsidRPr="003A4F70">
        <w:rPr>
          <w:rFonts w:ascii="Arial"/>
          <w:bCs/>
          <w:spacing w:val="-5"/>
          <w:sz w:val="28"/>
          <w:szCs w:val="28"/>
        </w:rPr>
        <w:t xml:space="preserve"> </w:t>
      </w:r>
      <w:r w:rsidRPr="003A4F70">
        <w:rPr>
          <w:rFonts w:ascii="Arial"/>
          <w:bCs/>
          <w:spacing w:val="-2"/>
          <w:sz w:val="28"/>
          <w:szCs w:val="28"/>
        </w:rPr>
        <w:t>Administration</w:t>
      </w:r>
    </w:p>
    <w:p w14:paraId="4F7F7620" w14:textId="77777777" w:rsidR="005F6E3B" w:rsidRPr="003A4F70" w:rsidRDefault="005F6E3B" w:rsidP="005F6E3B">
      <w:pPr>
        <w:spacing w:line="360" w:lineRule="auto"/>
        <w:rPr>
          <w:bCs/>
          <w:spacing w:val="-2"/>
          <w:sz w:val="28"/>
          <w:szCs w:val="28"/>
        </w:rPr>
      </w:pPr>
      <w:r w:rsidRPr="003A4F70">
        <w:rPr>
          <w:b/>
          <w:spacing w:val="-2"/>
          <w:sz w:val="28"/>
          <w:szCs w:val="28"/>
        </w:rPr>
        <w:t xml:space="preserve">Module: </w:t>
      </w:r>
      <w:r w:rsidRPr="003A4F70">
        <w:rPr>
          <w:bCs/>
          <w:sz w:val="28"/>
          <w:szCs w:val="28"/>
        </w:rPr>
        <w:t>Financial</w:t>
      </w:r>
      <w:r w:rsidRPr="003A4F70">
        <w:rPr>
          <w:bCs/>
          <w:spacing w:val="-7"/>
          <w:sz w:val="28"/>
          <w:szCs w:val="28"/>
        </w:rPr>
        <w:t xml:space="preserve"> </w:t>
      </w:r>
      <w:r w:rsidRPr="003A4F70">
        <w:rPr>
          <w:bCs/>
          <w:spacing w:val="-2"/>
          <w:sz w:val="28"/>
          <w:szCs w:val="28"/>
        </w:rPr>
        <w:t>Management</w:t>
      </w:r>
    </w:p>
    <w:p w14:paraId="67E3821D" w14:textId="77777777" w:rsidR="005F6E3B" w:rsidRPr="003A4F70" w:rsidRDefault="005F6E3B" w:rsidP="005F6E3B">
      <w:pPr>
        <w:spacing w:line="360" w:lineRule="auto"/>
        <w:rPr>
          <w:bCs/>
          <w:spacing w:val="-4"/>
          <w:sz w:val="28"/>
          <w:szCs w:val="28"/>
        </w:rPr>
      </w:pPr>
      <w:r w:rsidRPr="003A4F70">
        <w:rPr>
          <w:b/>
          <w:sz w:val="28"/>
          <w:szCs w:val="28"/>
        </w:rPr>
        <w:t>Module</w:t>
      </w:r>
      <w:r w:rsidRPr="003A4F70">
        <w:rPr>
          <w:b/>
          <w:spacing w:val="-4"/>
          <w:sz w:val="28"/>
          <w:szCs w:val="28"/>
        </w:rPr>
        <w:t xml:space="preserve"> code</w:t>
      </w:r>
      <w:r w:rsidRPr="003A4F70">
        <w:rPr>
          <w:bCs/>
          <w:spacing w:val="-4"/>
          <w:sz w:val="28"/>
          <w:szCs w:val="28"/>
        </w:rPr>
        <w:t xml:space="preserve">: </w:t>
      </w:r>
      <w:r w:rsidRPr="003A4F70">
        <w:rPr>
          <w:bCs/>
          <w:spacing w:val="-2"/>
          <w:sz w:val="28"/>
          <w:szCs w:val="28"/>
        </w:rPr>
        <w:t>LCMB7002</w:t>
      </w:r>
    </w:p>
    <w:p w14:paraId="1E03803C" w14:textId="77777777" w:rsidR="005F6E3B" w:rsidRPr="003A4F70" w:rsidRDefault="005F6E3B" w:rsidP="005F6E3B">
      <w:pPr>
        <w:spacing w:line="360" w:lineRule="auto"/>
        <w:rPr>
          <w:bCs/>
          <w:spacing w:val="-2"/>
          <w:sz w:val="28"/>
          <w:szCs w:val="28"/>
        </w:rPr>
      </w:pPr>
      <w:r w:rsidRPr="003A4F70">
        <w:rPr>
          <w:b/>
          <w:spacing w:val="-2"/>
          <w:sz w:val="28"/>
          <w:szCs w:val="28"/>
        </w:rPr>
        <w:t xml:space="preserve">Lecturer: </w:t>
      </w:r>
      <w:proofErr w:type="spellStart"/>
      <w:r w:rsidRPr="003A4F70">
        <w:rPr>
          <w:bCs/>
          <w:sz w:val="28"/>
          <w:szCs w:val="28"/>
        </w:rPr>
        <w:t>Shengfeng</w:t>
      </w:r>
      <w:proofErr w:type="spellEnd"/>
      <w:r w:rsidRPr="003A4F70">
        <w:rPr>
          <w:bCs/>
          <w:spacing w:val="-11"/>
          <w:sz w:val="28"/>
          <w:szCs w:val="28"/>
        </w:rPr>
        <w:t xml:space="preserve"> </w:t>
      </w:r>
      <w:r w:rsidRPr="003A4F70">
        <w:rPr>
          <w:bCs/>
          <w:sz w:val="28"/>
          <w:szCs w:val="28"/>
        </w:rPr>
        <w:t>Mei</w:t>
      </w:r>
    </w:p>
    <w:p w14:paraId="075B2E47" w14:textId="77777777" w:rsidR="005F6E3B" w:rsidRDefault="005F6E3B" w:rsidP="005F6E3B">
      <w:pPr>
        <w:spacing w:line="360" w:lineRule="auto"/>
        <w:rPr>
          <w:bCs/>
          <w:spacing w:val="-2"/>
          <w:sz w:val="28"/>
          <w:szCs w:val="28"/>
        </w:rPr>
      </w:pPr>
      <w:r w:rsidRPr="003A4F70">
        <w:rPr>
          <w:b/>
          <w:sz w:val="28"/>
          <w:szCs w:val="28"/>
        </w:rPr>
        <w:t>Assignment</w:t>
      </w:r>
      <w:r w:rsidRPr="003A4F70">
        <w:rPr>
          <w:b/>
          <w:spacing w:val="-8"/>
          <w:sz w:val="28"/>
          <w:szCs w:val="28"/>
        </w:rPr>
        <w:t xml:space="preserve"> </w:t>
      </w:r>
      <w:r w:rsidRPr="003A4F70">
        <w:rPr>
          <w:b/>
          <w:spacing w:val="-2"/>
          <w:sz w:val="28"/>
          <w:szCs w:val="28"/>
        </w:rPr>
        <w:t xml:space="preserve">Title:  </w:t>
      </w:r>
      <w:r w:rsidRPr="003A4F70">
        <w:rPr>
          <w:bCs/>
          <w:sz w:val="28"/>
          <w:szCs w:val="28"/>
        </w:rPr>
        <w:t>Assessment component: Financial</w:t>
      </w:r>
      <w:r w:rsidRPr="003A4F70">
        <w:rPr>
          <w:bCs/>
          <w:spacing w:val="-16"/>
          <w:sz w:val="28"/>
          <w:szCs w:val="28"/>
        </w:rPr>
        <w:t xml:space="preserve"> </w:t>
      </w:r>
      <w:r w:rsidRPr="003A4F70">
        <w:rPr>
          <w:bCs/>
          <w:sz w:val="28"/>
          <w:szCs w:val="28"/>
        </w:rPr>
        <w:t>performance</w:t>
      </w:r>
      <w:r w:rsidRPr="003A4F70">
        <w:rPr>
          <w:bCs/>
          <w:spacing w:val="-15"/>
          <w:sz w:val="28"/>
          <w:szCs w:val="28"/>
        </w:rPr>
        <w:t xml:space="preserve"> </w:t>
      </w:r>
      <w:r w:rsidRPr="003A4F70">
        <w:rPr>
          <w:bCs/>
          <w:sz w:val="28"/>
          <w:szCs w:val="28"/>
        </w:rPr>
        <w:t xml:space="preserve">and </w:t>
      </w:r>
      <w:r w:rsidRPr="003A4F70">
        <w:rPr>
          <w:bCs/>
          <w:spacing w:val="-2"/>
          <w:sz w:val="28"/>
          <w:szCs w:val="28"/>
        </w:rPr>
        <w:t>management</w:t>
      </w:r>
    </w:p>
    <w:p w14:paraId="62B43CC7" w14:textId="3D9FEB53" w:rsidR="002653EC" w:rsidRPr="002653EC" w:rsidRDefault="002653EC" w:rsidP="005F6E3B">
      <w:pPr>
        <w:spacing w:line="360" w:lineRule="auto"/>
        <w:rPr>
          <w:b/>
          <w:spacing w:val="-2"/>
          <w:sz w:val="28"/>
          <w:szCs w:val="28"/>
        </w:rPr>
      </w:pPr>
      <w:r w:rsidRPr="002653EC">
        <w:rPr>
          <w:b/>
          <w:spacing w:val="-2"/>
          <w:sz w:val="28"/>
          <w:szCs w:val="28"/>
        </w:rPr>
        <w:t>Word Count</w:t>
      </w:r>
      <w:r>
        <w:rPr>
          <w:b/>
          <w:spacing w:val="-2"/>
          <w:sz w:val="28"/>
          <w:szCs w:val="28"/>
        </w:rPr>
        <w:t xml:space="preserve">: </w:t>
      </w:r>
      <w:r w:rsidRPr="002653EC">
        <w:rPr>
          <w:bCs/>
          <w:spacing w:val="-2"/>
          <w:sz w:val="28"/>
          <w:szCs w:val="28"/>
        </w:rPr>
        <w:t>4811</w:t>
      </w:r>
    </w:p>
    <w:p w14:paraId="500B2146" w14:textId="2DAFDF07" w:rsidR="005F6E3B" w:rsidRPr="005F6E3B" w:rsidRDefault="005F6E3B" w:rsidP="005F6E3B">
      <w:pPr>
        <w:spacing w:line="360" w:lineRule="auto"/>
        <w:rPr>
          <w:bCs/>
          <w:spacing w:val="-2"/>
          <w:sz w:val="28"/>
          <w:szCs w:val="28"/>
        </w:rPr>
      </w:pPr>
      <w:r w:rsidRPr="003A4F70">
        <w:rPr>
          <w:b/>
          <w:spacing w:val="-2"/>
          <w:sz w:val="28"/>
          <w:szCs w:val="28"/>
        </w:rPr>
        <w:t xml:space="preserve">Submission deadline: </w:t>
      </w:r>
      <w:r w:rsidRPr="005F6E3B">
        <w:rPr>
          <w:bCs/>
          <w:spacing w:val="-2"/>
          <w:sz w:val="28"/>
          <w:szCs w:val="28"/>
        </w:rPr>
        <w:t>08/13/2026</w:t>
      </w:r>
    </w:p>
    <w:p w14:paraId="0157A282" w14:textId="77777777" w:rsidR="005F6E3B" w:rsidRDefault="005F6E3B" w:rsidP="005F6E3B">
      <w:pPr>
        <w:spacing w:line="360" w:lineRule="auto"/>
        <w:rPr>
          <w:b/>
          <w:spacing w:val="-2"/>
          <w:sz w:val="28"/>
          <w:szCs w:val="28"/>
        </w:rPr>
      </w:pPr>
    </w:p>
    <w:p w14:paraId="5B2E91E6" w14:textId="77777777" w:rsidR="005F6E3B" w:rsidRDefault="005F6E3B" w:rsidP="005F6E3B">
      <w:pPr>
        <w:spacing w:line="360" w:lineRule="auto"/>
        <w:rPr>
          <w:b/>
          <w:spacing w:val="-2"/>
          <w:sz w:val="28"/>
          <w:szCs w:val="28"/>
        </w:rPr>
      </w:pPr>
    </w:p>
    <w:p w14:paraId="2AC8150E" w14:textId="77777777" w:rsidR="005F6E3B" w:rsidRDefault="005F6E3B" w:rsidP="005F6E3B">
      <w:pPr>
        <w:spacing w:line="360" w:lineRule="auto"/>
        <w:rPr>
          <w:b/>
          <w:spacing w:val="-2"/>
          <w:sz w:val="28"/>
          <w:szCs w:val="28"/>
        </w:rPr>
      </w:pPr>
    </w:p>
    <w:p w14:paraId="1CB16FFC" w14:textId="77777777" w:rsidR="005F6E3B" w:rsidRDefault="005F6E3B" w:rsidP="005F6E3B">
      <w:pPr>
        <w:rPr>
          <w:b/>
          <w:spacing w:val="-2"/>
          <w:sz w:val="28"/>
          <w:szCs w:val="28"/>
        </w:rPr>
      </w:pPr>
    </w:p>
    <w:p w14:paraId="545836EF" w14:textId="77777777" w:rsidR="005F6E3B" w:rsidRDefault="005F6E3B" w:rsidP="005F6E3B">
      <w:pPr>
        <w:rPr>
          <w:b/>
          <w:spacing w:val="-2"/>
          <w:sz w:val="28"/>
          <w:szCs w:val="28"/>
        </w:rPr>
      </w:pPr>
    </w:p>
    <w:p w14:paraId="58197477" w14:textId="77777777" w:rsidR="005F6E3B" w:rsidRDefault="005F6E3B" w:rsidP="005F6E3B">
      <w:pPr>
        <w:rPr>
          <w:b/>
          <w:spacing w:val="-2"/>
          <w:sz w:val="28"/>
          <w:szCs w:val="28"/>
        </w:rPr>
      </w:pPr>
    </w:p>
    <w:p w14:paraId="04EEF54D" w14:textId="77777777" w:rsidR="005F6E3B" w:rsidRDefault="005F6E3B" w:rsidP="005F6E3B">
      <w:pPr>
        <w:rPr>
          <w:b/>
          <w:spacing w:val="-2"/>
          <w:sz w:val="28"/>
          <w:szCs w:val="28"/>
        </w:rPr>
      </w:pPr>
    </w:p>
    <w:p w14:paraId="2395FB23" w14:textId="77777777" w:rsidR="005F6E3B" w:rsidRDefault="005F6E3B" w:rsidP="005F6E3B">
      <w:pPr>
        <w:rPr>
          <w:b/>
          <w:spacing w:val="-2"/>
          <w:sz w:val="28"/>
          <w:szCs w:val="28"/>
        </w:rPr>
      </w:pPr>
    </w:p>
    <w:p w14:paraId="0F2531F8" w14:textId="77777777" w:rsidR="005F6E3B" w:rsidRDefault="005F6E3B" w:rsidP="005F6E3B">
      <w:pPr>
        <w:rPr>
          <w:b/>
          <w:spacing w:val="-2"/>
          <w:sz w:val="28"/>
          <w:szCs w:val="28"/>
        </w:rPr>
      </w:pPr>
    </w:p>
    <w:p w14:paraId="4D965BE1" w14:textId="77777777" w:rsidR="005F6E3B" w:rsidRDefault="005F6E3B" w:rsidP="005F6E3B">
      <w:pPr>
        <w:rPr>
          <w:b/>
          <w:spacing w:val="-2"/>
          <w:sz w:val="28"/>
          <w:szCs w:val="28"/>
        </w:rPr>
      </w:pPr>
    </w:p>
    <w:p w14:paraId="37E6C762" w14:textId="77777777" w:rsidR="005F6E3B" w:rsidRDefault="005F6E3B" w:rsidP="005F6E3B">
      <w:pPr>
        <w:rPr>
          <w:b/>
          <w:spacing w:val="-2"/>
          <w:sz w:val="28"/>
          <w:szCs w:val="28"/>
        </w:rPr>
      </w:pPr>
    </w:p>
    <w:p w14:paraId="489D4435" w14:textId="77777777" w:rsidR="005F6E3B" w:rsidRDefault="005F6E3B" w:rsidP="005F6E3B">
      <w:pPr>
        <w:rPr>
          <w:b/>
          <w:spacing w:val="-2"/>
          <w:sz w:val="28"/>
          <w:szCs w:val="28"/>
        </w:rPr>
      </w:pPr>
    </w:p>
    <w:p w14:paraId="5FE4EA9E" w14:textId="77777777" w:rsidR="005F6E3B" w:rsidRDefault="005F6E3B" w:rsidP="005F6E3B">
      <w:pPr>
        <w:rPr>
          <w:b/>
          <w:spacing w:val="-2"/>
          <w:sz w:val="28"/>
          <w:szCs w:val="28"/>
        </w:rPr>
      </w:pPr>
    </w:p>
    <w:p w14:paraId="4669A93E" w14:textId="77777777" w:rsidR="005F6E3B" w:rsidRDefault="005F6E3B" w:rsidP="005F6E3B">
      <w:pPr>
        <w:rPr>
          <w:b/>
          <w:spacing w:val="-2"/>
          <w:sz w:val="28"/>
          <w:szCs w:val="28"/>
        </w:rPr>
      </w:pPr>
    </w:p>
    <w:p w14:paraId="1F6BED1D" w14:textId="77777777" w:rsidR="005F6E3B" w:rsidRDefault="005F6E3B" w:rsidP="005F6E3B">
      <w:pPr>
        <w:rPr>
          <w:b/>
          <w:spacing w:val="-2"/>
          <w:sz w:val="28"/>
          <w:szCs w:val="28"/>
        </w:rPr>
      </w:pPr>
    </w:p>
    <w:p w14:paraId="245AFA29" w14:textId="77777777" w:rsidR="005F6E3B" w:rsidRPr="00D92BF9" w:rsidRDefault="005F6E3B" w:rsidP="005F6E3B">
      <w:pPr>
        <w:rPr>
          <w:sz w:val="28"/>
          <w:szCs w:val="28"/>
        </w:rPr>
      </w:pPr>
    </w:p>
    <w:p w14:paraId="0D5C214B" w14:textId="56085F35" w:rsidR="000D16B1" w:rsidRDefault="000D16B1">
      <w:pPr>
        <w:spacing w:before="240" w:line="360" w:lineRule="auto"/>
        <w:jc w:val="both"/>
        <w:rPr>
          <w:rFonts w:cs="Arial"/>
          <w:i/>
          <w:iCs/>
          <w:color w:val="808080"/>
        </w:rPr>
      </w:pPr>
    </w:p>
    <w:sdt>
      <w:sdtPr>
        <w:rPr>
          <w:rFonts w:ascii="Arial" w:eastAsia="Times New Roman" w:hAnsi="Arial" w:cs="Times New Roman"/>
          <w:color w:val="auto"/>
          <w:sz w:val="24"/>
          <w:szCs w:val="20"/>
          <w:lang w:val="en-IN" w:eastAsia="en-IN" w:bidi="ne-NP"/>
        </w:rPr>
        <w:id w:val="2090113360"/>
        <w:docPartObj>
          <w:docPartGallery w:val="Table of Contents"/>
          <w:docPartUnique/>
        </w:docPartObj>
      </w:sdtPr>
      <w:sdtEndPr>
        <w:rPr>
          <w:b/>
          <w:bCs/>
          <w:noProof/>
        </w:rPr>
      </w:sdtEndPr>
      <w:sdtContent>
        <w:p w14:paraId="2AC64DF4" w14:textId="5345FD6A" w:rsidR="000D16B1" w:rsidRDefault="000D16B1">
          <w:pPr>
            <w:pStyle w:val="TOCHeading"/>
          </w:pPr>
          <w:r>
            <w:t>Table of Contents</w:t>
          </w:r>
        </w:p>
        <w:p w14:paraId="2A108AF6" w14:textId="58BCE911" w:rsidR="000D16B1" w:rsidRDefault="000D16B1">
          <w:pPr>
            <w:pStyle w:val="TOC1"/>
            <w:tabs>
              <w:tab w:val="right" w:leader="dot" w:pos="10430"/>
            </w:tabs>
            <w:rPr>
              <w:rFonts w:asciiTheme="minorHAnsi" w:eastAsiaTheme="minorEastAsia" w:hAnsiTheme="minorHAnsi" w:cstheme="minorBidi"/>
              <w:noProof/>
              <w:kern w:val="2"/>
              <w:szCs w:val="24"/>
              <w:lang w:val="en-US" w:eastAsia="en-US" w:bidi="ar-SA"/>
              <w14:ligatures w14:val="standardContextual"/>
            </w:rPr>
          </w:pPr>
          <w:r>
            <w:fldChar w:fldCharType="begin"/>
          </w:r>
          <w:r>
            <w:instrText xml:space="preserve"> TOC \o "1-3" \h \z \u </w:instrText>
          </w:r>
          <w:r>
            <w:fldChar w:fldCharType="separate"/>
          </w:r>
          <w:hyperlink w:anchor="_Toc237455732" w:history="1">
            <w:r w:rsidRPr="006F5623">
              <w:rPr>
                <w:rStyle w:val="Hyperlink"/>
                <w:rFonts w:cs="Arial"/>
                <w:noProof/>
              </w:rPr>
              <w:t>1. Profitability Ratios</w:t>
            </w:r>
            <w:r>
              <w:rPr>
                <w:noProof/>
                <w:webHidden/>
              </w:rPr>
              <w:tab/>
            </w:r>
            <w:r>
              <w:rPr>
                <w:noProof/>
                <w:webHidden/>
              </w:rPr>
              <w:fldChar w:fldCharType="begin"/>
            </w:r>
            <w:r>
              <w:rPr>
                <w:noProof/>
                <w:webHidden/>
              </w:rPr>
              <w:instrText xml:space="preserve"> PAGEREF _Toc237455732 \h </w:instrText>
            </w:r>
            <w:r>
              <w:rPr>
                <w:noProof/>
                <w:webHidden/>
              </w:rPr>
            </w:r>
            <w:r>
              <w:rPr>
                <w:noProof/>
                <w:webHidden/>
              </w:rPr>
              <w:fldChar w:fldCharType="separate"/>
            </w:r>
            <w:r>
              <w:rPr>
                <w:noProof/>
                <w:webHidden/>
              </w:rPr>
              <w:t>4</w:t>
            </w:r>
            <w:r>
              <w:rPr>
                <w:noProof/>
                <w:webHidden/>
              </w:rPr>
              <w:fldChar w:fldCharType="end"/>
            </w:r>
          </w:hyperlink>
        </w:p>
        <w:p w14:paraId="57AFBEC1" w14:textId="365A9085" w:rsidR="000D16B1" w:rsidRDefault="000D16B1">
          <w:pPr>
            <w:pStyle w:val="TOC2"/>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33" w:history="1">
            <w:r w:rsidRPr="006F5623">
              <w:rPr>
                <w:rStyle w:val="Hyperlink"/>
                <w:rFonts w:cs="Arial"/>
                <w:noProof/>
              </w:rPr>
              <w:t>Key Changes &amp; Reasons</w:t>
            </w:r>
            <w:r>
              <w:rPr>
                <w:noProof/>
                <w:webHidden/>
              </w:rPr>
              <w:tab/>
            </w:r>
            <w:r>
              <w:rPr>
                <w:noProof/>
                <w:webHidden/>
              </w:rPr>
              <w:fldChar w:fldCharType="begin"/>
            </w:r>
            <w:r>
              <w:rPr>
                <w:noProof/>
                <w:webHidden/>
              </w:rPr>
              <w:instrText xml:space="preserve"> PAGEREF _Toc237455733 \h </w:instrText>
            </w:r>
            <w:r>
              <w:rPr>
                <w:noProof/>
                <w:webHidden/>
              </w:rPr>
            </w:r>
            <w:r>
              <w:rPr>
                <w:noProof/>
                <w:webHidden/>
              </w:rPr>
              <w:fldChar w:fldCharType="separate"/>
            </w:r>
            <w:r>
              <w:rPr>
                <w:noProof/>
                <w:webHidden/>
              </w:rPr>
              <w:t>4</w:t>
            </w:r>
            <w:r>
              <w:rPr>
                <w:noProof/>
                <w:webHidden/>
              </w:rPr>
              <w:fldChar w:fldCharType="end"/>
            </w:r>
          </w:hyperlink>
        </w:p>
        <w:p w14:paraId="0C35E595" w14:textId="4B789AD3" w:rsidR="000D16B1" w:rsidRDefault="000D16B1">
          <w:pPr>
            <w:pStyle w:val="TOC1"/>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34" w:history="1">
            <w:r w:rsidRPr="006F5623">
              <w:rPr>
                <w:rStyle w:val="Hyperlink"/>
                <w:rFonts w:cs="Arial"/>
                <w:noProof/>
              </w:rPr>
              <w:t>2. Liquidity Ratios</w:t>
            </w:r>
            <w:r>
              <w:rPr>
                <w:noProof/>
                <w:webHidden/>
              </w:rPr>
              <w:tab/>
            </w:r>
            <w:r>
              <w:rPr>
                <w:noProof/>
                <w:webHidden/>
              </w:rPr>
              <w:fldChar w:fldCharType="begin"/>
            </w:r>
            <w:r>
              <w:rPr>
                <w:noProof/>
                <w:webHidden/>
              </w:rPr>
              <w:instrText xml:space="preserve"> PAGEREF _Toc237455734 \h </w:instrText>
            </w:r>
            <w:r>
              <w:rPr>
                <w:noProof/>
                <w:webHidden/>
              </w:rPr>
            </w:r>
            <w:r>
              <w:rPr>
                <w:noProof/>
                <w:webHidden/>
              </w:rPr>
              <w:fldChar w:fldCharType="separate"/>
            </w:r>
            <w:r>
              <w:rPr>
                <w:noProof/>
                <w:webHidden/>
              </w:rPr>
              <w:t>5</w:t>
            </w:r>
            <w:r>
              <w:rPr>
                <w:noProof/>
                <w:webHidden/>
              </w:rPr>
              <w:fldChar w:fldCharType="end"/>
            </w:r>
          </w:hyperlink>
        </w:p>
        <w:p w14:paraId="0AB53516" w14:textId="481AD72F" w:rsidR="000D16B1" w:rsidRDefault="000D16B1">
          <w:pPr>
            <w:pStyle w:val="TOC2"/>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35" w:history="1">
            <w:r w:rsidRPr="006F5623">
              <w:rPr>
                <w:rStyle w:val="Hyperlink"/>
                <w:rFonts w:cs="Arial"/>
                <w:noProof/>
              </w:rPr>
              <w:t>Key Changes &amp; Reasons</w:t>
            </w:r>
            <w:r>
              <w:rPr>
                <w:noProof/>
                <w:webHidden/>
              </w:rPr>
              <w:tab/>
            </w:r>
            <w:r>
              <w:rPr>
                <w:noProof/>
                <w:webHidden/>
              </w:rPr>
              <w:fldChar w:fldCharType="begin"/>
            </w:r>
            <w:r>
              <w:rPr>
                <w:noProof/>
                <w:webHidden/>
              </w:rPr>
              <w:instrText xml:space="preserve"> PAGEREF _Toc237455735 \h </w:instrText>
            </w:r>
            <w:r>
              <w:rPr>
                <w:noProof/>
                <w:webHidden/>
              </w:rPr>
            </w:r>
            <w:r>
              <w:rPr>
                <w:noProof/>
                <w:webHidden/>
              </w:rPr>
              <w:fldChar w:fldCharType="separate"/>
            </w:r>
            <w:r>
              <w:rPr>
                <w:noProof/>
                <w:webHidden/>
              </w:rPr>
              <w:t>5</w:t>
            </w:r>
            <w:r>
              <w:rPr>
                <w:noProof/>
                <w:webHidden/>
              </w:rPr>
              <w:fldChar w:fldCharType="end"/>
            </w:r>
          </w:hyperlink>
        </w:p>
        <w:p w14:paraId="64C24A0F" w14:textId="3B350F82" w:rsidR="000D16B1" w:rsidRDefault="000D16B1">
          <w:pPr>
            <w:pStyle w:val="TOC1"/>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36" w:history="1">
            <w:r w:rsidRPr="006F5623">
              <w:rPr>
                <w:rStyle w:val="Hyperlink"/>
                <w:rFonts w:cs="Arial"/>
                <w:noProof/>
              </w:rPr>
              <w:t>3. Efficiency Ratios</w:t>
            </w:r>
            <w:r>
              <w:rPr>
                <w:noProof/>
                <w:webHidden/>
              </w:rPr>
              <w:tab/>
            </w:r>
            <w:r>
              <w:rPr>
                <w:noProof/>
                <w:webHidden/>
              </w:rPr>
              <w:fldChar w:fldCharType="begin"/>
            </w:r>
            <w:r>
              <w:rPr>
                <w:noProof/>
                <w:webHidden/>
              </w:rPr>
              <w:instrText xml:space="preserve"> PAGEREF _Toc237455736 \h </w:instrText>
            </w:r>
            <w:r>
              <w:rPr>
                <w:noProof/>
                <w:webHidden/>
              </w:rPr>
            </w:r>
            <w:r>
              <w:rPr>
                <w:noProof/>
                <w:webHidden/>
              </w:rPr>
              <w:fldChar w:fldCharType="separate"/>
            </w:r>
            <w:r>
              <w:rPr>
                <w:noProof/>
                <w:webHidden/>
              </w:rPr>
              <w:t>6</w:t>
            </w:r>
            <w:r>
              <w:rPr>
                <w:noProof/>
                <w:webHidden/>
              </w:rPr>
              <w:fldChar w:fldCharType="end"/>
            </w:r>
          </w:hyperlink>
        </w:p>
        <w:p w14:paraId="0C9FFCB7" w14:textId="1D083BC3" w:rsidR="000D16B1" w:rsidRDefault="000D16B1">
          <w:pPr>
            <w:pStyle w:val="TOC2"/>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37" w:history="1">
            <w:r w:rsidRPr="006F5623">
              <w:rPr>
                <w:rStyle w:val="Hyperlink"/>
                <w:rFonts w:cs="Arial"/>
                <w:noProof/>
              </w:rPr>
              <w:t>Key Changes &amp; Reasons</w:t>
            </w:r>
            <w:r>
              <w:rPr>
                <w:noProof/>
                <w:webHidden/>
              </w:rPr>
              <w:tab/>
            </w:r>
            <w:r>
              <w:rPr>
                <w:noProof/>
                <w:webHidden/>
              </w:rPr>
              <w:fldChar w:fldCharType="begin"/>
            </w:r>
            <w:r>
              <w:rPr>
                <w:noProof/>
                <w:webHidden/>
              </w:rPr>
              <w:instrText xml:space="preserve"> PAGEREF _Toc237455737 \h </w:instrText>
            </w:r>
            <w:r>
              <w:rPr>
                <w:noProof/>
                <w:webHidden/>
              </w:rPr>
            </w:r>
            <w:r>
              <w:rPr>
                <w:noProof/>
                <w:webHidden/>
              </w:rPr>
              <w:fldChar w:fldCharType="separate"/>
            </w:r>
            <w:r>
              <w:rPr>
                <w:noProof/>
                <w:webHidden/>
              </w:rPr>
              <w:t>6</w:t>
            </w:r>
            <w:r>
              <w:rPr>
                <w:noProof/>
                <w:webHidden/>
              </w:rPr>
              <w:fldChar w:fldCharType="end"/>
            </w:r>
          </w:hyperlink>
        </w:p>
        <w:p w14:paraId="70AEB518" w14:textId="19E1DBC0" w:rsidR="000D16B1" w:rsidRDefault="000D16B1">
          <w:pPr>
            <w:pStyle w:val="TOC1"/>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38" w:history="1">
            <w:r w:rsidRPr="006F5623">
              <w:rPr>
                <w:rStyle w:val="Hyperlink"/>
                <w:rFonts w:cs="Arial"/>
                <w:noProof/>
              </w:rPr>
              <w:t>4. Leverage Ratios</w:t>
            </w:r>
            <w:r>
              <w:rPr>
                <w:noProof/>
                <w:webHidden/>
              </w:rPr>
              <w:tab/>
            </w:r>
            <w:r>
              <w:rPr>
                <w:noProof/>
                <w:webHidden/>
              </w:rPr>
              <w:fldChar w:fldCharType="begin"/>
            </w:r>
            <w:r>
              <w:rPr>
                <w:noProof/>
                <w:webHidden/>
              </w:rPr>
              <w:instrText xml:space="preserve"> PAGEREF _Toc237455738 \h </w:instrText>
            </w:r>
            <w:r>
              <w:rPr>
                <w:noProof/>
                <w:webHidden/>
              </w:rPr>
            </w:r>
            <w:r>
              <w:rPr>
                <w:noProof/>
                <w:webHidden/>
              </w:rPr>
              <w:fldChar w:fldCharType="separate"/>
            </w:r>
            <w:r>
              <w:rPr>
                <w:noProof/>
                <w:webHidden/>
              </w:rPr>
              <w:t>6</w:t>
            </w:r>
            <w:r>
              <w:rPr>
                <w:noProof/>
                <w:webHidden/>
              </w:rPr>
              <w:fldChar w:fldCharType="end"/>
            </w:r>
          </w:hyperlink>
        </w:p>
        <w:p w14:paraId="796657E5" w14:textId="19D80B73" w:rsidR="000D16B1" w:rsidRDefault="000D16B1">
          <w:pPr>
            <w:pStyle w:val="TOC2"/>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39" w:history="1">
            <w:r w:rsidRPr="006F5623">
              <w:rPr>
                <w:rStyle w:val="Hyperlink"/>
                <w:rFonts w:cs="Arial"/>
                <w:noProof/>
              </w:rPr>
              <w:t>Key Changes &amp; Reasons</w:t>
            </w:r>
            <w:r>
              <w:rPr>
                <w:noProof/>
                <w:webHidden/>
              </w:rPr>
              <w:tab/>
            </w:r>
            <w:r>
              <w:rPr>
                <w:noProof/>
                <w:webHidden/>
              </w:rPr>
              <w:fldChar w:fldCharType="begin"/>
            </w:r>
            <w:r>
              <w:rPr>
                <w:noProof/>
                <w:webHidden/>
              </w:rPr>
              <w:instrText xml:space="preserve"> PAGEREF _Toc237455739 \h </w:instrText>
            </w:r>
            <w:r>
              <w:rPr>
                <w:noProof/>
                <w:webHidden/>
              </w:rPr>
            </w:r>
            <w:r>
              <w:rPr>
                <w:noProof/>
                <w:webHidden/>
              </w:rPr>
              <w:fldChar w:fldCharType="separate"/>
            </w:r>
            <w:r>
              <w:rPr>
                <w:noProof/>
                <w:webHidden/>
              </w:rPr>
              <w:t>6</w:t>
            </w:r>
            <w:r>
              <w:rPr>
                <w:noProof/>
                <w:webHidden/>
              </w:rPr>
              <w:fldChar w:fldCharType="end"/>
            </w:r>
          </w:hyperlink>
        </w:p>
        <w:p w14:paraId="6646E7E5" w14:textId="662485CD" w:rsidR="000D16B1" w:rsidRDefault="000D16B1">
          <w:pPr>
            <w:pStyle w:val="TOC1"/>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40" w:history="1">
            <w:r w:rsidRPr="006F5623">
              <w:rPr>
                <w:rStyle w:val="Hyperlink"/>
                <w:rFonts w:cs="Arial"/>
                <w:noProof/>
              </w:rPr>
              <w:t>Bottom Line</w:t>
            </w:r>
            <w:r>
              <w:rPr>
                <w:noProof/>
                <w:webHidden/>
              </w:rPr>
              <w:tab/>
            </w:r>
            <w:r>
              <w:rPr>
                <w:noProof/>
                <w:webHidden/>
              </w:rPr>
              <w:fldChar w:fldCharType="begin"/>
            </w:r>
            <w:r>
              <w:rPr>
                <w:noProof/>
                <w:webHidden/>
              </w:rPr>
              <w:instrText xml:space="preserve"> PAGEREF _Toc237455740 \h </w:instrText>
            </w:r>
            <w:r>
              <w:rPr>
                <w:noProof/>
                <w:webHidden/>
              </w:rPr>
            </w:r>
            <w:r>
              <w:rPr>
                <w:noProof/>
                <w:webHidden/>
              </w:rPr>
              <w:fldChar w:fldCharType="separate"/>
            </w:r>
            <w:r>
              <w:rPr>
                <w:noProof/>
                <w:webHidden/>
              </w:rPr>
              <w:t>7</w:t>
            </w:r>
            <w:r>
              <w:rPr>
                <w:noProof/>
                <w:webHidden/>
              </w:rPr>
              <w:fldChar w:fldCharType="end"/>
            </w:r>
          </w:hyperlink>
        </w:p>
        <w:p w14:paraId="493B3833" w14:textId="57DD6A0F" w:rsidR="000D16B1" w:rsidRDefault="000D16B1">
          <w:pPr>
            <w:pStyle w:val="TOC1"/>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41" w:history="1">
            <w:r w:rsidRPr="006F5623">
              <w:rPr>
                <w:rStyle w:val="Hyperlink"/>
                <w:rFonts w:cs="Arial"/>
                <w:noProof/>
              </w:rPr>
              <w:t>Cash Conversion Cycle Analysis</w:t>
            </w:r>
            <w:r>
              <w:rPr>
                <w:noProof/>
                <w:webHidden/>
              </w:rPr>
              <w:tab/>
            </w:r>
            <w:r>
              <w:rPr>
                <w:noProof/>
                <w:webHidden/>
              </w:rPr>
              <w:fldChar w:fldCharType="begin"/>
            </w:r>
            <w:r>
              <w:rPr>
                <w:noProof/>
                <w:webHidden/>
              </w:rPr>
              <w:instrText xml:space="preserve"> PAGEREF _Toc237455741 \h </w:instrText>
            </w:r>
            <w:r>
              <w:rPr>
                <w:noProof/>
                <w:webHidden/>
              </w:rPr>
            </w:r>
            <w:r>
              <w:rPr>
                <w:noProof/>
                <w:webHidden/>
              </w:rPr>
              <w:fldChar w:fldCharType="separate"/>
            </w:r>
            <w:r>
              <w:rPr>
                <w:noProof/>
                <w:webHidden/>
              </w:rPr>
              <w:t>7</w:t>
            </w:r>
            <w:r>
              <w:rPr>
                <w:noProof/>
                <w:webHidden/>
              </w:rPr>
              <w:fldChar w:fldCharType="end"/>
            </w:r>
          </w:hyperlink>
        </w:p>
        <w:p w14:paraId="7FE7C79A" w14:textId="3764378E" w:rsidR="000D16B1" w:rsidRDefault="000D16B1">
          <w:pPr>
            <w:pStyle w:val="TOC1"/>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42" w:history="1">
            <w:r w:rsidRPr="006F5623">
              <w:rPr>
                <w:rStyle w:val="Hyperlink"/>
                <w:rFonts w:cs="Arial"/>
                <w:noProof/>
              </w:rPr>
              <w:t>1. Important note on the company identified</w:t>
            </w:r>
            <w:r>
              <w:rPr>
                <w:noProof/>
                <w:webHidden/>
              </w:rPr>
              <w:tab/>
            </w:r>
            <w:r>
              <w:rPr>
                <w:noProof/>
                <w:webHidden/>
              </w:rPr>
              <w:fldChar w:fldCharType="begin"/>
            </w:r>
            <w:r>
              <w:rPr>
                <w:noProof/>
                <w:webHidden/>
              </w:rPr>
              <w:instrText xml:space="preserve"> PAGEREF _Toc237455742 \h </w:instrText>
            </w:r>
            <w:r>
              <w:rPr>
                <w:noProof/>
                <w:webHidden/>
              </w:rPr>
            </w:r>
            <w:r>
              <w:rPr>
                <w:noProof/>
                <w:webHidden/>
              </w:rPr>
              <w:fldChar w:fldCharType="separate"/>
            </w:r>
            <w:r>
              <w:rPr>
                <w:noProof/>
                <w:webHidden/>
              </w:rPr>
              <w:t>8</w:t>
            </w:r>
            <w:r>
              <w:rPr>
                <w:noProof/>
                <w:webHidden/>
              </w:rPr>
              <w:fldChar w:fldCharType="end"/>
            </w:r>
          </w:hyperlink>
        </w:p>
        <w:p w14:paraId="79E15F4B" w14:textId="0AA2140D" w:rsidR="000D16B1" w:rsidRDefault="000D16B1">
          <w:pPr>
            <w:pStyle w:val="TOC1"/>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43" w:history="1">
            <w:r w:rsidRPr="006F5623">
              <w:rPr>
                <w:rStyle w:val="Hyperlink"/>
                <w:rFonts w:cs="Arial"/>
                <w:noProof/>
              </w:rPr>
              <w:t>2. Methodology</w:t>
            </w:r>
            <w:r>
              <w:rPr>
                <w:noProof/>
                <w:webHidden/>
              </w:rPr>
              <w:tab/>
            </w:r>
            <w:r>
              <w:rPr>
                <w:noProof/>
                <w:webHidden/>
              </w:rPr>
              <w:fldChar w:fldCharType="begin"/>
            </w:r>
            <w:r>
              <w:rPr>
                <w:noProof/>
                <w:webHidden/>
              </w:rPr>
              <w:instrText xml:space="preserve"> PAGEREF _Toc237455743 \h </w:instrText>
            </w:r>
            <w:r>
              <w:rPr>
                <w:noProof/>
                <w:webHidden/>
              </w:rPr>
            </w:r>
            <w:r>
              <w:rPr>
                <w:noProof/>
                <w:webHidden/>
              </w:rPr>
              <w:fldChar w:fldCharType="separate"/>
            </w:r>
            <w:r>
              <w:rPr>
                <w:noProof/>
                <w:webHidden/>
              </w:rPr>
              <w:t>8</w:t>
            </w:r>
            <w:r>
              <w:rPr>
                <w:noProof/>
                <w:webHidden/>
              </w:rPr>
              <w:fldChar w:fldCharType="end"/>
            </w:r>
          </w:hyperlink>
        </w:p>
        <w:p w14:paraId="5611C64B" w14:textId="07F41084" w:rsidR="000D16B1" w:rsidRDefault="000D16B1">
          <w:pPr>
            <w:pStyle w:val="TOC1"/>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44" w:history="1">
            <w:r w:rsidRPr="006F5623">
              <w:rPr>
                <w:rStyle w:val="Hyperlink"/>
                <w:rFonts w:cs="Arial"/>
                <w:noProof/>
              </w:rPr>
              <w:t>3. Source data extracted from the filings</w:t>
            </w:r>
            <w:r>
              <w:rPr>
                <w:noProof/>
                <w:webHidden/>
              </w:rPr>
              <w:tab/>
            </w:r>
            <w:r>
              <w:rPr>
                <w:noProof/>
                <w:webHidden/>
              </w:rPr>
              <w:fldChar w:fldCharType="begin"/>
            </w:r>
            <w:r>
              <w:rPr>
                <w:noProof/>
                <w:webHidden/>
              </w:rPr>
              <w:instrText xml:space="preserve"> PAGEREF _Toc237455744 \h </w:instrText>
            </w:r>
            <w:r>
              <w:rPr>
                <w:noProof/>
                <w:webHidden/>
              </w:rPr>
            </w:r>
            <w:r>
              <w:rPr>
                <w:noProof/>
                <w:webHidden/>
              </w:rPr>
              <w:fldChar w:fldCharType="separate"/>
            </w:r>
            <w:r>
              <w:rPr>
                <w:noProof/>
                <w:webHidden/>
              </w:rPr>
              <w:t>8</w:t>
            </w:r>
            <w:r>
              <w:rPr>
                <w:noProof/>
                <w:webHidden/>
              </w:rPr>
              <w:fldChar w:fldCharType="end"/>
            </w:r>
          </w:hyperlink>
        </w:p>
        <w:p w14:paraId="02F10371" w14:textId="27AAC07A" w:rsidR="000D16B1" w:rsidRDefault="000D16B1">
          <w:pPr>
            <w:pStyle w:val="TOC1"/>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45" w:history="1">
            <w:r w:rsidRPr="006F5623">
              <w:rPr>
                <w:rStyle w:val="Hyperlink"/>
                <w:rFonts w:cs="Arial"/>
                <w:noProof/>
              </w:rPr>
              <w:t>4. Workings — Step 1: average balances</w:t>
            </w:r>
            <w:r>
              <w:rPr>
                <w:noProof/>
                <w:webHidden/>
              </w:rPr>
              <w:tab/>
            </w:r>
            <w:r>
              <w:rPr>
                <w:noProof/>
                <w:webHidden/>
              </w:rPr>
              <w:fldChar w:fldCharType="begin"/>
            </w:r>
            <w:r>
              <w:rPr>
                <w:noProof/>
                <w:webHidden/>
              </w:rPr>
              <w:instrText xml:space="preserve"> PAGEREF _Toc237455745 \h </w:instrText>
            </w:r>
            <w:r>
              <w:rPr>
                <w:noProof/>
                <w:webHidden/>
              </w:rPr>
            </w:r>
            <w:r>
              <w:rPr>
                <w:noProof/>
                <w:webHidden/>
              </w:rPr>
              <w:fldChar w:fldCharType="separate"/>
            </w:r>
            <w:r>
              <w:rPr>
                <w:noProof/>
                <w:webHidden/>
              </w:rPr>
              <w:t>9</w:t>
            </w:r>
            <w:r>
              <w:rPr>
                <w:noProof/>
                <w:webHidden/>
              </w:rPr>
              <w:fldChar w:fldCharType="end"/>
            </w:r>
          </w:hyperlink>
        </w:p>
        <w:p w14:paraId="731DB182" w14:textId="089E17D0" w:rsidR="000D16B1" w:rsidRDefault="000D16B1">
          <w:pPr>
            <w:pStyle w:val="TOC2"/>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46" w:history="1">
            <w:r w:rsidRPr="006F5623">
              <w:rPr>
                <w:rStyle w:val="Hyperlink"/>
                <w:rFonts w:cs="Arial"/>
                <w:noProof/>
              </w:rPr>
              <w:t>5. Workings — Step 2: days outstanding and CCC (primary method)</w:t>
            </w:r>
            <w:r>
              <w:rPr>
                <w:noProof/>
                <w:webHidden/>
              </w:rPr>
              <w:tab/>
            </w:r>
            <w:r>
              <w:rPr>
                <w:noProof/>
                <w:webHidden/>
              </w:rPr>
              <w:fldChar w:fldCharType="begin"/>
            </w:r>
            <w:r>
              <w:rPr>
                <w:noProof/>
                <w:webHidden/>
              </w:rPr>
              <w:instrText xml:space="preserve"> PAGEREF _Toc237455746 \h </w:instrText>
            </w:r>
            <w:r>
              <w:rPr>
                <w:noProof/>
                <w:webHidden/>
              </w:rPr>
            </w:r>
            <w:r>
              <w:rPr>
                <w:noProof/>
                <w:webHidden/>
              </w:rPr>
              <w:fldChar w:fldCharType="separate"/>
            </w:r>
            <w:r>
              <w:rPr>
                <w:noProof/>
                <w:webHidden/>
              </w:rPr>
              <w:t>9</w:t>
            </w:r>
            <w:r>
              <w:rPr>
                <w:noProof/>
                <w:webHidden/>
              </w:rPr>
              <w:fldChar w:fldCharType="end"/>
            </w:r>
          </w:hyperlink>
        </w:p>
        <w:p w14:paraId="552FAF8E" w14:textId="2139230C" w:rsidR="000D16B1" w:rsidRDefault="000D16B1">
          <w:pPr>
            <w:pStyle w:val="TOC1"/>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47" w:history="1">
            <w:r w:rsidRPr="006F5623">
              <w:rPr>
                <w:rStyle w:val="Hyperlink"/>
                <w:rFonts w:cs="Arial"/>
                <w:noProof/>
              </w:rPr>
              <w:t>6. Double-check — alternative calculation using year-end balances only</w:t>
            </w:r>
            <w:r>
              <w:rPr>
                <w:noProof/>
                <w:webHidden/>
              </w:rPr>
              <w:tab/>
            </w:r>
            <w:r>
              <w:rPr>
                <w:noProof/>
                <w:webHidden/>
              </w:rPr>
              <w:fldChar w:fldCharType="begin"/>
            </w:r>
            <w:r>
              <w:rPr>
                <w:noProof/>
                <w:webHidden/>
              </w:rPr>
              <w:instrText xml:space="preserve"> PAGEREF _Toc237455747 \h </w:instrText>
            </w:r>
            <w:r>
              <w:rPr>
                <w:noProof/>
                <w:webHidden/>
              </w:rPr>
            </w:r>
            <w:r>
              <w:rPr>
                <w:noProof/>
                <w:webHidden/>
              </w:rPr>
              <w:fldChar w:fldCharType="separate"/>
            </w:r>
            <w:r>
              <w:rPr>
                <w:noProof/>
                <w:webHidden/>
              </w:rPr>
              <w:t>10</w:t>
            </w:r>
            <w:r>
              <w:rPr>
                <w:noProof/>
                <w:webHidden/>
              </w:rPr>
              <w:fldChar w:fldCharType="end"/>
            </w:r>
          </w:hyperlink>
        </w:p>
        <w:p w14:paraId="216EB793" w14:textId="7C70CE33" w:rsidR="000D16B1" w:rsidRDefault="000D16B1">
          <w:pPr>
            <w:pStyle w:val="TOC1"/>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48" w:history="1">
            <w:r w:rsidRPr="006F5623">
              <w:rPr>
                <w:rStyle w:val="Hyperlink"/>
                <w:rFonts w:cs="Arial"/>
                <w:noProof/>
              </w:rPr>
              <w:t>7. Summary — CCC by year (average-balance method)</w:t>
            </w:r>
            <w:r>
              <w:rPr>
                <w:noProof/>
                <w:webHidden/>
              </w:rPr>
              <w:tab/>
            </w:r>
            <w:r>
              <w:rPr>
                <w:noProof/>
                <w:webHidden/>
              </w:rPr>
              <w:fldChar w:fldCharType="begin"/>
            </w:r>
            <w:r>
              <w:rPr>
                <w:noProof/>
                <w:webHidden/>
              </w:rPr>
              <w:instrText xml:space="preserve"> PAGEREF _Toc237455748 \h </w:instrText>
            </w:r>
            <w:r>
              <w:rPr>
                <w:noProof/>
                <w:webHidden/>
              </w:rPr>
            </w:r>
            <w:r>
              <w:rPr>
                <w:noProof/>
                <w:webHidden/>
              </w:rPr>
              <w:fldChar w:fldCharType="separate"/>
            </w:r>
            <w:r>
              <w:rPr>
                <w:noProof/>
                <w:webHidden/>
              </w:rPr>
              <w:t>10</w:t>
            </w:r>
            <w:r>
              <w:rPr>
                <w:noProof/>
                <w:webHidden/>
              </w:rPr>
              <w:fldChar w:fldCharType="end"/>
            </w:r>
          </w:hyperlink>
        </w:p>
        <w:p w14:paraId="2F8545D7" w14:textId="2D7D8E27" w:rsidR="000D16B1" w:rsidRDefault="000D16B1">
          <w:pPr>
            <w:pStyle w:val="TOC1"/>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49" w:history="1">
            <w:r w:rsidRPr="006F5623">
              <w:rPr>
                <w:rStyle w:val="Hyperlink"/>
                <w:rFonts w:cs="Arial"/>
                <w:noProof/>
              </w:rPr>
              <w:t>8. Explanation of significant year-on-year changes</w:t>
            </w:r>
            <w:r>
              <w:rPr>
                <w:noProof/>
                <w:webHidden/>
              </w:rPr>
              <w:tab/>
            </w:r>
            <w:r>
              <w:rPr>
                <w:noProof/>
                <w:webHidden/>
              </w:rPr>
              <w:fldChar w:fldCharType="begin"/>
            </w:r>
            <w:r>
              <w:rPr>
                <w:noProof/>
                <w:webHidden/>
              </w:rPr>
              <w:instrText xml:space="preserve"> PAGEREF _Toc237455749 \h </w:instrText>
            </w:r>
            <w:r>
              <w:rPr>
                <w:noProof/>
                <w:webHidden/>
              </w:rPr>
            </w:r>
            <w:r>
              <w:rPr>
                <w:noProof/>
                <w:webHidden/>
              </w:rPr>
              <w:fldChar w:fldCharType="separate"/>
            </w:r>
            <w:r>
              <w:rPr>
                <w:noProof/>
                <w:webHidden/>
              </w:rPr>
              <w:t>11</w:t>
            </w:r>
            <w:r>
              <w:rPr>
                <w:noProof/>
                <w:webHidden/>
              </w:rPr>
              <w:fldChar w:fldCharType="end"/>
            </w:r>
          </w:hyperlink>
        </w:p>
        <w:p w14:paraId="26D50EDE" w14:textId="0F97C9F7" w:rsidR="000D16B1" w:rsidRDefault="000D16B1">
          <w:pPr>
            <w:pStyle w:val="TOC1"/>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50" w:history="1">
            <w:r w:rsidRPr="006F5623">
              <w:rPr>
                <w:rStyle w:val="Hyperlink"/>
                <w:rFonts w:cs="Arial"/>
                <w:noProof/>
              </w:rPr>
              <w:t>9. Caveats</w:t>
            </w:r>
            <w:r>
              <w:rPr>
                <w:noProof/>
                <w:webHidden/>
              </w:rPr>
              <w:tab/>
            </w:r>
            <w:r>
              <w:rPr>
                <w:noProof/>
                <w:webHidden/>
              </w:rPr>
              <w:fldChar w:fldCharType="begin"/>
            </w:r>
            <w:r>
              <w:rPr>
                <w:noProof/>
                <w:webHidden/>
              </w:rPr>
              <w:instrText xml:space="preserve"> PAGEREF _Toc237455750 \h </w:instrText>
            </w:r>
            <w:r>
              <w:rPr>
                <w:noProof/>
                <w:webHidden/>
              </w:rPr>
            </w:r>
            <w:r>
              <w:rPr>
                <w:noProof/>
                <w:webHidden/>
              </w:rPr>
              <w:fldChar w:fldCharType="separate"/>
            </w:r>
            <w:r>
              <w:rPr>
                <w:noProof/>
                <w:webHidden/>
              </w:rPr>
              <w:t>12</w:t>
            </w:r>
            <w:r>
              <w:rPr>
                <w:noProof/>
                <w:webHidden/>
              </w:rPr>
              <w:fldChar w:fldCharType="end"/>
            </w:r>
          </w:hyperlink>
        </w:p>
        <w:p w14:paraId="56A8123F" w14:textId="24EB0BE1" w:rsidR="000D16B1" w:rsidRDefault="000D16B1">
          <w:pPr>
            <w:pStyle w:val="TOC1"/>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51" w:history="1">
            <w:r w:rsidRPr="006F5623">
              <w:rPr>
                <w:rStyle w:val="Hyperlink"/>
                <w:rFonts w:cs="Arial"/>
                <w:noProof/>
              </w:rPr>
              <w:t>AI Use Reflective Piece</w:t>
            </w:r>
            <w:r>
              <w:rPr>
                <w:noProof/>
                <w:webHidden/>
              </w:rPr>
              <w:tab/>
            </w:r>
            <w:r>
              <w:rPr>
                <w:noProof/>
                <w:webHidden/>
              </w:rPr>
              <w:fldChar w:fldCharType="begin"/>
            </w:r>
            <w:r>
              <w:rPr>
                <w:noProof/>
                <w:webHidden/>
              </w:rPr>
              <w:instrText xml:space="preserve"> PAGEREF _Toc237455751 \h </w:instrText>
            </w:r>
            <w:r>
              <w:rPr>
                <w:noProof/>
                <w:webHidden/>
              </w:rPr>
            </w:r>
            <w:r>
              <w:rPr>
                <w:noProof/>
                <w:webHidden/>
              </w:rPr>
              <w:fldChar w:fldCharType="separate"/>
            </w:r>
            <w:r>
              <w:rPr>
                <w:noProof/>
                <w:webHidden/>
              </w:rPr>
              <w:t>12</w:t>
            </w:r>
            <w:r>
              <w:rPr>
                <w:noProof/>
                <w:webHidden/>
              </w:rPr>
              <w:fldChar w:fldCharType="end"/>
            </w:r>
          </w:hyperlink>
        </w:p>
        <w:p w14:paraId="08D0CC30" w14:textId="1C893796" w:rsidR="000D16B1" w:rsidRDefault="000D16B1">
          <w:pPr>
            <w:pStyle w:val="TOC2"/>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52" w:history="1">
            <w:r w:rsidRPr="006F5623">
              <w:rPr>
                <w:rStyle w:val="Hyperlink"/>
                <w:rFonts w:cs="Arial"/>
                <w:noProof/>
              </w:rPr>
              <w:t>Tool Disclosure</w:t>
            </w:r>
            <w:r>
              <w:rPr>
                <w:noProof/>
                <w:webHidden/>
              </w:rPr>
              <w:tab/>
            </w:r>
            <w:r>
              <w:rPr>
                <w:noProof/>
                <w:webHidden/>
              </w:rPr>
              <w:fldChar w:fldCharType="begin"/>
            </w:r>
            <w:r>
              <w:rPr>
                <w:noProof/>
                <w:webHidden/>
              </w:rPr>
              <w:instrText xml:space="preserve"> PAGEREF _Toc237455752 \h </w:instrText>
            </w:r>
            <w:r>
              <w:rPr>
                <w:noProof/>
                <w:webHidden/>
              </w:rPr>
            </w:r>
            <w:r>
              <w:rPr>
                <w:noProof/>
                <w:webHidden/>
              </w:rPr>
              <w:fldChar w:fldCharType="separate"/>
            </w:r>
            <w:r>
              <w:rPr>
                <w:noProof/>
                <w:webHidden/>
              </w:rPr>
              <w:t>13</w:t>
            </w:r>
            <w:r>
              <w:rPr>
                <w:noProof/>
                <w:webHidden/>
              </w:rPr>
              <w:fldChar w:fldCharType="end"/>
            </w:r>
          </w:hyperlink>
        </w:p>
        <w:p w14:paraId="4D3603FC" w14:textId="7256F1B7" w:rsidR="000D16B1" w:rsidRDefault="000D16B1">
          <w:pPr>
            <w:pStyle w:val="TOC2"/>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53" w:history="1">
            <w:r w:rsidRPr="006F5623">
              <w:rPr>
                <w:rStyle w:val="Hyperlink"/>
                <w:rFonts w:cs="Arial"/>
                <w:noProof/>
              </w:rPr>
              <w:t>Critical Evaluation of AI Output</w:t>
            </w:r>
            <w:r>
              <w:rPr>
                <w:noProof/>
                <w:webHidden/>
              </w:rPr>
              <w:tab/>
            </w:r>
            <w:r>
              <w:rPr>
                <w:noProof/>
                <w:webHidden/>
              </w:rPr>
              <w:fldChar w:fldCharType="begin"/>
            </w:r>
            <w:r>
              <w:rPr>
                <w:noProof/>
                <w:webHidden/>
              </w:rPr>
              <w:instrText xml:space="preserve"> PAGEREF _Toc237455753 \h </w:instrText>
            </w:r>
            <w:r>
              <w:rPr>
                <w:noProof/>
                <w:webHidden/>
              </w:rPr>
            </w:r>
            <w:r>
              <w:rPr>
                <w:noProof/>
                <w:webHidden/>
              </w:rPr>
              <w:fldChar w:fldCharType="separate"/>
            </w:r>
            <w:r>
              <w:rPr>
                <w:noProof/>
                <w:webHidden/>
              </w:rPr>
              <w:t>13</w:t>
            </w:r>
            <w:r>
              <w:rPr>
                <w:noProof/>
                <w:webHidden/>
              </w:rPr>
              <w:fldChar w:fldCharType="end"/>
            </w:r>
          </w:hyperlink>
        </w:p>
        <w:p w14:paraId="2C43BD61" w14:textId="3AB306EA" w:rsidR="000D16B1" w:rsidRDefault="000D16B1">
          <w:pPr>
            <w:pStyle w:val="TOC2"/>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54" w:history="1">
            <w:r w:rsidRPr="006F5623">
              <w:rPr>
                <w:rStyle w:val="Hyperlink"/>
                <w:rFonts w:cs="Arial"/>
                <w:noProof/>
              </w:rPr>
              <w:t>Contribution Analysis</w:t>
            </w:r>
            <w:r>
              <w:rPr>
                <w:noProof/>
                <w:webHidden/>
              </w:rPr>
              <w:tab/>
            </w:r>
            <w:r>
              <w:rPr>
                <w:noProof/>
                <w:webHidden/>
              </w:rPr>
              <w:fldChar w:fldCharType="begin"/>
            </w:r>
            <w:r>
              <w:rPr>
                <w:noProof/>
                <w:webHidden/>
              </w:rPr>
              <w:instrText xml:space="preserve"> PAGEREF _Toc237455754 \h </w:instrText>
            </w:r>
            <w:r>
              <w:rPr>
                <w:noProof/>
                <w:webHidden/>
              </w:rPr>
            </w:r>
            <w:r>
              <w:rPr>
                <w:noProof/>
                <w:webHidden/>
              </w:rPr>
              <w:fldChar w:fldCharType="separate"/>
            </w:r>
            <w:r>
              <w:rPr>
                <w:noProof/>
                <w:webHidden/>
              </w:rPr>
              <w:t>13</w:t>
            </w:r>
            <w:r>
              <w:rPr>
                <w:noProof/>
                <w:webHidden/>
              </w:rPr>
              <w:fldChar w:fldCharType="end"/>
            </w:r>
          </w:hyperlink>
        </w:p>
        <w:p w14:paraId="3DC4FC1E" w14:textId="54ED2764" w:rsidR="000D16B1" w:rsidRDefault="000D16B1">
          <w:pPr>
            <w:pStyle w:val="TOC2"/>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55" w:history="1">
            <w:r w:rsidRPr="006F5623">
              <w:rPr>
                <w:rStyle w:val="Hyperlink"/>
                <w:rFonts w:cs="Arial"/>
                <w:noProof/>
              </w:rPr>
              <w:t>Ethical &amp; Professional Reflection</w:t>
            </w:r>
            <w:r>
              <w:rPr>
                <w:noProof/>
                <w:webHidden/>
              </w:rPr>
              <w:tab/>
            </w:r>
            <w:r>
              <w:rPr>
                <w:noProof/>
                <w:webHidden/>
              </w:rPr>
              <w:fldChar w:fldCharType="begin"/>
            </w:r>
            <w:r>
              <w:rPr>
                <w:noProof/>
                <w:webHidden/>
              </w:rPr>
              <w:instrText xml:space="preserve"> PAGEREF _Toc237455755 \h </w:instrText>
            </w:r>
            <w:r>
              <w:rPr>
                <w:noProof/>
                <w:webHidden/>
              </w:rPr>
            </w:r>
            <w:r>
              <w:rPr>
                <w:noProof/>
                <w:webHidden/>
              </w:rPr>
              <w:fldChar w:fldCharType="separate"/>
            </w:r>
            <w:r>
              <w:rPr>
                <w:noProof/>
                <w:webHidden/>
              </w:rPr>
              <w:t>14</w:t>
            </w:r>
            <w:r>
              <w:rPr>
                <w:noProof/>
                <w:webHidden/>
              </w:rPr>
              <w:fldChar w:fldCharType="end"/>
            </w:r>
          </w:hyperlink>
        </w:p>
        <w:p w14:paraId="4908E87C" w14:textId="73688674" w:rsidR="000D16B1" w:rsidRDefault="000D16B1">
          <w:pPr>
            <w:pStyle w:val="TOC1"/>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56" w:history="1">
            <w:r w:rsidRPr="006F5623">
              <w:rPr>
                <w:rStyle w:val="Hyperlink"/>
                <w:rFonts w:eastAsia="Arial" w:cs="Arial"/>
                <w:noProof/>
              </w:rPr>
              <w:t>1. Introduction</w:t>
            </w:r>
            <w:r>
              <w:rPr>
                <w:noProof/>
                <w:webHidden/>
              </w:rPr>
              <w:tab/>
            </w:r>
            <w:r>
              <w:rPr>
                <w:noProof/>
                <w:webHidden/>
              </w:rPr>
              <w:fldChar w:fldCharType="begin"/>
            </w:r>
            <w:r>
              <w:rPr>
                <w:noProof/>
                <w:webHidden/>
              </w:rPr>
              <w:instrText xml:space="preserve"> PAGEREF _Toc237455756 \h </w:instrText>
            </w:r>
            <w:r>
              <w:rPr>
                <w:noProof/>
                <w:webHidden/>
              </w:rPr>
            </w:r>
            <w:r>
              <w:rPr>
                <w:noProof/>
                <w:webHidden/>
              </w:rPr>
              <w:fldChar w:fldCharType="separate"/>
            </w:r>
            <w:r>
              <w:rPr>
                <w:noProof/>
                <w:webHidden/>
              </w:rPr>
              <w:t>15</w:t>
            </w:r>
            <w:r>
              <w:rPr>
                <w:noProof/>
                <w:webHidden/>
              </w:rPr>
              <w:fldChar w:fldCharType="end"/>
            </w:r>
          </w:hyperlink>
        </w:p>
        <w:p w14:paraId="75CBB1DD" w14:textId="3616FB1A" w:rsidR="000D16B1" w:rsidRDefault="000D16B1">
          <w:pPr>
            <w:pStyle w:val="TOC1"/>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57" w:history="1">
            <w:r w:rsidRPr="006F5623">
              <w:rPr>
                <w:rStyle w:val="Hyperlink"/>
                <w:rFonts w:eastAsia="Arial" w:cs="Arial"/>
                <w:noProof/>
              </w:rPr>
              <w:t>2. Summary Ratio Table</w:t>
            </w:r>
            <w:r>
              <w:rPr>
                <w:noProof/>
                <w:webHidden/>
              </w:rPr>
              <w:tab/>
            </w:r>
            <w:r>
              <w:rPr>
                <w:noProof/>
                <w:webHidden/>
              </w:rPr>
              <w:fldChar w:fldCharType="begin"/>
            </w:r>
            <w:r>
              <w:rPr>
                <w:noProof/>
                <w:webHidden/>
              </w:rPr>
              <w:instrText xml:space="preserve"> PAGEREF _Toc237455757 \h </w:instrText>
            </w:r>
            <w:r>
              <w:rPr>
                <w:noProof/>
                <w:webHidden/>
              </w:rPr>
            </w:r>
            <w:r>
              <w:rPr>
                <w:noProof/>
                <w:webHidden/>
              </w:rPr>
              <w:fldChar w:fldCharType="separate"/>
            </w:r>
            <w:r>
              <w:rPr>
                <w:noProof/>
                <w:webHidden/>
              </w:rPr>
              <w:t>15</w:t>
            </w:r>
            <w:r>
              <w:rPr>
                <w:noProof/>
                <w:webHidden/>
              </w:rPr>
              <w:fldChar w:fldCharType="end"/>
            </w:r>
          </w:hyperlink>
        </w:p>
        <w:p w14:paraId="22735CCE" w14:textId="1E437654" w:rsidR="000D16B1" w:rsidRDefault="000D16B1">
          <w:pPr>
            <w:pStyle w:val="TOC1"/>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58" w:history="1">
            <w:r w:rsidRPr="006F5623">
              <w:rPr>
                <w:rStyle w:val="Hyperlink"/>
                <w:rFonts w:eastAsia="Arial" w:cs="Arial"/>
                <w:noProof/>
              </w:rPr>
              <w:t>3. Ratio-by-Ratio Comparison</w:t>
            </w:r>
            <w:r>
              <w:rPr>
                <w:noProof/>
                <w:webHidden/>
              </w:rPr>
              <w:tab/>
            </w:r>
            <w:r>
              <w:rPr>
                <w:noProof/>
                <w:webHidden/>
              </w:rPr>
              <w:fldChar w:fldCharType="begin"/>
            </w:r>
            <w:r>
              <w:rPr>
                <w:noProof/>
                <w:webHidden/>
              </w:rPr>
              <w:instrText xml:space="preserve"> PAGEREF _Toc237455758 \h </w:instrText>
            </w:r>
            <w:r>
              <w:rPr>
                <w:noProof/>
                <w:webHidden/>
              </w:rPr>
            </w:r>
            <w:r>
              <w:rPr>
                <w:noProof/>
                <w:webHidden/>
              </w:rPr>
              <w:fldChar w:fldCharType="separate"/>
            </w:r>
            <w:r>
              <w:rPr>
                <w:noProof/>
                <w:webHidden/>
              </w:rPr>
              <w:t>16</w:t>
            </w:r>
            <w:r>
              <w:rPr>
                <w:noProof/>
                <w:webHidden/>
              </w:rPr>
              <w:fldChar w:fldCharType="end"/>
            </w:r>
          </w:hyperlink>
        </w:p>
        <w:p w14:paraId="3EBC0581" w14:textId="4F67EBC8" w:rsidR="000D16B1" w:rsidRDefault="000D16B1">
          <w:pPr>
            <w:pStyle w:val="TOC2"/>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59" w:history="1">
            <w:r w:rsidRPr="006F5623">
              <w:rPr>
                <w:rStyle w:val="Hyperlink"/>
                <w:rFonts w:eastAsia="Arial" w:cs="Arial"/>
                <w:noProof/>
              </w:rPr>
              <w:t>3.1 Liquidity</w:t>
            </w:r>
            <w:r>
              <w:rPr>
                <w:noProof/>
                <w:webHidden/>
              </w:rPr>
              <w:tab/>
            </w:r>
            <w:r>
              <w:rPr>
                <w:noProof/>
                <w:webHidden/>
              </w:rPr>
              <w:fldChar w:fldCharType="begin"/>
            </w:r>
            <w:r>
              <w:rPr>
                <w:noProof/>
                <w:webHidden/>
              </w:rPr>
              <w:instrText xml:space="preserve"> PAGEREF _Toc237455759 \h </w:instrText>
            </w:r>
            <w:r>
              <w:rPr>
                <w:noProof/>
                <w:webHidden/>
              </w:rPr>
            </w:r>
            <w:r>
              <w:rPr>
                <w:noProof/>
                <w:webHidden/>
              </w:rPr>
              <w:fldChar w:fldCharType="separate"/>
            </w:r>
            <w:r>
              <w:rPr>
                <w:noProof/>
                <w:webHidden/>
              </w:rPr>
              <w:t>16</w:t>
            </w:r>
            <w:r>
              <w:rPr>
                <w:noProof/>
                <w:webHidden/>
              </w:rPr>
              <w:fldChar w:fldCharType="end"/>
            </w:r>
          </w:hyperlink>
        </w:p>
        <w:p w14:paraId="4E2C0852" w14:textId="3B104563" w:rsidR="000D16B1" w:rsidRDefault="000D16B1">
          <w:pPr>
            <w:pStyle w:val="TOC2"/>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60" w:history="1">
            <w:r w:rsidRPr="006F5623">
              <w:rPr>
                <w:rStyle w:val="Hyperlink"/>
                <w:rFonts w:eastAsia="Arial" w:cs="Arial"/>
                <w:noProof/>
              </w:rPr>
              <w:t>3.2 Profitability</w:t>
            </w:r>
            <w:r>
              <w:rPr>
                <w:noProof/>
                <w:webHidden/>
              </w:rPr>
              <w:tab/>
            </w:r>
            <w:r>
              <w:rPr>
                <w:noProof/>
                <w:webHidden/>
              </w:rPr>
              <w:fldChar w:fldCharType="begin"/>
            </w:r>
            <w:r>
              <w:rPr>
                <w:noProof/>
                <w:webHidden/>
              </w:rPr>
              <w:instrText xml:space="preserve"> PAGEREF _Toc237455760 \h </w:instrText>
            </w:r>
            <w:r>
              <w:rPr>
                <w:noProof/>
                <w:webHidden/>
              </w:rPr>
            </w:r>
            <w:r>
              <w:rPr>
                <w:noProof/>
                <w:webHidden/>
              </w:rPr>
              <w:fldChar w:fldCharType="separate"/>
            </w:r>
            <w:r>
              <w:rPr>
                <w:noProof/>
                <w:webHidden/>
              </w:rPr>
              <w:t>16</w:t>
            </w:r>
            <w:r>
              <w:rPr>
                <w:noProof/>
                <w:webHidden/>
              </w:rPr>
              <w:fldChar w:fldCharType="end"/>
            </w:r>
          </w:hyperlink>
        </w:p>
        <w:p w14:paraId="0A47FF32" w14:textId="6CCEDD4F" w:rsidR="000D16B1" w:rsidRDefault="000D16B1">
          <w:pPr>
            <w:pStyle w:val="TOC2"/>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61" w:history="1">
            <w:r w:rsidRPr="006F5623">
              <w:rPr>
                <w:rStyle w:val="Hyperlink"/>
                <w:rFonts w:eastAsia="Arial" w:cs="Arial"/>
                <w:noProof/>
              </w:rPr>
              <w:t>3.3 Leverage &amp; Solvency</w:t>
            </w:r>
            <w:r>
              <w:rPr>
                <w:noProof/>
                <w:webHidden/>
              </w:rPr>
              <w:tab/>
            </w:r>
            <w:r>
              <w:rPr>
                <w:noProof/>
                <w:webHidden/>
              </w:rPr>
              <w:fldChar w:fldCharType="begin"/>
            </w:r>
            <w:r>
              <w:rPr>
                <w:noProof/>
                <w:webHidden/>
              </w:rPr>
              <w:instrText xml:space="preserve"> PAGEREF _Toc237455761 \h </w:instrText>
            </w:r>
            <w:r>
              <w:rPr>
                <w:noProof/>
                <w:webHidden/>
              </w:rPr>
            </w:r>
            <w:r>
              <w:rPr>
                <w:noProof/>
                <w:webHidden/>
              </w:rPr>
              <w:fldChar w:fldCharType="separate"/>
            </w:r>
            <w:r>
              <w:rPr>
                <w:noProof/>
                <w:webHidden/>
              </w:rPr>
              <w:t>16</w:t>
            </w:r>
            <w:r>
              <w:rPr>
                <w:noProof/>
                <w:webHidden/>
              </w:rPr>
              <w:fldChar w:fldCharType="end"/>
            </w:r>
          </w:hyperlink>
        </w:p>
        <w:p w14:paraId="0715C6A2" w14:textId="2B65CB7F" w:rsidR="000D16B1" w:rsidRDefault="000D16B1">
          <w:pPr>
            <w:pStyle w:val="TOC2"/>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62" w:history="1">
            <w:r w:rsidRPr="006F5623">
              <w:rPr>
                <w:rStyle w:val="Hyperlink"/>
                <w:rFonts w:eastAsia="Arial" w:cs="Arial"/>
                <w:noProof/>
              </w:rPr>
              <w:t>3.4 Efficiency</w:t>
            </w:r>
            <w:r>
              <w:rPr>
                <w:noProof/>
                <w:webHidden/>
              </w:rPr>
              <w:tab/>
            </w:r>
            <w:r>
              <w:rPr>
                <w:noProof/>
                <w:webHidden/>
              </w:rPr>
              <w:fldChar w:fldCharType="begin"/>
            </w:r>
            <w:r>
              <w:rPr>
                <w:noProof/>
                <w:webHidden/>
              </w:rPr>
              <w:instrText xml:space="preserve"> PAGEREF _Toc237455762 \h </w:instrText>
            </w:r>
            <w:r>
              <w:rPr>
                <w:noProof/>
                <w:webHidden/>
              </w:rPr>
            </w:r>
            <w:r>
              <w:rPr>
                <w:noProof/>
                <w:webHidden/>
              </w:rPr>
              <w:fldChar w:fldCharType="separate"/>
            </w:r>
            <w:r>
              <w:rPr>
                <w:noProof/>
                <w:webHidden/>
              </w:rPr>
              <w:t>17</w:t>
            </w:r>
            <w:r>
              <w:rPr>
                <w:noProof/>
                <w:webHidden/>
              </w:rPr>
              <w:fldChar w:fldCharType="end"/>
            </w:r>
          </w:hyperlink>
        </w:p>
        <w:p w14:paraId="6971E16F" w14:textId="5ECA9612" w:rsidR="000D16B1" w:rsidRDefault="000D16B1">
          <w:pPr>
            <w:pStyle w:val="TOC1"/>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63" w:history="1">
            <w:r w:rsidRPr="006F5623">
              <w:rPr>
                <w:rStyle w:val="Hyperlink"/>
                <w:rFonts w:eastAsia="Arial" w:cs="Arial"/>
                <w:noProof/>
              </w:rPr>
              <w:t>4. Strengths and Weaknesses Summary</w:t>
            </w:r>
            <w:r>
              <w:rPr>
                <w:noProof/>
                <w:webHidden/>
              </w:rPr>
              <w:tab/>
            </w:r>
            <w:r>
              <w:rPr>
                <w:noProof/>
                <w:webHidden/>
              </w:rPr>
              <w:fldChar w:fldCharType="begin"/>
            </w:r>
            <w:r>
              <w:rPr>
                <w:noProof/>
                <w:webHidden/>
              </w:rPr>
              <w:instrText xml:space="preserve"> PAGEREF _Toc237455763 \h </w:instrText>
            </w:r>
            <w:r>
              <w:rPr>
                <w:noProof/>
                <w:webHidden/>
              </w:rPr>
            </w:r>
            <w:r>
              <w:rPr>
                <w:noProof/>
                <w:webHidden/>
              </w:rPr>
              <w:fldChar w:fldCharType="separate"/>
            </w:r>
            <w:r>
              <w:rPr>
                <w:noProof/>
                <w:webHidden/>
              </w:rPr>
              <w:t>17</w:t>
            </w:r>
            <w:r>
              <w:rPr>
                <w:noProof/>
                <w:webHidden/>
              </w:rPr>
              <w:fldChar w:fldCharType="end"/>
            </w:r>
          </w:hyperlink>
        </w:p>
        <w:p w14:paraId="50E23C16" w14:textId="27E3AB11" w:rsidR="000D16B1" w:rsidRDefault="000D16B1">
          <w:pPr>
            <w:pStyle w:val="TOC2"/>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64" w:history="1">
            <w:r w:rsidRPr="006F5623">
              <w:rPr>
                <w:rStyle w:val="Hyperlink"/>
                <w:rFonts w:eastAsia="Arial" w:cs="Arial"/>
                <w:noProof/>
              </w:rPr>
              <w:t>4.1 Strengths</w:t>
            </w:r>
            <w:r>
              <w:rPr>
                <w:noProof/>
                <w:webHidden/>
              </w:rPr>
              <w:tab/>
            </w:r>
            <w:r>
              <w:rPr>
                <w:noProof/>
                <w:webHidden/>
              </w:rPr>
              <w:fldChar w:fldCharType="begin"/>
            </w:r>
            <w:r>
              <w:rPr>
                <w:noProof/>
                <w:webHidden/>
              </w:rPr>
              <w:instrText xml:space="preserve"> PAGEREF _Toc237455764 \h </w:instrText>
            </w:r>
            <w:r>
              <w:rPr>
                <w:noProof/>
                <w:webHidden/>
              </w:rPr>
            </w:r>
            <w:r>
              <w:rPr>
                <w:noProof/>
                <w:webHidden/>
              </w:rPr>
              <w:fldChar w:fldCharType="separate"/>
            </w:r>
            <w:r>
              <w:rPr>
                <w:noProof/>
                <w:webHidden/>
              </w:rPr>
              <w:t>17</w:t>
            </w:r>
            <w:r>
              <w:rPr>
                <w:noProof/>
                <w:webHidden/>
              </w:rPr>
              <w:fldChar w:fldCharType="end"/>
            </w:r>
          </w:hyperlink>
        </w:p>
        <w:p w14:paraId="1227ECE4" w14:textId="2FFB737A" w:rsidR="000D16B1" w:rsidRDefault="000D16B1">
          <w:pPr>
            <w:pStyle w:val="TOC2"/>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65" w:history="1">
            <w:r w:rsidRPr="006F5623">
              <w:rPr>
                <w:rStyle w:val="Hyperlink"/>
                <w:rFonts w:eastAsia="Arial" w:cs="Arial"/>
                <w:noProof/>
              </w:rPr>
              <w:t>4.2 Weaknesses</w:t>
            </w:r>
            <w:r>
              <w:rPr>
                <w:noProof/>
                <w:webHidden/>
              </w:rPr>
              <w:tab/>
            </w:r>
            <w:r>
              <w:rPr>
                <w:noProof/>
                <w:webHidden/>
              </w:rPr>
              <w:fldChar w:fldCharType="begin"/>
            </w:r>
            <w:r>
              <w:rPr>
                <w:noProof/>
                <w:webHidden/>
              </w:rPr>
              <w:instrText xml:space="preserve"> PAGEREF _Toc237455765 \h </w:instrText>
            </w:r>
            <w:r>
              <w:rPr>
                <w:noProof/>
                <w:webHidden/>
              </w:rPr>
            </w:r>
            <w:r>
              <w:rPr>
                <w:noProof/>
                <w:webHidden/>
              </w:rPr>
              <w:fldChar w:fldCharType="separate"/>
            </w:r>
            <w:r>
              <w:rPr>
                <w:noProof/>
                <w:webHidden/>
              </w:rPr>
              <w:t>17</w:t>
            </w:r>
            <w:r>
              <w:rPr>
                <w:noProof/>
                <w:webHidden/>
              </w:rPr>
              <w:fldChar w:fldCharType="end"/>
            </w:r>
          </w:hyperlink>
        </w:p>
        <w:p w14:paraId="20B79297" w14:textId="318EDDE5" w:rsidR="000D16B1" w:rsidRDefault="000D16B1">
          <w:pPr>
            <w:pStyle w:val="TOC1"/>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66" w:history="1">
            <w:r w:rsidRPr="006F5623">
              <w:rPr>
                <w:rStyle w:val="Hyperlink"/>
                <w:rFonts w:eastAsia="Arial" w:cs="Arial"/>
                <w:noProof/>
              </w:rPr>
              <w:t>5. Caveats &amp; Notes on Comparability</w:t>
            </w:r>
            <w:r>
              <w:rPr>
                <w:noProof/>
                <w:webHidden/>
              </w:rPr>
              <w:tab/>
            </w:r>
            <w:r>
              <w:rPr>
                <w:noProof/>
                <w:webHidden/>
              </w:rPr>
              <w:fldChar w:fldCharType="begin"/>
            </w:r>
            <w:r>
              <w:rPr>
                <w:noProof/>
                <w:webHidden/>
              </w:rPr>
              <w:instrText xml:space="preserve"> PAGEREF _Toc237455766 \h </w:instrText>
            </w:r>
            <w:r>
              <w:rPr>
                <w:noProof/>
                <w:webHidden/>
              </w:rPr>
            </w:r>
            <w:r>
              <w:rPr>
                <w:noProof/>
                <w:webHidden/>
              </w:rPr>
              <w:fldChar w:fldCharType="separate"/>
            </w:r>
            <w:r>
              <w:rPr>
                <w:noProof/>
                <w:webHidden/>
              </w:rPr>
              <w:t>18</w:t>
            </w:r>
            <w:r>
              <w:rPr>
                <w:noProof/>
                <w:webHidden/>
              </w:rPr>
              <w:fldChar w:fldCharType="end"/>
            </w:r>
          </w:hyperlink>
        </w:p>
        <w:p w14:paraId="3D7F6154" w14:textId="40742DC0" w:rsidR="000D16B1" w:rsidRDefault="000D16B1">
          <w:pPr>
            <w:pStyle w:val="TOC1"/>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67" w:history="1">
            <w:r w:rsidRPr="006F5623">
              <w:rPr>
                <w:rStyle w:val="Hyperlink"/>
                <w:rFonts w:eastAsia="Arial" w:cs="Arial"/>
                <w:noProof/>
              </w:rPr>
              <w:t>6. Sources</w:t>
            </w:r>
            <w:r>
              <w:rPr>
                <w:noProof/>
                <w:webHidden/>
              </w:rPr>
              <w:tab/>
            </w:r>
            <w:r>
              <w:rPr>
                <w:noProof/>
                <w:webHidden/>
              </w:rPr>
              <w:fldChar w:fldCharType="begin"/>
            </w:r>
            <w:r>
              <w:rPr>
                <w:noProof/>
                <w:webHidden/>
              </w:rPr>
              <w:instrText xml:space="preserve"> PAGEREF _Toc237455767 \h </w:instrText>
            </w:r>
            <w:r>
              <w:rPr>
                <w:noProof/>
                <w:webHidden/>
              </w:rPr>
            </w:r>
            <w:r>
              <w:rPr>
                <w:noProof/>
                <w:webHidden/>
              </w:rPr>
              <w:fldChar w:fldCharType="separate"/>
            </w:r>
            <w:r>
              <w:rPr>
                <w:noProof/>
                <w:webHidden/>
              </w:rPr>
              <w:t>18</w:t>
            </w:r>
            <w:r>
              <w:rPr>
                <w:noProof/>
                <w:webHidden/>
              </w:rPr>
              <w:fldChar w:fldCharType="end"/>
            </w:r>
          </w:hyperlink>
        </w:p>
        <w:p w14:paraId="5AC5AF60" w14:textId="1BF037A6" w:rsidR="000D16B1" w:rsidRDefault="000D16B1">
          <w:pPr>
            <w:pStyle w:val="TOC1"/>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68" w:history="1">
            <w:r w:rsidRPr="006F5623">
              <w:rPr>
                <w:rStyle w:val="Hyperlink"/>
                <w:rFonts w:cs="Arial"/>
                <w:noProof/>
              </w:rPr>
              <w:t>References:</w:t>
            </w:r>
            <w:r>
              <w:rPr>
                <w:noProof/>
                <w:webHidden/>
              </w:rPr>
              <w:tab/>
            </w:r>
            <w:r>
              <w:rPr>
                <w:noProof/>
                <w:webHidden/>
              </w:rPr>
              <w:fldChar w:fldCharType="begin"/>
            </w:r>
            <w:r>
              <w:rPr>
                <w:noProof/>
                <w:webHidden/>
              </w:rPr>
              <w:instrText xml:space="preserve"> PAGEREF _Toc237455768 \h </w:instrText>
            </w:r>
            <w:r>
              <w:rPr>
                <w:noProof/>
                <w:webHidden/>
              </w:rPr>
            </w:r>
            <w:r>
              <w:rPr>
                <w:noProof/>
                <w:webHidden/>
              </w:rPr>
              <w:fldChar w:fldCharType="separate"/>
            </w:r>
            <w:r>
              <w:rPr>
                <w:noProof/>
                <w:webHidden/>
              </w:rPr>
              <w:t>18</w:t>
            </w:r>
            <w:r>
              <w:rPr>
                <w:noProof/>
                <w:webHidden/>
              </w:rPr>
              <w:fldChar w:fldCharType="end"/>
            </w:r>
          </w:hyperlink>
        </w:p>
        <w:p w14:paraId="6CE5EA3C" w14:textId="5E99CC27" w:rsidR="000D16B1" w:rsidRDefault="000D16B1">
          <w:pPr>
            <w:pStyle w:val="TOC1"/>
            <w:tabs>
              <w:tab w:val="right" w:leader="dot" w:pos="10430"/>
            </w:tabs>
            <w:rPr>
              <w:rFonts w:asciiTheme="minorHAnsi" w:eastAsiaTheme="minorEastAsia" w:hAnsiTheme="minorHAnsi" w:cstheme="minorBidi"/>
              <w:noProof/>
              <w:kern w:val="2"/>
              <w:szCs w:val="24"/>
              <w:lang w:val="en-US" w:eastAsia="en-US" w:bidi="ar-SA"/>
              <w14:ligatures w14:val="standardContextual"/>
            </w:rPr>
          </w:pPr>
          <w:hyperlink w:anchor="_Toc237455769" w:history="1">
            <w:r w:rsidRPr="006F5623">
              <w:rPr>
                <w:rStyle w:val="Hyperlink"/>
                <w:noProof/>
              </w:rPr>
              <w:t>Appendix:</w:t>
            </w:r>
            <w:r>
              <w:rPr>
                <w:noProof/>
                <w:webHidden/>
              </w:rPr>
              <w:tab/>
            </w:r>
            <w:r>
              <w:rPr>
                <w:noProof/>
                <w:webHidden/>
              </w:rPr>
              <w:fldChar w:fldCharType="begin"/>
            </w:r>
            <w:r>
              <w:rPr>
                <w:noProof/>
                <w:webHidden/>
              </w:rPr>
              <w:instrText xml:space="preserve"> PAGEREF _Toc237455769 \h </w:instrText>
            </w:r>
            <w:r>
              <w:rPr>
                <w:noProof/>
                <w:webHidden/>
              </w:rPr>
            </w:r>
            <w:r>
              <w:rPr>
                <w:noProof/>
                <w:webHidden/>
              </w:rPr>
              <w:fldChar w:fldCharType="separate"/>
            </w:r>
            <w:r>
              <w:rPr>
                <w:noProof/>
                <w:webHidden/>
              </w:rPr>
              <w:t>20</w:t>
            </w:r>
            <w:r>
              <w:rPr>
                <w:noProof/>
                <w:webHidden/>
              </w:rPr>
              <w:fldChar w:fldCharType="end"/>
            </w:r>
          </w:hyperlink>
        </w:p>
        <w:p w14:paraId="14A945A9" w14:textId="4B58035F" w:rsidR="000D16B1" w:rsidRDefault="000D16B1">
          <w:r>
            <w:rPr>
              <w:b/>
              <w:bCs/>
              <w:noProof/>
            </w:rPr>
            <w:fldChar w:fldCharType="end"/>
          </w:r>
        </w:p>
      </w:sdtContent>
    </w:sdt>
    <w:p w14:paraId="760E0398" w14:textId="77777777" w:rsidR="000D16B1" w:rsidRDefault="000D16B1" w:rsidP="000D16B1">
      <w:pPr>
        <w:spacing w:after="300" w:line="360" w:lineRule="auto"/>
        <w:jc w:val="center"/>
        <w:rPr>
          <w:rFonts w:cs="Arial"/>
          <w:i/>
          <w:iCs/>
          <w:color w:val="808080"/>
        </w:rPr>
      </w:pPr>
    </w:p>
    <w:p w14:paraId="3C7FBC09" w14:textId="77777777" w:rsidR="005F6E3B" w:rsidRDefault="005F6E3B" w:rsidP="005F6E3B">
      <w:pPr>
        <w:spacing w:before="240" w:line="360" w:lineRule="auto"/>
        <w:jc w:val="both"/>
        <w:rPr>
          <w:rFonts w:cs="Arial"/>
          <w:szCs w:val="24"/>
        </w:rPr>
        <w:sectPr w:rsidR="005F6E3B" w:rsidSect="005F6E3B">
          <w:footerReference w:type="default" r:id="rId9"/>
          <w:pgSz w:w="12240" w:h="15840"/>
          <w:pgMar w:top="900" w:right="900" w:bottom="900" w:left="90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pPr>
      <w:bookmarkStart w:id="0" w:name="_Toc237455732"/>
    </w:p>
    <w:p w14:paraId="778A0625" w14:textId="56D6DAEF" w:rsidR="005F6E3B" w:rsidRPr="005F6E3B" w:rsidRDefault="005F6E3B" w:rsidP="005F6E3B">
      <w:pPr>
        <w:spacing w:before="240" w:line="360" w:lineRule="auto"/>
        <w:jc w:val="both"/>
        <w:rPr>
          <w:rFonts w:cs="Arial"/>
          <w:b/>
          <w:bCs/>
          <w:szCs w:val="24"/>
        </w:rPr>
      </w:pPr>
      <w:r w:rsidRPr="005F6E3B">
        <w:rPr>
          <w:rFonts w:cs="Arial"/>
          <w:b/>
          <w:bCs/>
          <w:szCs w:val="24"/>
        </w:rPr>
        <w:lastRenderedPageBreak/>
        <w:t>Introduction</w:t>
      </w:r>
    </w:p>
    <w:p w14:paraId="088DC82A" w14:textId="09575CA6" w:rsidR="00C76AF3" w:rsidRPr="005F6E3B" w:rsidRDefault="00C76AF3" w:rsidP="005F6E3B">
      <w:pPr>
        <w:spacing w:before="240" w:line="360" w:lineRule="auto"/>
        <w:jc w:val="both"/>
        <w:rPr>
          <w:rFonts w:cs="Arial"/>
          <w:i/>
          <w:iCs/>
          <w:color w:val="808080"/>
        </w:rPr>
      </w:pPr>
      <w:r w:rsidRPr="00C76AF3">
        <w:rPr>
          <w:rFonts w:cs="Arial"/>
          <w:szCs w:val="24"/>
        </w:rPr>
        <w:t>This report includes an overview of the key changes in each of ten financial ratios derived from the consolidated financial statements of Hyatt Hotels Corporation for fiscal years 2020 through 2024, with explanations for the key year-over-year change in each ratio, based on management's own discussion in the resulting annual report on Form 10-K.</w:t>
      </w:r>
    </w:p>
    <w:p w14:paraId="26FC5AC3" w14:textId="1AFD7568" w:rsidR="00EC3E1D" w:rsidRPr="000D16B1" w:rsidRDefault="00EC3E1D" w:rsidP="000D16B1">
      <w:pPr>
        <w:pStyle w:val="Heading1"/>
        <w:spacing w:before="320" w:after="160" w:line="360" w:lineRule="auto"/>
        <w:rPr>
          <w:rFonts w:cs="Arial"/>
        </w:rPr>
      </w:pPr>
      <w:r w:rsidRPr="000D16B1">
        <w:rPr>
          <w:rFonts w:cs="Arial"/>
        </w:rPr>
        <w:t>1. Profitability Ratios</w:t>
      </w:r>
      <w:bookmarkEnd w:id="0"/>
    </w:p>
    <w:tbl>
      <w:tblPr>
        <w:tblW w:w="8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1180"/>
        <w:gridCol w:w="1180"/>
        <w:gridCol w:w="1180"/>
        <w:gridCol w:w="1180"/>
        <w:gridCol w:w="1315"/>
      </w:tblGrid>
      <w:tr w:rsidR="00EC3E1D" w:rsidRPr="000D16B1" w14:paraId="79F5FCCC" w14:textId="77777777" w:rsidTr="00C34C32">
        <w:trPr>
          <w:tblHeader/>
        </w:trPr>
        <w:tc>
          <w:tcPr>
            <w:tcW w:w="260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hideMark/>
          </w:tcPr>
          <w:p w14:paraId="3A32B4F2" w14:textId="77777777" w:rsidR="00EC3E1D" w:rsidRPr="000D16B1" w:rsidRDefault="00EC3E1D" w:rsidP="000D16B1">
            <w:pPr>
              <w:spacing w:line="360" w:lineRule="auto"/>
              <w:jc w:val="center"/>
              <w:rPr>
                <w:rFonts w:cs="Arial"/>
                <w:szCs w:val="24"/>
              </w:rPr>
            </w:pPr>
            <w:r w:rsidRPr="000D16B1">
              <w:rPr>
                <w:rFonts w:cs="Arial"/>
                <w:b/>
                <w:bCs/>
                <w:color w:val="FFFFFF"/>
                <w:szCs w:val="24"/>
              </w:rPr>
              <w:t>Ratio</w:t>
            </w:r>
          </w:p>
        </w:tc>
        <w:tc>
          <w:tcPr>
            <w:tcW w:w="118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hideMark/>
          </w:tcPr>
          <w:p w14:paraId="4654740B" w14:textId="77777777" w:rsidR="00EC3E1D" w:rsidRPr="000D16B1" w:rsidRDefault="00EC3E1D" w:rsidP="000D16B1">
            <w:pPr>
              <w:spacing w:line="360" w:lineRule="auto"/>
              <w:jc w:val="center"/>
              <w:rPr>
                <w:rFonts w:cs="Arial"/>
                <w:szCs w:val="24"/>
              </w:rPr>
            </w:pPr>
            <w:r w:rsidRPr="000D16B1">
              <w:rPr>
                <w:rFonts w:cs="Arial"/>
                <w:b/>
                <w:bCs/>
                <w:color w:val="FFFFFF"/>
                <w:szCs w:val="24"/>
              </w:rPr>
              <w:t>2020</w:t>
            </w:r>
          </w:p>
        </w:tc>
        <w:tc>
          <w:tcPr>
            <w:tcW w:w="118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hideMark/>
          </w:tcPr>
          <w:p w14:paraId="30F49274" w14:textId="77777777" w:rsidR="00EC3E1D" w:rsidRPr="000D16B1" w:rsidRDefault="00EC3E1D" w:rsidP="000D16B1">
            <w:pPr>
              <w:spacing w:line="360" w:lineRule="auto"/>
              <w:jc w:val="center"/>
              <w:rPr>
                <w:rFonts w:cs="Arial"/>
                <w:szCs w:val="24"/>
              </w:rPr>
            </w:pPr>
            <w:r w:rsidRPr="000D16B1">
              <w:rPr>
                <w:rFonts w:cs="Arial"/>
                <w:b/>
                <w:bCs/>
                <w:color w:val="FFFFFF"/>
                <w:szCs w:val="24"/>
              </w:rPr>
              <w:t>2021</w:t>
            </w:r>
          </w:p>
        </w:tc>
        <w:tc>
          <w:tcPr>
            <w:tcW w:w="118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hideMark/>
          </w:tcPr>
          <w:p w14:paraId="31A3386B" w14:textId="77777777" w:rsidR="00EC3E1D" w:rsidRPr="000D16B1" w:rsidRDefault="00EC3E1D" w:rsidP="000D16B1">
            <w:pPr>
              <w:spacing w:line="360" w:lineRule="auto"/>
              <w:jc w:val="center"/>
              <w:rPr>
                <w:rFonts w:cs="Arial"/>
                <w:szCs w:val="24"/>
              </w:rPr>
            </w:pPr>
            <w:r w:rsidRPr="000D16B1">
              <w:rPr>
                <w:rFonts w:cs="Arial"/>
                <w:b/>
                <w:bCs/>
                <w:color w:val="FFFFFF"/>
                <w:szCs w:val="24"/>
              </w:rPr>
              <w:t>2022</w:t>
            </w:r>
          </w:p>
        </w:tc>
        <w:tc>
          <w:tcPr>
            <w:tcW w:w="118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hideMark/>
          </w:tcPr>
          <w:p w14:paraId="5DB83743" w14:textId="77777777" w:rsidR="00EC3E1D" w:rsidRPr="000D16B1" w:rsidRDefault="00EC3E1D" w:rsidP="000D16B1">
            <w:pPr>
              <w:spacing w:line="360" w:lineRule="auto"/>
              <w:jc w:val="center"/>
              <w:rPr>
                <w:rFonts w:cs="Arial"/>
                <w:szCs w:val="24"/>
              </w:rPr>
            </w:pPr>
            <w:r w:rsidRPr="000D16B1">
              <w:rPr>
                <w:rFonts w:cs="Arial"/>
                <w:b/>
                <w:bCs/>
                <w:color w:val="FFFFFF"/>
                <w:szCs w:val="24"/>
              </w:rPr>
              <w:t>2023</w:t>
            </w:r>
          </w:p>
        </w:tc>
        <w:tc>
          <w:tcPr>
            <w:tcW w:w="1315"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hideMark/>
          </w:tcPr>
          <w:p w14:paraId="7F2CEFBC" w14:textId="77777777" w:rsidR="00EC3E1D" w:rsidRPr="000D16B1" w:rsidRDefault="00EC3E1D" w:rsidP="000D16B1">
            <w:pPr>
              <w:spacing w:line="360" w:lineRule="auto"/>
              <w:jc w:val="center"/>
              <w:rPr>
                <w:rFonts w:cs="Arial"/>
                <w:szCs w:val="24"/>
              </w:rPr>
            </w:pPr>
            <w:r w:rsidRPr="000D16B1">
              <w:rPr>
                <w:rFonts w:cs="Arial"/>
                <w:b/>
                <w:bCs/>
                <w:color w:val="FFFFFF"/>
                <w:szCs w:val="24"/>
              </w:rPr>
              <w:t>2024</w:t>
            </w:r>
          </w:p>
        </w:tc>
      </w:tr>
      <w:tr w:rsidR="00EC3E1D" w:rsidRPr="000D16B1" w14:paraId="1D6AFFE3" w14:textId="77777777" w:rsidTr="00C34C32">
        <w:tc>
          <w:tcPr>
            <w:tcW w:w="260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6CF027E6" w14:textId="77777777" w:rsidR="00EC3E1D" w:rsidRPr="000D16B1" w:rsidRDefault="00EC3E1D" w:rsidP="000D16B1">
            <w:pPr>
              <w:spacing w:line="360" w:lineRule="auto"/>
              <w:rPr>
                <w:rFonts w:cs="Arial"/>
                <w:szCs w:val="24"/>
              </w:rPr>
            </w:pPr>
            <w:r w:rsidRPr="000D16B1">
              <w:rPr>
                <w:rFonts w:cs="Arial"/>
                <w:b/>
                <w:bCs/>
                <w:szCs w:val="24"/>
              </w:rPr>
              <w:t>Gross Margin</w:t>
            </w:r>
          </w:p>
        </w:tc>
        <w:tc>
          <w:tcPr>
            <w:tcW w:w="118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5437A441" w14:textId="77777777" w:rsidR="00EC3E1D" w:rsidRPr="000D16B1" w:rsidRDefault="00EC3E1D" w:rsidP="000D16B1">
            <w:pPr>
              <w:spacing w:line="360" w:lineRule="auto"/>
              <w:jc w:val="center"/>
              <w:rPr>
                <w:rFonts w:cs="Arial"/>
                <w:szCs w:val="24"/>
              </w:rPr>
            </w:pPr>
            <w:r w:rsidRPr="000D16B1">
              <w:rPr>
                <w:rFonts w:cs="Arial"/>
                <w:color w:val="000000"/>
                <w:szCs w:val="24"/>
              </w:rPr>
              <w:t>66.5%</w:t>
            </w:r>
          </w:p>
        </w:tc>
        <w:tc>
          <w:tcPr>
            <w:tcW w:w="118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75A53BA2" w14:textId="77777777" w:rsidR="00EC3E1D" w:rsidRPr="000D16B1" w:rsidRDefault="00EC3E1D" w:rsidP="000D16B1">
            <w:pPr>
              <w:spacing w:line="360" w:lineRule="auto"/>
              <w:jc w:val="center"/>
              <w:rPr>
                <w:rFonts w:cs="Arial"/>
                <w:szCs w:val="24"/>
              </w:rPr>
            </w:pPr>
            <w:r w:rsidRPr="000D16B1">
              <w:rPr>
                <w:rFonts w:cs="Arial"/>
                <w:color w:val="000000"/>
                <w:szCs w:val="24"/>
              </w:rPr>
              <w:t>68.2%</w:t>
            </w:r>
          </w:p>
        </w:tc>
        <w:tc>
          <w:tcPr>
            <w:tcW w:w="118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5EEDB6E0" w14:textId="77777777" w:rsidR="00EC3E1D" w:rsidRPr="000D16B1" w:rsidRDefault="00EC3E1D" w:rsidP="000D16B1">
            <w:pPr>
              <w:spacing w:line="360" w:lineRule="auto"/>
              <w:jc w:val="center"/>
              <w:rPr>
                <w:rFonts w:cs="Arial"/>
                <w:szCs w:val="24"/>
              </w:rPr>
            </w:pPr>
            <w:r w:rsidRPr="000D16B1">
              <w:rPr>
                <w:rFonts w:cs="Arial"/>
                <w:color w:val="000000"/>
                <w:szCs w:val="24"/>
              </w:rPr>
              <w:t>66.5%</w:t>
            </w:r>
          </w:p>
        </w:tc>
        <w:tc>
          <w:tcPr>
            <w:tcW w:w="118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608DA77C" w14:textId="77777777" w:rsidR="00EC3E1D" w:rsidRPr="000D16B1" w:rsidRDefault="00EC3E1D" w:rsidP="000D16B1">
            <w:pPr>
              <w:spacing w:line="360" w:lineRule="auto"/>
              <w:jc w:val="center"/>
              <w:rPr>
                <w:rFonts w:cs="Arial"/>
                <w:szCs w:val="24"/>
              </w:rPr>
            </w:pPr>
            <w:r w:rsidRPr="000D16B1">
              <w:rPr>
                <w:rFonts w:cs="Arial"/>
                <w:color w:val="000000"/>
                <w:szCs w:val="24"/>
              </w:rPr>
              <w:t>66.9%</w:t>
            </w:r>
          </w:p>
        </w:tc>
        <w:tc>
          <w:tcPr>
            <w:tcW w:w="1315"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355F2068" w14:textId="77777777" w:rsidR="00EC3E1D" w:rsidRPr="000D16B1" w:rsidRDefault="00EC3E1D" w:rsidP="000D16B1">
            <w:pPr>
              <w:spacing w:line="360" w:lineRule="auto"/>
              <w:jc w:val="center"/>
              <w:rPr>
                <w:rFonts w:cs="Arial"/>
                <w:szCs w:val="24"/>
              </w:rPr>
            </w:pPr>
            <w:r w:rsidRPr="000D16B1">
              <w:rPr>
                <w:rFonts w:cs="Arial"/>
                <w:color w:val="000000"/>
                <w:szCs w:val="24"/>
              </w:rPr>
              <w:t>71.5%</w:t>
            </w:r>
          </w:p>
        </w:tc>
      </w:tr>
      <w:tr w:rsidR="00EC3E1D" w:rsidRPr="000D16B1" w14:paraId="012EAC9A" w14:textId="77777777" w:rsidTr="00C34C32">
        <w:tc>
          <w:tcPr>
            <w:tcW w:w="2600" w:type="dxa"/>
            <w:tcBorders>
              <w:top w:val="single" w:sz="4" w:space="0" w:color="auto"/>
              <w:left w:val="single" w:sz="4" w:space="0" w:color="auto"/>
              <w:bottom w:val="single" w:sz="4" w:space="0" w:color="auto"/>
              <w:right w:val="single" w:sz="4" w:space="0" w:color="auto"/>
            </w:tcBorders>
            <w:shd w:val="clear" w:color="auto" w:fill="DCE6F1"/>
            <w:tcMar>
              <w:top w:w="70" w:type="dxa"/>
              <w:left w:w="100" w:type="dxa"/>
              <w:bottom w:w="70" w:type="dxa"/>
              <w:right w:w="100" w:type="dxa"/>
            </w:tcMar>
            <w:hideMark/>
          </w:tcPr>
          <w:p w14:paraId="2CE77398" w14:textId="77777777" w:rsidR="00EC3E1D" w:rsidRPr="000D16B1" w:rsidRDefault="00EC3E1D" w:rsidP="000D16B1">
            <w:pPr>
              <w:spacing w:line="360" w:lineRule="auto"/>
              <w:rPr>
                <w:rFonts w:cs="Arial"/>
                <w:szCs w:val="24"/>
              </w:rPr>
            </w:pPr>
            <w:r w:rsidRPr="000D16B1">
              <w:rPr>
                <w:rFonts w:cs="Arial"/>
                <w:b/>
                <w:bCs/>
                <w:szCs w:val="24"/>
              </w:rPr>
              <w:t>Operating Margin</w:t>
            </w:r>
          </w:p>
        </w:tc>
        <w:tc>
          <w:tcPr>
            <w:tcW w:w="1180" w:type="dxa"/>
            <w:tcBorders>
              <w:top w:val="single" w:sz="4" w:space="0" w:color="auto"/>
              <w:left w:val="single" w:sz="4" w:space="0" w:color="auto"/>
              <w:bottom w:val="single" w:sz="4" w:space="0" w:color="auto"/>
              <w:right w:val="single" w:sz="4" w:space="0" w:color="auto"/>
            </w:tcBorders>
            <w:shd w:val="clear" w:color="auto" w:fill="DCE6F1"/>
            <w:tcMar>
              <w:top w:w="70" w:type="dxa"/>
              <w:left w:w="100" w:type="dxa"/>
              <w:bottom w:w="70" w:type="dxa"/>
              <w:right w:w="100" w:type="dxa"/>
            </w:tcMar>
            <w:hideMark/>
          </w:tcPr>
          <w:p w14:paraId="464A56AD" w14:textId="77777777" w:rsidR="00EC3E1D" w:rsidRPr="000D16B1" w:rsidRDefault="00EC3E1D" w:rsidP="000D16B1">
            <w:pPr>
              <w:spacing w:line="360" w:lineRule="auto"/>
              <w:jc w:val="center"/>
              <w:rPr>
                <w:rFonts w:cs="Arial"/>
                <w:szCs w:val="24"/>
              </w:rPr>
            </w:pPr>
            <w:r w:rsidRPr="000D16B1">
              <w:rPr>
                <w:rFonts w:cs="Arial"/>
                <w:color w:val="C00000"/>
                <w:szCs w:val="24"/>
              </w:rPr>
              <w:t>(30.6%)</w:t>
            </w:r>
          </w:p>
        </w:tc>
        <w:tc>
          <w:tcPr>
            <w:tcW w:w="1180" w:type="dxa"/>
            <w:tcBorders>
              <w:top w:val="single" w:sz="4" w:space="0" w:color="auto"/>
              <w:left w:val="single" w:sz="4" w:space="0" w:color="auto"/>
              <w:bottom w:val="single" w:sz="4" w:space="0" w:color="auto"/>
              <w:right w:val="single" w:sz="4" w:space="0" w:color="auto"/>
            </w:tcBorders>
            <w:shd w:val="clear" w:color="auto" w:fill="DCE6F1"/>
            <w:tcMar>
              <w:top w:w="70" w:type="dxa"/>
              <w:left w:w="100" w:type="dxa"/>
              <w:bottom w:w="70" w:type="dxa"/>
              <w:right w:w="100" w:type="dxa"/>
            </w:tcMar>
            <w:hideMark/>
          </w:tcPr>
          <w:p w14:paraId="2CEBF720" w14:textId="77777777" w:rsidR="00EC3E1D" w:rsidRPr="000D16B1" w:rsidRDefault="00EC3E1D" w:rsidP="000D16B1">
            <w:pPr>
              <w:spacing w:line="360" w:lineRule="auto"/>
              <w:jc w:val="center"/>
              <w:rPr>
                <w:rFonts w:cs="Arial"/>
                <w:szCs w:val="24"/>
              </w:rPr>
            </w:pPr>
            <w:r w:rsidRPr="000D16B1">
              <w:rPr>
                <w:rFonts w:cs="Arial"/>
                <w:color w:val="C00000"/>
                <w:szCs w:val="24"/>
              </w:rPr>
              <w:t>(8.3%)</w:t>
            </w:r>
          </w:p>
        </w:tc>
        <w:tc>
          <w:tcPr>
            <w:tcW w:w="1180" w:type="dxa"/>
            <w:tcBorders>
              <w:top w:val="single" w:sz="4" w:space="0" w:color="auto"/>
              <w:left w:val="single" w:sz="4" w:space="0" w:color="auto"/>
              <w:bottom w:val="single" w:sz="4" w:space="0" w:color="auto"/>
              <w:right w:val="single" w:sz="4" w:space="0" w:color="auto"/>
            </w:tcBorders>
            <w:shd w:val="clear" w:color="auto" w:fill="DCE6F1"/>
            <w:tcMar>
              <w:top w:w="70" w:type="dxa"/>
              <w:left w:w="100" w:type="dxa"/>
              <w:bottom w:w="70" w:type="dxa"/>
              <w:right w:w="100" w:type="dxa"/>
            </w:tcMar>
            <w:hideMark/>
          </w:tcPr>
          <w:p w14:paraId="73745D04" w14:textId="77777777" w:rsidR="00EC3E1D" w:rsidRPr="000D16B1" w:rsidRDefault="00EC3E1D" w:rsidP="000D16B1">
            <w:pPr>
              <w:spacing w:line="360" w:lineRule="auto"/>
              <w:jc w:val="center"/>
              <w:rPr>
                <w:rFonts w:cs="Arial"/>
                <w:szCs w:val="24"/>
              </w:rPr>
            </w:pPr>
            <w:r w:rsidRPr="000D16B1">
              <w:rPr>
                <w:rFonts w:cs="Arial"/>
                <w:color w:val="000000"/>
                <w:szCs w:val="24"/>
              </w:rPr>
              <w:t>6.8%</w:t>
            </w:r>
          </w:p>
        </w:tc>
        <w:tc>
          <w:tcPr>
            <w:tcW w:w="1180" w:type="dxa"/>
            <w:tcBorders>
              <w:top w:val="single" w:sz="4" w:space="0" w:color="auto"/>
              <w:left w:val="single" w:sz="4" w:space="0" w:color="auto"/>
              <w:bottom w:val="single" w:sz="4" w:space="0" w:color="auto"/>
              <w:right w:val="single" w:sz="4" w:space="0" w:color="auto"/>
            </w:tcBorders>
            <w:shd w:val="clear" w:color="auto" w:fill="DCE6F1"/>
            <w:tcMar>
              <w:top w:w="70" w:type="dxa"/>
              <w:left w:w="100" w:type="dxa"/>
              <w:bottom w:w="70" w:type="dxa"/>
              <w:right w:w="100" w:type="dxa"/>
            </w:tcMar>
            <w:hideMark/>
          </w:tcPr>
          <w:p w14:paraId="52214CDA" w14:textId="77777777" w:rsidR="00EC3E1D" w:rsidRPr="000D16B1" w:rsidRDefault="00EC3E1D" w:rsidP="000D16B1">
            <w:pPr>
              <w:spacing w:line="360" w:lineRule="auto"/>
              <w:jc w:val="center"/>
              <w:rPr>
                <w:rFonts w:cs="Arial"/>
                <w:szCs w:val="24"/>
              </w:rPr>
            </w:pPr>
            <w:r w:rsidRPr="000D16B1">
              <w:rPr>
                <w:rFonts w:cs="Arial"/>
                <w:color w:val="000000"/>
                <w:szCs w:val="24"/>
              </w:rPr>
              <w:t>4.6%</w:t>
            </w:r>
          </w:p>
        </w:tc>
        <w:tc>
          <w:tcPr>
            <w:tcW w:w="1315" w:type="dxa"/>
            <w:tcBorders>
              <w:top w:val="single" w:sz="4" w:space="0" w:color="auto"/>
              <w:left w:val="single" w:sz="4" w:space="0" w:color="auto"/>
              <w:bottom w:val="single" w:sz="4" w:space="0" w:color="auto"/>
              <w:right w:val="single" w:sz="4" w:space="0" w:color="auto"/>
            </w:tcBorders>
            <w:shd w:val="clear" w:color="auto" w:fill="DCE6F1"/>
            <w:tcMar>
              <w:top w:w="70" w:type="dxa"/>
              <w:left w:w="100" w:type="dxa"/>
              <w:bottom w:w="70" w:type="dxa"/>
              <w:right w:w="100" w:type="dxa"/>
            </w:tcMar>
            <w:hideMark/>
          </w:tcPr>
          <w:p w14:paraId="628E1E56" w14:textId="77777777" w:rsidR="00EC3E1D" w:rsidRPr="000D16B1" w:rsidRDefault="00EC3E1D" w:rsidP="000D16B1">
            <w:pPr>
              <w:spacing w:line="360" w:lineRule="auto"/>
              <w:jc w:val="center"/>
              <w:rPr>
                <w:rFonts w:cs="Arial"/>
                <w:szCs w:val="24"/>
              </w:rPr>
            </w:pPr>
            <w:r w:rsidRPr="000D16B1">
              <w:rPr>
                <w:rFonts w:cs="Arial"/>
                <w:color w:val="000000"/>
                <w:szCs w:val="24"/>
              </w:rPr>
              <w:t>5.6%</w:t>
            </w:r>
          </w:p>
        </w:tc>
      </w:tr>
      <w:tr w:rsidR="00EC3E1D" w:rsidRPr="000D16B1" w14:paraId="7B6BB163" w14:textId="77777777" w:rsidTr="00C34C32">
        <w:tc>
          <w:tcPr>
            <w:tcW w:w="260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76A03DE0" w14:textId="77777777" w:rsidR="00EC3E1D" w:rsidRPr="000D16B1" w:rsidRDefault="00EC3E1D" w:rsidP="000D16B1">
            <w:pPr>
              <w:spacing w:line="360" w:lineRule="auto"/>
              <w:rPr>
                <w:rFonts w:cs="Arial"/>
                <w:szCs w:val="24"/>
              </w:rPr>
            </w:pPr>
            <w:r w:rsidRPr="000D16B1">
              <w:rPr>
                <w:rFonts w:cs="Arial"/>
                <w:b/>
                <w:bCs/>
                <w:szCs w:val="24"/>
              </w:rPr>
              <w:t>Net Margin</w:t>
            </w:r>
          </w:p>
        </w:tc>
        <w:tc>
          <w:tcPr>
            <w:tcW w:w="118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7C72A179" w14:textId="77777777" w:rsidR="00EC3E1D" w:rsidRPr="000D16B1" w:rsidRDefault="00EC3E1D" w:rsidP="000D16B1">
            <w:pPr>
              <w:spacing w:line="360" w:lineRule="auto"/>
              <w:jc w:val="center"/>
              <w:rPr>
                <w:rFonts w:cs="Arial"/>
                <w:szCs w:val="24"/>
              </w:rPr>
            </w:pPr>
            <w:r w:rsidRPr="000D16B1">
              <w:rPr>
                <w:rFonts w:cs="Arial"/>
                <w:color w:val="C00000"/>
                <w:szCs w:val="24"/>
              </w:rPr>
              <w:t>(34.0%)</w:t>
            </w:r>
          </w:p>
        </w:tc>
        <w:tc>
          <w:tcPr>
            <w:tcW w:w="118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54A9A84D" w14:textId="77777777" w:rsidR="00EC3E1D" w:rsidRPr="000D16B1" w:rsidRDefault="00EC3E1D" w:rsidP="000D16B1">
            <w:pPr>
              <w:spacing w:line="360" w:lineRule="auto"/>
              <w:jc w:val="center"/>
              <w:rPr>
                <w:rFonts w:cs="Arial"/>
                <w:szCs w:val="24"/>
              </w:rPr>
            </w:pPr>
            <w:r w:rsidRPr="000D16B1">
              <w:rPr>
                <w:rFonts w:cs="Arial"/>
                <w:color w:val="C00000"/>
                <w:szCs w:val="24"/>
              </w:rPr>
              <w:t>(7.3%)</w:t>
            </w:r>
          </w:p>
        </w:tc>
        <w:tc>
          <w:tcPr>
            <w:tcW w:w="118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0BAA69DE" w14:textId="77777777" w:rsidR="00EC3E1D" w:rsidRPr="000D16B1" w:rsidRDefault="00EC3E1D" w:rsidP="000D16B1">
            <w:pPr>
              <w:spacing w:line="360" w:lineRule="auto"/>
              <w:jc w:val="center"/>
              <w:rPr>
                <w:rFonts w:cs="Arial"/>
                <w:szCs w:val="24"/>
              </w:rPr>
            </w:pPr>
            <w:r w:rsidRPr="000D16B1">
              <w:rPr>
                <w:rFonts w:cs="Arial"/>
                <w:color w:val="000000"/>
                <w:szCs w:val="24"/>
              </w:rPr>
              <w:t>7.7%</w:t>
            </w:r>
          </w:p>
        </w:tc>
        <w:tc>
          <w:tcPr>
            <w:tcW w:w="118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23AC1F99" w14:textId="77777777" w:rsidR="00EC3E1D" w:rsidRPr="000D16B1" w:rsidRDefault="00EC3E1D" w:rsidP="000D16B1">
            <w:pPr>
              <w:spacing w:line="360" w:lineRule="auto"/>
              <w:jc w:val="center"/>
              <w:rPr>
                <w:rFonts w:cs="Arial"/>
                <w:szCs w:val="24"/>
              </w:rPr>
            </w:pPr>
            <w:r w:rsidRPr="000D16B1">
              <w:rPr>
                <w:rFonts w:cs="Arial"/>
                <w:color w:val="000000"/>
                <w:szCs w:val="24"/>
              </w:rPr>
              <w:t>3.3%</w:t>
            </w:r>
          </w:p>
        </w:tc>
        <w:tc>
          <w:tcPr>
            <w:tcW w:w="1315"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1D450208" w14:textId="77777777" w:rsidR="00EC3E1D" w:rsidRPr="000D16B1" w:rsidRDefault="00EC3E1D" w:rsidP="000D16B1">
            <w:pPr>
              <w:spacing w:line="360" w:lineRule="auto"/>
              <w:jc w:val="center"/>
              <w:rPr>
                <w:rFonts w:cs="Arial"/>
                <w:szCs w:val="24"/>
              </w:rPr>
            </w:pPr>
            <w:r w:rsidRPr="000D16B1">
              <w:rPr>
                <w:rFonts w:cs="Arial"/>
                <w:color w:val="000000"/>
                <w:szCs w:val="24"/>
              </w:rPr>
              <w:t>19.5%</w:t>
            </w:r>
          </w:p>
        </w:tc>
      </w:tr>
    </w:tbl>
    <w:p w14:paraId="6D8123EA" w14:textId="4C4538F9" w:rsidR="00EC3E1D" w:rsidRPr="000D16B1" w:rsidRDefault="00C76AF3" w:rsidP="000D16B1">
      <w:pPr>
        <w:spacing w:before="200" w:after="200" w:line="360" w:lineRule="auto"/>
        <w:rPr>
          <w:rFonts w:cs="Arial"/>
          <w:lang w:val="en-US" w:eastAsia="en-US" w:bidi="ar-SA"/>
        </w:rPr>
      </w:pPr>
      <w:r w:rsidRPr="00C76AF3">
        <w:rPr>
          <w:rFonts w:cs="Arial"/>
          <w:i/>
          <w:iCs/>
          <w:color w:val="808080"/>
          <w:szCs w:val="24"/>
        </w:rPr>
        <w:t xml:space="preserve">Note: Hyatt has no separate cost of goods sold line. Gross Margin above is a proxy constructed by us (Total revenues less direct owned/leased-hotel and distribution operating expenses) and is used in conjunction with Operating Margin, which is the subtotal structure reported in the income </w:t>
      </w:r>
      <w:proofErr w:type="gramStart"/>
      <w:r w:rsidRPr="00C76AF3">
        <w:rPr>
          <w:rFonts w:cs="Arial"/>
          <w:i/>
          <w:iCs/>
          <w:color w:val="808080"/>
          <w:szCs w:val="24"/>
        </w:rPr>
        <w:t>statement.</w:t>
      </w:r>
      <w:r w:rsidR="00EC3E1D" w:rsidRPr="000D16B1">
        <w:rPr>
          <w:rFonts w:cs="Arial"/>
          <w:i/>
          <w:iCs/>
          <w:color w:val="808080"/>
          <w:sz w:val="19"/>
          <w:szCs w:val="19"/>
        </w:rPr>
        <w:t>.</w:t>
      </w:r>
      <w:proofErr w:type="gramEnd"/>
    </w:p>
    <w:p w14:paraId="0E4BB914" w14:textId="77777777" w:rsidR="00EC3E1D" w:rsidRPr="000D16B1" w:rsidRDefault="00EC3E1D" w:rsidP="000D16B1">
      <w:pPr>
        <w:pStyle w:val="Heading2"/>
        <w:spacing w:line="360" w:lineRule="auto"/>
        <w:rPr>
          <w:rFonts w:cs="Arial"/>
        </w:rPr>
      </w:pPr>
      <w:bookmarkStart w:id="1" w:name="_Toc237455733"/>
      <w:r w:rsidRPr="000D16B1">
        <w:rPr>
          <w:rFonts w:cs="Arial"/>
        </w:rPr>
        <w:t>Key Changes &amp; Reasons</w:t>
      </w:r>
      <w:bookmarkEnd w:id="1"/>
    </w:p>
    <w:p w14:paraId="63F053BA" w14:textId="77777777" w:rsidR="00C76AF3" w:rsidRPr="00C76AF3" w:rsidRDefault="00C76AF3" w:rsidP="00C76AF3">
      <w:pPr>
        <w:pStyle w:val="ListParagraph"/>
        <w:numPr>
          <w:ilvl w:val="1"/>
          <w:numId w:val="2"/>
        </w:numPr>
        <w:spacing w:after="120" w:line="360" w:lineRule="auto"/>
        <w:rPr>
          <w:rFonts w:ascii="Arial" w:hAnsi="Arial" w:cs="Arial"/>
          <w:sz w:val="24"/>
          <w:szCs w:val="24"/>
        </w:rPr>
      </w:pPr>
      <w:r w:rsidRPr="00C76AF3">
        <w:rPr>
          <w:rFonts w:ascii="Arial" w:hAnsi="Arial" w:cs="Arial"/>
          <w:sz w:val="24"/>
          <w:szCs w:val="24"/>
        </w:rPr>
        <w:t>Net margin hit a low of -34.0% in 2020 as COVID-19 shut down hotel operations around the world — 18% of owned/leased properties were open Mar. 31, 2020, and 82% by year-end. Owned &amp; leased hotel revenue declined 72.2% and management/franchise fees declined 67.2%.</w:t>
      </w:r>
    </w:p>
    <w:p w14:paraId="15C8EDC0" w14:textId="2B0247BD" w:rsidR="00C76AF3" w:rsidRPr="00C76AF3" w:rsidRDefault="00C76AF3" w:rsidP="00C76AF3">
      <w:pPr>
        <w:pStyle w:val="ListParagraph"/>
        <w:numPr>
          <w:ilvl w:val="0"/>
          <w:numId w:val="4"/>
        </w:numPr>
        <w:spacing w:after="120" w:line="360" w:lineRule="auto"/>
        <w:rPr>
          <w:rFonts w:ascii="Arial" w:hAnsi="Arial" w:cs="Arial"/>
          <w:sz w:val="24"/>
          <w:szCs w:val="24"/>
        </w:rPr>
      </w:pPr>
      <w:r w:rsidRPr="00C76AF3">
        <w:rPr>
          <w:rFonts w:ascii="Arial" w:hAnsi="Arial" w:cs="Arial"/>
          <w:sz w:val="24"/>
          <w:szCs w:val="24"/>
        </w:rPr>
        <w:t>(Source: Hyatt FY2020 Form 10-K, MD&amp;A — Results of Operations)</w:t>
      </w:r>
    </w:p>
    <w:p w14:paraId="585596CC" w14:textId="4D924F8A" w:rsidR="00C76AF3" w:rsidRPr="00C76AF3" w:rsidRDefault="00C76AF3" w:rsidP="00C76AF3">
      <w:pPr>
        <w:pStyle w:val="ListParagraph"/>
        <w:numPr>
          <w:ilvl w:val="1"/>
          <w:numId w:val="2"/>
        </w:numPr>
        <w:spacing w:after="120" w:line="360" w:lineRule="auto"/>
        <w:rPr>
          <w:rFonts w:ascii="Arial" w:hAnsi="Arial" w:cs="Arial"/>
          <w:sz w:val="24"/>
          <w:szCs w:val="24"/>
        </w:rPr>
      </w:pPr>
      <w:r w:rsidRPr="00C76AF3">
        <w:rPr>
          <w:rFonts w:ascii="Arial" w:hAnsi="Arial" w:cs="Arial"/>
          <w:sz w:val="24"/>
          <w:szCs w:val="24"/>
        </w:rPr>
        <w:t>Partially recovery in 2021: Losses were narrowed with the return of demand, but margins remained negative with an increase in interest expense of $35 million on new senior notes issued in 2020–2021.</w:t>
      </w:r>
    </w:p>
    <w:p w14:paraId="6686E4DA" w14:textId="136D0785" w:rsidR="00C76AF3" w:rsidRPr="00C76AF3" w:rsidRDefault="00C76AF3" w:rsidP="00C76AF3">
      <w:pPr>
        <w:pStyle w:val="ListParagraph"/>
        <w:numPr>
          <w:ilvl w:val="0"/>
          <w:numId w:val="4"/>
        </w:numPr>
        <w:spacing w:after="120" w:line="360" w:lineRule="auto"/>
        <w:rPr>
          <w:rFonts w:ascii="Arial" w:hAnsi="Arial" w:cs="Arial"/>
          <w:sz w:val="24"/>
          <w:szCs w:val="24"/>
        </w:rPr>
      </w:pPr>
      <w:r w:rsidRPr="00C76AF3">
        <w:rPr>
          <w:rFonts w:ascii="Arial" w:hAnsi="Arial" w:cs="Arial"/>
          <w:sz w:val="24"/>
          <w:szCs w:val="24"/>
        </w:rPr>
        <w:t>(Source: Hyatt FY2021 Form 10-K, MD&amp;A)</w:t>
      </w:r>
    </w:p>
    <w:p w14:paraId="600669BE" w14:textId="355BB323" w:rsidR="00C76AF3" w:rsidRPr="00C76AF3" w:rsidRDefault="00C76AF3" w:rsidP="00C76AF3">
      <w:pPr>
        <w:pStyle w:val="ListParagraph"/>
        <w:numPr>
          <w:ilvl w:val="1"/>
          <w:numId w:val="2"/>
        </w:numPr>
        <w:spacing w:after="120" w:line="360" w:lineRule="auto"/>
        <w:rPr>
          <w:rFonts w:ascii="Arial" w:hAnsi="Arial" w:cs="Arial"/>
          <w:sz w:val="24"/>
          <w:szCs w:val="24"/>
        </w:rPr>
      </w:pPr>
      <w:r w:rsidRPr="00C76AF3">
        <w:rPr>
          <w:rFonts w:ascii="Arial" w:hAnsi="Arial" w:cs="Arial"/>
          <w:sz w:val="24"/>
          <w:szCs w:val="24"/>
        </w:rPr>
        <w:lastRenderedPageBreak/>
        <w:t>Return to profitability in 2022-23, but net margin was lower than operating margin: Interest expense declined due to the sale of senior notes; real estate gains were less and more typical than in previous or subsequent years.</w:t>
      </w:r>
    </w:p>
    <w:p w14:paraId="71138319" w14:textId="45659C84" w:rsidR="00C76AF3" w:rsidRPr="00C76AF3" w:rsidRDefault="00C76AF3" w:rsidP="00C76AF3">
      <w:pPr>
        <w:pStyle w:val="ListParagraph"/>
        <w:numPr>
          <w:ilvl w:val="0"/>
          <w:numId w:val="4"/>
        </w:numPr>
        <w:spacing w:after="120" w:line="360" w:lineRule="auto"/>
        <w:rPr>
          <w:rFonts w:ascii="Arial" w:hAnsi="Arial" w:cs="Arial"/>
          <w:sz w:val="24"/>
          <w:szCs w:val="24"/>
        </w:rPr>
      </w:pPr>
      <w:r w:rsidRPr="00C76AF3">
        <w:rPr>
          <w:rFonts w:ascii="Arial" w:hAnsi="Arial" w:cs="Arial"/>
          <w:sz w:val="24"/>
          <w:szCs w:val="24"/>
        </w:rPr>
        <w:t>(Source: Hyatt FY2022 and FY2023 Form 10-K filings)</w:t>
      </w:r>
    </w:p>
    <w:p w14:paraId="14995790" w14:textId="7C7D63E9" w:rsidR="00C76AF3" w:rsidRPr="00C76AF3" w:rsidRDefault="00C76AF3" w:rsidP="00C76AF3">
      <w:pPr>
        <w:pStyle w:val="ListParagraph"/>
        <w:numPr>
          <w:ilvl w:val="1"/>
          <w:numId w:val="2"/>
        </w:numPr>
        <w:spacing w:after="120" w:line="360" w:lineRule="auto"/>
        <w:rPr>
          <w:rFonts w:ascii="Arial" w:hAnsi="Arial" w:cs="Arial"/>
          <w:sz w:val="24"/>
          <w:szCs w:val="24"/>
        </w:rPr>
      </w:pPr>
      <w:r w:rsidRPr="00C76AF3">
        <w:rPr>
          <w:rFonts w:ascii="Arial" w:hAnsi="Arial" w:cs="Arial"/>
          <w:sz w:val="24"/>
          <w:szCs w:val="24"/>
        </w:rPr>
        <w:t>2024 jump in net margin to 19.5%: The gain on sales of real estate of $1,245 million, almost entirely attributable to the gross disposition proceeds from the Hyatt Regency Orlando sale ($514 million) and the Park Hyatt Zurich sale ($257 million), resulted in the increase in net margin as Hyatt met the 2021 commitment to realize $2.0 billion of gross disposition proceeds. Excluding these one-time gains, underlying operating margin (5.6%) exhibits a more modest improvement.</w:t>
      </w:r>
    </w:p>
    <w:p w14:paraId="59C0DDFE" w14:textId="0B90232B" w:rsidR="00C76AF3" w:rsidRPr="00C76AF3" w:rsidRDefault="00C76AF3" w:rsidP="00C76AF3">
      <w:pPr>
        <w:pStyle w:val="ListParagraph"/>
        <w:numPr>
          <w:ilvl w:val="0"/>
          <w:numId w:val="4"/>
        </w:numPr>
        <w:spacing w:after="120" w:line="360" w:lineRule="auto"/>
        <w:rPr>
          <w:rFonts w:ascii="Arial" w:hAnsi="Arial" w:cs="Arial"/>
          <w:sz w:val="24"/>
          <w:szCs w:val="24"/>
        </w:rPr>
      </w:pPr>
      <w:r w:rsidRPr="00C76AF3">
        <w:rPr>
          <w:rFonts w:ascii="Arial" w:hAnsi="Arial" w:cs="Arial"/>
          <w:sz w:val="24"/>
          <w:szCs w:val="24"/>
        </w:rPr>
        <w:t>(Source: Hyatt MD&amp;A — Overview and Results of Operations in Hyatt FY2024 Form 10-K)</w:t>
      </w:r>
    </w:p>
    <w:p w14:paraId="57113955" w14:textId="77777777" w:rsidR="00C76AF3" w:rsidRPr="00C76AF3" w:rsidRDefault="00C76AF3" w:rsidP="00C76AF3">
      <w:pPr>
        <w:pStyle w:val="ListParagraph"/>
        <w:numPr>
          <w:ilvl w:val="1"/>
          <w:numId w:val="2"/>
        </w:numPr>
        <w:spacing w:after="120" w:line="360" w:lineRule="auto"/>
        <w:rPr>
          <w:rFonts w:ascii="Arial" w:hAnsi="Arial" w:cs="Arial"/>
          <w:sz w:val="24"/>
          <w:szCs w:val="24"/>
        </w:rPr>
      </w:pPr>
      <w:r w:rsidRPr="00C76AF3">
        <w:rPr>
          <w:rFonts w:ascii="Arial" w:hAnsi="Arial" w:cs="Arial"/>
          <w:sz w:val="24"/>
          <w:szCs w:val="24"/>
        </w:rPr>
        <w:t>The same trend applies to gross margin, which continues to increase steadily to 71.5% in 2024 as direct operating costs of hotels have declined as a percentage of revenue due to Hyatt's transition to an asset-light business of selling hotels and transitioning to operating and franchise fees.</w:t>
      </w:r>
    </w:p>
    <w:p w14:paraId="568C4C93" w14:textId="4E044CDF" w:rsidR="00EC3E1D" w:rsidRPr="00C76AF3" w:rsidRDefault="00C76AF3" w:rsidP="00C76AF3">
      <w:pPr>
        <w:pStyle w:val="ListParagraph"/>
        <w:numPr>
          <w:ilvl w:val="0"/>
          <w:numId w:val="4"/>
        </w:numPr>
        <w:spacing w:after="120" w:line="360" w:lineRule="auto"/>
        <w:rPr>
          <w:rFonts w:ascii="Arial" w:hAnsi="Arial" w:cs="Arial"/>
          <w:sz w:val="24"/>
          <w:szCs w:val="24"/>
        </w:rPr>
      </w:pPr>
      <w:r w:rsidRPr="00C76AF3">
        <w:rPr>
          <w:rFonts w:ascii="Arial" w:hAnsi="Arial" w:cs="Arial"/>
          <w:sz w:val="24"/>
          <w:szCs w:val="24"/>
        </w:rPr>
        <w:t>(Source: Hyatt FY2024 Form 10-K)</w:t>
      </w:r>
    </w:p>
    <w:p w14:paraId="5F629883" w14:textId="77777777" w:rsidR="00EC3E1D" w:rsidRPr="000D16B1" w:rsidRDefault="00EC3E1D" w:rsidP="000D16B1">
      <w:pPr>
        <w:pStyle w:val="Heading1"/>
        <w:spacing w:line="360" w:lineRule="auto"/>
        <w:rPr>
          <w:rFonts w:cs="Arial"/>
        </w:rPr>
      </w:pPr>
      <w:bookmarkStart w:id="2" w:name="_Toc237455734"/>
      <w:r w:rsidRPr="000D16B1">
        <w:rPr>
          <w:rFonts w:cs="Arial"/>
        </w:rPr>
        <w:t>2. Liquidity Ratios</w:t>
      </w:r>
      <w:bookmarkEnd w:id="2"/>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1180"/>
        <w:gridCol w:w="1180"/>
        <w:gridCol w:w="1180"/>
        <w:gridCol w:w="1180"/>
        <w:gridCol w:w="1180"/>
      </w:tblGrid>
      <w:tr w:rsidR="00EC3E1D" w:rsidRPr="000D16B1" w14:paraId="473ADF64" w14:textId="77777777" w:rsidTr="00EC3E1D">
        <w:trPr>
          <w:tblHeader/>
        </w:trPr>
        <w:tc>
          <w:tcPr>
            <w:tcW w:w="260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hideMark/>
          </w:tcPr>
          <w:p w14:paraId="6481D61E" w14:textId="77777777" w:rsidR="00EC3E1D" w:rsidRPr="000D16B1" w:rsidRDefault="00EC3E1D" w:rsidP="000D16B1">
            <w:pPr>
              <w:spacing w:line="360" w:lineRule="auto"/>
              <w:jc w:val="center"/>
              <w:rPr>
                <w:rFonts w:cs="Arial"/>
                <w:szCs w:val="24"/>
              </w:rPr>
            </w:pPr>
            <w:r w:rsidRPr="000D16B1">
              <w:rPr>
                <w:rFonts w:cs="Arial"/>
                <w:b/>
                <w:bCs/>
                <w:color w:val="FFFFFF"/>
                <w:szCs w:val="24"/>
              </w:rPr>
              <w:t>Ratio</w:t>
            </w:r>
          </w:p>
        </w:tc>
        <w:tc>
          <w:tcPr>
            <w:tcW w:w="118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hideMark/>
          </w:tcPr>
          <w:p w14:paraId="640038C1" w14:textId="77777777" w:rsidR="00EC3E1D" w:rsidRPr="000D16B1" w:rsidRDefault="00EC3E1D" w:rsidP="000D16B1">
            <w:pPr>
              <w:spacing w:line="360" w:lineRule="auto"/>
              <w:jc w:val="center"/>
              <w:rPr>
                <w:rFonts w:cs="Arial"/>
                <w:szCs w:val="24"/>
              </w:rPr>
            </w:pPr>
            <w:r w:rsidRPr="000D16B1">
              <w:rPr>
                <w:rFonts w:cs="Arial"/>
                <w:b/>
                <w:bCs/>
                <w:color w:val="FFFFFF"/>
                <w:szCs w:val="24"/>
              </w:rPr>
              <w:t>2020</w:t>
            </w:r>
          </w:p>
        </w:tc>
        <w:tc>
          <w:tcPr>
            <w:tcW w:w="118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hideMark/>
          </w:tcPr>
          <w:p w14:paraId="778E279D" w14:textId="77777777" w:rsidR="00EC3E1D" w:rsidRPr="000D16B1" w:rsidRDefault="00EC3E1D" w:rsidP="000D16B1">
            <w:pPr>
              <w:spacing w:line="360" w:lineRule="auto"/>
              <w:jc w:val="center"/>
              <w:rPr>
                <w:rFonts w:cs="Arial"/>
                <w:szCs w:val="24"/>
              </w:rPr>
            </w:pPr>
            <w:r w:rsidRPr="000D16B1">
              <w:rPr>
                <w:rFonts w:cs="Arial"/>
                <w:b/>
                <w:bCs/>
                <w:color w:val="FFFFFF"/>
                <w:szCs w:val="24"/>
              </w:rPr>
              <w:t>2021</w:t>
            </w:r>
          </w:p>
        </w:tc>
        <w:tc>
          <w:tcPr>
            <w:tcW w:w="118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hideMark/>
          </w:tcPr>
          <w:p w14:paraId="2392BAA2" w14:textId="77777777" w:rsidR="00EC3E1D" w:rsidRPr="000D16B1" w:rsidRDefault="00EC3E1D" w:rsidP="000D16B1">
            <w:pPr>
              <w:spacing w:line="360" w:lineRule="auto"/>
              <w:jc w:val="center"/>
              <w:rPr>
                <w:rFonts w:cs="Arial"/>
                <w:szCs w:val="24"/>
              </w:rPr>
            </w:pPr>
            <w:r w:rsidRPr="000D16B1">
              <w:rPr>
                <w:rFonts w:cs="Arial"/>
                <w:b/>
                <w:bCs/>
                <w:color w:val="FFFFFF"/>
                <w:szCs w:val="24"/>
              </w:rPr>
              <w:t>2022</w:t>
            </w:r>
          </w:p>
        </w:tc>
        <w:tc>
          <w:tcPr>
            <w:tcW w:w="118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hideMark/>
          </w:tcPr>
          <w:p w14:paraId="4F0E916C" w14:textId="77777777" w:rsidR="00EC3E1D" w:rsidRPr="000D16B1" w:rsidRDefault="00EC3E1D" w:rsidP="000D16B1">
            <w:pPr>
              <w:spacing w:line="360" w:lineRule="auto"/>
              <w:jc w:val="center"/>
              <w:rPr>
                <w:rFonts w:cs="Arial"/>
                <w:szCs w:val="24"/>
              </w:rPr>
            </w:pPr>
            <w:r w:rsidRPr="000D16B1">
              <w:rPr>
                <w:rFonts w:cs="Arial"/>
                <w:b/>
                <w:bCs/>
                <w:color w:val="FFFFFF"/>
                <w:szCs w:val="24"/>
              </w:rPr>
              <w:t>2023</w:t>
            </w:r>
          </w:p>
        </w:tc>
        <w:tc>
          <w:tcPr>
            <w:tcW w:w="118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hideMark/>
          </w:tcPr>
          <w:p w14:paraId="7CEDBB64" w14:textId="77777777" w:rsidR="00EC3E1D" w:rsidRPr="000D16B1" w:rsidRDefault="00EC3E1D" w:rsidP="000D16B1">
            <w:pPr>
              <w:spacing w:line="360" w:lineRule="auto"/>
              <w:jc w:val="center"/>
              <w:rPr>
                <w:rFonts w:cs="Arial"/>
                <w:szCs w:val="24"/>
              </w:rPr>
            </w:pPr>
            <w:r w:rsidRPr="000D16B1">
              <w:rPr>
                <w:rFonts w:cs="Arial"/>
                <w:b/>
                <w:bCs/>
                <w:color w:val="FFFFFF"/>
                <w:szCs w:val="24"/>
              </w:rPr>
              <w:t>2024</w:t>
            </w:r>
          </w:p>
        </w:tc>
      </w:tr>
      <w:tr w:rsidR="00EC3E1D" w:rsidRPr="000D16B1" w14:paraId="679DCA2C" w14:textId="77777777" w:rsidTr="00EC3E1D">
        <w:tc>
          <w:tcPr>
            <w:tcW w:w="260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3898E71B" w14:textId="77777777" w:rsidR="00EC3E1D" w:rsidRPr="000D16B1" w:rsidRDefault="00EC3E1D" w:rsidP="000D16B1">
            <w:pPr>
              <w:spacing w:line="360" w:lineRule="auto"/>
              <w:rPr>
                <w:rFonts w:cs="Arial"/>
                <w:szCs w:val="24"/>
              </w:rPr>
            </w:pPr>
            <w:r w:rsidRPr="000D16B1">
              <w:rPr>
                <w:rFonts w:cs="Arial"/>
                <w:b/>
                <w:bCs/>
                <w:szCs w:val="24"/>
              </w:rPr>
              <w:t>Current Ratio</w:t>
            </w:r>
          </w:p>
        </w:tc>
        <w:tc>
          <w:tcPr>
            <w:tcW w:w="118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5CE6C03D" w14:textId="77777777" w:rsidR="00EC3E1D" w:rsidRPr="000D16B1" w:rsidRDefault="00EC3E1D" w:rsidP="000D16B1">
            <w:pPr>
              <w:spacing w:line="360" w:lineRule="auto"/>
              <w:jc w:val="center"/>
              <w:rPr>
                <w:rFonts w:cs="Arial"/>
                <w:szCs w:val="24"/>
              </w:rPr>
            </w:pPr>
            <w:r w:rsidRPr="000D16B1">
              <w:rPr>
                <w:rFonts w:cs="Arial"/>
                <w:color w:val="000000"/>
                <w:szCs w:val="24"/>
              </w:rPr>
              <w:t>2.60x</w:t>
            </w:r>
          </w:p>
        </w:tc>
        <w:tc>
          <w:tcPr>
            <w:tcW w:w="118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1B69BE4D" w14:textId="77777777" w:rsidR="00EC3E1D" w:rsidRPr="000D16B1" w:rsidRDefault="00EC3E1D" w:rsidP="000D16B1">
            <w:pPr>
              <w:spacing w:line="360" w:lineRule="auto"/>
              <w:jc w:val="center"/>
              <w:rPr>
                <w:rFonts w:cs="Arial"/>
                <w:szCs w:val="24"/>
              </w:rPr>
            </w:pPr>
            <w:r w:rsidRPr="000D16B1">
              <w:rPr>
                <w:rFonts w:cs="Arial"/>
                <w:color w:val="000000"/>
                <w:szCs w:val="24"/>
              </w:rPr>
              <w:t>0.92x</w:t>
            </w:r>
          </w:p>
        </w:tc>
        <w:tc>
          <w:tcPr>
            <w:tcW w:w="118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42B65728" w14:textId="77777777" w:rsidR="00EC3E1D" w:rsidRPr="000D16B1" w:rsidRDefault="00EC3E1D" w:rsidP="000D16B1">
            <w:pPr>
              <w:spacing w:line="360" w:lineRule="auto"/>
              <w:jc w:val="center"/>
              <w:rPr>
                <w:rFonts w:cs="Arial"/>
                <w:szCs w:val="24"/>
              </w:rPr>
            </w:pPr>
            <w:r w:rsidRPr="000D16B1">
              <w:rPr>
                <w:rFonts w:cs="Arial"/>
                <w:color w:val="000000"/>
                <w:szCs w:val="24"/>
              </w:rPr>
              <w:t>0.68x</w:t>
            </w:r>
          </w:p>
        </w:tc>
        <w:tc>
          <w:tcPr>
            <w:tcW w:w="118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683A626F" w14:textId="77777777" w:rsidR="00EC3E1D" w:rsidRPr="000D16B1" w:rsidRDefault="00EC3E1D" w:rsidP="000D16B1">
            <w:pPr>
              <w:spacing w:line="360" w:lineRule="auto"/>
              <w:jc w:val="center"/>
              <w:rPr>
                <w:rFonts w:cs="Arial"/>
                <w:szCs w:val="24"/>
              </w:rPr>
            </w:pPr>
            <w:r w:rsidRPr="000D16B1">
              <w:rPr>
                <w:rFonts w:cs="Arial"/>
                <w:color w:val="000000"/>
                <w:szCs w:val="24"/>
              </w:rPr>
              <w:t>0.60x</w:t>
            </w:r>
          </w:p>
        </w:tc>
        <w:tc>
          <w:tcPr>
            <w:tcW w:w="118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22DF326A" w14:textId="77777777" w:rsidR="00EC3E1D" w:rsidRPr="000D16B1" w:rsidRDefault="00EC3E1D" w:rsidP="000D16B1">
            <w:pPr>
              <w:spacing w:line="360" w:lineRule="auto"/>
              <w:jc w:val="center"/>
              <w:rPr>
                <w:rFonts w:cs="Arial"/>
                <w:szCs w:val="24"/>
              </w:rPr>
            </w:pPr>
            <w:r w:rsidRPr="000D16B1">
              <w:rPr>
                <w:rFonts w:cs="Arial"/>
                <w:color w:val="000000"/>
                <w:szCs w:val="24"/>
              </w:rPr>
              <w:t>0.83x</w:t>
            </w:r>
          </w:p>
        </w:tc>
      </w:tr>
      <w:tr w:rsidR="00EC3E1D" w:rsidRPr="000D16B1" w14:paraId="42738E9F" w14:textId="77777777" w:rsidTr="00EC3E1D">
        <w:tc>
          <w:tcPr>
            <w:tcW w:w="2600" w:type="dxa"/>
            <w:tcBorders>
              <w:top w:val="single" w:sz="4" w:space="0" w:color="auto"/>
              <w:left w:val="single" w:sz="4" w:space="0" w:color="auto"/>
              <w:bottom w:val="single" w:sz="4" w:space="0" w:color="auto"/>
              <w:right w:val="single" w:sz="4" w:space="0" w:color="auto"/>
            </w:tcBorders>
            <w:shd w:val="clear" w:color="auto" w:fill="DCE6F1"/>
            <w:tcMar>
              <w:top w:w="70" w:type="dxa"/>
              <w:left w:w="100" w:type="dxa"/>
              <w:bottom w:w="70" w:type="dxa"/>
              <w:right w:w="100" w:type="dxa"/>
            </w:tcMar>
            <w:hideMark/>
          </w:tcPr>
          <w:p w14:paraId="2B61E6A2" w14:textId="77777777" w:rsidR="00EC3E1D" w:rsidRPr="000D16B1" w:rsidRDefault="00EC3E1D" w:rsidP="000D16B1">
            <w:pPr>
              <w:spacing w:line="360" w:lineRule="auto"/>
              <w:rPr>
                <w:rFonts w:cs="Arial"/>
                <w:szCs w:val="24"/>
              </w:rPr>
            </w:pPr>
            <w:r w:rsidRPr="000D16B1">
              <w:rPr>
                <w:rFonts w:cs="Arial"/>
                <w:b/>
                <w:bCs/>
                <w:szCs w:val="24"/>
              </w:rPr>
              <w:t>Quick Ratio</w:t>
            </w:r>
          </w:p>
        </w:tc>
        <w:tc>
          <w:tcPr>
            <w:tcW w:w="1180" w:type="dxa"/>
            <w:tcBorders>
              <w:top w:val="single" w:sz="4" w:space="0" w:color="auto"/>
              <w:left w:val="single" w:sz="4" w:space="0" w:color="auto"/>
              <w:bottom w:val="single" w:sz="4" w:space="0" w:color="auto"/>
              <w:right w:val="single" w:sz="4" w:space="0" w:color="auto"/>
            </w:tcBorders>
            <w:shd w:val="clear" w:color="auto" w:fill="DCE6F1"/>
            <w:tcMar>
              <w:top w:w="70" w:type="dxa"/>
              <w:left w:w="100" w:type="dxa"/>
              <w:bottom w:w="70" w:type="dxa"/>
              <w:right w:w="100" w:type="dxa"/>
            </w:tcMar>
            <w:hideMark/>
          </w:tcPr>
          <w:p w14:paraId="65D996DD" w14:textId="77777777" w:rsidR="00EC3E1D" w:rsidRPr="000D16B1" w:rsidRDefault="00EC3E1D" w:rsidP="000D16B1">
            <w:pPr>
              <w:spacing w:line="360" w:lineRule="auto"/>
              <w:jc w:val="center"/>
              <w:rPr>
                <w:rFonts w:cs="Arial"/>
                <w:szCs w:val="24"/>
              </w:rPr>
            </w:pPr>
            <w:r w:rsidRPr="000D16B1">
              <w:rPr>
                <w:rFonts w:cs="Arial"/>
                <w:color w:val="000000"/>
                <w:szCs w:val="24"/>
              </w:rPr>
              <w:t>2.24x</w:t>
            </w:r>
          </w:p>
        </w:tc>
        <w:tc>
          <w:tcPr>
            <w:tcW w:w="1180" w:type="dxa"/>
            <w:tcBorders>
              <w:top w:val="single" w:sz="4" w:space="0" w:color="auto"/>
              <w:left w:val="single" w:sz="4" w:space="0" w:color="auto"/>
              <w:bottom w:val="single" w:sz="4" w:space="0" w:color="auto"/>
              <w:right w:val="single" w:sz="4" w:space="0" w:color="auto"/>
            </w:tcBorders>
            <w:shd w:val="clear" w:color="auto" w:fill="DCE6F1"/>
            <w:tcMar>
              <w:top w:w="70" w:type="dxa"/>
              <w:left w:w="100" w:type="dxa"/>
              <w:bottom w:w="70" w:type="dxa"/>
              <w:right w:w="100" w:type="dxa"/>
            </w:tcMar>
            <w:hideMark/>
          </w:tcPr>
          <w:p w14:paraId="677D7719" w14:textId="77777777" w:rsidR="00EC3E1D" w:rsidRPr="000D16B1" w:rsidRDefault="00EC3E1D" w:rsidP="000D16B1">
            <w:pPr>
              <w:spacing w:line="360" w:lineRule="auto"/>
              <w:jc w:val="center"/>
              <w:rPr>
                <w:rFonts w:cs="Arial"/>
                <w:szCs w:val="24"/>
              </w:rPr>
            </w:pPr>
            <w:r w:rsidRPr="000D16B1">
              <w:rPr>
                <w:rFonts w:cs="Arial"/>
                <w:color w:val="000000"/>
                <w:szCs w:val="24"/>
              </w:rPr>
              <w:t>0.84x</w:t>
            </w:r>
          </w:p>
        </w:tc>
        <w:tc>
          <w:tcPr>
            <w:tcW w:w="1180" w:type="dxa"/>
            <w:tcBorders>
              <w:top w:val="single" w:sz="4" w:space="0" w:color="auto"/>
              <w:left w:val="single" w:sz="4" w:space="0" w:color="auto"/>
              <w:bottom w:val="single" w:sz="4" w:space="0" w:color="auto"/>
              <w:right w:val="single" w:sz="4" w:space="0" w:color="auto"/>
            </w:tcBorders>
            <w:shd w:val="clear" w:color="auto" w:fill="DCE6F1"/>
            <w:tcMar>
              <w:top w:w="70" w:type="dxa"/>
              <w:left w:w="100" w:type="dxa"/>
              <w:bottom w:w="70" w:type="dxa"/>
              <w:right w:w="100" w:type="dxa"/>
            </w:tcMar>
            <w:hideMark/>
          </w:tcPr>
          <w:p w14:paraId="534ED99D" w14:textId="77777777" w:rsidR="00EC3E1D" w:rsidRPr="000D16B1" w:rsidRDefault="00EC3E1D" w:rsidP="000D16B1">
            <w:pPr>
              <w:spacing w:line="360" w:lineRule="auto"/>
              <w:jc w:val="center"/>
              <w:rPr>
                <w:rFonts w:cs="Arial"/>
                <w:szCs w:val="24"/>
              </w:rPr>
            </w:pPr>
            <w:r w:rsidRPr="000D16B1">
              <w:rPr>
                <w:rFonts w:cs="Arial"/>
                <w:color w:val="000000"/>
                <w:szCs w:val="24"/>
              </w:rPr>
              <w:t>0.62x</w:t>
            </w:r>
          </w:p>
        </w:tc>
        <w:tc>
          <w:tcPr>
            <w:tcW w:w="1180" w:type="dxa"/>
            <w:tcBorders>
              <w:top w:val="single" w:sz="4" w:space="0" w:color="auto"/>
              <w:left w:val="single" w:sz="4" w:space="0" w:color="auto"/>
              <w:bottom w:val="single" w:sz="4" w:space="0" w:color="auto"/>
              <w:right w:val="single" w:sz="4" w:space="0" w:color="auto"/>
            </w:tcBorders>
            <w:shd w:val="clear" w:color="auto" w:fill="DCE6F1"/>
            <w:tcMar>
              <w:top w:w="70" w:type="dxa"/>
              <w:left w:w="100" w:type="dxa"/>
              <w:bottom w:w="70" w:type="dxa"/>
              <w:right w:w="100" w:type="dxa"/>
            </w:tcMar>
            <w:hideMark/>
          </w:tcPr>
          <w:p w14:paraId="12FF4C95" w14:textId="77777777" w:rsidR="00EC3E1D" w:rsidRPr="000D16B1" w:rsidRDefault="00EC3E1D" w:rsidP="000D16B1">
            <w:pPr>
              <w:spacing w:line="360" w:lineRule="auto"/>
              <w:jc w:val="center"/>
              <w:rPr>
                <w:rFonts w:cs="Arial"/>
                <w:szCs w:val="24"/>
              </w:rPr>
            </w:pPr>
            <w:r w:rsidRPr="000D16B1">
              <w:rPr>
                <w:rFonts w:cs="Arial"/>
                <w:color w:val="000000"/>
                <w:szCs w:val="24"/>
              </w:rPr>
              <w:t>0.51x</w:t>
            </w:r>
          </w:p>
        </w:tc>
        <w:tc>
          <w:tcPr>
            <w:tcW w:w="1180" w:type="dxa"/>
            <w:tcBorders>
              <w:top w:val="single" w:sz="4" w:space="0" w:color="auto"/>
              <w:left w:val="single" w:sz="4" w:space="0" w:color="auto"/>
              <w:bottom w:val="single" w:sz="4" w:space="0" w:color="auto"/>
              <w:right w:val="single" w:sz="4" w:space="0" w:color="auto"/>
            </w:tcBorders>
            <w:shd w:val="clear" w:color="auto" w:fill="DCE6F1"/>
            <w:tcMar>
              <w:top w:w="70" w:type="dxa"/>
              <w:left w:w="100" w:type="dxa"/>
              <w:bottom w:w="70" w:type="dxa"/>
              <w:right w:w="100" w:type="dxa"/>
            </w:tcMar>
            <w:hideMark/>
          </w:tcPr>
          <w:p w14:paraId="67299CDC" w14:textId="77777777" w:rsidR="00EC3E1D" w:rsidRPr="000D16B1" w:rsidRDefault="00EC3E1D" w:rsidP="000D16B1">
            <w:pPr>
              <w:spacing w:line="360" w:lineRule="auto"/>
              <w:jc w:val="center"/>
              <w:rPr>
                <w:rFonts w:cs="Arial"/>
                <w:szCs w:val="24"/>
              </w:rPr>
            </w:pPr>
            <w:r w:rsidRPr="000D16B1">
              <w:rPr>
                <w:rFonts w:cs="Arial"/>
                <w:color w:val="000000"/>
                <w:szCs w:val="24"/>
              </w:rPr>
              <w:t>0.77x</w:t>
            </w:r>
          </w:p>
        </w:tc>
      </w:tr>
      <w:tr w:rsidR="00EC3E1D" w:rsidRPr="000D16B1" w14:paraId="067FA71B" w14:textId="77777777" w:rsidTr="00EC3E1D">
        <w:tc>
          <w:tcPr>
            <w:tcW w:w="260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66333669" w14:textId="77777777" w:rsidR="00EC3E1D" w:rsidRPr="000D16B1" w:rsidRDefault="00EC3E1D" w:rsidP="000D16B1">
            <w:pPr>
              <w:spacing w:line="360" w:lineRule="auto"/>
              <w:rPr>
                <w:rFonts w:cs="Arial"/>
                <w:szCs w:val="24"/>
              </w:rPr>
            </w:pPr>
            <w:r w:rsidRPr="000D16B1">
              <w:rPr>
                <w:rFonts w:cs="Arial"/>
                <w:b/>
                <w:bCs/>
                <w:szCs w:val="24"/>
              </w:rPr>
              <w:t>Cash Ratio</w:t>
            </w:r>
          </w:p>
        </w:tc>
        <w:tc>
          <w:tcPr>
            <w:tcW w:w="118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55BB5361" w14:textId="77777777" w:rsidR="00EC3E1D" w:rsidRPr="000D16B1" w:rsidRDefault="00EC3E1D" w:rsidP="000D16B1">
            <w:pPr>
              <w:spacing w:line="360" w:lineRule="auto"/>
              <w:jc w:val="center"/>
              <w:rPr>
                <w:rFonts w:cs="Arial"/>
                <w:szCs w:val="24"/>
              </w:rPr>
            </w:pPr>
            <w:r w:rsidRPr="000D16B1">
              <w:rPr>
                <w:rFonts w:cs="Arial"/>
                <w:color w:val="000000"/>
                <w:szCs w:val="24"/>
              </w:rPr>
              <w:t>1.92x</w:t>
            </w:r>
          </w:p>
        </w:tc>
        <w:tc>
          <w:tcPr>
            <w:tcW w:w="118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0E7A8609" w14:textId="77777777" w:rsidR="00EC3E1D" w:rsidRPr="000D16B1" w:rsidRDefault="00EC3E1D" w:rsidP="000D16B1">
            <w:pPr>
              <w:spacing w:line="360" w:lineRule="auto"/>
              <w:jc w:val="center"/>
              <w:rPr>
                <w:rFonts w:cs="Arial"/>
                <w:szCs w:val="24"/>
              </w:rPr>
            </w:pPr>
            <w:r w:rsidRPr="000D16B1">
              <w:rPr>
                <w:rFonts w:cs="Arial"/>
                <w:color w:val="000000"/>
                <w:szCs w:val="24"/>
              </w:rPr>
              <w:t>0.56x</w:t>
            </w:r>
          </w:p>
        </w:tc>
        <w:tc>
          <w:tcPr>
            <w:tcW w:w="118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0D74B9ED" w14:textId="77777777" w:rsidR="00EC3E1D" w:rsidRPr="000D16B1" w:rsidRDefault="00EC3E1D" w:rsidP="000D16B1">
            <w:pPr>
              <w:spacing w:line="360" w:lineRule="auto"/>
              <w:jc w:val="center"/>
              <w:rPr>
                <w:rFonts w:cs="Arial"/>
                <w:szCs w:val="24"/>
              </w:rPr>
            </w:pPr>
            <w:r w:rsidRPr="000D16B1">
              <w:rPr>
                <w:rFonts w:cs="Arial"/>
                <w:color w:val="000000"/>
                <w:szCs w:val="24"/>
              </w:rPr>
              <w:t>0.36x</w:t>
            </w:r>
          </w:p>
        </w:tc>
        <w:tc>
          <w:tcPr>
            <w:tcW w:w="118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520D647B" w14:textId="77777777" w:rsidR="00EC3E1D" w:rsidRPr="000D16B1" w:rsidRDefault="00EC3E1D" w:rsidP="000D16B1">
            <w:pPr>
              <w:spacing w:line="360" w:lineRule="auto"/>
              <w:jc w:val="center"/>
              <w:rPr>
                <w:rFonts w:cs="Arial"/>
                <w:szCs w:val="24"/>
              </w:rPr>
            </w:pPr>
            <w:r w:rsidRPr="000D16B1">
              <w:rPr>
                <w:rFonts w:cs="Arial"/>
                <w:color w:val="000000"/>
                <w:szCs w:val="24"/>
              </w:rPr>
              <w:t>0.26x</w:t>
            </w:r>
          </w:p>
        </w:tc>
        <w:tc>
          <w:tcPr>
            <w:tcW w:w="118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66D4A30A" w14:textId="77777777" w:rsidR="00EC3E1D" w:rsidRPr="000D16B1" w:rsidRDefault="00EC3E1D" w:rsidP="000D16B1">
            <w:pPr>
              <w:spacing w:line="360" w:lineRule="auto"/>
              <w:jc w:val="center"/>
              <w:rPr>
                <w:rFonts w:cs="Arial"/>
                <w:szCs w:val="24"/>
              </w:rPr>
            </w:pPr>
            <w:r w:rsidRPr="000D16B1">
              <w:rPr>
                <w:rFonts w:cs="Arial"/>
                <w:color w:val="000000"/>
                <w:szCs w:val="24"/>
              </w:rPr>
              <w:t>0.42x</w:t>
            </w:r>
          </w:p>
        </w:tc>
      </w:tr>
    </w:tbl>
    <w:p w14:paraId="6A3A5C92" w14:textId="77777777" w:rsidR="00EC3E1D" w:rsidRPr="000D16B1" w:rsidRDefault="00EC3E1D" w:rsidP="000D16B1">
      <w:pPr>
        <w:pStyle w:val="Heading2"/>
        <w:spacing w:line="360" w:lineRule="auto"/>
        <w:rPr>
          <w:rFonts w:cs="Arial"/>
          <w:lang w:val="en-US" w:eastAsia="en-US" w:bidi="ar-SA"/>
        </w:rPr>
      </w:pPr>
      <w:bookmarkStart w:id="3" w:name="_Toc237455735"/>
      <w:r w:rsidRPr="000D16B1">
        <w:rPr>
          <w:rFonts w:cs="Arial"/>
        </w:rPr>
        <w:t>Key Changes &amp; Reasons</w:t>
      </w:r>
      <w:bookmarkEnd w:id="3"/>
    </w:p>
    <w:p w14:paraId="5BFE3BDB" w14:textId="5DC6A3DF" w:rsidR="00EC3E1D" w:rsidRPr="000D16B1" w:rsidRDefault="00C76AF3" w:rsidP="00C76AF3">
      <w:pPr>
        <w:pStyle w:val="ListParagraph"/>
        <w:numPr>
          <w:ilvl w:val="1"/>
          <w:numId w:val="2"/>
        </w:numPr>
        <w:spacing w:after="120" w:line="360" w:lineRule="auto"/>
        <w:rPr>
          <w:rFonts w:ascii="Arial" w:hAnsi="Arial" w:cs="Arial"/>
          <w:sz w:val="24"/>
          <w:szCs w:val="24"/>
        </w:rPr>
      </w:pPr>
      <w:r w:rsidRPr="00C76AF3">
        <w:rPr>
          <w:rFonts w:ascii="Arial" w:hAnsi="Arial" w:cs="Arial"/>
          <w:b/>
          <w:bCs/>
          <w:sz w:val="24"/>
          <w:szCs w:val="24"/>
        </w:rPr>
        <w:t xml:space="preserve">Defensive liquidity, not organic </w:t>
      </w:r>
      <w:r w:rsidRPr="00C76AF3">
        <w:rPr>
          <w:rFonts w:ascii="Arial" w:hAnsi="Arial" w:cs="Arial"/>
          <w:sz w:val="24"/>
          <w:szCs w:val="24"/>
        </w:rPr>
        <w:t>– 2020's high liquidity was not the result of revenue growth, but rather the revolver, the 2022/2025/2030 Notes and actions taken to reduce dividends and share repurchases all served to provide a substantial cash and short-term investment buffer during the crisis</w:t>
      </w:r>
      <w:r>
        <w:rPr>
          <w:rFonts w:ascii="Arial" w:hAnsi="Arial" w:cs="Arial"/>
          <w:b/>
          <w:bCs/>
          <w:sz w:val="24"/>
          <w:szCs w:val="24"/>
        </w:rPr>
        <w:t xml:space="preserve"> </w:t>
      </w:r>
      <w:r w:rsidR="0038472E" w:rsidRPr="000D16B1">
        <w:rPr>
          <w:rFonts w:ascii="Arial" w:hAnsi="Arial" w:cs="Arial"/>
          <w:sz w:val="24"/>
          <w:szCs w:val="24"/>
        </w:rPr>
        <w:fldChar w:fldCharType="begin" w:fldLock="1"/>
      </w:r>
      <w:r w:rsidR="0038472E" w:rsidRPr="000D16B1">
        <w:rPr>
          <w:rFonts w:ascii="Arial" w:hAnsi="Arial" w:cs="Arial"/>
          <w:sz w:val="24"/>
          <w:szCs w:val="24"/>
        </w:rPr>
        <w:instrText>ADDIN CSL_CITATION {"citationItems":[{"id":"ITEM-1","itemData":{"URL":"https://investors.hyatt.com/financials/annual-reports/default.aspx?languageid=1","author":[{"dropping-particle":"","family":"HYATT","given":"","non-dropping-particle":"","parse-names":false,"suffix":""}],"id":"ITEM-1","issued":{"date-parts":[["2024"]]},"title":"Annual Reports","type":"webpage"},"uris":["http://www.mendeley.com/documents/?uuid=1ebdd15c-5615-429b-9998-4866213df7f6"]}],"mendeley":{"formattedCitation":"(HYATT, 2024)","plainTextFormattedCitation":"(HYATT, 2024)","previouslyFormattedCitation":"(HYATT, 2024)"},"properties":{"noteIndex":0},"schema":"https://github.com/citation-style-language/schema/raw/master/csl-citation.json"}</w:instrText>
      </w:r>
      <w:r w:rsidR="0038472E" w:rsidRPr="000D16B1">
        <w:rPr>
          <w:rFonts w:ascii="Arial" w:hAnsi="Arial" w:cs="Arial"/>
          <w:sz w:val="24"/>
          <w:szCs w:val="24"/>
        </w:rPr>
        <w:fldChar w:fldCharType="separate"/>
      </w:r>
      <w:r w:rsidR="0038472E" w:rsidRPr="000D16B1">
        <w:rPr>
          <w:rFonts w:ascii="Arial" w:hAnsi="Arial" w:cs="Arial"/>
          <w:noProof/>
          <w:sz w:val="24"/>
          <w:szCs w:val="24"/>
        </w:rPr>
        <w:t>(HYATT, 2024)</w:t>
      </w:r>
      <w:r w:rsidR="0038472E" w:rsidRPr="000D16B1">
        <w:rPr>
          <w:rFonts w:ascii="Arial" w:hAnsi="Arial" w:cs="Arial"/>
          <w:sz w:val="24"/>
          <w:szCs w:val="24"/>
        </w:rPr>
        <w:fldChar w:fldCharType="end"/>
      </w:r>
      <w:r w:rsidR="00EC3E1D" w:rsidRPr="000D16B1">
        <w:rPr>
          <w:rFonts w:ascii="Arial" w:hAnsi="Arial" w:cs="Arial"/>
          <w:sz w:val="24"/>
          <w:szCs w:val="24"/>
        </w:rPr>
        <w:t>.</w:t>
      </w:r>
    </w:p>
    <w:p w14:paraId="434B3333" w14:textId="77777777" w:rsidR="00EC3E1D" w:rsidRPr="000D16B1" w:rsidRDefault="00EC3E1D" w:rsidP="00C76AF3">
      <w:pPr>
        <w:pStyle w:val="ListParagraph"/>
        <w:numPr>
          <w:ilvl w:val="0"/>
          <w:numId w:val="4"/>
        </w:numPr>
        <w:spacing w:after="120" w:line="360" w:lineRule="auto"/>
        <w:rPr>
          <w:rFonts w:ascii="Arial" w:hAnsi="Arial" w:cs="Arial"/>
          <w:sz w:val="24"/>
          <w:szCs w:val="24"/>
        </w:rPr>
      </w:pPr>
      <w:r w:rsidRPr="000D16B1">
        <w:rPr>
          <w:rFonts w:ascii="Arial" w:hAnsi="Arial" w:cs="Arial"/>
          <w:sz w:val="24"/>
          <w:szCs w:val="24"/>
        </w:rPr>
        <w:t>(Source: Hyatt FY2020 Form 10-K, Liquidity and Capital Resources)</w:t>
      </w:r>
    </w:p>
    <w:p w14:paraId="2730ABAB" w14:textId="11E644A4" w:rsidR="00C76AF3" w:rsidRPr="00C76AF3" w:rsidRDefault="00C76AF3" w:rsidP="00C76AF3">
      <w:pPr>
        <w:pStyle w:val="ListParagraph"/>
        <w:numPr>
          <w:ilvl w:val="1"/>
          <w:numId w:val="2"/>
        </w:numPr>
        <w:spacing w:after="120" w:line="360" w:lineRule="auto"/>
        <w:rPr>
          <w:rFonts w:ascii="Arial" w:hAnsi="Arial" w:cs="Arial"/>
          <w:sz w:val="24"/>
          <w:szCs w:val="24"/>
        </w:rPr>
      </w:pPr>
      <w:r w:rsidRPr="00C76AF3">
        <w:rPr>
          <w:rFonts w:ascii="Arial" w:hAnsi="Arial" w:cs="Arial"/>
          <w:sz w:val="24"/>
          <w:szCs w:val="24"/>
        </w:rPr>
        <w:lastRenderedPageBreak/>
        <w:t>The ratios declined consistently since 2021 because that emergency cash was used up primarily in the 1 November 2021 acquisition of Apple Leisure Group (ALG), partly financed by new debt, and by drawing down cash balances.</w:t>
      </w:r>
    </w:p>
    <w:p w14:paraId="11367AC4" w14:textId="4A7955E1" w:rsidR="00C76AF3" w:rsidRPr="00C76AF3" w:rsidRDefault="00C76AF3" w:rsidP="00C76AF3">
      <w:pPr>
        <w:pStyle w:val="ListParagraph"/>
        <w:numPr>
          <w:ilvl w:val="0"/>
          <w:numId w:val="4"/>
        </w:numPr>
        <w:spacing w:after="120" w:line="360" w:lineRule="auto"/>
        <w:rPr>
          <w:rFonts w:ascii="Arial" w:hAnsi="Arial" w:cs="Arial"/>
          <w:sz w:val="24"/>
          <w:szCs w:val="24"/>
        </w:rPr>
      </w:pPr>
      <w:r w:rsidRPr="00C76AF3">
        <w:rPr>
          <w:rFonts w:ascii="Arial" w:hAnsi="Arial" w:cs="Arial"/>
          <w:sz w:val="24"/>
          <w:szCs w:val="24"/>
        </w:rPr>
        <w:t>(From Hyatt FY2021 Form 10-K, Business Overview)</w:t>
      </w:r>
    </w:p>
    <w:p w14:paraId="72107B28" w14:textId="77777777" w:rsidR="00C76AF3" w:rsidRPr="00C76AF3" w:rsidRDefault="00C76AF3" w:rsidP="00C76AF3">
      <w:pPr>
        <w:pStyle w:val="ListParagraph"/>
        <w:numPr>
          <w:ilvl w:val="1"/>
          <w:numId w:val="2"/>
        </w:numPr>
        <w:spacing w:after="120" w:line="360" w:lineRule="auto"/>
        <w:rPr>
          <w:rFonts w:ascii="Arial" w:hAnsi="Arial" w:cs="Arial"/>
          <w:sz w:val="24"/>
          <w:szCs w:val="24"/>
        </w:rPr>
      </w:pPr>
      <w:r w:rsidRPr="00C76AF3">
        <w:rPr>
          <w:rFonts w:ascii="Arial" w:hAnsi="Arial" w:cs="Arial"/>
          <w:sz w:val="24"/>
          <w:szCs w:val="24"/>
        </w:rPr>
        <w:t>The low for 2023 (0.60x current ratio) was when current assets growth was outpaced by ongoing growth in current contract liabilities (deferred loyalty-program and advance-deposit revenue) and a $453 million share buyback was done using cash instead of building it.</w:t>
      </w:r>
    </w:p>
    <w:p w14:paraId="7D519215" w14:textId="77777777" w:rsidR="00C76AF3" w:rsidRPr="00C76AF3" w:rsidRDefault="00C76AF3" w:rsidP="00C76AF3">
      <w:pPr>
        <w:pStyle w:val="ListParagraph"/>
        <w:numPr>
          <w:ilvl w:val="1"/>
          <w:numId w:val="2"/>
        </w:numPr>
        <w:spacing w:after="120" w:line="360" w:lineRule="auto"/>
        <w:rPr>
          <w:rFonts w:ascii="Arial" w:hAnsi="Arial" w:cs="Arial"/>
          <w:sz w:val="24"/>
          <w:szCs w:val="24"/>
        </w:rPr>
      </w:pPr>
      <w:r w:rsidRPr="00C76AF3">
        <w:rPr>
          <w:rFonts w:ascii="Arial" w:hAnsi="Arial" w:cs="Arial"/>
          <w:sz w:val="24"/>
          <w:szCs w:val="24"/>
        </w:rPr>
        <w:t>Despite $1,190 million of share repurchases, funding 2024's rebound came from the inflows of real-estate disposition proceeds (Orlando, Zurich, Aruba, San Antonio, etc.) into cash and short-term investments.</w:t>
      </w:r>
    </w:p>
    <w:p w14:paraId="44D2CF77" w14:textId="3D5E26D7" w:rsidR="00EC3E1D" w:rsidRPr="00C76AF3" w:rsidRDefault="00C76AF3" w:rsidP="00C76AF3">
      <w:pPr>
        <w:pStyle w:val="ListParagraph"/>
        <w:numPr>
          <w:ilvl w:val="0"/>
          <w:numId w:val="4"/>
        </w:numPr>
        <w:spacing w:after="120" w:line="360" w:lineRule="auto"/>
        <w:rPr>
          <w:rFonts w:ascii="Arial" w:hAnsi="Arial" w:cs="Arial"/>
          <w:sz w:val="24"/>
          <w:szCs w:val="24"/>
        </w:rPr>
      </w:pPr>
      <w:r w:rsidRPr="00C76AF3">
        <w:rPr>
          <w:rFonts w:ascii="Arial" w:hAnsi="Arial" w:cs="Arial"/>
          <w:sz w:val="24"/>
          <w:szCs w:val="24"/>
        </w:rPr>
        <w:t>Sources and uses of cash (Source: Hyatt FY2024 Form 10-K)</w:t>
      </w:r>
    </w:p>
    <w:p w14:paraId="666DEF54" w14:textId="77777777" w:rsidR="00EC3E1D" w:rsidRPr="000D16B1" w:rsidRDefault="00EC3E1D" w:rsidP="000D16B1">
      <w:pPr>
        <w:pStyle w:val="Heading1"/>
        <w:spacing w:line="360" w:lineRule="auto"/>
        <w:rPr>
          <w:rFonts w:cs="Arial"/>
        </w:rPr>
      </w:pPr>
      <w:bookmarkStart w:id="4" w:name="_Toc237455736"/>
      <w:r w:rsidRPr="000D16B1">
        <w:rPr>
          <w:rFonts w:cs="Arial"/>
        </w:rPr>
        <w:t>3. Efficiency Ratios</w:t>
      </w:r>
      <w:bookmarkEnd w:id="4"/>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1180"/>
        <w:gridCol w:w="1180"/>
        <w:gridCol w:w="1180"/>
        <w:gridCol w:w="1180"/>
        <w:gridCol w:w="1180"/>
      </w:tblGrid>
      <w:tr w:rsidR="00EC3E1D" w:rsidRPr="000D16B1" w14:paraId="7A8DD645" w14:textId="77777777" w:rsidTr="00EC3E1D">
        <w:trPr>
          <w:tblHeader/>
        </w:trPr>
        <w:tc>
          <w:tcPr>
            <w:tcW w:w="260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hideMark/>
          </w:tcPr>
          <w:p w14:paraId="22836753" w14:textId="77777777" w:rsidR="00EC3E1D" w:rsidRPr="000D16B1" w:rsidRDefault="00EC3E1D" w:rsidP="000D16B1">
            <w:pPr>
              <w:spacing w:line="360" w:lineRule="auto"/>
              <w:rPr>
                <w:rFonts w:cs="Arial"/>
              </w:rPr>
            </w:pPr>
            <w:r w:rsidRPr="000D16B1">
              <w:rPr>
                <w:rFonts w:cs="Arial"/>
              </w:rPr>
              <w:t>Ratio</w:t>
            </w:r>
          </w:p>
        </w:tc>
        <w:tc>
          <w:tcPr>
            <w:tcW w:w="118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hideMark/>
          </w:tcPr>
          <w:p w14:paraId="261F8DA8" w14:textId="77777777" w:rsidR="00EC3E1D" w:rsidRPr="000D16B1" w:rsidRDefault="00EC3E1D" w:rsidP="000D16B1">
            <w:pPr>
              <w:spacing w:line="360" w:lineRule="auto"/>
              <w:rPr>
                <w:rFonts w:cs="Arial"/>
              </w:rPr>
            </w:pPr>
            <w:r w:rsidRPr="000D16B1">
              <w:rPr>
                <w:rFonts w:cs="Arial"/>
              </w:rPr>
              <w:t>2020</w:t>
            </w:r>
          </w:p>
        </w:tc>
        <w:tc>
          <w:tcPr>
            <w:tcW w:w="118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hideMark/>
          </w:tcPr>
          <w:p w14:paraId="238A29D8" w14:textId="77777777" w:rsidR="00EC3E1D" w:rsidRPr="000D16B1" w:rsidRDefault="00EC3E1D" w:rsidP="000D16B1">
            <w:pPr>
              <w:spacing w:line="360" w:lineRule="auto"/>
              <w:rPr>
                <w:rFonts w:cs="Arial"/>
              </w:rPr>
            </w:pPr>
            <w:r w:rsidRPr="000D16B1">
              <w:rPr>
                <w:rFonts w:cs="Arial"/>
              </w:rPr>
              <w:t>2021</w:t>
            </w:r>
          </w:p>
        </w:tc>
        <w:tc>
          <w:tcPr>
            <w:tcW w:w="118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hideMark/>
          </w:tcPr>
          <w:p w14:paraId="067405B6" w14:textId="77777777" w:rsidR="00EC3E1D" w:rsidRPr="000D16B1" w:rsidRDefault="00EC3E1D" w:rsidP="000D16B1">
            <w:pPr>
              <w:spacing w:line="360" w:lineRule="auto"/>
              <w:rPr>
                <w:rFonts w:cs="Arial"/>
              </w:rPr>
            </w:pPr>
            <w:r w:rsidRPr="000D16B1">
              <w:rPr>
                <w:rFonts w:cs="Arial"/>
              </w:rPr>
              <w:t>2022</w:t>
            </w:r>
          </w:p>
        </w:tc>
        <w:tc>
          <w:tcPr>
            <w:tcW w:w="118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hideMark/>
          </w:tcPr>
          <w:p w14:paraId="2C0BBA1C" w14:textId="77777777" w:rsidR="00EC3E1D" w:rsidRPr="000D16B1" w:rsidRDefault="00EC3E1D" w:rsidP="000D16B1">
            <w:pPr>
              <w:spacing w:line="360" w:lineRule="auto"/>
              <w:rPr>
                <w:rFonts w:cs="Arial"/>
              </w:rPr>
            </w:pPr>
            <w:r w:rsidRPr="000D16B1">
              <w:rPr>
                <w:rFonts w:cs="Arial"/>
              </w:rPr>
              <w:t>2023</w:t>
            </w:r>
          </w:p>
        </w:tc>
        <w:tc>
          <w:tcPr>
            <w:tcW w:w="118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hideMark/>
          </w:tcPr>
          <w:p w14:paraId="58EF9757" w14:textId="77777777" w:rsidR="00EC3E1D" w:rsidRPr="000D16B1" w:rsidRDefault="00EC3E1D" w:rsidP="000D16B1">
            <w:pPr>
              <w:spacing w:line="360" w:lineRule="auto"/>
              <w:rPr>
                <w:rFonts w:cs="Arial"/>
              </w:rPr>
            </w:pPr>
            <w:r w:rsidRPr="000D16B1">
              <w:rPr>
                <w:rFonts w:cs="Arial"/>
              </w:rPr>
              <w:t>2024</w:t>
            </w:r>
          </w:p>
        </w:tc>
      </w:tr>
      <w:tr w:rsidR="00EC3E1D" w:rsidRPr="000D16B1" w14:paraId="45E41193" w14:textId="77777777" w:rsidTr="00EC3E1D">
        <w:tc>
          <w:tcPr>
            <w:tcW w:w="260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2E6203F6" w14:textId="77777777" w:rsidR="00EC3E1D" w:rsidRPr="000D16B1" w:rsidRDefault="00EC3E1D" w:rsidP="000D16B1">
            <w:pPr>
              <w:spacing w:line="360" w:lineRule="auto"/>
              <w:rPr>
                <w:rFonts w:cs="Arial"/>
              </w:rPr>
            </w:pPr>
            <w:r w:rsidRPr="000D16B1">
              <w:rPr>
                <w:rFonts w:cs="Arial"/>
              </w:rPr>
              <w:t>Asset Turnover</w:t>
            </w:r>
          </w:p>
        </w:tc>
        <w:tc>
          <w:tcPr>
            <w:tcW w:w="118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013EC79E" w14:textId="77777777" w:rsidR="00EC3E1D" w:rsidRPr="000D16B1" w:rsidRDefault="00EC3E1D" w:rsidP="000D16B1">
            <w:pPr>
              <w:spacing w:line="360" w:lineRule="auto"/>
              <w:rPr>
                <w:rFonts w:cs="Arial"/>
              </w:rPr>
            </w:pPr>
            <w:r w:rsidRPr="000D16B1">
              <w:rPr>
                <w:rFonts w:cs="Arial"/>
                <w:color w:val="000000"/>
              </w:rPr>
              <w:t>0.23x</w:t>
            </w:r>
          </w:p>
        </w:tc>
        <w:tc>
          <w:tcPr>
            <w:tcW w:w="118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607CA44E" w14:textId="77777777" w:rsidR="00EC3E1D" w:rsidRPr="000D16B1" w:rsidRDefault="00EC3E1D" w:rsidP="000D16B1">
            <w:pPr>
              <w:spacing w:line="360" w:lineRule="auto"/>
              <w:rPr>
                <w:rFonts w:cs="Arial"/>
              </w:rPr>
            </w:pPr>
            <w:r w:rsidRPr="000D16B1">
              <w:rPr>
                <w:rFonts w:cs="Arial"/>
                <w:color w:val="000000"/>
              </w:rPr>
              <w:t>0.24x</w:t>
            </w:r>
          </w:p>
        </w:tc>
        <w:tc>
          <w:tcPr>
            <w:tcW w:w="118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28B82F1D" w14:textId="77777777" w:rsidR="00EC3E1D" w:rsidRPr="000D16B1" w:rsidRDefault="00EC3E1D" w:rsidP="000D16B1">
            <w:pPr>
              <w:spacing w:line="360" w:lineRule="auto"/>
              <w:rPr>
                <w:rFonts w:cs="Arial"/>
              </w:rPr>
            </w:pPr>
            <w:r w:rsidRPr="000D16B1">
              <w:rPr>
                <w:rFonts w:cs="Arial"/>
                <w:color w:val="000000"/>
              </w:rPr>
              <w:t>0.48x</w:t>
            </w:r>
          </w:p>
        </w:tc>
        <w:tc>
          <w:tcPr>
            <w:tcW w:w="118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3CF42442" w14:textId="77777777" w:rsidR="00EC3E1D" w:rsidRPr="000D16B1" w:rsidRDefault="00EC3E1D" w:rsidP="000D16B1">
            <w:pPr>
              <w:spacing w:line="360" w:lineRule="auto"/>
              <w:rPr>
                <w:rFonts w:cs="Arial"/>
              </w:rPr>
            </w:pPr>
            <w:r w:rsidRPr="000D16B1">
              <w:rPr>
                <w:rFonts w:cs="Arial"/>
                <w:color w:val="000000"/>
              </w:rPr>
              <w:t>0.52x</w:t>
            </w:r>
          </w:p>
        </w:tc>
        <w:tc>
          <w:tcPr>
            <w:tcW w:w="118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7D1FBEB5" w14:textId="77777777" w:rsidR="00EC3E1D" w:rsidRPr="000D16B1" w:rsidRDefault="00EC3E1D" w:rsidP="000D16B1">
            <w:pPr>
              <w:spacing w:line="360" w:lineRule="auto"/>
              <w:rPr>
                <w:rFonts w:cs="Arial"/>
              </w:rPr>
            </w:pPr>
            <w:r w:rsidRPr="000D16B1">
              <w:rPr>
                <w:rFonts w:cs="Arial"/>
                <w:color w:val="000000"/>
              </w:rPr>
              <w:t>0.50x</w:t>
            </w:r>
          </w:p>
        </w:tc>
      </w:tr>
      <w:tr w:rsidR="00EC3E1D" w:rsidRPr="000D16B1" w14:paraId="6F4AEA92" w14:textId="77777777" w:rsidTr="00EC3E1D">
        <w:tc>
          <w:tcPr>
            <w:tcW w:w="2600" w:type="dxa"/>
            <w:tcBorders>
              <w:top w:val="single" w:sz="4" w:space="0" w:color="auto"/>
              <w:left w:val="single" w:sz="4" w:space="0" w:color="auto"/>
              <w:bottom w:val="single" w:sz="4" w:space="0" w:color="auto"/>
              <w:right w:val="single" w:sz="4" w:space="0" w:color="auto"/>
            </w:tcBorders>
            <w:shd w:val="clear" w:color="auto" w:fill="DCE6F1"/>
            <w:tcMar>
              <w:top w:w="70" w:type="dxa"/>
              <w:left w:w="100" w:type="dxa"/>
              <w:bottom w:w="70" w:type="dxa"/>
              <w:right w:w="100" w:type="dxa"/>
            </w:tcMar>
            <w:hideMark/>
          </w:tcPr>
          <w:p w14:paraId="59831CED" w14:textId="77777777" w:rsidR="00EC3E1D" w:rsidRPr="000D16B1" w:rsidRDefault="00EC3E1D" w:rsidP="000D16B1">
            <w:pPr>
              <w:spacing w:line="360" w:lineRule="auto"/>
              <w:rPr>
                <w:rFonts w:cs="Arial"/>
              </w:rPr>
            </w:pPr>
            <w:r w:rsidRPr="000D16B1">
              <w:rPr>
                <w:rFonts w:cs="Arial"/>
              </w:rPr>
              <w:t>Fixed Asset Turnover</w:t>
            </w:r>
          </w:p>
        </w:tc>
        <w:tc>
          <w:tcPr>
            <w:tcW w:w="1180" w:type="dxa"/>
            <w:tcBorders>
              <w:top w:val="single" w:sz="4" w:space="0" w:color="auto"/>
              <w:left w:val="single" w:sz="4" w:space="0" w:color="auto"/>
              <w:bottom w:val="single" w:sz="4" w:space="0" w:color="auto"/>
              <w:right w:val="single" w:sz="4" w:space="0" w:color="auto"/>
            </w:tcBorders>
            <w:shd w:val="clear" w:color="auto" w:fill="DCE6F1"/>
            <w:tcMar>
              <w:top w:w="70" w:type="dxa"/>
              <w:left w:w="100" w:type="dxa"/>
              <w:bottom w:w="70" w:type="dxa"/>
              <w:right w:w="100" w:type="dxa"/>
            </w:tcMar>
            <w:hideMark/>
          </w:tcPr>
          <w:p w14:paraId="15F998DA" w14:textId="77777777" w:rsidR="00EC3E1D" w:rsidRPr="000D16B1" w:rsidRDefault="00EC3E1D" w:rsidP="000D16B1">
            <w:pPr>
              <w:spacing w:line="360" w:lineRule="auto"/>
              <w:rPr>
                <w:rFonts w:cs="Arial"/>
              </w:rPr>
            </w:pPr>
            <w:r w:rsidRPr="000D16B1">
              <w:rPr>
                <w:rFonts w:cs="Arial"/>
                <w:color w:val="000000"/>
              </w:rPr>
              <w:t>0.66x</w:t>
            </w:r>
          </w:p>
        </w:tc>
        <w:tc>
          <w:tcPr>
            <w:tcW w:w="1180" w:type="dxa"/>
            <w:tcBorders>
              <w:top w:val="single" w:sz="4" w:space="0" w:color="auto"/>
              <w:left w:val="single" w:sz="4" w:space="0" w:color="auto"/>
              <w:bottom w:val="single" w:sz="4" w:space="0" w:color="auto"/>
              <w:right w:val="single" w:sz="4" w:space="0" w:color="auto"/>
            </w:tcBorders>
            <w:shd w:val="clear" w:color="auto" w:fill="DCE6F1"/>
            <w:tcMar>
              <w:top w:w="70" w:type="dxa"/>
              <w:left w:w="100" w:type="dxa"/>
              <w:bottom w:w="70" w:type="dxa"/>
              <w:right w:w="100" w:type="dxa"/>
            </w:tcMar>
            <w:hideMark/>
          </w:tcPr>
          <w:p w14:paraId="23699420" w14:textId="77777777" w:rsidR="00EC3E1D" w:rsidRPr="000D16B1" w:rsidRDefault="00EC3E1D" w:rsidP="000D16B1">
            <w:pPr>
              <w:spacing w:line="360" w:lineRule="auto"/>
              <w:rPr>
                <w:rFonts w:cs="Arial"/>
              </w:rPr>
            </w:pPr>
            <w:r w:rsidRPr="000D16B1">
              <w:rPr>
                <w:rFonts w:cs="Arial"/>
                <w:color w:val="000000"/>
              </w:rPr>
              <w:t>1.06x</w:t>
            </w:r>
          </w:p>
        </w:tc>
        <w:tc>
          <w:tcPr>
            <w:tcW w:w="1180" w:type="dxa"/>
            <w:tcBorders>
              <w:top w:val="single" w:sz="4" w:space="0" w:color="auto"/>
              <w:left w:val="single" w:sz="4" w:space="0" w:color="auto"/>
              <w:bottom w:val="single" w:sz="4" w:space="0" w:color="auto"/>
              <w:right w:val="single" w:sz="4" w:space="0" w:color="auto"/>
            </w:tcBorders>
            <w:shd w:val="clear" w:color="auto" w:fill="DCE6F1"/>
            <w:tcMar>
              <w:top w:w="70" w:type="dxa"/>
              <w:left w:w="100" w:type="dxa"/>
              <w:bottom w:w="70" w:type="dxa"/>
              <w:right w:w="100" w:type="dxa"/>
            </w:tcMar>
            <w:hideMark/>
          </w:tcPr>
          <w:p w14:paraId="24645A8E" w14:textId="77777777" w:rsidR="00EC3E1D" w:rsidRPr="000D16B1" w:rsidRDefault="00EC3E1D" w:rsidP="000D16B1">
            <w:pPr>
              <w:spacing w:line="360" w:lineRule="auto"/>
              <w:rPr>
                <w:rFonts w:cs="Arial"/>
              </w:rPr>
            </w:pPr>
            <w:r w:rsidRPr="000D16B1">
              <w:rPr>
                <w:rFonts w:cs="Arial"/>
                <w:color w:val="000000"/>
              </w:rPr>
              <w:t>2.47x</w:t>
            </w:r>
          </w:p>
        </w:tc>
        <w:tc>
          <w:tcPr>
            <w:tcW w:w="1180" w:type="dxa"/>
            <w:tcBorders>
              <w:top w:val="single" w:sz="4" w:space="0" w:color="auto"/>
              <w:left w:val="single" w:sz="4" w:space="0" w:color="auto"/>
              <w:bottom w:val="single" w:sz="4" w:space="0" w:color="auto"/>
              <w:right w:val="single" w:sz="4" w:space="0" w:color="auto"/>
            </w:tcBorders>
            <w:shd w:val="clear" w:color="auto" w:fill="DCE6F1"/>
            <w:tcMar>
              <w:top w:w="70" w:type="dxa"/>
              <w:left w:w="100" w:type="dxa"/>
              <w:bottom w:w="70" w:type="dxa"/>
              <w:right w:w="100" w:type="dxa"/>
            </w:tcMar>
            <w:hideMark/>
          </w:tcPr>
          <w:p w14:paraId="38F2C5A4" w14:textId="77777777" w:rsidR="00EC3E1D" w:rsidRPr="000D16B1" w:rsidRDefault="00EC3E1D" w:rsidP="000D16B1">
            <w:pPr>
              <w:spacing w:line="360" w:lineRule="auto"/>
              <w:rPr>
                <w:rFonts w:cs="Arial"/>
              </w:rPr>
            </w:pPr>
            <w:r w:rsidRPr="000D16B1">
              <w:rPr>
                <w:rFonts w:cs="Arial"/>
                <w:color w:val="000000"/>
              </w:rPr>
              <w:t>2.85x</w:t>
            </w:r>
          </w:p>
        </w:tc>
        <w:tc>
          <w:tcPr>
            <w:tcW w:w="1180" w:type="dxa"/>
            <w:tcBorders>
              <w:top w:val="single" w:sz="4" w:space="0" w:color="auto"/>
              <w:left w:val="single" w:sz="4" w:space="0" w:color="auto"/>
              <w:bottom w:val="single" w:sz="4" w:space="0" w:color="auto"/>
              <w:right w:val="single" w:sz="4" w:space="0" w:color="auto"/>
            </w:tcBorders>
            <w:shd w:val="clear" w:color="auto" w:fill="DCE6F1"/>
            <w:tcMar>
              <w:top w:w="70" w:type="dxa"/>
              <w:left w:w="100" w:type="dxa"/>
              <w:bottom w:w="70" w:type="dxa"/>
              <w:right w:w="100" w:type="dxa"/>
            </w:tcMar>
            <w:hideMark/>
          </w:tcPr>
          <w:p w14:paraId="5494E611" w14:textId="77777777" w:rsidR="00EC3E1D" w:rsidRPr="000D16B1" w:rsidRDefault="00EC3E1D" w:rsidP="000D16B1">
            <w:pPr>
              <w:spacing w:line="360" w:lineRule="auto"/>
              <w:rPr>
                <w:rFonts w:cs="Arial"/>
              </w:rPr>
            </w:pPr>
            <w:r w:rsidRPr="000D16B1">
              <w:rPr>
                <w:rFonts w:cs="Arial"/>
                <w:color w:val="000000"/>
              </w:rPr>
              <w:t>3.94x</w:t>
            </w:r>
          </w:p>
        </w:tc>
      </w:tr>
    </w:tbl>
    <w:p w14:paraId="2815DF6C" w14:textId="77777777" w:rsidR="00EC3E1D" w:rsidRPr="000D16B1" w:rsidRDefault="00EC3E1D" w:rsidP="000D16B1">
      <w:pPr>
        <w:pStyle w:val="Heading2"/>
        <w:spacing w:line="360" w:lineRule="auto"/>
        <w:rPr>
          <w:rFonts w:cs="Arial"/>
          <w:lang w:val="en-US" w:eastAsia="en-US" w:bidi="ar-SA"/>
        </w:rPr>
      </w:pPr>
      <w:bookmarkStart w:id="5" w:name="_Toc237455737"/>
      <w:r w:rsidRPr="000D16B1">
        <w:rPr>
          <w:rFonts w:cs="Arial"/>
        </w:rPr>
        <w:t>Key Changes &amp; Reasons</w:t>
      </w:r>
      <w:bookmarkEnd w:id="5"/>
    </w:p>
    <w:p w14:paraId="26EF26E5" w14:textId="77777777" w:rsidR="00C76AF3" w:rsidRPr="00C76AF3" w:rsidRDefault="00C76AF3" w:rsidP="00C76AF3">
      <w:pPr>
        <w:spacing w:line="360" w:lineRule="auto"/>
        <w:rPr>
          <w:rFonts w:cs="Arial"/>
        </w:rPr>
      </w:pPr>
      <w:r w:rsidRPr="00C76AF3">
        <w:rPr>
          <w:rFonts w:cs="Arial"/>
          <w:b/>
          <w:bCs/>
        </w:rPr>
        <w:t xml:space="preserve">Asset turnover </w:t>
      </w:r>
      <w:r w:rsidRPr="00C76AF3">
        <w:rPr>
          <w:rFonts w:cs="Arial"/>
        </w:rPr>
        <w:t>was virtually unchanged in 2021, as the ALG Acquisition brought an additional $2.7 billion in goodwill and intangibles onto the balance sheet, growing assets in line with revenue.</w:t>
      </w:r>
    </w:p>
    <w:p w14:paraId="4103A621" w14:textId="3FB3DDD5" w:rsidR="00EC3E1D" w:rsidRPr="00C76AF3" w:rsidRDefault="00C76AF3" w:rsidP="00C76AF3">
      <w:pPr>
        <w:spacing w:line="360" w:lineRule="auto"/>
        <w:rPr>
          <w:rFonts w:cs="Arial"/>
        </w:rPr>
      </w:pPr>
      <w:r w:rsidRPr="00C76AF3">
        <w:rPr>
          <w:rFonts w:cs="Arial"/>
        </w:rPr>
        <w:t>(Source: Hyatt FY2021 Form 10-K)</w:t>
      </w:r>
    </w:p>
    <w:p w14:paraId="44092178" w14:textId="6933DB1E" w:rsidR="00EC3E1D" w:rsidRPr="000D16B1" w:rsidRDefault="00C76AF3" w:rsidP="000D16B1">
      <w:pPr>
        <w:spacing w:line="360" w:lineRule="auto"/>
        <w:rPr>
          <w:rFonts w:cs="Arial"/>
        </w:rPr>
      </w:pPr>
      <w:r w:rsidRPr="00C76AF3">
        <w:rPr>
          <w:rFonts w:cs="Arial"/>
          <w:b/>
          <w:bCs/>
        </w:rPr>
        <w:t xml:space="preserve">The 2022 jump (0.24x to 0.48x) </w:t>
      </w:r>
      <w:r w:rsidRPr="00C76AF3">
        <w:rPr>
          <w:rFonts w:cs="Arial"/>
        </w:rPr>
        <w:t xml:space="preserve">is a true sign of operating recovery, as revenue jumped to almost $5.9 billion as demand turned back to normal, based on management's discussion of strong portfolio-wide performance </w:t>
      </w:r>
      <w:r w:rsidR="0038472E" w:rsidRPr="000D16B1">
        <w:rPr>
          <w:rFonts w:cs="Arial"/>
        </w:rPr>
        <w:fldChar w:fldCharType="begin" w:fldLock="1"/>
      </w:r>
      <w:r w:rsidR="0038472E" w:rsidRPr="000D16B1">
        <w:rPr>
          <w:rFonts w:cs="Arial"/>
        </w:rPr>
        <w:instrText>ADDIN CSL_CITATION {"citationItems":[{"id":"ITEM-1","itemData":{"ISSN":"0250-8281","author":[{"dropping-particle":"","family":"Haque","given":"Md Reiazul","non-dropping-particle":"","parse-names":false,"suffix":""}],"container-title":"Tourism Recreation Research","id":"ITEM-1","issue":"5","issued":{"date-parts":[["2025","7","29"]]},"page":"1062-1073","title":"From disruption to recovery: a multi-country analysis of tourism and hospitality firms’ performance post-COVID-19","type":"article-journal","volume":"50"},"uris":["http://www.mendeley.com/documents/?uuid=d2748098-a5f8-4261-a33f-92cd3f485ac0"]}],"mendeley":{"formattedCitation":"(Haque, 2025)","plainTextFormattedCitation":"(Haque, 2025)","previouslyFormattedCitation":"(Haque, 2025)"},"properties":{"noteIndex":0},"schema":"https://github.com/citation-style-language/schema/raw/master/csl-citation.json"}</w:instrText>
      </w:r>
      <w:r w:rsidR="0038472E" w:rsidRPr="000D16B1">
        <w:rPr>
          <w:rFonts w:cs="Arial"/>
        </w:rPr>
        <w:fldChar w:fldCharType="separate"/>
      </w:r>
      <w:r w:rsidR="0038472E" w:rsidRPr="000D16B1">
        <w:rPr>
          <w:rFonts w:cs="Arial"/>
          <w:noProof/>
        </w:rPr>
        <w:t>(Haque, 2025)</w:t>
      </w:r>
      <w:r w:rsidR="0038472E" w:rsidRPr="000D16B1">
        <w:rPr>
          <w:rFonts w:cs="Arial"/>
        </w:rPr>
        <w:fldChar w:fldCharType="end"/>
      </w:r>
      <w:r w:rsidR="00EC3E1D" w:rsidRPr="000D16B1">
        <w:rPr>
          <w:rFonts w:cs="Arial"/>
        </w:rPr>
        <w:t>.</w:t>
      </w:r>
    </w:p>
    <w:p w14:paraId="2D55DE7F" w14:textId="77777777" w:rsidR="00EC3E1D" w:rsidRPr="000D16B1" w:rsidRDefault="00EC3E1D" w:rsidP="000D16B1">
      <w:pPr>
        <w:spacing w:line="360" w:lineRule="auto"/>
        <w:rPr>
          <w:rFonts w:cs="Arial"/>
        </w:rPr>
      </w:pPr>
      <w:r w:rsidRPr="000D16B1">
        <w:rPr>
          <w:rFonts w:cs="Arial"/>
        </w:rPr>
        <w:t>(Source: Hyatt FY2022 Form 10-K, Results of Operations)</w:t>
      </w:r>
    </w:p>
    <w:p w14:paraId="5245892C" w14:textId="108AD11D" w:rsidR="00EC3E1D" w:rsidRPr="00C76AF3" w:rsidRDefault="00C76AF3" w:rsidP="000D16B1">
      <w:pPr>
        <w:spacing w:line="360" w:lineRule="auto"/>
        <w:rPr>
          <w:rFonts w:cs="Arial"/>
        </w:rPr>
      </w:pPr>
      <w:r w:rsidRPr="00C76AF3">
        <w:rPr>
          <w:rFonts w:cs="Arial"/>
        </w:rPr>
        <w:t xml:space="preserve">The most obvious footprint of </w:t>
      </w:r>
      <w:r w:rsidRPr="00C76AF3">
        <w:rPr>
          <w:rFonts w:cs="Arial"/>
          <w:b/>
          <w:bCs/>
        </w:rPr>
        <w:t>Hyatt's strategic shift</w:t>
      </w:r>
      <w:r w:rsidRPr="00C76AF3">
        <w:rPr>
          <w:rFonts w:cs="Arial"/>
        </w:rPr>
        <w:t xml:space="preserve"> is in its fixed asset turnover, which has risen dramatically from 0.66x in 2020 to 3.94x in 2024, as the company has clearly stated its owned real estate as “a source of capital for new growth investments” and has undertaken a multi-year disposition program that has directly reduced the denominator, net property and equipment, from $3.1 billion in 2020 to $1.7 billion in 2024.</w:t>
      </w:r>
    </w:p>
    <w:p w14:paraId="50AC516C" w14:textId="77777777" w:rsidR="00EC3E1D" w:rsidRPr="000D16B1" w:rsidRDefault="00EC3E1D" w:rsidP="000D16B1">
      <w:pPr>
        <w:spacing w:line="360" w:lineRule="auto"/>
        <w:rPr>
          <w:rFonts w:cs="Arial"/>
        </w:rPr>
      </w:pPr>
      <w:r w:rsidRPr="000D16B1">
        <w:rPr>
          <w:rFonts w:cs="Arial"/>
        </w:rPr>
        <w:t>(Source: Hyatt FY2024 Form 10-K, Business Overview)</w:t>
      </w:r>
    </w:p>
    <w:p w14:paraId="7DBC8069" w14:textId="77777777" w:rsidR="00EC3E1D" w:rsidRPr="000D16B1" w:rsidRDefault="00EC3E1D" w:rsidP="000D16B1">
      <w:pPr>
        <w:pStyle w:val="Heading1"/>
        <w:spacing w:line="360" w:lineRule="auto"/>
        <w:rPr>
          <w:rFonts w:cs="Arial"/>
        </w:rPr>
      </w:pPr>
      <w:bookmarkStart w:id="6" w:name="_Toc237455738"/>
      <w:r w:rsidRPr="000D16B1">
        <w:rPr>
          <w:rFonts w:cs="Arial"/>
        </w:rPr>
        <w:lastRenderedPageBreak/>
        <w:t>4. Leverage Ratios</w:t>
      </w:r>
      <w:bookmarkEnd w:id="6"/>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1180"/>
        <w:gridCol w:w="1180"/>
        <w:gridCol w:w="1180"/>
        <w:gridCol w:w="1180"/>
        <w:gridCol w:w="1180"/>
      </w:tblGrid>
      <w:tr w:rsidR="00EC3E1D" w:rsidRPr="000D16B1" w14:paraId="5DC8F15A" w14:textId="77777777" w:rsidTr="00EC3E1D">
        <w:trPr>
          <w:tblHeader/>
        </w:trPr>
        <w:tc>
          <w:tcPr>
            <w:tcW w:w="260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hideMark/>
          </w:tcPr>
          <w:p w14:paraId="439736BA" w14:textId="77777777" w:rsidR="00EC3E1D" w:rsidRPr="000D16B1" w:rsidRDefault="00EC3E1D" w:rsidP="000D16B1">
            <w:pPr>
              <w:spacing w:line="360" w:lineRule="auto"/>
              <w:rPr>
                <w:rFonts w:cs="Arial"/>
              </w:rPr>
            </w:pPr>
            <w:r w:rsidRPr="000D16B1">
              <w:rPr>
                <w:rFonts w:cs="Arial"/>
              </w:rPr>
              <w:t>Ratio</w:t>
            </w:r>
          </w:p>
        </w:tc>
        <w:tc>
          <w:tcPr>
            <w:tcW w:w="118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hideMark/>
          </w:tcPr>
          <w:p w14:paraId="1B1B5DB5" w14:textId="77777777" w:rsidR="00EC3E1D" w:rsidRPr="000D16B1" w:rsidRDefault="00EC3E1D" w:rsidP="000D16B1">
            <w:pPr>
              <w:spacing w:line="360" w:lineRule="auto"/>
              <w:rPr>
                <w:rFonts w:cs="Arial"/>
              </w:rPr>
            </w:pPr>
            <w:r w:rsidRPr="000D16B1">
              <w:rPr>
                <w:rFonts w:cs="Arial"/>
              </w:rPr>
              <w:t>2020</w:t>
            </w:r>
          </w:p>
        </w:tc>
        <w:tc>
          <w:tcPr>
            <w:tcW w:w="118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hideMark/>
          </w:tcPr>
          <w:p w14:paraId="03E69DF5" w14:textId="77777777" w:rsidR="00EC3E1D" w:rsidRPr="000D16B1" w:rsidRDefault="00EC3E1D" w:rsidP="000D16B1">
            <w:pPr>
              <w:spacing w:line="360" w:lineRule="auto"/>
              <w:rPr>
                <w:rFonts w:cs="Arial"/>
              </w:rPr>
            </w:pPr>
            <w:r w:rsidRPr="000D16B1">
              <w:rPr>
                <w:rFonts w:cs="Arial"/>
              </w:rPr>
              <w:t>2021</w:t>
            </w:r>
          </w:p>
        </w:tc>
        <w:tc>
          <w:tcPr>
            <w:tcW w:w="118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hideMark/>
          </w:tcPr>
          <w:p w14:paraId="41467222" w14:textId="77777777" w:rsidR="00EC3E1D" w:rsidRPr="000D16B1" w:rsidRDefault="00EC3E1D" w:rsidP="000D16B1">
            <w:pPr>
              <w:spacing w:line="360" w:lineRule="auto"/>
              <w:rPr>
                <w:rFonts w:cs="Arial"/>
              </w:rPr>
            </w:pPr>
            <w:r w:rsidRPr="000D16B1">
              <w:rPr>
                <w:rFonts w:cs="Arial"/>
              </w:rPr>
              <w:t>2022</w:t>
            </w:r>
          </w:p>
        </w:tc>
        <w:tc>
          <w:tcPr>
            <w:tcW w:w="118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hideMark/>
          </w:tcPr>
          <w:p w14:paraId="469549AF" w14:textId="77777777" w:rsidR="00EC3E1D" w:rsidRPr="000D16B1" w:rsidRDefault="00EC3E1D" w:rsidP="000D16B1">
            <w:pPr>
              <w:spacing w:line="360" w:lineRule="auto"/>
              <w:rPr>
                <w:rFonts w:cs="Arial"/>
              </w:rPr>
            </w:pPr>
            <w:r w:rsidRPr="000D16B1">
              <w:rPr>
                <w:rFonts w:cs="Arial"/>
              </w:rPr>
              <w:t>2023</w:t>
            </w:r>
          </w:p>
        </w:tc>
        <w:tc>
          <w:tcPr>
            <w:tcW w:w="1180" w:type="dxa"/>
            <w:tcBorders>
              <w:top w:val="single" w:sz="4" w:space="0" w:color="auto"/>
              <w:left w:val="single" w:sz="4" w:space="0" w:color="auto"/>
              <w:bottom w:val="single" w:sz="4" w:space="0" w:color="auto"/>
              <w:right w:val="single" w:sz="4" w:space="0" w:color="auto"/>
            </w:tcBorders>
            <w:shd w:val="clear" w:color="auto" w:fill="1F4E78"/>
            <w:tcMar>
              <w:top w:w="80" w:type="dxa"/>
              <w:left w:w="100" w:type="dxa"/>
              <w:bottom w:w="80" w:type="dxa"/>
              <w:right w:w="100" w:type="dxa"/>
            </w:tcMar>
            <w:hideMark/>
          </w:tcPr>
          <w:p w14:paraId="6838956A" w14:textId="77777777" w:rsidR="00EC3E1D" w:rsidRPr="000D16B1" w:rsidRDefault="00EC3E1D" w:rsidP="000D16B1">
            <w:pPr>
              <w:spacing w:line="360" w:lineRule="auto"/>
              <w:rPr>
                <w:rFonts w:cs="Arial"/>
              </w:rPr>
            </w:pPr>
            <w:r w:rsidRPr="000D16B1">
              <w:rPr>
                <w:rFonts w:cs="Arial"/>
              </w:rPr>
              <w:t>2024</w:t>
            </w:r>
          </w:p>
        </w:tc>
      </w:tr>
      <w:tr w:rsidR="00EC3E1D" w:rsidRPr="000D16B1" w14:paraId="78D43E42" w14:textId="77777777" w:rsidTr="00EC3E1D">
        <w:tc>
          <w:tcPr>
            <w:tcW w:w="260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00DFEE7A" w14:textId="77777777" w:rsidR="00EC3E1D" w:rsidRPr="000D16B1" w:rsidRDefault="00EC3E1D" w:rsidP="000D16B1">
            <w:pPr>
              <w:spacing w:line="360" w:lineRule="auto"/>
              <w:rPr>
                <w:rFonts w:cs="Arial"/>
              </w:rPr>
            </w:pPr>
            <w:r w:rsidRPr="000D16B1">
              <w:rPr>
                <w:rFonts w:cs="Arial"/>
              </w:rPr>
              <w:t>Interest Coverage</w:t>
            </w:r>
          </w:p>
        </w:tc>
        <w:tc>
          <w:tcPr>
            <w:tcW w:w="118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29CC7D90" w14:textId="77777777" w:rsidR="00EC3E1D" w:rsidRPr="000D16B1" w:rsidRDefault="00EC3E1D" w:rsidP="000D16B1">
            <w:pPr>
              <w:spacing w:line="360" w:lineRule="auto"/>
              <w:rPr>
                <w:rFonts w:cs="Arial"/>
              </w:rPr>
            </w:pPr>
            <w:r w:rsidRPr="000D16B1">
              <w:rPr>
                <w:rFonts w:cs="Arial"/>
                <w:color w:val="C00000"/>
              </w:rPr>
              <w:t>(6.50x)</w:t>
            </w:r>
          </w:p>
        </w:tc>
        <w:tc>
          <w:tcPr>
            <w:tcW w:w="118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24F9BC7B" w14:textId="77777777" w:rsidR="00EC3E1D" w:rsidRPr="000D16B1" w:rsidRDefault="00EC3E1D" w:rsidP="000D16B1">
            <w:pPr>
              <w:spacing w:line="360" w:lineRule="auto"/>
              <w:rPr>
                <w:rFonts w:cs="Arial"/>
              </w:rPr>
            </w:pPr>
            <w:r w:rsidRPr="000D16B1">
              <w:rPr>
                <w:rFonts w:cs="Arial"/>
                <w:color w:val="000000"/>
              </w:rPr>
              <w:t>1.27x</w:t>
            </w:r>
          </w:p>
        </w:tc>
        <w:tc>
          <w:tcPr>
            <w:tcW w:w="118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1BC07E62" w14:textId="77777777" w:rsidR="00EC3E1D" w:rsidRPr="000D16B1" w:rsidRDefault="00EC3E1D" w:rsidP="000D16B1">
            <w:pPr>
              <w:spacing w:line="360" w:lineRule="auto"/>
              <w:rPr>
                <w:rFonts w:cs="Arial"/>
              </w:rPr>
            </w:pPr>
            <w:r w:rsidRPr="000D16B1">
              <w:rPr>
                <w:rFonts w:cs="Arial"/>
                <w:color w:val="000000"/>
              </w:rPr>
              <w:t>3.42x</w:t>
            </w:r>
          </w:p>
        </w:tc>
        <w:tc>
          <w:tcPr>
            <w:tcW w:w="118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42BD4091" w14:textId="77777777" w:rsidR="00EC3E1D" w:rsidRPr="000D16B1" w:rsidRDefault="00EC3E1D" w:rsidP="000D16B1">
            <w:pPr>
              <w:spacing w:line="360" w:lineRule="auto"/>
              <w:rPr>
                <w:rFonts w:cs="Arial"/>
              </w:rPr>
            </w:pPr>
            <w:r w:rsidRPr="000D16B1">
              <w:rPr>
                <w:rFonts w:cs="Arial"/>
                <w:color w:val="000000"/>
              </w:rPr>
              <w:t>3.14x</w:t>
            </w:r>
          </w:p>
        </w:tc>
        <w:tc>
          <w:tcPr>
            <w:tcW w:w="118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7162DD64" w14:textId="77777777" w:rsidR="00EC3E1D" w:rsidRPr="000D16B1" w:rsidRDefault="00EC3E1D" w:rsidP="000D16B1">
            <w:pPr>
              <w:spacing w:line="360" w:lineRule="auto"/>
              <w:rPr>
                <w:rFonts w:cs="Arial"/>
              </w:rPr>
            </w:pPr>
            <w:r w:rsidRPr="000D16B1">
              <w:rPr>
                <w:rFonts w:cs="Arial"/>
                <w:color w:val="000000"/>
              </w:rPr>
              <w:t>9.68x</w:t>
            </w:r>
          </w:p>
        </w:tc>
      </w:tr>
      <w:tr w:rsidR="00EC3E1D" w:rsidRPr="000D16B1" w14:paraId="0FD3634F" w14:textId="77777777" w:rsidTr="00EC3E1D">
        <w:tc>
          <w:tcPr>
            <w:tcW w:w="2600" w:type="dxa"/>
            <w:tcBorders>
              <w:top w:val="single" w:sz="4" w:space="0" w:color="auto"/>
              <w:left w:val="single" w:sz="4" w:space="0" w:color="auto"/>
              <w:bottom w:val="single" w:sz="4" w:space="0" w:color="auto"/>
              <w:right w:val="single" w:sz="4" w:space="0" w:color="auto"/>
            </w:tcBorders>
            <w:shd w:val="clear" w:color="auto" w:fill="DCE6F1"/>
            <w:tcMar>
              <w:top w:w="70" w:type="dxa"/>
              <w:left w:w="100" w:type="dxa"/>
              <w:bottom w:w="70" w:type="dxa"/>
              <w:right w:w="100" w:type="dxa"/>
            </w:tcMar>
            <w:hideMark/>
          </w:tcPr>
          <w:p w14:paraId="016570C7" w14:textId="77777777" w:rsidR="00EC3E1D" w:rsidRPr="000D16B1" w:rsidRDefault="00EC3E1D" w:rsidP="000D16B1">
            <w:pPr>
              <w:spacing w:line="360" w:lineRule="auto"/>
              <w:rPr>
                <w:rFonts w:cs="Arial"/>
              </w:rPr>
            </w:pPr>
            <w:r w:rsidRPr="000D16B1">
              <w:rPr>
                <w:rFonts w:cs="Arial"/>
              </w:rPr>
              <w:t>Debt / Equity</w:t>
            </w:r>
          </w:p>
        </w:tc>
        <w:tc>
          <w:tcPr>
            <w:tcW w:w="1180" w:type="dxa"/>
            <w:tcBorders>
              <w:top w:val="single" w:sz="4" w:space="0" w:color="auto"/>
              <w:left w:val="single" w:sz="4" w:space="0" w:color="auto"/>
              <w:bottom w:val="single" w:sz="4" w:space="0" w:color="auto"/>
              <w:right w:val="single" w:sz="4" w:space="0" w:color="auto"/>
            </w:tcBorders>
            <w:shd w:val="clear" w:color="auto" w:fill="DCE6F1"/>
            <w:tcMar>
              <w:top w:w="70" w:type="dxa"/>
              <w:left w:w="100" w:type="dxa"/>
              <w:bottom w:w="70" w:type="dxa"/>
              <w:right w:w="100" w:type="dxa"/>
            </w:tcMar>
            <w:hideMark/>
          </w:tcPr>
          <w:p w14:paraId="2BA42D14" w14:textId="77777777" w:rsidR="00EC3E1D" w:rsidRPr="000D16B1" w:rsidRDefault="00EC3E1D" w:rsidP="000D16B1">
            <w:pPr>
              <w:spacing w:line="360" w:lineRule="auto"/>
              <w:rPr>
                <w:rFonts w:cs="Arial"/>
              </w:rPr>
            </w:pPr>
            <w:r w:rsidRPr="000D16B1">
              <w:rPr>
                <w:rFonts w:cs="Arial"/>
                <w:color w:val="000000"/>
              </w:rPr>
              <w:t>1.01x</w:t>
            </w:r>
          </w:p>
        </w:tc>
        <w:tc>
          <w:tcPr>
            <w:tcW w:w="1180" w:type="dxa"/>
            <w:tcBorders>
              <w:top w:val="single" w:sz="4" w:space="0" w:color="auto"/>
              <w:left w:val="single" w:sz="4" w:space="0" w:color="auto"/>
              <w:bottom w:val="single" w:sz="4" w:space="0" w:color="auto"/>
              <w:right w:val="single" w:sz="4" w:space="0" w:color="auto"/>
            </w:tcBorders>
            <w:shd w:val="clear" w:color="auto" w:fill="DCE6F1"/>
            <w:tcMar>
              <w:top w:w="70" w:type="dxa"/>
              <w:left w:w="100" w:type="dxa"/>
              <w:bottom w:w="70" w:type="dxa"/>
              <w:right w:w="100" w:type="dxa"/>
            </w:tcMar>
            <w:hideMark/>
          </w:tcPr>
          <w:p w14:paraId="5462273E" w14:textId="77777777" w:rsidR="00EC3E1D" w:rsidRPr="000D16B1" w:rsidRDefault="00EC3E1D" w:rsidP="000D16B1">
            <w:pPr>
              <w:spacing w:line="360" w:lineRule="auto"/>
              <w:rPr>
                <w:rFonts w:cs="Arial"/>
              </w:rPr>
            </w:pPr>
            <w:r w:rsidRPr="000D16B1">
              <w:rPr>
                <w:rFonts w:cs="Arial"/>
                <w:color w:val="000000"/>
              </w:rPr>
              <w:t>1.12x</w:t>
            </w:r>
          </w:p>
        </w:tc>
        <w:tc>
          <w:tcPr>
            <w:tcW w:w="1180" w:type="dxa"/>
            <w:tcBorders>
              <w:top w:val="single" w:sz="4" w:space="0" w:color="auto"/>
              <w:left w:val="single" w:sz="4" w:space="0" w:color="auto"/>
              <w:bottom w:val="single" w:sz="4" w:space="0" w:color="auto"/>
              <w:right w:val="single" w:sz="4" w:space="0" w:color="auto"/>
            </w:tcBorders>
            <w:shd w:val="clear" w:color="auto" w:fill="DCE6F1"/>
            <w:tcMar>
              <w:top w:w="70" w:type="dxa"/>
              <w:left w:w="100" w:type="dxa"/>
              <w:bottom w:w="70" w:type="dxa"/>
              <w:right w:w="100" w:type="dxa"/>
            </w:tcMar>
            <w:hideMark/>
          </w:tcPr>
          <w:p w14:paraId="548845BC" w14:textId="77777777" w:rsidR="00EC3E1D" w:rsidRPr="000D16B1" w:rsidRDefault="00EC3E1D" w:rsidP="000D16B1">
            <w:pPr>
              <w:spacing w:line="360" w:lineRule="auto"/>
              <w:rPr>
                <w:rFonts w:cs="Arial"/>
              </w:rPr>
            </w:pPr>
            <w:r w:rsidRPr="000D16B1">
              <w:rPr>
                <w:rFonts w:cs="Arial"/>
                <w:color w:val="000000"/>
              </w:rPr>
              <w:t>0.84x</w:t>
            </w:r>
          </w:p>
        </w:tc>
        <w:tc>
          <w:tcPr>
            <w:tcW w:w="1180" w:type="dxa"/>
            <w:tcBorders>
              <w:top w:val="single" w:sz="4" w:space="0" w:color="auto"/>
              <w:left w:val="single" w:sz="4" w:space="0" w:color="auto"/>
              <w:bottom w:val="single" w:sz="4" w:space="0" w:color="auto"/>
              <w:right w:val="single" w:sz="4" w:space="0" w:color="auto"/>
            </w:tcBorders>
            <w:shd w:val="clear" w:color="auto" w:fill="DCE6F1"/>
            <w:tcMar>
              <w:top w:w="70" w:type="dxa"/>
              <w:left w:w="100" w:type="dxa"/>
              <w:bottom w:w="70" w:type="dxa"/>
              <w:right w:w="100" w:type="dxa"/>
            </w:tcMar>
            <w:hideMark/>
          </w:tcPr>
          <w:p w14:paraId="0AE8151E" w14:textId="77777777" w:rsidR="00EC3E1D" w:rsidRPr="000D16B1" w:rsidRDefault="00EC3E1D" w:rsidP="000D16B1">
            <w:pPr>
              <w:spacing w:line="360" w:lineRule="auto"/>
              <w:rPr>
                <w:rFonts w:cs="Arial"/>
              </w:rPr>
            </w:pPr>
            <w:r w:rsidRPr="000D16B1">
              <w:rPr>
                <w:rFonts w:cs="Arial"/>
                <w:color w:val="000000"/>
              </w:rPr>
              <w:t>0.86x</w:t>
            </w:r>
          </w:p>
        </w:tc>
        <w:tc>
          <w:tcPr>
            <w:tcW w:w="1180" w:type="dxa"/>
            <w:tcBorders>
              <w:top w:val="single" w:sz="4" w:space="0" w:color="auto"/>
              <w:left w:val="single" w:sz="4" w:space="0" w:color="auto"/>
              <w:bottom w:val="single" w:sz="4" w:space="0" w:color="auto"/>
              <w:right w:val="single" w:sz="4" w:space="0" w:color="auto"/>
            </w:tcBorders>
            <w:shd w:val="clear" w:color="auto" w:fill="DCE6F1"/>
            <w:tcMar>
              <w:top w:w="70" w:type="dxa"/>
              <w:left w:w="100" w:type="dxa"/>
              <w:bottom w:w="70" w:type="dxa"/>
              <w:right w:w="100" w:type="dxa"/>
            </w:tcMar>
            <w:hideMark/>
          </w:tcPr>
          <w:p w14:paraId="047ECEE2" w14:textId="77777777" w:rsidR="00EC3E1D" w:rsidRPr="000D16B1" w:rsidRDefault="00EC3E1D" w:rsidP="000D16B1">
            <w:pPr>
              <w:spacing w:line="360" w:lineRule="auto"/>
              <w:rPr>
                <w:rFonts w:cs="Arial"/>
              </w:rPr>
            </w:pPr>
            <w:r w:rsidRPr="000D16B1">
              <w:rPr>
                <w:rFonts w:cs="Arial"/>
                <w:color w:val="000000"/>
              </w:rPr>
              <w:t>1.07x</w:t>
            </w:r>
          </w:p>
        </w:tc>
      </w:tr>
      <w:tr w:rsidR="00EC3E1D" w:rsidRPr="000D16B1" w14:paraId="2E0D2822" w14:textId="77777777" w:rsidTr="00EC3E1D">
        <w:tc>
          <w:tcPr>
            <w:tcW w:w="260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3B9591CF" w14:textId="77777777" w:rsidR="00EC3E1D" w:rsidRPr="000D16B1" w:rsidRDefault="00EC3E1D" w:rsidP="000D16B1">
            <w:pPr>
              <w:spacing w:line="360" w:lineRule="auto"/>
              <w:rPr>
                <w:rFonts w:cs="Arial"/>
              </w:rPr>
            </w:pPr>
            <w:r w:rsidRPr="000D16B1">
              <w:rPr>
                <w:rFonts w:cs="Arial"/>
              </w:rPr>
              <w:t>Total Debt / Total Capital (per 10-K)</w:t>
            </w:r>
          </w:p>
        </w:tc>
        <w:tc>
          <w:tcPr>
            <w:tcW w:w="118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7407904E" w14:textId="77777777" w:rsidR="00EC3E1D" w:rsidRPr="000D16B1" w:rsidRDefault="00EC3E1D" w:rsidP="000D16B1">
            <w:pPr>
              <w:spacing w:line="360" w:lineRule="auto"/>
              <w:rPr>
                <w:rFonts w:cs="Arial"/>
              </w:rPr>
            </w:pPr>
            <w:r w:rsidRPr="000D16B1">
              <w:rPr>
                <w:rFonts w:cs="Arial"/>
                <w:color w:val="000000"/>
              </w:rPr>
              <w:t>50.3%</w:t>
            </w:r>
          </w:p>
        </w:tc>
        <w:tc>
          <w:tcPr>
            <w:tcW w:w="118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613805EE" w14:textId="77777777" w:rsidR="00EC3E1D" w:rsidRPr="000D16B1" w:rsidRDefault="00EC3E1D" w:rsidP="000D16B1">
            <w:pPr>
              <w:spacing w:line="360" w:lineRule="auto"/>
              <w:rPr>
                <w:rFonts w:cs="Arial"/>
              </w:rPr>
            </w:pPr>
            <w:r w:rsidRPr="000D16B1">
              <w:rPr>
                <w:rFonts w:cs="Arial"/>
                <w:color w:val="000000"/>
              </w:rPr>
              <w:t>52.8%</w:t>
            </w:r>
          </w:p>
        </w:tc>
        <w:tc>
          <w:tcPr>
            <w:tcW w:w="118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3D487692" w14:textId="77777777" w:rsidR="00EC3E1D" w:rsidRPr="000D16B1" w:rsidRDefault="00EC3E1D" w:rsidP="000D16B1">
            <w:pPr>
              <w:spacing w:line="360" w:lineRule="auto"/>
              <w:rPr>
                <w:rFonts w:cs="Arial"/>
              </w:rPr>
            </w:pPr>
            <w:r w:rsidRPr="000D16B1">
              <w:rPr>
                <w:rFonts w:cs="Arial"/>
                <w:color w:val="000000"/>
              </w:rPr>
              <w:t>45.7%</w:t>
            </w:r>
          </w:p>
        </w:tc>
        <w:tc>
          <w:tcPr>
            <w:tcW w:w="118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1FF9833A" w14:textId="77777777" w:rsidR="00EC3E1D" w:rsidRPr="000D16B1" w:rsidRDefault="00EC3E1D" w:rsidP="000D16B1">
            <w:pPr>
              <w:spacing w:line="360" w:lineRule="auto"/>
              <w:rPr>
                <w:rFonts w:cs="Arial"/>
              </w:rPr>
            </w:pPr>
            <w:r w:rsidRPr="000D16B1">
              <w:rPr>
                <w:rFonts w:cs="Arial"/>
                <w:color w:val="000000"/>
              </w:rPr>
              <w:t>46.2%</w:t>
            </w:r>
          </w:p>
        </w:tc>
        <w:tc>
          <w:tcPr>
            <w:tcW w:w="1180" w:type="dxa"/>
            <w:tcBorders>
              <w:top w:val="single" w:sz="4" w:space="0" w:color="auto"/>
              <w:left w:val="single" w:sz="4" w:space="0" w:color="auto"/>
              <w:bottom w:val="single" w:sz="4" w:space="0" w:color="auto"/>
              <w:right w:val="single" w:sz="4" w:space="0" w:color="auto"/>
            </w:tcBorders>
            <w:tcMar>
              <w:top w:w="70" w:type="dxa"/>
              <w:left w:w="100" w:type="dxa"/>
              <w:bottom w:w="70" w:type="dxa"/>
              <w:right w:w="100" w:type="dxa"/>
            </w:tcMar>
            <w:hideMark/>
          </w:tcPr>
          <w:p w14:paraId="422C06C9" w14:textId="77777777" w:rsidR="00EC3E1D" w:rsidRPr="000D16B1" w:rsidRDefault="00EC3E1D" w:rsidP="000D16B1">
            <w:pPr>
              <w:spacing w:line="360" w:lineRule="auto"/>
              <w:rPr>
                <w:rFonts w:cs="Arial"/>
              </w:rPr>
            </w:pPr>
            <w:r w:rsidRPr="000D16B1">
              <w:rPr>
                <w:rFonts w:cs="Arial"/>
                <w:color w:val="000000"/>
              </w:rPr>
              <w:t>51.6%</w:t>
            </w:r>
          </w:p>
        </w:tc>
      </w:tr>
    </w:tbl>
    <w:p w14:paraId="49C97565" w14:textId="77777777" w:rsidR="00EC3E1D" w:rsidRPr="000D16B1" w:rsidRDefault="00EC3E1D" w:rsidP="000D16B1">
      <w:pPr>
        <w:pStyle w:val="Heading2"/>
        <w:spacing w:line="360" w:lineRule="auto"/>
        <w:rPr>
          <w:rFonts w:cs="Arial"/>
          <w:lang w:val="en-US" w:eastAsia="en-US" w:bidi="ar-SA"/>
        </w:rPr>
      </w:pPr>
      <w:bookmarkStart w:id="7" w:name="_Toc237455739"/>
      <w:r w:rsidRPr="000D16B1">
        <w:rPr>
          <w:rFonts w:cs="Arial"/>
        </w:rPr>
        <w:t>Key Changes &amp; Reasons</w:t>
      </w:r>
      <w:bookmarkEnd w:id="7"/>
    </w:p>
    <w:p w14:paraId="50A983C0" w14:textId="77777777" w:rsidR="00EC3E1D" w:rsidRPr="000D16B1" w:rsidRDefault="00EC3E1D" w:rsidP="000D16B1">
      <w:pPr>
        <w:spacing w:line="360" w:lineRule="auto"/>
        <w:rPr>
          <w:rFonts w:cs="Arial"/>
        </w:rPr>
      </w:pPr>
      <w:r w:rsidRPr="000D16B1">
        <w:rPr>
          <w:rFonts w:cs="Arial"/>
          <w:b/>
          <w:bCs/>
        </w:rPr>
        <w:t xml:space="preserve">2020's negative coverage: </w:t>
      </w:r>
      <w:r w:rsidRPr="000D16B1">
        <w:rPr>
          <w:rFonts w:cs="Arial"/>
        </w:rPr>
        <w:t>reflects the pre-tax loss combined with interest expense that rose $53 million from three new note issuances (2022, 2025, and 2030 Notes) used to shore up liquidity during the pandemic.</w:t>
      </w:r>
    </w:p>
    <w:p w14:paraId="12303159" w14:textId="77777777" w:rsidR="00EC3E1D" w:rsidRPr="000D16B1" w:rsidRDefault="00EC3E1D" w:rsidP="000D16B1">
      <w:pPr>
        <w:spacing w:line="360" w:lineRule="auto"/>
        <w:rPr>
          <w:rFonts w:cs="Arial"/>
        </w:rPr>
      </w:pPr>
      <w:r w:rsidRPr="000D16B1">
        <w:rPr>
          <w:rFonts w:cs="Arial"/>
        </w:rPr>
        <w:t>(Source: Hyatt FY2020 Form 10-K)</w:t>
      </w:r>
    </w:p>
    <w:p w14:paraId="5DE1D994" w14:textId="12400195" w:rsidR="00EC3E1D" w:rsidRPr="000D16B1" w:rsidRDefault="00EC3E1D" w:rsidP="000D16B1">
      <w:pPr>
        <w:spacing w:line="360" w:lineRule="auto"/>
        <w:rPr>
          <w:rFonts w:cs="Arial"/>
        </w:rPr>
      </w:pPr>
      <w:r w:rsidRPr="000D16B1">
        <w:rPr>
          <w:rFonts w:cs="Arial"/>
          <w:b/>
          <w:bCs/>
        </w:rPr>
        <w:t xml:space="preserve">2021's thin 1.27x coverage </w:t>
      </w:r>
      <w:r w:rsidRPr="000D16B1">
        <w:rPr>
          <w:rFonts w:cs="Arial"/>
        </w:rPr>
        <w:t>came from interest expense rising a further $35 million — driven by financing the ALG Acquisition — while earnings were only just turning positive.</w:t>
      </w:r>
    </w:p>
    <w:p w14:paraId="3C64F016" w14:textId="77777777" w:rsidR="00EC3E1D" w:rsidRPr="000D16B1" w:rsidRDefault="00EC3E1D" w:rsidP="000D16B1">
      <w:pPr>
        <w:spacing w:line="360" w:lineRule="auto"/>
        <w:rPr>
          <w:rFonts w:cs="Arial"/>
        </w:rPr>
      </w:pPr>
      <w:r w:rsidRPr="000D16B1">
        <w:rPr>
          <w:rFonts w:cs="Arial"/>
        </w:rPr>
        <w:t>(Source: Hyatt FY2021 Form 10-K)</w:t>
      </w:r>
    </w:p>
    <w:p w14:paraId="075B565C" w14:textId="3C896C9F" w:rsidR="00EC3E1D" w:rsidRPr="000D16B1" w:rsidRDefault="00EC3E1D" w:rsidP="000D16B1">
      <w:pPr>
        <w:spacing w:line="360" w:lineRule="auto"/>
        <w:rPr>
          <w:rFonts w:cs="Arial"/>
        </w:rPr>
      </w:pPr>
      <w:r w:rsidRPr="000D16B1">
        <w:rPr>
          <w:rFonts w:cs="Arial"/>
          <w:b/>
          <w:bCs/>
        </w:rPr>
        <w:t xml:space="preserve">2022–2023 improvement: </w:t>
      </w:r>
      <w:r w:rsidRPr="000D16B1">
        <w:rPr>
          <w:rFonts w:cs="Arial"/>
        </w:rPr>
        <w:t xml:space="preserve">as Hyatt redeemed senior notes (cutting interest expense </w:t>
      </w:r>
      <w:r w:rsidR="000D16B1">
        <w:rPr>
          <w:rFonts w:cs="Arial"/>
        </w:rPr>
        <w:t xml:space="preserve">by </w:t>
      </w:r>
      <w:r w:rsidRPr="000D16B1">
        <w:rPr>
          <w:rFonts w:cs="Arial"/>
        </w:rPr>
        <w:t>$13 million in 2022 and $5 million in 2023) while earnings kept recovering.</w:t>
      </w:r>
    </w:p>
    <w:p w14:paraId="560CBD25" w14:textId="77777777" w:rsidR="00EC3E1D" w:rsidRPr="000D16B1" w:rsidRDefault="00EC3E1D" w:rsidP="000D16B1">
      <w:pPr>
        <w:spacing w:line="360" w:lineRule="auto"/>
        <w:rPr>
          <w:rFonts w:cs="Arial"/>
        </w:rPr>
      </w:pPr>
      <w:r w:rsidRPr="000D16B1">
        <w:rPr>
          <w:rFonts w:cs="Arial"/>
        </w:rPr>
        <w:t>(Source: Hyatt FY2022 and FY2023 Form 10-K filings)</w:t>
      </w:r>
    </w:p>
    <w:p w14:paraId="41C11759" w14:textId="77777777" w:rsidR="00EC3E1D" w:rsidRPr="000D16B1" w:rsidRDefault="00EC3E1D" w:rsidP="000D16B1">
      <w:pPr>
        <w:spacing w:line="360" w:lineRule="auto"/>
        <w:rPr>
          <w:rFonts w:cs="Arial"/>
        </w:rPr>
      </w:pPr>
      <w:r w:rsidRPr="000D16B1">
        <w:rPr>
          <w:rFonts w:cs="Arial"/>
          <w:b/>
          <w:bCs/>
        </w:rPr>
        <w:t xml:space="preserve">2024's leverage increased again (Debt/Equity to 1.07x; debt/total capital to 51.6%) even as coverage strengthened to 9.68x: </w:t>
      </w:r>
      <w:r w:rsidRPr="000D16B1">
        <w:rPr>
          <w:rFonts w:cs="Arial"/>
        </w:rPr>
        <w:t>Hyatt issued new senior notes in 2024 (pushing interest expense up $35 million) while also repurchasing $1,190 million of stock, which shrank the equity base even as retained earnings grew from the large net income year.</w:t>
      </w:r>
    </w:p>
    <w:p w14:paraId="27A9822E" w14:textId="77777777" w:rsidR="00EC3E1D" w:rsidRPr="000D16B1" w:rsidRDefault="00EC3E1D" w:rsidP="000D16B1">
      <w:pPr>
        <w:spacing w:line="360" w:lineRule="auto"/>
        <w:rPr>
          <w:rFonts w:cs="Arial"/>
        </w:rPr>
      </w:pPr>
      <w:r w:rsidRPr="000D16B1">
        <w:rPr>
          <w:rFonts w:cs="Arial"/>
        </w:rPr>
        <w:t>(Source: Hyatt FY2024 Form 10-K, Liquidity and Capital Resources / Interest Expense discussion)</w:t>
      </w:r>
    </w:p>
    <w:p w14:paraId="2CF3F82D" w14:textId="77777777" w:rsidR="00EC3E1D" w:rsidRPr="000D16B1" w:rsidRDefault="00EC3E1D" w:rsidP="000D16B1">
      <w:pPr>
        <w:pStyle w:val="Heading1"/>
        <w:spacing w:line="360" w:lineRule="auto"/>
        <w:rPr>
          <w:rFonts w:cs="Arial"/>
        </w:rPr>
      </w:pPr>
      <w:bookmarkStart w:id="8" w:name="_Toc237455740"/>
      <w:r w:rsidRPr="000D16B1">
        <w:rPr>
          <w:rFonts w:cs="Arial"/>
        </w:rPr>
        <w:t>Bottom Line</w:t>
      </w:r>
      <w:bookmarkEnd w:id="8"/>
    </w:p>
    <w:p w14:paraId="2684AB8B" w14:textId="785C1571" w:rsidR="00EC3E1D" w:rsidRPr="000D16B1" w:rsidRDefault="00C76AF3" w:rsidP="000D16B1">
      <w:pPr>
        <w:spacing w:line="360" w:lineRule="auto"/>
        <w:rPr>
          <w:rFonts w:cs="Arial"/>
        </w:rPr>
      </w:pPr>
      <w:r w:rsidRPr="00C76AF3">
        <w:rPr>
          <w:rFonts w:cs="Arial"/>
        </w:rPr>
        <w:t>The five years draw a neat line: pandemic crash (2020), recovery via acquisition with still a lot of fragility (2021), recovery via real estate operations (2022-2023), and what appears to be a stunning year on net margin and coverage, but is really a year of Hyatt monetizing owned real estate (2024). The two ratios which isolate the underlying strategic shift from the one-time gains are operating margin and fixed asset turnover</w:t>
      </w:r>
      <w:r>
        <w:rPr>
          <w:rFonts w:cs="Arial"/>
        </w:rPr>
        <w:t xml:space="preserve"> </w:t>
      </w:r>
      <w:r w:rsidR="0038472E" w:rsidRPr="000D16B1">
        <w:rPr>
          <w:rFonts w:cs="Arial"/>
        </w:rPr>
        <w:fldChar w:fldCharType="begin" w:fldLock="1"/>
      </w:r>
      <w:r w:rsidR="0038472E" w:rsidRPr="000D16B1">
        <w:rPr>
          <w:rFonts w:cs="Arial"/>
        </w:rPr>
        <w:instrText>ADDIN CSL_CITATION {"citationItems":[{"id":"ITEM-1","itemData":{"ISSN":"2071-1050","abstract":"This paper utilizes a meta-analytic approach to examine the correlation between Just-In-Time (JIT) practices and financial performance. The investigation assesses JIT’s influence on key financial metrics, including Return on Investment (ROI), Return on Sales (ROS), Asset Turnover, and Profit Margins. Results indicate a robust positive correlation between JIT implementation and enhanced financial outcomes, demonstrating that JIT significantly contributes to both operational efficiency and financial health. The findings illustrate that JIT’s effectiveness varies by organizational scale and economic context, with larger firms and stable economic conditions seeing the most pronounced benefits. Conversely, smaller firms might face challenges in harnessing JIT’s full financial potential, underscoring the importance of tailored implementation strategies. This study confirms the strategic value of JIT for boosting profitability and efficiency, providing managers with actionable insights to optimize JIT deployment. It also suggests areas for future research to refine understanding of JIT’s variable effects across different operational contexts and explore potential contributions to sustainability initiatives. This contribution enriches the discourse on JIT’s role in enhancing corporate financial performance and opens the door to examining its broader impacts on sustainable business practices.","author":[{"dropping-particle":"","family":"García-Cutrín","given":"Javier","non-dropping-particle":"","parse-names":false,"suffix":""},{"dropping-particle":"","family":"Rodríguez-García","given":"Carlos","non-dropping-particle":"","parse-names":false,"suffix":""}],"container-title":"Sustainability","id":"ITEM-1","issue":"10","issued":{"date-parts":[["2024","5","11"]]},"page":"4025","title":"Enhancing Corporate Sustainability through Just-In-Time (JIT) Practices: A Meta-Analytic Examination of Financial Performance Outcomes","type":"article-journal","volume":"16"},"uris":["http://www.mendeley.com/documents/?uuid=bda81187-571b-4e0e-aed0-8a23dc81f305"]}],"mendeley":{"formattedCitation":"(García-Cutrín and Rodríguez-García, 2024)","plainTextFormattedCitation":"(García-Cutrín and Rodríguez-García, 2024)","previouslyFormattedCitation":"(García-Cutrín and Rodríguez-García, 2024)"},"properties":{"noteIndex":0},"schema":"https://github.com/citation-style-language/schema/raw/master/csl-citation.json"}</w:instrText>
      </w:r>
      <w:r w:rsidR="0038472E" w:rsidRPr="000D16B1">
        <w:rPr>
          <w:rFonts w:cs="Arial"/>
        </w:rPr>
        <w:fldChar w:fldCharType="separate"/>
      </w:r>
      <w:r w:rsidR="0038472E" w:rsidRPr="000D16B1">
        <w:rPr>
          <w:rFonts w:cs="Arial"/>
          <w:noProof/>
        </w:rPr>
        <w:t>(García-Cutrín and Rodríguez-García, 2024)</w:t>
      </w:r>
      <w:r w:rsidR="0038472E" w:rsidRPr="000D16B1">
        <w:rPr>
          <w:rFonts w:cs="Arial"/>
        </w:rPr>
        <w:fldChar w:fldCharType="end"/>
      </w:r>
      <w:r w:rsidR="00EC3E1D" w:rsidRPr="000D16B1">
        <w:rPr>
          <w:rFonts w:cs="Arial"/>
        </w:rPr>
        <w:t>.</w:t>
      </w:r>
    </w:p>
    <w:p w14:paraId="4AB5BB21" w14:textId="77777777" w:rsidR="00EC3E1D" w:rsidRPr="000D16B1" w:rsidRDefault="00EC3E1D" w:rsidP="000D16B1">
      <w:pPr>
        <w:spacing w:line="360" w:lineRule="auto"/>
        <w:rPr>
          <w:rFonts w:cs="Arial"/>
        </w:rPr>
      </w:pPr>
      <w:r w:rsidRPr="000D16B1">
        <w:rPr>
          <w:rFonts w:cs="Arial"/>
          <w:i/>
          <w:iCs/>
          <w:color w:val="808080"/>
          <w:sz w:val="19"/>
          <w:szCs w:val="19"/>
        </w:rPr>
        <w:t>Sources: Hyatt Hotels Corporation Form 10-K filings for fiscal years 2020, 2021, 2022, 2023, and 2024, as filed with the U.S. Securities and Exchange Commission (Management's Discussion and Analysis of Financial Condition and Results of Operations).</w:t>
      </w:r>
    </w:p>
    <w:p w14:paraId="38D8AD57" w14:textId="77777777" w:rsidR="00EC3E1D" w:rsidRPr="000D16B1" w:rsidRDefault="00EC3E1D" w:rsidP="000D16B1">
      <w:pPr>
        <w:spacing w:line="360" w:lineRule="auto"/>
        <w:rPr>
          <w:rFonts w:cs="Arial"/>
        </w:rPr>
      </w:pPr>
    </w:p>
    <w:p w14:paraId="37DB934E" w14:textId="77777777" w:rsidR="00EC3E1D" w:rsidRPr="000D16B1" w:rsidRDefault="00EC3E1D" w:rsidP="000D16B1">
      <w:pPr>
        <w:pStyle w:val="Title"/>
        <w:spacing w:line="360" w:lineRule="auto"/>
        <w:rPr>
          <w:rFonts w:ascii="Arial" w:hAnsi="Arial" w:cs="Arial"/>
        </w:rPr>
      </w:pPr>
    </w:p>
    <w:p w14:paraId="7DAED9DE" w14:textId="77777777" w:rsidR="00EC3E1D" w:rsidRPr="000D16B1" w:rsidRDefault="00EC3E1D" w:rsidP="000D16B1">
      <w:pPr>
        <w:pStyle w:val="Title"/>
        <w:spacing w:line="360" w:lineRule="auto"/>
        <w:rPr>
          <w:rFonts w:ascii="Arial" w:hAnsi="Arial" w:cs="Arial"/>
        </w:rPr>
      </w:pPr>
    </w:p>
    <w:p w14:paraId="37E9253E" w14:textId="77777777" w:rsidR="00EC3E1D" w:rsidRPr="000D16B1" w:rsidRDefault="00EC3E1D" w:rsidP="000D16B1">
      <w:pPr>
        <w:pStyle w:val="Heading1"/>
        <w:spacing w:line="360" w:lineRule="auto"/>
        <w:rPr>
          <w:rFonts w:cs="Arial"/>
        </w:rPr>
      </w:pPr>
      <w:bookmarkStart w:id="9" w:name="_Toc237455741"/>
      <w:r w:rsidRPr="000D16B1">
        <w:rPr>
          <w:rFonts w:cs="Arial"/>
        </w:rPr>
        <w:t>Cash Conversion Cycle Analysis</w:t>
      </w:r>
      <w:bookmarkEnd w:id="9"/>
    </w:p>
    <w:p w14:paraId="06467E4A" w14:textId="77777777" w:rsidR="00EC3E1D" w:rsidRPr="000D16B1" w:rsidRDefault="00EC3E1D" w:rsidP="000D16B1">
      <w:pPr>
        <w:spacing w:after="300" w:line="360" w:lineRule="auto"/>
        <w:rPr>
          <w:rFonts w:cs="Arial"/>
        </w:rPr>
      </w:pPr>
      <w:r w:rsidRPr="000D16B1">
        <w:rPr>
          <w:rFonts w:cs="Arial"/>
          <w:i/>
          <w:iCs/>
          <w:szCs w:val="24"/>
        </w:rPr>
        <w:t>Hyatt Hotels Corporation (NYSE: H) — FY2020–FY2024</w:t>
      </w:r>
    </w:p>
    <w:p w14:paraId="59678A4A" w14:textId="77777777" w:rsidR="00EC3E1D" w:rsidRPr="000D16B1" w:rsidRDefault="00EC3E1D" w:rsidP="000D16B1">
      <w:pPr>
        <w:pStyle w:val="Heading1"/>
        <w:spacing w:line="360" w:lineRule="auto"/>
        <w:rPr>
          <w:rFonts w:cs="Arial"/>
        </w:rPr>
      </w:pPr>
      <w:bookmarkStart w:id="10" w:name="_Toc237455742"/>
      <w:r w:rsidRPr="000D16B1">
        <w:rPr>
          <w:rFonts w:cs="Arial"/>
        </w:rPr>
        <w:t>1. Important note on the company identified</w:t>
      </w:r>
      <w:bookmarkEnd w:id="10"/>
    </w:p>
    <w:p w14:paraId="74311591" w14:textId="65C66CE8" w:rsidR="00EC3E1D" w:rsidRPr="000D16B1" w:rsidRDefault="00C76AF3" w:rsidP="000D16B1">
      <w:pPr>
        <w:spacing w:after="160" w:line="360" w:lineRule="auto"/>
        <w:rPr>
          <w:rFonts w:cs="Arial"/>
        </w:rPr>
      </w:pPr>
      <w:r w:rsidRPr="00C76AF3">
        <w:rPr>
          <w:rFonts w:cs="Arial"/>
        </w:rPr>
        <w:t>Hyatt Place's ticker symbol on the New York Stock Exchange is "H" not Hilton Worldwide Holdings, which is "HLT. The five 10-K filings submitted are each the annual reports of Hyatt Hotels Corporation for fiscal years 2020-2024. This analysis is derived from the consolidated financial statements of Hyatt on which the company has performed an audit and submitted to the SEC.</w:t>
      </w:r>
    </w:p>
    <w:p w14:paraId="1A154FF8" w14:textId="77777777" w:rsidR="00EC3E1D" w:rsidRPr="000D16B1" w:rsidRDefault="00EC3E1D" w:rsidP="000D16B1">
      <w:pPr>
        <w:pStyle w:val="Heading1"/>
        <w:spacing w:before="300" w:after="150" w:line="360" w:lineRule="auto"/>
        <w:rPr>
          <w:rFonts w:cs="Arial"/>
        </w:rPr>
      </w:pPr>
      <w:bookmarkStart w:id="11" w:name="_Toc237455743"/>
      <w:r w:rsidRPr="000D16B1">
        <w:rPr>
          <w:rFonts w:cs="Arial"/>
        </w:rPr>
        <w:t>2. Methodology</w:t>
      </w:r>
      <w:bookmarkEnd w:id="11"/>
    </w:p>
    <w:p w14:paraId="209C5579" w14:textId="77777777" w:rsidR="00C76AF3" w:rsidRPr="00C76AF3" w:rsidRDefault="00C76AF3" w:rsidP="00C76AF3">
      <w:pPr>
        <w:spacing w:line="360" w:lineRule="auto"/>
        <w:jc w:val="both"/>
        <w:rPr>
          <w:rFonts w:cs="Arial"/>
        </w:rPr>
      </w:pPr>
      <w:r w:rsidRPr="00C76AF3">
        <w:rPr>
          <w:rFonts w:cs="Arial"/>
        </w:rPr>
        <w:t>Cash Conversion Cycle (CCC) refers to the period for which cash is used for operating the business before it gets back from customers after deducting credit granted by suppliers:</w:t>
      </w:r>
    </w:p>
    <w:p w14:paraId="2887B4B6" w14:textId="77777777" w:rsidR="00C76AF3" w:rsidRPr="00C76AF3" w:rsidRDefault="00C76AF3" w:rsidP="00C76AF3">
      <w:pPr>
        <w:spacing w:line="360" w:lineRule="auto"/>
        <w:jc w:val="both"/>
        <w:rPr>
          <w:rFonts w:cs="Arial"/>
        </w:rPr>
      </w:pPr>
      <w:r w:rsidRPr="00C76AF3">
        <w:rPr>
          <w:rFonts w:cs="Arial"/>
        </w:rPr>
        <w:t>The formula for CCC is as follows: Inventory Days + Receivable Days − Payable Days = CCC</w:t>
      </w:r>
    </w:p>
    <w:p w14:paraId="792C74F8" w14:textId="77777777" w:rsidR="00C76AF3" w:rsidRPr="00C76AF3" w:rsidRDefault="00C76AF3" w:rsidP="00C76AF3">
      <w:pPr>
        <w:spacing w:line="360" w:lineRule="auto"/>
        <w:jc w:val="both"/>
        <w:rPr>
          <w:rFonts w:cs="Arial"/>
        </w:rPr>
      </w:pPr>
      <w:r w:rsidRPr="00C76AF3">
        <w:rPr>
          <w:rFonts w:cs="Arial"/>
        </w:rPr>
        <w:t>Average value of each component (opening + closing / 2) was used in conjunction with the corresponding value of the flow, annualised over 365 days.</w:t>
      </w:r>
    </w:p>
    <w:p w14:paraId="3990398B" w14:textId="77777777" w:rsidR="00C76AF3" w:rsidRPr="00C76AF3" w:rsidRDefault="00C76AF3" w:rsidP="00C76AF3">
      <w:pPr>
        <w:spacing w:line="360" w:lineRule="auto"/>
        <w:jc w:val="both"/>
        <w:rPr>
          <w:rFonts w:cs="Arial"/>
        </w:rPr>
      </w:pPr>
      <w:r w:rsidRPr="00C76AF3">
        <w:rPr>
          <w:rFonts w:cs="Arial"/>
        </w:rPr>
        <w:t>Average Inventories/Direct &amp; SG&amp;A Expenses × 365 = Inventory Days</w:t>
      </w:r>
    </w:p>
    <w:p w14:paraId="6CFC4F40" w14:textId="77777777" w:rsidR="00C76AF3" w:rsidRPr="00C76AF3" w:rsidRDefault="00C76AF3" w:rsidP="00C76AF3">
      <w:pPr>
        <w:spacing w:line="360" w:lineRule="auto"/>
        <w:jc w:val="both"/>
        <w:rPr>
          <w:rFonts w:cs="Arial"/>
        </w:rPr>
      </w:pPr>
      <w:r w:rsidRPr="00C76AF3">
        <w:rPr>
          <w:rFonts w:cs="Arial"/>
        </w:rPr>
        <w:t>Receivable Days is calculated as Average Receivables, net/Total Revenues × 365.</w:t>
      </w:r>
    </w:p>
    <w:p w14:paraId="26794E93" w14:textId="77777777" w:rsidR="00C76AF3" w:rsidRPr="00C76AF3" w:rsidRDefault="00C76AF3" w:rsidP="00C76AF3">
      <w:pPr>
        <w:spacing w:line="360" w:lineRule="auto"/>
        <w:jc w:val="both"/>
        <w:rPr>
          <w:rFonts w:cs="Arial"/>
        </w:rPr>
      </w:pPr>
      <w:r w:rsidRPr="00C76AF3">
        <w:rPr>
          <w:rFonts w:cs="Arial"/>
        </w:rPr>
        <w:t>Payable Days is calculated as Average Accounts Payable divided by Direct &amp; SG&amp;A Expenses and multiplied by 365.</w:t>
      </w:r>
    </w:p>
    <w:p w14:paraId="16C82EDA" w14:textId="77777777" w:rsidR="00C76AF3" w:rsidRPr="00C76AF3" w:rsidRDefault="00C76AF3" w:rsidP="00C76AF3">
      <w:pPr>
        <w:spacing w:line="360" w:lineRule="auto"/>
        <w:jc w:val="both"/>
        <w:rPr>
          <w:rFonts w:cs="Arial"/>
        </w:rPr>
      </w:pPr>
      <w:r w:rsidRPr="00C76AF3">
        <w:rPr>
          <w:rFonts w:cs="Arial"/>
        </w:rPr>
        <w:t xml:space="preserve">Please refer to the cost denominator: As a hotel owner/operator, manager and franchisor, Hyatt does not have a traditional "Cost of Goods Sold" line. The "total operating cost line" (the line immediately below revenues in Hyatt's income statement, which includes the cost base for Hyatt's owned hotels, distribution costs, reimbursed costs and G&amp;A) was used as the best proxy for the cost base to which inventory and payables relate. This is a typical adjustment for the </w:t>
      </w:r>
      <w:r w:rsidRPr="00C76AF3">
        <w:rPr>
          <w:rFonts w:cs="Arial"/>
        </w:rPr>
        <w:lastRenderedPageBreak/>
        <w:t>service/hospitality companies that do not manufacture or resell physical products and is consistent for each of the 5 years to make the results comparable.</w:t>
      </w:r>
    </w:p>
    <w:p w14:paraId="6985AB12" w14:textId="18BA25AF" w:rsidR="00EC3E1D" w:rsidRPr="000D16B1" w:rsidRDefault="00C76AF3" w:rsidP="00C76AF3">
      <w:pPr>
        <w:spacing w:line="360" w:lineRule="auto"/>
        <w:jc w:val="both"/>
        <w:rPr>
          <w:rFonts w:cs="Arial"/>
        </w:rPr>
      </w:pPr>
      <w:r w:rsidRPr="00C76AF3">
        <w:rPr>
          <w:rFonts w:cs="Arial"/>
        </w:rPr>
        <w:t>All amounts are in US$ millions, and have been reported as such in the "Consolidated Balance Sheets" and "Consolidated Statements of Income" found in each year's Form 10-K. 2019 closing balances (from the FY2020 10-K's comparative column) were used as the FY2020 opening balances.</w:t>
      </w:r>
    </w:p>
    <w:p w14:paraId="4800C9F3" w14:textId="77777777" w:rsidR="00EC3E1D" w:rsidRPr="000D16B1" w:rsidRDefault="00EC3E1D" w:rsidP="000D16B1">
      <w:pPr>
        <w:pStyle w:val="Heading1"/>
        <w:spacing w:line="360" w:lineRule="auto"/>
        <w:rPr>
          <w:rFonts w:cs="Arial"/>
        </w:rPr>
      </w:pPr>
      <w:bookmarkStart w:id="12" w:name="_Toc237455744"/>
      <w:r w:rsidRPr="000D16B1">
        <w:rPr>
          <w:rFonts w:cs="Arial"/>
        </w:rPr>
        <w:t>3. Source data extracted from the filings</w:t>
      </w:r>
      <w:bookmarkEnd w:id="12"/>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15"/>
        <w:gridCol w:w="1884"/>
        <w:gridCol w:w="1481"/>
        <w:gridCol w:w="1861"/>
        <w:gridCol w:w="1858"/>
        <w:gridCol w:w="2141"/>
      </w:tblGrid>
      <w:tr w:rsidR="00EC3E1D" w:rsidRPr="000D16B1" w14:paraId="516283BB" w14:textId="77777777" w:rsidTr="00A37334">
        <w:trPr>
          <w:tblHeader/>
        </w:trPr>
        <w:tc>
          <w:tcPr>
            <w:tcW w:w="1140" w:type="dxa"/>
            <w:shd w:val="clear" w:color="auto" w:fill="1F4E79"/>
            <w:tcMar>
              <w:top w:w="60" w:type="dxa"/>
              <w:left w:w="100" w:type="dxa"/>
              <w:bottom w:w="60" w:type="dxa"/>
              <w:right w:w="100" w:type="dxa"/>
            </w:tcMar>
          </w:tcPr>
          <w:p w14:paraId="61504525" w14:textId="77777777" w:rsidR="00EC3E1D" w:rsidRPr="000D16B1" w:rsidRDefault="00EC3E1D" w:rsidP="000D16B1">
            <w:pPr>
              <w:spacing w:line="360" w:lineRule="auto"/>
              <w:jc w:val="center"/>
              <w:rPr>
                <w:rFonts w:cs="Arial"/>
              </w:rPr>
            </w:pPr>
            <w:r w:rsidRPr="000D16B1">
              <w:rPr>
                <w:rFonts w:cs="Arial"/>
                <w:b/>
                <w:bCs/>
                <w:color w:val="FFFFFF"/>
              </w:rPr>
              <w:t>Year</w:t>
            </w:r>
          </w:p>
        </w:tc>
        <w:tc>
          <w:tcPr>
            <w:tcW w:w="1900" w:type="dxa"/>
            <w:shd w:val="clear" w:color="auto" w:fill="1F4E79"/>
            <w:tcMar>
              <w:top w:w="60" w:type="dxa"/>
              <w:left w:w="100" w:type="dxa"/>
              <w:bottom w:w="60" w:type="dxa"/>
              <w:right w:w="100" w:type="dxa"/>
            </w:tcMar>
          </w:tcPr>
          <w:p w14:paraId="5F797C6C" w14:textId="77777777" w:rsidR="00EC3E1D" w:rsidRPr="000D16B1" w:rsidRDefault="00EC3E1D" w:rsidP="000D16B1">
            <w:pPr>
              <w:spacing w:line="360" w:lineRule="auto"/>
              <w:jc w:val="center"/>
              <w:rPr>
                <w:rFonts w:cs="Arial"/>
              </w:rPr>
            </w:pPr>
            <w:r w:rsidRPr="000D16B1">
              <w:rPr>
                <w:rFonts w:cs="Arial"/>
                <w:b/>
                <w:bCs/>
                <w:color w:val="FFFFFF"/>
              </w:rPr>
              <w:t>Receivables, net ($m)</w:t>
            </w:r>
          </w:p>
        </w:tc>
        <w:tc>
          <w:tcPr>
            <w:tcW w:w="1400" w:type="dxa"/>
            <w:shd w:val="clear" w:color="auto" w:fill="1F4E79"/>
            <w:tcMar>
              <w:top w:w="60" w:type="dxa"/>
              <w:left w:w="100" w:type="dxa"/>
              <w:bottom w:w="60" w:type="dxa"/>
              <w:right w:w="100" w:type="dxa"/>
            </w:tcMar>
          </w:tcPr>
          <w:p w14:paraId="52A72F39" w14:textId="77777777" w:rsidR="00EC3E1D" w:rsidRPr="000D16B1" w:rsidRDefault="00EC3E1D" w:rsidP="000D16B1">
            <w:pPr>
              <w:spacing w:line="360" w:lineRule="auto"/>
              <w:jc w:val="center"/>
              <w:rPr>
                <w:rFonts w:cs="Arial"/>
              </w:rPr>
            </w:pPr>
            <w:r w:rsidRPr="000D16B1">
              <w:rPr>
                <w:rFonts w:cs="Arial"/>
                <w:b/>
                <w:bCs/>
                <w:color w:val="FFFFFF"/>
              </w:rPr>
              <w:t>Inventories ($m)</w:t>
            </w:r>
          </w:p>
        </w:tc>
        <w:tc>
          <w:tcPr>
            <w:tcW w:w="1900" w:type="dxa"/>
            <w:shd w:val="clear" w:color="auto" w:fill="1F4E79"/>
            <w:tcMar>
              <w:top w:w="60" w:type="dxa"/>
              <w:left w:w="100" w:type="dxa"/>
              <w:bottom w:w="60" w:type="dxa"/>
              <w:right w:w="100" w:type="dxa"/>
            </w:tcMar>
          </w:tcPr>
          <w:p w14:paraId="72CB7E70" w14:textId="77777777" w:rsidR="00EC3E1D" w:rsidRPr="000D16B1" w:rsidRDefault="00EC3E1D" w:rsidP="000D16B1">
            <w:pPr>
              <w:spacing w:line="360" w:lineRule="auto"/>
              <w:jc w:val="center"/>
              <w:rPr>
                <w:rFonts w:cs="Arial"/>
              </w:rPr>
            </w:pPr>
            <w:r w:rsidRPr="000D16B1">
              <w:rPr>
                <w:rFonts w:cs="Arial"/>
                <w:b/>
                <w:bCs/>
                <w:color w:val="FFFFFF"/>
              </w:rPr>
              <w:t>Accounts payable ($m)</w:t>
            </w:r>
          </w:p>
        </w:tc>
        <w:tc>
          <w:tcPr>
            <w:tcW w:w="1900" w:type="dxa"/>
            <w:shd w:val="clear" w:color="auto" w:fill="1F4E79"/>
            <w:tcMar>
              <w:top w:w="60" w:type="dxa"/>
              <w:left w:w="100" w:type="dxa"/>
              <w:bottom w:w="60" w:type="dxa"/>
              <w:right w:w="100" w:type="dxa"/>
            </w:tcMar>
          </w:tcPr>
          <w:p w14:paraId="03BE7BA3" w14:textId="77777777" w:rsidR="00EC3E1D" w:rsidRPr="000D16B1" w:rsidRDefault="00EC3E1D" w:rsidP="000D16B1">
            <w:pPr>
              <w:spacing w:line="360" w:lineRule="auto"/>
              <w:jc w:val="center"/>
              <w:rPr>
                <w:rFonts w:cs="Arial"/>
              </w:rPr>
            </w:pPr>
            <w:r w:rsidRPr="000D16B1">
              <w:rPr>
                <w:rFonts w:cs="Arial"/>
                <w:b/>
                <w:bCs/>
                <w:color w:val="FFFFFF"/>
              </w:rPr>
              <w:t>Total revenues ($m)</w:t>
            </w:r>
          </w:p>
        </w:tc>
        <w:tc>
          <w:tcPr>
            <w:tcW w:w="2200" w:type="dxa"/>
            <w:shd w:val="clear" w:color="auto" w:fill="1F4E79"/>
            <w:tcMar>
              <w:top w:w="60" w:type="dxa"/>
              <w:left w:w="100" w:type="dxa"/>
              <w:bottom w:w="60" w:type="dxa"/>
              <w:right w:w="100" w:type="dxa"/>
            </w:tcMar>
          </w:tcPr>
          <w:p w14:paraId="3D99D3E3" w14:textId="77777777" w:rsidR="00EC3E1D" w:rsidRPr="000D16B1" w:rsidRDefault="00EC3E1D" w:rsidP="000D16B1">
            <w:pPr>
              <w:spacing w:line="360" w:lineRule="auto"/>
              <w:jc w:val="center"/>
              <w:rPr>
                <w:rFonts w:cs="Arial"/>
              </w:rPr>
            </w:pPr>
            <w:r w:rsidRPr="000D16B1">
              <w:rPr>
                <w:rFonts w:cs="Arial"/>
                <w:b/>
                <w:bCs/>
                <w:color w:val="FFFFFF"/>
              </w:rPr>
              <w:t>Direct &amp; SG&amp;A expenses ($m)</w:t>
            </w:r>
          </w:p>
        </w:tc>
      </w:tr>
      <w:tr w:rsidR="00EC3E1D" w:rsidRPr="000D16B1" w14:paraId="6ADEFF6B" w14:textId="77777777" w:rsidTr="00A37334">
        <w:tc>
          <w:tcPr>
            <w:tcW w:w="1140" w:type="dxa"/>
            <w:tcMar>
              <w:top w:w="50" w:type="dxa"/>
              <w:left w:w="100" w:type="dxa"/>
              <w:bottom w:w="50" w:type="dxa"/>
              <w:right w:w="100" w:type="dxa"/>
            </w:tcMar>
          </w:tcPr>
          <w:p w14:paraId="4B6475B9" w14:textId="77777777" w:rsidR="00EC3E1D" w:rsidRPr="000D16B1" w:rsidRDefault="00EC3E1D" w:rsidP="000D16B1">
            <w:pPr>
              <w:spacing w:line="360" w:lineRule="auto"/>
              <w:rPr>
                <w:rFonts w:cs="Arial"/>
              </w:rPr>
            </w:pPr>
            <w:r w:rsidRPr="000D16B1">
              <w:rPr>
                <w:rFonts w:cs="Arial"/>
              </w:rPr>
              <w:t>2019 (opening)</w:t>
            </w:r>
          </w:p>
        </w:tc>
        <w:tc>
          <w:tcPr>
            <w:tcW w:w="1900" w:type="dxa"/>
            <w:tcMar>
              <w:top w:w="50" w:type="dxa"/>
              <w:left w:w="100" w:type="dxa"/>
              <w:bottom w:w="50" w:type="dxa"/>
              <w:right w:w="100" w:type="dxa"/>
            </w:tcMar>
          </w:tcPr>
          <w:p w14:paraId="68051D69" w14:textId="77777777" w:rsidR="00EC3E1D" w:rsidRPr="000D16B1" w:rsidRDefault="00EC3E1D" w:rsidP="000D16B1">
            <w:pPr>
              <w:spacing w:line="360" w:lineRule="auto"/>
              <w:rPr>
                <w:rFonts w:cs="Arial"/>
              </w:rPr>
            </w:pPr>
            <w:r w:rsidRPr="000D16B1">
              <w:rPr>
                <w:rFonts w:cs="Arial"/>
              </w:rPr>
              <w:t>421</w:t>
            </w:r>
          </w:p>
        </w:tc>
        <w:tc>
          <w:tcPr>
            <w:tcW w:w="1400" w:type="dxa"/>
            <w:tcMar>
              <w:top w:w="50" w:type="dxa"/>
              <w:left w:w="100" w:type="dxa"/>
              <w:bottom w:w="50" w:type="dxa"/>
              <w:right w:w="100" w:type="dxa"/>
            </w:tcMar>
          </w:tcPr>
          <w:p w14:paraId="274631DE" w14:textId="77777777" w:rsidR="00EC3E1D" w:rsidRPr="000D16B1" w:rsidRDefault="00EC3E1D" w:rsidP="000D16B1">
            <w:pPr>
              <w:spacing w:line="360" w:lineRule="auto"/>
              <w:rPr>
                <w:rFonts w:cs="Arial"/>
              </w:rPr>
            </w:pPr>
            <w:r w:rsidRPr="000D16B1">
              <w:rPr>
                <w:rFonts w:cs="Arial"/>
              </w:rPr>
              <w:t>12</w:t>
            </w:r>
          </w:p>
        </w:tc>
        <w:tc>
          <w:tcPr>
            <w:tcW w:w="1900" w:type="dxa"/>
            <w:tcMar>
              <w:top w:w="50" w:type="dxa"/>
              <w:left w:w="100" w:type="dxa"/>
              <w:bottom w:w="50" w:type="dxa"/>
              <w:right w:w="100" w:type="dxa"/>
            </w:tcMar>
          </w:tcPr>
          <w:p w14:paraId="4AF3DAA1" w14:textId="77777777" w:rsidR="00EC3E1D" w:rsidRPr="000D16B1" w:rsidRDefault="00EC3E1D" w:rsidP="000D16B1">
            <w:pPr>
              <w:spacing w:line="360" w:lineRule="auto"/>
              <w:rPr>
                <w:rFonts w:cs="Arial"/>
              </w:rPr>
            </w:pPr>
            <w:r w:rsidRPr="000D16B1">
              <w:rPr>
                <w:rFonts w:cs="Arial"/>
              </w:rPr>
              <w:t>150</w:t>
            </w:r>
          </w:p>
        </w:tc>
        <w:tc>
          <w:tcPr>
            <w:tcW w:w="1900" w:type="dxa"/>
            <w:tcMar>
              <w:top w:w="50" w:type="dxa"/>
              <w:left w:w="100" w:type="dxa"/>
              <w:bottom w:w="50" w:type="dxa"/>
              <w:right w:w="100" w:type="dxa"/>
            </w:tcMar>
          </w:tcPr>
          <w:p w14:paraId="0817292F" w14:textId="77777777" w:rsidR="00EC3E1D" w:rsidRPr="000D16B1" w:rsidRDefault="00EC3E1D" w:rsidP="000D16B1">
            <w:pPr>
              <w:spacing w:line="360" w:lineRule="auto"/>
              <w:rPr>
                <w:rFonts w:cs="Arial"/>
              </w:rPr>
            </w:pPr>
            <w:r w:rsidRPr="000D16B1">
              <w:rPr>
                <w:rFonts w:cs="Arial"/>
              </w:rPr>
              <w:t>—</w:t>
            </w:r>
          </w:p>
        </w:tc>
        <w:tc>
          <w:tcPr>
            <w:tcW w:w="2200" w:type="dxa"/>
            <w:tcMar>
              <w:top w:w="50" w:type="dxa"/>
              <w:left w:w="100" w:type="dxa"/>
              <w:bottom w:w="50" w:type="dxa"/>
              <w:right w:w="100" w:type="dxa"/>
            </w:tcMar>
          </w:tcPr>
          <w:p w14:paraId="7B93A99E" w14:textId="77777777" w:rsidR="00EC3E1D" w:rsidRPr="000D16B1" w:rsidRDefault="00EC3E1D" w:rsidP="000D16B1">
            <w:pPr>
              <w:spacing w:line="360" w:lineRule="auto"/>
              <w:rPr>
                <w:rFonts w:cs="Arial"/>
              </w:rPr>
            </w:pPr>
            <w:r w:rsidRPr="000D16B1">
              <w:rPr>
                <w:rFonts w:cs="Arial"/>
              </w:rPr>
              <w:t>—</w:t>
            </w:r>
          </w:p>
        </w:tc>
      </w:tr>
      <w:tr w:rsidR="00EC3E1D" w:rsidRPr="000D16B1" w14:paraId="1FC867C9" w14:textId="77777777" w:rsidTr="00A37334">
        <w:tc>
          <w:tcPr>
            <w:tcW w:w="1140" w:type="dxa"/>
            <w:shd w:val="clear" w:color="auto" w:fill="F2F2F2"/>
            <w:tcMar>
              <w:top w:w="50" w:type="dxa"/>
              <w:left w:w="100" w:type="dxa"/>
              <w:bottom w:w="50" w:type="dxa"/>
              <w:right w:w="100" w:type="dxa"/>
            </w:tcMar>
          </w:tcPr>
          <w:p w14:paraId="07F990CE" w14:textId="77777777" w:rsidR="00EC3E1D" w:rsidRPr="000D16B1" w:rsidRDefault="00EC3E1D" w:rsidP="000D16B1">
            <w:pPr>
              <w:spacing w:line="360" w:lineRule="auto"/>
              <w:rPr>
                <w:rFonts w:cs="Arial"/>
              </w:rPr>
            </w:pPr>
            <w:r w:rsidRPr="000D16B1">
              <w:rPr>
                <w:rFonts w:cs="Arial"/>
              </w:rPr>
              <w:t>2020</w:t>
            </w:r>
          </w:p>
        </w:tc>
        <w:tc>
          <w:tcPr>
            <w:tcW w:w="1900" w:type="dxa"/>
            <w:shd w:val="clear" w:color="auto" w:fill="F2F2F2"/>
            <w:tcMar>
              <w:top w:w="50" w:type="dxa"/>
              <w:left w:w="100" w:type="dxa"/>
              <w:bottom w:w="50" w:type="dxa"/>
              <w:right w:w="100" w:type="dxa"/>
            </w:tcMar>
          </w:tcPr>
          <w:p w14:paraId="0C34D5BA" w14:textId="77777777" w:rsidR="00EC3E1D" w:rsidRPr="000D16B1" w:rsidRDefault="00EC3E1D" w:rsidP="000D16B1">
            <w:pPr>
              <w:spacing w:line="360" w:lineRule="auto"/>
              <w:rPr>
                <w:rFonts w:cs="Arial"/>
              </w:rPr>
            </w:pPr>
            <w:r w:rsidRPr="000D16B1">
              <w:rPr>
                <w:rFonts w:cs="Arial"/>
              </w:rPr>
              <w:t>316</w:t>
            </w:r>
          </w:p>
        </w:tc>
        <w:tc>
          <w:tcPr>
            <w:tcW w:w="1400" w:type="dxa"/>
            <w:shd w:val="clear" w:color="auto" w:fill="F2F2F2"/>
            <w:tcMar>
              <w:top w:w="50" w:type="dxa"/>
              <w:left w:w="100" w:type="dxa"/>
              <w:bottom w:w="50" w:type="dxa"/>
              <w:right w:w="100" w:type="dxa"/>
            </w:tcMar>
          </w:tcPr>
          <w:p w14:paraId="61F7FE76" w14:textId="77777777" w:rsidR="00EC3E1D" w:rsidRPr="000D16B1" w:rsidRDefault="00EC3E1D" w:rsidP="000D16B1">
            <w:pPr>
              <w:spacing w:line="360" w:lineRule="auto"/>
              <w:rPr>
                <w:rFonts w:cs="Arial"/>
              </w:rPr>
            </w:pPr>
            <w:r w:rsidRPr="000D16B1">
              <w:rPr>
                <w:rFonts w:cs="Arial"/>
              </w:rPr>
              <w:t>9</w:t>
            </w:r>
          </w:p>
        </w:tc>
        <w:tc>
          <w:tcPr>
            <w:tcW w:w="1900" w:type="dxa"/>
            <w:shd w:val="clear" w:color="auto" w:fill="F2F2F2"/>
            <w:tcMar>
              <w:top w:w="50" w:type="dxa"/>
              <w:left w:w="100" w:type="dxa"/>
              <w:bottom w:w="50" w:type="dxa"/>
              <w:right w:w="100" w:type="dxa"/>
            </w:tcMar>
          </w:tcPr>
          <w:p w14:paraId="01E9D00F" w14:textId="77777777" w:rsidR="00EC3E1D" w:rsidRPr="000D16B1" w:rsidRDefault="00EC3E1D" w:rsidP="000D16B1">
            <w:pPr>
              <w:spacing w:line="360" w:lineRule="auto"/>
              <w:rPr>
                <w:rFonts w:cs="Arial"/>
              </w:rPr>
            </w:pPr>
            <w:r w:rsidRPr="000D16B1">
              <w:rPr>
                <w:rFonts w:cs="Arial"/>
              </w:rPr>
              <w:t>102</w:t>
            </w:r>
          </w:p>
        </w:tc>
        <w:tc>
          <w:tcPr>
            <w:tcW w:w="1900" w:type="dxa"/>
            <w:shd w:val="clear" w:color="auto" w:fill="F2F2F2"/>
            <w:tcMar>
              <w:top w:w="50" w:type="dxa"/>
              <w:left w:w="100" w:type="dxa"/>
              <w:bottom w:w="50" w:type="dxa"/>
              <w:right w:w="100" w:type="dxa"/>
            </w:tcMar>
          </w:tcPr>
          <w:p w14:paraId="01DF851A" w14:textId="77777777" w:rsidR="00EC3E1D" w:rsidRPr="000D16B1" w:rsidRDefault="00EC3E1D" w:rsidP="000D16B1">
            <w:pPr>
              <w:spacing w:line="360" w:lineRule="auto"/>
              <w:rPr>
                <w:rFonts w:cs="Arial"/>
              </w:rPr>
            </w:pPr>
            <w:r w:rsidRPr="000D16B1">
              <w:rPr>
                <w:rFonts w:cs="Arial"/>
              </w:rPr>
              <w:t>2,066</w:t>
            </w:r>
          </w:p>
        </w:tc>
        <w:tc>
          <w:tcPr>
            <w:tcW w:w="2200" w:type="dxa"/>
            <w:shd w:val="clear" w:color="auto" w:fill="F2F2F2"/>
            <w:tcMar>
              <w:top w:w="50" w:type="dxa"/>
              <w:left w:w="100" w:type="dxa"/>
              <w:bottom w:w="50" w:type="dxa"/>
              <w:right w:w="100" w:type="dxa"/>
            </w:tcMar>
          </w:tcPr>
          <w:p w14:paraId="7701EC05" w14:textId="77777777" w:rsidR="00EC3E1D" w:rsidRPr="000D16B1" w:rsidRDefault="00EC3E1D" w:rsidP="000D16B1">
            <w:pPr>
              <w:spacing w:line="360" w:lineRule="auto"/>
              <w:rPr>
                <w:rFonts w:cs="Arial"/>
              </w:rPr>
            </w:pPr>
            <w:r w:rsidRPr="000D16B1">
              <w:rPr>
                <w:rFonts w:cs="Arial"/>
              </w:rPr>
              <w:t>2,698</w:t>
            </w:r>
          </w:p>
        </w:tc>
      </w:tr>
      <w:tr w:rsidR="00EC3E1D" w:rsidRPr="000D16B1" w14:paraId="41A7311C" w14:textId="77777777" w:rsidTr="00A37334">
        <w:tc>
          <w:tcPr>
            <w:tcW w:w="1140" w:type="dxa"/>
            <w:tcMar>
              <w:top w:w="50" w:type="dxa"/>
              <w:left w:w="100" w:type="dxa"/>
              <w:bottom w:w="50" w:type="dxa"/>
              <w:right w:w="100" w:type="dxa"/>
            </w:tcMar>
          </w:tcPr>
          <w:p w14:paraId="66425279" w14:textId="77777777" w:rsidR="00EC3E1D" w:rsidRPr="000D16B1" w:rsidRDefault="00EC3E1D" w:rsidP="000D16B1">
            <w:pPr>
              <w:spacing w:line="360" w:lineRule="auto"/>
              <w:rPr>
                <w:rFonts w:cs="Arial"/>
              </w:rPr>
            </w:pPr>
            <w:r w:rsidRPr="000D16B1">
              <w:rPr>
                <w:rFonts w:cs="Arial"/>
              </w:rPr>
              <w:t>2021</w:t>
            </w:r>
          </w:p>
        </w:tc>
        <w:tc>
          <w:tcPr>
            <w:tcW w:w="1900" w:type="dxa"/>
            <w:tcMar>
              <w:top w:w="50" w:type="dxa"/>
              <w:left w:w="100" w:type="dxa"/>
              <w:bottom w:w="50" w:type="dxa"/>
              <w:right w:w="100" w:type="dxa"/>
            </w:tcMar>
          </w:tcPr>
          <w:p w14:paraId="1962DE9A" w14:textId="77777777" w:rsidR="00EC3E1D" w:rsidRPr="000D16B1" w:rsidRDefault="00EC3E1D" w:rsidP="000D16B1">
            <w:pPr>
              <w:spacing w:line="360" w:lineRule="auto"/>
              <w:rPr>
                <w:rFonts w:cs="Arial"/>
              </w:rPr>
            </w:pPr>
            <w:r w:rsidRPr="000D16B1">
              <w:rPr>
                <w:rFonts w:cs="Arial"/>
              </w:rPr>
              <w:t>633</w:t>
            </w:r>
          </w:p>
        </w:tc>
        <w:tc>
          <w:tcPr>
            <w:tcW w:w="1400" w:type="dxa"/>
            <w:tcMar>
              <w:top w:w="50" w:type="dxa"/>
              <w:left w:w="100" w:type="dxa"/>
              <w:bottom w:w="50" w:type="dxa"/>
              <w:right w:w="100" w:type="dxa"/>
            </w:tcMar>
          </w:tcPr>
          <w:p w14:paraId="010269FB" w14:textId="77777777" w:rsidR="00EC3E1D" w:rsidRPr="000D16B1" w:rsidRDefault="00EC3E1D" w:rsidP="000D16B1">
            <w:pPr>
              <w:spacing w:line="360" w:lineRule="auto"/>
              <w:rPr>
                <w:rFonts w:cs="Arial"/>
              </w:rPr>
            </w:pPr>
            <w:r w:rsidRPr="000D16B1">
              <w:rPr>
                <w:rFonts w:cs="Arial"/>
              </w:rPr>
              <w:t>10</w:t>
            </w:r>
          </w:p>
        </w:tc>
        <w:tc>
          <w:tcPr>
            <w:tcW w:w="1900" w:type="dxa"/>
            <w:tcMar>
              <w:top w:w="50" w:type="dxa"/>
              <w:left w:w="100" w:type="dxa"/>
              <w:bottom w:w="50" w:type="dxa"/>
              <w:right w:w="100" w:type="dxa"/>
            </w:tcMar>
          </w:tcPr>
          <w:p w14:paraId="54A85FDB" w14:textId="77777777" w:rsidR="00EC3E1D" w:rsidRPr="000D16B1" w:rsidRDefault="00EC3E1D" w:rsidP="000D16B1">
            <w:pPr>
              <w:spacing w:line="360" w:lineRule="auto"/>
              <w:rPr>
                <w:rFonts w:cs="Arial"/>
              </w:rPr>
            </w:pPr>
            <w:r w:rsidRPr="000D16B1">
              <w:rPr>
                <w:rFonts w:cs="Arial"/>
              </w:rPr>
              <w:t>523</w:t>
            </w:r>
          </w:p>
        </w:tc>
        <w:tc>
          <w:tcPr>
            <w:tcW w:w="1900" w:type="dxa"/>
            <w:tcMar>
              <w:top w:w="50" w:type="dxa"/>
              <w:left w:w="100" w:type="dxa"/>
              <w:bottom w:w="50" w:type="dxa"/>
              <w:right w:w="100" w:type="dxa"/>
            </w:tcMar>
          </w:tcPr>
          <w:p w14:paraId="5A722BB3" w14:textId="77777777" w:rsidR="00EC3E1D" w:rsidRPr="000D16B1" w:rsidRDefault="00EC3E1D" w:rsidP="000D16B1">
            <w:pPr>
              <w:spacing w:line="360" w:lineRule="auto"/>
              <w:rPr>
                <w:rFonts w:cs="Arial"/>
              </w:rPr>
            </w:pPr>
            <w:r w:rsidRPr="000D16B1">
              <w:rPr>
                <w:rFonts w:cs="Arial"/>
              </w:rPr>
              <w:t>3,028</w:t>
            </w:r>
          </w:p>
        </w:tc>
        <w:tc>
          <w:tcPr>
            <w:tcW w:w="2200" w:type="dxa"/>
            <w:tcMar>
              <w:top w:w="50" w:type="dxa"/>
              <w:left w:w="100" w:type="dxa"/>
              <w:bottom w:w="50" w:type="dxa"/>
              <w:right w:w="100" w:type="dxa"/>
            </w:tcMar>
          </w:tcPr>
          <w:p w14:paraId="690360D8" w14:textId="77777777" w:rsidR="00EC3E1D" w:rsidRPr="000D16B1" w:rsidRDefault="00EC3E1D" w:rsidP="000D16B1">
            <w:pPr>
              <w:spacing w:line="360" w:lineRule="auto"/>
              <w:rPr>
                <w:rFonts w:cs="Arial"/>
              </w:rPr>
            </w:pPr>
            <w:r w:rsidRPr="000D16B1">
              <w:rPr>
                <w:rFonts w:cs="Arial"/>
              </w:rPr>
              <w:t>3,279</w:t>
            </w:r>
          </w:p>
        </w:tc>
      </w:tr>
      <w:tr w:rsidR="00EC3E1D" w:rsidRPr="000D16B1" w14:paraId="675B1EDD" w14:textId="77777777" w:rsidTr="00A37334">
        <w:tc>
          <w:tcPr>
            <w:tcW w:w="1140" w:type="dxa"/>
            <w:shd w:val="clear" w:color="auto" w:fill="F2F2F2"/>
            <w:tcMar>
              <w:top w:w="50" w:type="dxa"/>
              <w:left w:w="100" w:type="dxa"/>
              <w:bottom w:w="50" w:type="dxa"/>
              <w:right w:w="100" w:type="dxa"/>
            </w:tcMar>
          </w:tcPr>
          <w:p w14:paraId="4613D590" w14:textId="77777777" w:rsidR="00EC3E1D" w:rsidRPr="000D16B1" w:rsidRDefault="00EC3E1D" w:rsidP="000D16B1">
            <w:pPr>
              <w:spacing w:line="360" w:lineRule="auto"/>
              <w:rPr>
                <w:rFonts w:cs="Arial"/>
              </w:rPr>
            </w:pPr>
            <w:r w:rsidRPr="000D16B1">
              <w:rPr>
                <w:rFonts w:cs="Arial"/>
              </w:rPr>
              <w:t>2022</w:t>
            </w:r>
          </w:p>
        </w:tc>
        <w:tc>
          <w:tcPr>
            <w:tcW w:w="1900" w:type="dxa"/>
            <w:shd w:val="clear" w:color="auto" w:fill="F2F2F2"/>
            <w:tcMar>
              <w:top w:w="50" w:type="dxa"/>
              <w:left w:w="100" w:type="dxa"/>
              <w:bottom w:w="50" w:type="dxa"/>
              <w:right w:w="100" w:type="dxa"/>
            </w:tcMar>
          </w:tcPr>
          <w:p w14:paraId="01F4DFB7" w14:textId="77777777" w:rsidR="00EC3E1D" w:rsidRPr="000D16B1" w:rsidRDefault="00EC3E1D" w:rsidP="000D16B1">
            <w:pPr>
              <w:spacing w:line="360" w:lineRule="auto"/>
              <w:rPr>
                <w:rFonts w:cs="Arial"/>
              </w:rPr>
            </w:pPr>
            <w:r w:rsidRPr="000D16B1">
              <w:rPr>
                <w:rFonts w:cs="Arial"/>
              </w:rPr>
              <w:t>834</w:t>
            </w:r>
          </w:p>
        </w:tc>
        <w:tc>
          <w:tcPr>
            <w:tcW w:w="1400" w:type="dxa"/>
            <w:shd w:val="clear" w:color="auto" w:fill="F2F2F2"/>
            <w:tcMar>
              <w:top w:w="50" w:type="dxa"/>
              <w:left w:w="100" w:type="dxa"/>
              <w:bottom w:w="50" w:type="dxa"/>
              <w:right w:w="100" w:type="dxa"/>
            </w:tcMar>
          </w:tcPr>
          <w:p w14:paraId="2A372043" w14:textId="77777777" w:rsidR="00EC3E1D" w:rsidRPr="000D16B1" w:rsidRDefault="00EC3E1D" w:rsidP="000D16B1">
            <w:pPr>
              <w:spacing w:line="360" w:lineRule="auto"/>
              <w:rPr>
                <w:rFonts w:cs="Arial"/>
              </w:rPr>
            </w:pPr>
            <w:r w:rsidRPr="000D16B1">
              <w:rPr>
                <w:rFonts w:cs="Arial"/>
              </w:rPr>
              <w:t>9</w:t>
            </w:r>
          </w:p>
        </w:tc>
        <w:tc>
          <w:tcPr>
            <w:tcW w:w="1900" w:type="dxa"/>
            <w:shd w:val="clear" w:color="auto" w:fill="F2F2F2"/>
            <w:tcMar>
              <w:top w:w="50" w:type="dxa"/>
              <w:left w:w="100" w:type="dxa"/>
              <w:bottom w:w="50" w:type="dxa"/>
              <w:right w:w="100" w:type="dxa"/>
            </w:tcMar>
          </w:tcPr>
          <w:p w14:paraId="1FDD6756" w14:textId="77777777" w:rsidR="00EC3E1D" w:rsidRPr="000D16B1" w:rsidRDefault="00EC3E1D" w:rsidP="000D16B1">
            <w:pPr>
              <w:spacing w:line="360" w:lineRule="auto"/>
              <w:rPr>
                <w:rFonts w:cs="Arial"/>
              </w:rPr>
            </w:pPr>
            <w:r w:rsidRPr="000D16B1">
              <w:rPr>
                <w:rFonts w:cs="Arial"/>
              </w:rPr>
              <w:t>500</w:t>
            </w:r>
          </w:p>
        </w:tc>
        <w:tc>
          <w:tcPr>
            <w:tcW w:w="1900" w:type="dxa"/>
            <w:shd w:val="clear" w:color="auto" w:fill="F2F2F2"/>
            <w:tcMar>
              <w:top w:w="50" w:type="dxa"/>
              <w:left w:w="100" w:type="dxa"/>
              <w:bottom w:w="50" w:type="dxa"/>
              <w:right w:w="100" w:type="dxa"/>
            </w:tcMar>
          </w:tcPr>
          <w:p w14:paraId="0BD2132E" w14:textId="77777777" w:rsidR="00EC3E1D" w:rsidRPr="000D16B1" w:rsidRDefault="00EC3E1D" w:rsidP="000D16B1">
            <w:pPr>
              <w:spacing w:line="360" w:lineRule="auto"/>
              <w:rPr>
                <w:rFonts w:cs="Arial"/>
              </w:rPr>
            </w:pPr>
            <w:r w:rsidRPr="000D16B1">
              <w:rPr>
                <w:rFonts w:cs="Arial"/>
              </w:rPr>
              <w:t>5,891</w:t>
            </w:r>
          </w:p>
        </w:tc>
        <w:tc>
          <w:tcPr>
            <w:tcW w:w="2200" w:type="dxa"/>
            <w:shd w:val="clear" w:color="auto" w:fill="F2F2F2"/>
            <w:tcMar>
              <w:top w:w="50" w:type="dxa"/>
              <w:left w:w="100" w:type="dxa"/>
              <w:bottom w:w="50" w:type="dxa"/>
              <w:right w:w="100" w:type="dxa"/>
            </w:tcMar>
          </w:tcPr>
          <w:p w14:paraId="15368363" w14:textId="77777777" w:rsidR="00EC3E1D" w:rsidRPr="000D16B1" w:rsidRDefault="00EC3E1D" w:rsidP="000D16B1">
            <w:pPr>
              <w:spacing w:line="360" w:lineRule="auto"/>
              <w:rPr>
                <w:rFonts w:cs="Arial"/>
              </w:rPr>
            </w:pPr>
            <w:r w:rsidRPr="000D16B1">
              <w:rPr>
                <w:rFonts w:cs="Arial"/>
              </w:rPr>
              <w:t>5,493</w:t>
            </w:r>
          </w:p>
        </w:tc>
      </w:tr>
      <w:tr w:rsidR="00EC3E1D" w:rsidRPr="000D16B1" w14:paraId="1CA6662A" w14:textId="77777777" w:rsidTr="00A37334">
        <w:tc>
          <w:tcPr>
            <w:tcW w:w="1140" w:type="dxa"/>
            <w:tcMar>
              <w:top w:w="50" w:type="dxa"/>
              <w:left w:w="100" w:type="dxa"/>
              <w:bottom w:w="50" w:type="dxa"/>
              <w:right w:w="100" w:type="dxa"/>
            </w:tcMar>
          </w:tcPr>
          <w:p w14:paraId="2DBC0371" w14:textId="77777777" w:rsidR="00EC3E1D" w:rsidRPr="000D16B1" w:rsidRDefault="00EC3E1D" w:rsidP="000D16B1">
            <w:pPr>
              <w:spacing w:line="360" w:lineRule="auto"/>
              <w:rPr>
                <w:rFonts w:cs="Arial"/>
              </w:rPr>
            </w:pPr>
            <w:r w:rsidRPr="000D16B1">
              <w:rPr>
                <w:rFonts w:cs="Arial"/>
              </w:rPr>
              <w:t>2023</w:t>
            </w:r>
          </w:p>
        </w:tc>
        <w:tc>
          <w:tcPr>
            <w:tcW w:w="1900" w:type="dxa"/>
            <w:tcMar>
              <w:top w:w="50" w:type="dxa"/>
              <w:left w:w="100" w:type="dxa"/>
              <w:bottom w:w="50" w:type="dxa"/>
              <w:right w:w="100" w:type="dxa"/>
            </w:tcMar>
          </w:tcPr>
          <w:p w14:paraId="20DCC2E5" w14:textId="77777777" w:rsidR="00EC3E1D" w:rsidRPr="000D16B1" w:rsidRDefault="00EC3E1D" w:rsidP="000D16B1">
            <w:pPr>
              <w:spacing w:line="360" w:lineRule="auto"/>
              <w:rPr>
                <w:rFonts w:cs="Arial"/>
              </w:rPr>
            </w:pPr>
            <w:r w:rsidRPr="000D16B1">
              <w:rPr>
                <w:rFonts w:cs="Arial"/>
              </w:rPr>
              <w:t>883</w:t>
            </w:r>
          </w:p>
        </w:tc>
        <w:tc>
          <w:tcPr>
            <w:tcW w:w="1400" w:type="dxa"/>
            <w:tcMar>
              <w:top w:w="50" w:type="dxa"/>
              <w:left w:w="100" w:type="dxa"/>
              <w:bottom w:w="50" w:type="dxa"/>
              <w:right w:w="100" w:type="dxa"/>
            </w:tcMar>
          </w:tcPr>
          <w:p w14:paraId="502D918C" w14:textId="77777777" w:rsidR="00EC3E1D" w:rsidRPr="000D16B1" w:rsidRDefault="00EC3E1D" w:rsidP="000D16B1">
            <w:pPr>
              <w:spacing w:line="360" w:lineRule="auto"/>
              <w:rPr>
                <w:rFonts w:cs="Arial"/>
              </w:rPr>
            </w:pPr>
            <w:r w:rsidRPr="000D16B1">
              <w:rPr>
                <w:rFonts w:cs="Arial"/>
              </w:rPr>
              <w:t>9</w:t>
            </w:r>
          </w:p>
        </w:tc>
        <w:tc>
          <w:tcPr>
            <w:tcW w:w="1900" w:type="dxa"/>
            <w:tcMar>
              <w:top w:w="50" w:type="dxa"/>
              <w:left w:w="100" w:type="dxa"/>
              <w:bottom w:w="50" w:type="dxa"/>
              <w:right w:w="100" w:type="dxa"/>
            </w:tcMar>
          </w:tcPr>
          <w:p w14:paraId="7F359733" w14:textId="77777777" w:rsidR="00EC3E1D" w:rsidRPr="000D16B1" w:rsidRDefault="00EC3E1D" w:rsidP="000D16B1">
            <w:pPr>
              <w:spacing w:line="360" w:lineRule="auto"/>
              <w:rPr>
                <w:rFonts w:cs="Arial"/>
              </w:rPr>
            </w:pPr>
            <w:r w:rsidRPr="000D16B1">
              <w:rPr>
                <w:rFonts w:cs="Arial"/>
              </w:rPr>
              <w:t>493</w:t>
            </w:r>
          </w:p>
        </w:tc>
        <w:tc>
          <w:tcPr>
            <w:tcW w:w="1900" w:type="dxa"/>
            <w:tcMar>
              <w:top w:w="50" w:type="dxa"/>
              <w:left w:w="100" w:type="dxa"/>
              <w:bottom w:w="50" w:type="dxa"/>
              <w:right w:w="100" w:type="dxa"/>
            </w:tcMar>
          </w:tcPr>
          <w:p w14:paraId="45F67C95" w14:textId="77777777" w:rsidR="00EC3E1D" w:rsidRPr="000D16B1" w:rsidRDefault="00EC3E1D" w:rsidP="000D16B1">
            <w:pPr>
              <w:spacing w:line="360" w:lineRule="auto"/>
              <w:rPr>
                <w:rFonts w:cs="Arial"/>
              </w:rPr>
            </w:pPr>
            <w:r w:rsidRPr="000D16B1">
              <w:rPr>
                <w:rFonts w:cs="Arial"/>
              </w:rPr>
              <w:t>6,667</w:t>
            </w:r>
          </w:p>
        </w:tc>
        <w:tc>
          <w:tcPr>
            <w:tcW w:w="2200" w:type="dxa"/>
            <w:tcMar>
              <w:top w:w="50" w:type="dxa"/>
              <w:left w:w="100" w:type="dxa"/>
              <w:bottom w:w="50" w:type="dxa"/>
              <w:right w:w="100" w:type="dxa"/>
            </w:tcMar>
          </w:tcPr>
          <w:p w14:paraId="1C16401D" w14:textId="77777777" w:rsidR="00EC3E1D" w:rsidRPr="000D16B1" w:rsidRDefault="00EC3E1D" w:rsidP="000D16B1">
            <w:pPr>
              <w:spacing w:line="360" w:lineRule="auto"/>
              <w:rPr>
                <w:rFonts w:cs="Arial"/>
              </w:rPr>
            </w:pPr>
            <w:r w:rsidRPr="000D16B1">
              <w:rPr>
                <w:rFonts w:cs="Arial"/>
              </w:rPr>
              <w:t>6,362</w:t>
            </w:r>
          </w:p>
        </w:tc>
      </w:tr>
      <w:tr w:rsidR="00EC3E1D" w:rsidRPr="000D16B1" w14:paraId="55E814D0" w14:textId="77777777" w:rsidTr="00A37334">
        <w:tc>
          <w:tcPr>
            <w:tcW w:w="1140" w:type="dxa"/>
            <w:shd w:val="clear" w:color="auto" w:fill="F2F2F2"/>
            <w:tcMar>
              <w:top w:w="50" w:type="dxa"/>
              <w:left w:w="100" w:type="dxa"/>
              <w:bottom w:w="50" w:type="dxa"/>
              <w:right w:w="100" w:type="dxa"/>
            </w:tcMar>
          </w:tcPr>
          <w:p w14:paraId="36AA13A1" w14:textId="77777777" w:rsidR="00EC3E1D" w:rsidRPr="000D16B1" w:rsidRDefault="00EC3E1D" w:rsidP="000D16B1">
            <w:pPr>
              <w:spacing w:line="360" w:lineRule="auto"/>
              <w:rPr>
                <w:rFonts w:cs="Arial"/>
              </w:rPr>
            </w:pPr>
            <w:r w:rsidRPr="000D16B1">
              <w:rPr>
                <w:rFonts w:cs="Arial"/>
              </w:rPr>
              <w:t>2024</w:t>
            </w:r>
          </w:p>
        </w:tc>
        <w:tc>
          <w:tcPr>
            <w:tcW w:w="1900" w:type="dxa"/>
            <w:shd w:val="clear" w:color="auto" w:fill="F2F2F2"/>
            <w:tcMar>
              <w:top w:w="50" w:type="dxa"/>
              <w:left w:w="100" w:type="dxa"/>
              <w:bottom w:w="50" w:type="dxa"/>
              <w:right w:w="100" w:type="dxa"/>
            </w:tcMar>
          </w:tcPr>
          <w:p w14:paraId="35BFCE12" w14:textId="77777777" w:rsidR="00EC3E1D" w:rsidRPr="000D16B1" w:rsidRDefault="00EC3E1D" w:rsidP="000D16B1">
            <w:pPr>
              <w:spacing w:line="360" w:lineRule="auto"/>
              <w:rPr>
                <w:rFonts w:cs="Arial"/>
              </w:rPr>
            </w:pPr>
            <w:r w:rsidRPr="000D16B1">
              <w:rPr>
                <w:rFonts w:cs="Arial"/>
              </w:rPr>
              <w:t>1,121</w:t>
            </w:r>
          </w:p>
        </w:tc>
        <w:tc>
          <w:tcPr>
            <w:tcW w:w="1400" w:type="dxa"/>
            <w:shd w:val="clear" w:color="auto" w:fill="F2F2F2"/>
            <w:tcMar>
              <w:top w:w="50" w:type="dxa"/>
              <w:left w:w="100" w:type="dxa"/>
              <w:bottom w:w="50" w:type="dxa"/>
              <w:right w:w="100" w:type="dxa"/>
            </w:tcMar>
          </w:tcPr>
          <w:p w14:paraId="1A51666D" w14:textId="77777777" w:rsidR="00EC3E1D" w:rsidRPr="000D16B1" w:rsidRDefault="00EC3E1D" w:rsidP="000D16B1">
            <w:pPr>
              <w:spacing w:line="360" w:lineRule="auto"/>
              <w:rPr>
                <w:rFonts w:cs="Arial"/>
              </w:rPr>
            </w:pPr>
            <w:r w:rsidRPr="000D16B1">
              <w:rPr>
                <w:rFonts w:cs="Arial"/>
              </w:rPr>
              <w:t>8</w:t>
            </w:r>
          </w:p>
        </w:tc>
        <w:tc>
          <w:tcPr>
            <w:tcW w:w="1900" w:type="dxa"/>
            <w:shd w:val="clear" w:color="auto" w:fill="F2F2F2"/>
            <w:tcMar>
              <w:top w:w="50" w:type="dxa"/>
              <w:left w:w="100" w:type="dxa"/>
              <w:bottom w:w="50" w:type="dxa"/>
              <w:right w:w="100" w:type="dxa"/>
            </w:tcMar>
          </w:tcPr>
          <w:p w14:paraId="3FD32DED" w14:textId="77777777" w:rsidR="00EC3E1D" w:rsidRPr="000D16B1" w:rsidRDefault="00EC3E1D" w:rsidP="000D16B1">
            <w:pPr>
              <w:spacing w:line="360" w:lineRule="auto"/>
              <w:rPr>
                <w:rFonts w:cs="Arial"/>
              </w:rPr>
            </w:pPr>
            <w:r w:rsidRPr="000D16B1">
              <w:rPr>
                <w:rFonts w:cs="Arial"/>
              </w:rPr>
              <w:t>475</w:t>
            </w:r>
          </w:p>
        </w:tc>
        <w:tc>
          <w:tcPr>
            <w:tcW w:w="1900" w:type="dxa"/>
            <w:shd w:val="clear" w:color="auto" w:fill="F2F2F2"/>
            <w:tcMar>
              <w:top w:w="50" w:type="dxa"/>
              <w:left w:w="100" w:type="dxa"/>
              <w:bottom w:w="50" w:type="dxa"/>
              <w:right w:w="100" w:type="dxa"/>
            </w:tcMar>
          </w:tcPr>
          <w:p w14:paraId="2395BE22" w14:textId="77777777" w:rsidR="00EC3E1D" w:rsidRPr="000D16B1" w:rsidRDefault="00EC3E1D" w:rsidP="000D16B1">
            <w:pPr>
              <w:spacing w:line="360" w:lineRule="auto"/>
              <w:rPr>
                <w:rFonts w:cs="Arial"/>
              </w:rPr>
            </w:pPr>
            <w:r w:rsidRPr="000D16B1">
              <w:rPr>
                <w:rFonts w:cs="Arial"/>
              </w:rPr>
              <w:t>6,648</w:t>
            </w:r>
          </w:p>
        </w:tc>
        <w:tc>
          <w:tcPr>
            <w:tcW w:w="2200" w:type="dxa"/>
            <w:shd w:val="clear" w:color="auto" w:fill="F2F2F2"/>
            <w:tcMar>
              <w:top w:w="50" w:type="dxa"/>
              <w:left w:w="100" w:type="dxa"/>
              <w:bottom w:w="50" w:type="dxa"/>
              <w:right w:w="100" w:type="dxa"/>
            </w:tcMar>
          </w:tcPr>
          <w:p w14:paraId="42ABDA72" w14:textId="77777777" w:rsidR="00EC3E1D" w:rsidRPr="000D16B1" w:rsidRDefault="00EC3E1D" w:rsidP="000D16B1">
            <w:pPr>
              <w:spacing w:line="360" w:lineRule="auto"/>
              <w:rPr>
                <w:rFonts w:cs="Arial"/>
              </w:rPr>
            </w:pPr>
            <w:r w:rsidRPr="000D16B1">
              <w:rPr>
                <w:rFonts w:cs="Arial"/>
              </w:rPr>
              <w:t>6,274</w:t>
            </w:r>
          </w:p>
        </w:tc>
      </w:tr>
    </w:tbl>
    <w:p w14:paraId="437361C1" w14:textId="77777777" w:rsidR="00EC3E1D" w:rsidRPr="000D16B1" w:rsidRDefault="00EC3E1D" w:rsidP="000D16B1">
      <w:pPr>
        <w:spacing w:line="360" w:lineRule="auto"/>
        <w:rPr>
          <w:rFonts w:cs="Arial"/>
        </w:rPr>
      </w:pPr>
    </w:p>
    <w:p w14:paraId="3C79FC0F" w14:textId="77777777" w:rsidR="00EC3E1D" w:rsidRPr="000D16B1" w:rsidRDefault="00EC3E1D" w:rsidP="000D16B1">
      <w:pPr>
        <w:pStyle w:val="Heading1"/>
        <w:spacing w:line="360" w:lineRule="auto"/>
        <w:rPr>
          <w:rFonts w:cs="Arial"/>
        </w:rPr>
      </w:pPr>
      <w:bookmarkStart w:id="13" w:name="_Toc237455745"/>
      <w:r w:rsidRPr="000D16B1">
        <w:rPr>
          <w:rFonts w:cs="Arial"/>
        </w:rPr>
        <w:t>4. Workings — Step 1: average balances</w:t>
      </w:r>
      <w:bookmarkEnd w:id="13"/>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140"/>
        <w:gridCol w:w="3100"/>
        <w:gridCol w:w="3100"/>
        <w:gridCol w:w="3100"/>
      </w:tblGrid>
      <w:tr w:rsidR="00EC3E1D" w:rsidRPr="000D16B1" w14:paraId="6593D580" w14:textId="77777777" w:rsidTr="00A37334">
        <w:trPr>
          <w:tblHeader/>
        </w:trPr>
        <w:tc>
          <w:tcPr>
            <w:tcW w:w="1140" w:type="dxa"/>
            <w:shd w:val="clear" w:color="auto" w:fill="1F4E79"/>
            <w:tcMar>
              <w:top w:w="60" w:type="dxa"/>
              <w:left w:w="100" w:type="dxa"/>
              <w:bottom w:w="60" w:type="dxa"/>
              <w:right w:w="100" w:type="dxa"/>
            </w:tcMar>
          </w:tcPr>
          <w:p w14:paraId="2EC7A836" w14:textId="77777777" w:rsidR="00EC3E1D" w:rsidRPr="000D16B1" w:rsidRDefault="00EC3E1D" w:rsidP="000D16B1">
            <w:pPr>
              <w:spacing w:line="360" w:lineRule="auto"/>
              <w:rPr>
                <w:rFonts w:cs="Arial"/>
              </w:rPr>
            </w:pPr>
            <w:r w:rsidRPr="000D16B1">
              <w:rPr>
                <w:rFonts w:cs="Arial"/>
                <w:b/>
                <w:bCs/>
                <w:color w:val="FFFFFF"/>
              </w:rPr>
              <w:t>Year</w:t>
            </w:r>
          </w:p>
        </w:tc>
        <w:tc>
          <w:tcPr>
            <w:tcW w:w="3100" w:type="dxa"/>
            <w:shd w:val="clear" w:color="auto" w:fill="1F4E79"/>
            <w:tcMar>
              <w:top w:w="60" w:type="dxa"/>
              <w:left w:w="100" w:type="dxa"/>
              <w:bottom w:w="60" w:type="dxa"/>
              <w:right w:w="100" w:type="dxa"/>
            </w:tcMar>
          </w:tcPr>
          <w:p w14:paraId="3C8CF483" w14:textId="77777777" w:rsidR="00EC3E1D" w:rsidRPr="000D16B1" w:rsidRDefault="00EC3E1D" w:rsidP="000D16B1">
            <w:pPr>
              <w:spacing w:line="360" w:lineRule="auto"/>
              <w:rPr>
                <w:rFonts w:cs="Arial"/>
              </w:rPr>
            </w:pPr>
            <w:r w:rsidRPr="000D16B1">
              <w:rPr>
                <w:rFonts w:cs="Arial"/>
                <w:b/>
                <w:bCs/>
                <w:color w:val="FFFFFF"/>
              </w:rPr>
              <w:t>Avg. inventory ($m)</w:t>
            </w:r>
          </w:p>
        </w:tc>
        <w:tc>
          <w:tcPr>
            <w:tcW w:w="3100" w:type="dxa"/>
            <w:shd w:val="clear" w:color="auto" w:fill="1F4E79"/>
            <w:tcMar>
              <w:top w:w="60" w:type="dxa"/>
              <w:left w:w="100" w:type="dxa"/>
              <w:bottom w:w="60" w:type="dxa"/>
              <w:right w:w="100" w:type="dxa"/>
            </w:tcMar>
          </w:tcPr>
          <w:p w14:paraId="068D17B7" w14:textId="77777777" w:rsidR="00EC3E1D" w:rsidRPr="000D16B1" w:rsidRDefault="00EC3E1D" w:rsidP="000D16B1">
            <w:pPr>
              <w:spacing w:line="360" w:lineRule="auto"/>
              <w:rPr>
                <w:rFonts w:cs="Arial"/>
              </w:rPr>
            </w:pPr>
            <w:r w:rsidRPr="000D16B1">
              <w:rPr>
                <w:rFonts w:cs="Arial"/>
                <w:b/>
                <w:bCs/>
                <w:color w:val="FFFFFF"/>
              </w:rPr>
              <w:t>Avg. receivables ($m)</w:t>
            </w:r>
          </w:p>
        </w:tc>
        <w:tc>
          <w:tcPr>
            <w:tcW w:w="3100" w:type="dxa"/>
            <w:shd w:val="clear" w:color="auto" w:fill="1F4E79"/>
            <w:tcMar>
              <w:top w:w="60" w:type="dxa"/>
              <w:left w:w="100" w:type="dxa"/>
              <w:bottom w:w="60" w:type="dxa"/>
              <w:right w:w="100" w:type="dxa"/>
            </w:tcMar>
          </w:tcPr>
          <w:p w14:paraId="6DD37DF3" w14:textId="77777777" w:rsidR="00EC3E1D" w:rsidRPr="000D16B1" w:rsidRDefault="00EC3E1D" w:rsidP="000D16B1">
            <w:pPr>
              <w:spacing w:line="360" w:lineRule="auto"/>
              <w:rPr>
                <w:rFonts w:cs="Arial"/>
              </w:rPr>
            </w:pPr>
            <w:r w:rsidRPr="000D16B1">
              <w:rPr>
                <w:rFonts w:cs="Arial"/>
                <w:b/>
                <w:bCs/>
                <w:color w:val="FFFFFF"/>
              </w:rPr>
              <w:t>Avg. payables ($m)</w:t>
            </w:r>
          </w:p>
        </w:tc>
      </w:tr>
      <w:tr w:rsidR="00EC3E1D" w:rsidRPr="000D16B1" w14:paraId="7BB6A2DE" w14:textId="77777777" w:rsidTr="00A37334">
        <w:tc>
          <w:tcPr>
            <w:tcW w:w="1140" w:type="dxa"/>
            <w:tcMar>
              <w:top w:w="50" w:type="dxa"/>
              <w:left w:w="100" w:type="dxa"/>
              <w:bottom w:w="50" w:type="dxa"/>
              <w:right w:w="100" w:type="dxa"/>
            </w:tcMar>
          </w:tcPr>
          <w:p w14:paraId="73728403" w14:textId="77777777" w:rsidR="00EC3E1D" w:rsidRPr="000D16B1" w:rsidRDefault="00EC3E1D" w:rsidP="000D16B1">
            <w:pPr>
              <w:spacing w:line="360" w:lineRule="auto"/>
              <w:rPr>
                <w:rFonts w:cs="Arial"/>
              </w:rPr>
            </w:pPr>
            <w:r w:rsidRPr="000D16B1">
              <w:rPr>
                <w:rFonts w:cs="Arial"/>
              </w:rPr>
              <w:t>2020</w:t>
            </w:r>
          </w:p>
        </w:tc>
        <w:tc>
          <w:tcPr>
            <w:tcW w:w="3100" w:type="dxa"/>
            <w:tcMar>
              <w:top w:w="50" w:type="dxa"/>
              <w:left w:w="100" w:type="dxa"/>
              <w:bottom w:w="50" w:type="dxa"/>
              <w:right w:w="100" w:type="dxa"/>
            </w:tcMar>
          </w:tcPr>
          <w:p w14:paraId="0B3F523E" w14:textId="77777777" w:rsidR="00EC3E1D" w:rsidRPr="000D16B1" w:rsidRDefault="00EC3E1D" w:rsidP="000D16B1">
            <w:pPr>
              <w:spacing w:line="360" w:lineRule="auto"/>
              <w:rPr>
                <w:rFonts w:cs="Arial"/>
              </w:rPr>
            </w:pPr>
            <w:r w:rsidRPr="000D16B1">
              <w:rPr>
                <w:rFonts w:cs="Arial"/>
              </w:rPr>
              <w:t>(12+9)/2 = 10.5</w:t>
            </w:r>
          </w:p>
        </w:tc>
        <w:tc>
          <w:tcPr>
            <w:tcW w:w="3100" w:type="dxa"/>
            <w:tcMar>
              <w:top w:w="50" w:type="dxa"/>
              <w:left w:w="100" w:type="dxa"/>
              <w:bottom w:w="50" w:type="dxa"/>
              <w:right w:w="100" w:type="dxa"/>
            </w:tcMar>
          </w:tcPr>
          <w:p w14:paraId="1742BE69" w14:textId="77777777" w:rsidR="00EC3E1D" w:rsidRPr="000D16B1" w:rsidRDefault="00EC3E1D" w:rsidP="000D16B1">
            <w:pPr>
              <w:spacing w:line="360" w:lineRule="auto"/>
              <w:rPr>
                <w:rFonts w:cs="Arial"/>
              </w:rPr>
            </w:pPr>
            <w:r w:rsidRPr="000D16B1">
              <w:rPr>
                <w:rFonts w:cs="Arial"/>
              </w:rPr>
              <w:t>(421+316)/2 = 368.5</w:t>
            </w:r>
          </w:p>
        </w:tc>
        <w:tc>
          <w:tcPr>
            <w:tcW w:w="3100" w:type="dxa"/>
            <w:tcMar>
              <w:top w:w="50" w:type="dxa"/>
              <w:left w:w="100" w:type="dxa"/>
              <w:bottom w:w="50" w:type="dxa"/>
              <w:right w:w="100" w:type="dxa"/>
            </w:tcMar>
          </w:tcPr>
          <w:p w14:paraId="768F8A39" w14:textId="77777777" w:rsidR="00EC3E1D" w:rsidRPr="000D16B1" w:rsidRDefault="00EC3E1D" w:rsidP="000D16B1">
            <w:pPr>
              <w:spacing w:line="360" w:lineRule="auto"/>
              <w:rPr>
                <w:rFonts w:cs="Arial"/>
              </w:rPr>
            </w:pPr>
            <w:r w:rsidRPr="000D16B1">
              <w:rPr>
                <w:rFonts w:cs="Arial"/>
              </w:rPr>
              <w:t>(150+102)/2 = 126.0</w:t>
            </w:r>
          </w:p>
        </w:tc>
      </w:tr>
      <w:tr w:rsidR="00EC3E1D" w:rsidRPr="000D16B1" w14:paraId="603946D2" w14:textId="77777777" w:rsidTr="00A37334">
        <w:tc>
          <w:tcPr>
            <w:tcW w:w="1140" w:type="dxa"/>
            <w:shd w:val="clear" w:color="auto" w:fill="F2F2F2"/>
            <w:tcMar>
              <w:top w:w="50" w:type="dxa"/>
              <w:left w:w="100" w:type="dxa"/>
              <w:bottom w:w="50" w:type="dxa"/>
              <w:right w:w="100" w:type="dxa"/>
            </w:tcMar>
          </w:tcPr>
          <w:p w14:paraId="289309B9" w14:textId="77777777" w:rsidR="00EC3E1D" w:rsidRPr="000D16B1" w:rsidRDefault="00EC3E1D" w:rsidP="000D16B1">
            <w:pPr>
              <w:spacing w:line="360" w:lineRule="auto"/>
              <w:rPr>
                <w:rFonts w:cs="Arial"/>
              </w:rPr>
            </w:pPr>
            <w:r w:rsidRPr="000D16B1">
              <w:rPr>
                <w:rFonts w:cs="Arial"/>
              </w:rPr>
              <w:t>2021</w:t>
            </w:r>
          </w:p>
        </w:tc>
        <w:tc>
          <w:tcPr>
            <w:tcW w:w="3100" w:type="dxa"/>
            <w:shd w:val="clear" w:color="auto" w:fill="F2F2F2"/>
            <w:tcMar>
              <w:top w:w="50" w:type="dxa"/>
              <w:left w:w="100" w:type="dxa"/>
              <w:bottom w:w="50" w:type="dxa"/>
              <w:right w:w="100" w:type="dxa"/>
            </w:tcMar>
          </w:tcPr>
          <w:p w14:paraId="2BE8C76A" w14:textId="77777777" w:rsidR="00EC3E1D" w:rsidRPr="000D16B1" w:rsidRDefault="00EC3E1D" w:rsidP="000D16B1">
            <w:pPr>
              <w:spacing w:line="360" w:lineRule="auto"/>
              <w:rPr>
                <w:rFonts w:cs="Arial"/>
              </w:rPr>
            </w:pPr>
            <w:r w:rsidRPr="000D16B1">
              <w:rPr>
                <w:rFonts w:cs="Arial"/>
              </w:rPr>
              <w:t>(9+10)/2 = 9.5</w:t>
            </w:r>
          </w:p>
        </w:tc>
        <w:tc>
          <w:tcPr>
            <w:tcW w:w="3100" w:type="dxa"/>
            <w:shd w:val="clear" w:color="auto" w:fill="F2F2F2"/>
            <w:tcMar>
              <w:top w:w="50" w:type="dxa"/>
              <w:left w:w="100" w:type="dxa"/>
              <w:bottom w:w="50" w:type="dxa"/>
              <w:right w:w="100" w:type="dxa"/>
            </w:tcMar>
          </w:tcPr>
          <w:p w14:paraId="1C36F2BE" w14:textId="77777777" w:rsidR="00EC3E1D" w:rsidRPr="000D16B1" w:rsidRDefault="00EC3E1D" w:rsidP="000D16B1">
            <w:pPr>
              <w:spacing w:line="360" w:lineRule="auto"/>
              <w:rPr>
                <w:rFonts w:cs="Arial"/>
              </w:rPr>
            </w:pPr>
            <w:r w:rsidRPr="000D16B1">
              <w:rPr>
                <w:rFonts w:cs="Arial"/>
              </w:rPr>
              <w:t>(316+633)/2 = 474.5</w:t>
            </w:r>
          </w:p>
        </w:tc>
        <w:tc>
          <w:tcPr>
            <w:tcW w:w="3100" w:type="dxa"/>
            <w:shd w:val="clear" w:color="auto" w:fill="F2F2F2"/>
            <w:tcMar>
              <w:top w:w="50" w:type="dxa"/>
              <w:left w:w="100" w:type="dxa"/>
              <w:bottom w:w="50" w:type="dxa"/>
              <w:right w:w="100" w:type="dxa"/>
            </w:tcMar>
          </w:tcPr>
          <w:p w14:paraId="030B3693" w14:textId="77777777" w:rsidR="00EC3E1D" w:rsidRPr="000D16B1" w:rsidRDefault="00EC3E1D" w:rsidP="000D16B1">
            <w:pPr>
              <w:spacing w:line="360" w:lineRule="auto"/>
              <w:rPr>
                <w:rFonts w:cs="Arial"/>
              </w:rPr>
            </w:pPr>
            <w:r w:rsidRPr="000D16B1">
              <w:rPr>
                <w:rFonts w:cs="Arial"/>
              </w:rPr>
              <w:t>(102+523)/2 = 312.5</w:t>
            </w:r>
          </w:p>
        </w:tc>
      </w:tr>
      <w:tr w:rsidR="00EC3E1D" w:rsidRPr="000D16B1" w14:paraId="65E5AB1A" w14:textId="77777777" w:rsidTr="00A37334">
        <w:tc>
          <w:tcPr>
            <w:tcW w:w="1140" w:type="dxa"/>
            <w:tcMar>
              <w:top w:w="50" w:type="dxa"/>
              <w:left w:w="100" w:type="dxa"/>
              <w:bottom w:w="50" w:type="dxa"/>
              <w:right w:w="100" w:type="dxa"/>
            </w:tcMar>
          </w:tcPr>
          <w:p w14:paraId="105EC095" w14:textId="77777777" w:rsidR="00EC3E1D" w:rsidRPr="000D16B1" w:rsidRDefault="00EC3E1D" w:rsidP="000D16B1">
            <w:pPr>
              <w:spacing w:line="360" w:lineRule="auto"/>
              <w:rPr>
                <w:rFonts w:cs="Arial"/>
              </w:rPr>
            </w:pPr>
            <w:r w:rsidRPr="000D16B1">
              <w:rPr>
                <w:rFonts w:cs="Arial"/>
              </w:rPr>
              <w:t>2022</w:t>
            </w:r>
          </w:p>
        </w:tc>
        <w:tc>
          <w:tcPr>
            <w:tcW w:w="3100" w:type="dxa"/>
            <w:tcMar>
              <w:top w:w="50" w:type="dxa"/>
              <w:left w:w="100" w:type="dxa"/>
              <w:bottom w:w="50" w:type="dxa"/>
              <w:right w:w="100" w:type="dxa"/>
            </w:tcMar>
          </w:tcPr>
          <w:p w14:paraId="1E0ED9E4" w14:textId="77777777" w:rsidR="00EC3E1D" w:rsidRPr="000D16B1" w:rsidRDefault="00EC3E1D" w:rsidP="000D16B1">
            <w:pPr>
              <w:spacing w:line="360" w:lineRule="auto"/>
              <w:rPr>
                <w:rFonts w:cs="Arial"/>
              </w:rPr>
            </w:pPr>
            <w:r w:rsidRPr="000D16B1">
              <w:rPr>
                <w:rFonts w:cs="Arial"/>
              </w:rPr>
              <w:t>(10+9)/2 = 9.5</w:t>
            </w:r>
          </w:p>
        </w:tc>
        <w:tc>
          <w:tcPr>
            <w:tcW w:w="3100" w:type="dxa"/>
            <w:tcMar>
              <w:top w:w="50" w:type="dxa"/>
              <w:left w:w="100" w:type="dxa"/>
              <w:bottom w:w="50" w:type="dxa"/>
              <w:right w:w="100" w:type="dxa"/>
            </w:tcMar>
          </w:tcPr>
          <w:p w14:paraId="3AC9B76D" w14:textId="77777777" w:rsidR="00EC3E1D" w:rsidRPr="000D16B1" w:rsidRDefault="00EC3E1D" w:rsidP="000D16B1">
            <w:pPr>
              <w:spacing w:line="360" w:lineRule="auto"/>
              <w:rPr>
                <w:rFonts w:cs="Arial"/>
              </w:rPr>
            </w:pPr>
            <w:r w:rsidRPr="000D16B1">
              <w:rPr>
                <w:rFonts w:cs="Arial"/>
              </w:rPr>
              <w:t>(633+834)/2 = 733.5</w:t>
            </w:r>
          </w:p>
        </w:tc>
        <w:tc>
          <w:tcPr>
            <w:tcW w:w="3100" w:type="dxa"/>
            <w:tcMar>
              <w:top w:w="50" w:type="dxa"/>
              <w:left w:w="100" w:type="dxa"/>
              <w:bottom w:w="50" w:type="dxa"/>
              <w:right w:w="100" w:type="dxa"/>
            </w:tcMar>
          </w:tcPr>
          <w:p w14:paraId="678EA1E5" w14:textId="77777777" w:rsidR="00EC3E1D" w:rsidRPr="000D16B1" w:rsidRDefault="00EC3E1D" w:rsidP="000D16B1">
            <w:pPr>
              <w:spacing w:line="360" w:lineRule="auto"/>
              <w:rPr>
                <w:rFonts w:cs="Arial"/>
              </w:rPr>
            </w:pPr>
            <w:r w:rsidRPr="000D16B1">
              <w:rPr>
                <w:rFonts w:cs="Arial"/>
              </w:rPr>
              <w:t>(523+500)/2 = 511.5</w:t>
            </w:r>
          </w:p>
        </w:tc>
      </w:tr>
      <w:tr w:rsidR="00EC3E1D" w:rsidRPr="000D16B1" w14:paraId="302F1B94" w14:textId="77777777" w:rsidTr="00A37334">
        <w:tc>
          <w:tcPr>
            <w:tcW w:w="1140" w:type="dxa"/>
            <w:shd w:val="clear" w:color="auto" w:fill="F2F2F2"/>
            <w:tcMar>
              <w:top w:w="50" w:type="dxa"/>
              <w:left w:w="100" w:type="dxa"/>
              <w:bottom w:w="50" w:type="dxa"/>
              <w:right w:w="100" w:type="dxa"/>
            </w:tcMar>
          </w:tcPr>
          <w:p w14:paraId="36E1E747" w14:textId="77777777" w:rsidR="00EC3E1D" w:rsidRPr="000D16B1" w:rsidRDefault="00EC3E1D" w:rsidP="000D16B1">
            <w:pPr>
              <w:spacing w:line="360" w:lineRule="auto"/>
              <w:rPr>
                <w:rFonts w:cs="Arial"/>
              </w:rPr>
            </w:pPr>
            <w:r w:rsidRPr="000D16B1">
              <w:rPr>
                <w:rFonts w:cs="Arial"/>
              </w:rPr>
              <w:t>2023</w:t>
            </w:r>
          </w:p>
        </w:tc>
        <w:tc>
          <w:tcPr>
            <w:tcW w:w="3100" w:type="dxa"/>
            <w:shd w:val="clear" w:color="auto" w:fill="F2F2F2"/>
            <w:tcMar>
              <w:top w:w="50" w:type="dxa"/>
              <w:left w:w="100" w:type="dxa"/>
              <w:bottom w:w="50" w:type="dxa"/>
              <w:right w:w="100" w:type="dxa"/>
            </w:tcMar>
          </w:tcPr>
          <w:p w14:paraId="137258AD" w14:textId="77777777" w:rsidR="00EC3E1D" w:rsidRPr="000D16B1" w:rsidRDefault="00EC3E1D" w:rsidP="000D16B1">
            <w:pPr>
              <w:spacing w:line="360" w:lineRule="auto"/>
              <w:rPr>
                <w:rFonts w:cs="Arial"/>
              </w:rPr>
            </w:pPr>
            <w:r w:rsidRPr="000D16B1">
              <w:rPr>
                <w:rFonts w:cs="Arial"/>
              </w:rPr>
              <w:t>(9+9)/2 = 9.0</w:t>
            </w:r>
          </w:p>
        </w:tc>
        <w:tc>
          <w:tcPr>
            <w:tcW w:w="3100" w:type="dxa"/>
            <w:shd w:val="clear" w:color="auto" w:fill="F2F2F2"/>
            <w:tcMar>
              <w:top w:w="50" w:type="dxa"/>
              <w:left w:w="100" w:type="dxa"/>
              <w:bottom w:w="50" w:type="dxa"/>
              <w:right w:w="100" w:type="dxa"/>
            </w:tcMar>
          </w:tcPr>
          <w:p w14:paraId="24C09C12" w14:textId="77777777" w:rsidR="00EC3E1D" w:rsidRPr="000D16B1" w:rsidRDefault="00EC3E1D" w:rsidP="000D16B1">
            <w:pPr>
              <w:spacing w:line="360" w:lineRule="auto"/>
              <w:rPr>
                <w:rFonts w:cs="Arial"/>
              </w:rPr>
            </w:pPr>
            <w:r w:rsidRPr="000D16B1">
              <w:rPr>
                <w:rFonts w:cs="Arial"/>
              </w:rPr>
              <w:t>(834+883)/2 = 858.5</w:t>
            </w:r>
          </w:p>
        </w:tc>
        <w:tc>
          <w:tcPr>
            <w:tcW w:w="3100" w:type="dxa"/>
            <w:shd w:val="clear" w:color="auto" w:fill="F2F2F2"/>
            <w:tcMar>
              <w:top w:w="50" w:type="dxa"/>
              <w:left w:w="100" w:type="dxa"/>
              <w:bottom w:w="50" w:type="dxa"/>
              <w:right w:w="100" w:type="dxa"/>
            </w:tcMar>
          </w:tcPr>
          <w:p w14:paraId="0C30335D" w14:textId="77777777" w:rsidR="00EC3E1D" w:rsidRPr="000D16B1" w:rsidRDefault="00EC3E1D" w:rsidP="000D16B1">
            <w:pPr>
              <w:spacing w:line="360" w:lineRule="auto"/>
              <w:rPr>
                <w:rFonts w:cs="Arial"/>
              </w:rPr>
            </w:pPr>
            <w:r w:rsidRPr="000D16B1">
              <w:rPr>
                <w:rFonts w:cs="Arial"/>
              </w:rPr>
              <w:t>(500+493)/2 = 496.5</w:t>
            </w:r>
          </w:p>
        </w:tc>
      </w:tr>
      <w:tr w:rsidR="00EC3E1D" w:rsidRPr="000D16B1" w14:paraId="6A4E0F5E" w14:textId="77777777" w:rsidTr="00A37334">
        <w:tc>
          <w:tcPr>
            <w:tcW w:w="1140" w:type="dxa"/>
            <w:tcMar>
              <w:top w:w="50" w:type="dxa"/>
              <w:left w:w="100" w:type="dxa"/>
              <w:bottom w:w="50" w:type="dxa"/>
              <w:right w:w="100" w:type="dxa"/>
            </w:tcMar>
          </w:tcPr>
          <w:p w14:paraId="1A41B75D" w14:textId="77777777" w:rsidR="00EC3E1D" w:rsidRPr="000D16B1" w:rsidRDefault="00EC3E1D" w:rsidP="000D16B1">
            <w:pPr>
              <w:spacing w:line="360" w:lineRule="auto"/>
              <w:rPr>
                <w:rFonts w:cs="Arial"/>
              </w:rPr>
            </w:pPr>
            <w:r w:rsidRPr="000D16B1">
              <w:rPr>
                <w:rFonts w:cs="Arial"/>
              </w:rPr>
              <w:t>2024</w:t>
            </w:r>
          </w:p>
        </w:tc>
        <w:tc>
          <w:tcPr>
            <w:tcW w:w="3100" w:type="dxa"/>
            <w:tcMar>
              <w:top w:w="50" w:type="dxa"/>
              <w:left w:w="100" w:type="dxa"/>
              <w:bottom w:w="50" w:type="dxa"/>
              <w:right w:w="100" w:type="dxa"/>
            </w:tcMar>
          </w:tcPr>
          <w:p w14:paraId="66241FE8" w14:textId="77777777" w:rsidR="00EC3E1D" w:rsidRPr="000D16B1" w:rsidRDefault="00EC3E1D" w:rsidP="000D16B1">
            <w:pPr>
              <w:spacing w:line="360" w:lineRule="auto"/>
              <w:rPr>
                <w:rFonts w:cs="Arial"/>
              </w:rPr>
            </w:pPr>
            <w:r w:rsidRPr="000D16B1">
              <w:rPr>
                <w:rFonts w:cs="Arial"/>
              </w:rPr>
              <w:t>(9+8)/2 = 8.5</w:t>
            </w:r>
          </w:p>
        </w:tc>
        <w:tc>
          <w:tcPr>
            <w:tcW w:w="3100" w:type="dxa"/>
            <w:tcMar>
              <w:top w:w="50" w:type="dxa"/>
              <w:left w:w="100" w:type="dxa"/>
              <w:bottom w:w="50" w:type="dxa"/>
              <w:right w:w="100" w:type="dxa"/>
            </w:tcMar>
          </w:tcPr>
          <w:p w14:paraId="12E8FF2B" w14:textId="77777777" w:rsidR="00EC3E1D" w:rsidRPr="000D16B1" w:rsidRDefault="00EC3E1D" w:rsidP="000D16B1">
            <w:pPr>
              <w:spacing w:line="360" w:lineRule="auto"/>
              <w:rPr>
                <w:rFonts w:cs="Arial"/>
              </w:rPr>
            </w:pPr>
            <w:r w:rsidRPr="000D16B1">
              <w:rPr>
                <w:rFonts w:cs="Arial"/>
              </w:rPr>
              <w:t>(883+1,121)/2 = 1,002.0</w:t>
            </w:r>
          </w:p>
        </w:tc>
        <w:tc>
          <w:tcPr>
            <w:tcW w:w="3100" w:type="dxa"/>
            <w:tcMar>
              <w:top w:w="50" w:type="dxa"/>
              <w:left w:w="100" w:type="dxa"/>
              <w:bottom w:w="50" w:type="dxa"/>
              <w:right w:w="100" w:type="dxa"/>
            </w:tcMar>
          </w:tcPr>
          <w:p w14:paraId="0F91E014" w14:textId="77777777" w:rsidR="00EC3E1D" w:rsidRPr="000D16B1" w:rsidRDefault="00EC3E1D" w:rsidP="000D16B1">
            <w:pPr>
              <w:spacing w:line="360" w:lineRule="auto"/>
              <w:rPr>
                <w:rFonts w:cs="Arial"/>
              </w:rPr>
            </w:pPr>
            <w:r w:rsidRPr="000D16B1">
              <w:rPr>
                <w:rFonts w:cs="Arial"/>
              </w:rPr>
              <w:t>(493+475)/2 = 484.0</w:t>
            </w:r>
          </w:p>
        </w:tc>
      </w:tr>
    </w:tbl>
    <w:p w14:paraId="4FB07A84" w14:textId="77777777" w:rsidR="00EC3E1D" w:rsidRPr="000D16B1" w:rsidRDefault="00EC3E1D" w:rsidP="000D16B1">
      <w:pPr>
        <w:spacing w:before="200" w:line="360" w:lineRule="auto"/>
        <w:rPr>
          <w:rFonts w:cs="Arial"/>
        </w:rPr>
      </w:pPr>
    </w:p>
    <w:p w14:paraId="4058ECF9" w14:textId="77777777" w:rsidR="00EC3E1D" w:rsidRPr="000D16B1" w:rsidRDefault="00EC3E1D" w:rsidP="000D16B1">
      <w:pPr>
        <w:pStyle w:val="Heading2"/>
        <w:spacing w:line="360" w:lineRule="auto"/>
        <w:rPr>
          <w:rFonts w:cs="Arial"/>
        </w:rPr>
      </w:pPr>
      <w:bookmarkStart w:id="14" w:name="_Toc237455746"/>
      <w:r w:rsidRPr="000D16B1">
        <w:rPr>
          <w:rFonts w:cs="Arial"/>
        </w:rPr>
        <w:t>5. Workings — Step 2: days outstanding and CCC (primary method)</w:t>
      </w:r>
      <w:bookmarkEnd w:id="14"/>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34"/>
        <w:gridCol w:w="2486"/>
        <w:gridCol w:w="2493"/>
        <w:gridCol w:w="2489"/>
        <w:gridCol w:w="2238"/>
      </w:tblGrid>
      <w:tr w:rsidR="00EC3E1D" w:rsidRPr="000D16B1" w14:paraId="66AE7916" w14:textId="77777777" w:rsidTr="00A37334">
        <w:trPr>
          <w:tblHeader/>
        </w:trPr>
        <w:tc>
          <w:tcPr>
            <w:tcW w:w="700" w:type="dxa"/>
            <w:shd w:val="clear" w:color="auto" w:fill="1F4E79"/>
            <w:tcMar>
              <w:top w:w="60" w:type="dxa"/>
              <w:left w:w="100" w:type="dxa"/>
              <w:bottom w:w="60" w:type="dxa"/>
              <w:right w:w="100" w:type="dxa"/>
            </w:tcMar>
          </w:tcPr>
          <w:p w14:paraId="2E87F030" w14:textId="77777777" w:rsidR="00EC3E1D" w:rsidRPr="000D16B1" w:rsidRDefault="00EC3E1D" w:rsidP="000D16B1">
            <w:pPr>
              <w:spacing w:line="360" w:lineRule="auto"/>
              <w:jc w:val="center"/>
              <w:rPr>
                <w:rFonts w:cs="Arial"/>
              </w:rPr>
            </w:pPr>
            <w:r w:rsidRPr="000D16B1">
              <w:rPr>
                <w:rFonts w:cs="Arial"/>
                <w:b/>
                <w:bCs/>
                <w:color w:val="FFFFFF"/>
              </w:rPr>
              <w:lastRenderedPageBreak/>
              <w:t>Year</w:t>
            </w:r>
          </w:p>
        </w:tc>
        <w:tc>
          <w:tcPr>
            <w:tcW w:w="2500" w:type="dxa"/>
            <w:shd w:val="clear" w:color="auto" w:fill="1F4E79"/>
            <w:tcMar>
              <w:top w:w="60" w:type="dxa"/>
              <w:left w:w="100" w:type="dxa"/>
              <w:bottom w:w="60" w:type="dxa"/>
              <w:right w:w="100" w:type="dxa"/>
            </w:tcMar>
          </w:tcPr>
          <w:p w14:paraId="30163236" w14:textId="77777777" w:rsidR="00EC3E1D" w:rsidRPr="000D16B1" w:rsidRDefault="00EC3E1D" w:rsidP="000D16B1">
            <w:pPr>
              <w:spacing w:line="360" w:lineRule="auto"/>
              <w:jc w:val="center"/>
              <w:rPr>
                <w:rFonts w:cs="Arial"/>
              </w:rPr>
            </w:pPr>
            <w:r w:rsidRPr="000D16B1">
              <w:rPr>
                <w:rFonts w:cs="Arial"/>
                <w:b/>
                <w:bCs/>
                <w:color w:val="FFFFFF"/>
              </w:rPr>
              <w:t>Inventory Days (</w:t>
            </w:r>
            <w:proofErr w:type="spellStart"/>
            <w:r w:rsidRPr="000D16B1">
              <w:rPr>
                <w:rFonts w:cs="Arial"/>
                <w:b/>
                <w:bCs/>
                <w:color w:val="FFFFFF"/>
              </w:rPr>
              <w:t>Avg</w:t>
            </w:r>
            <w:proofErr w:type="spellEnd"/>
            <w:r w:rsidRPr="000D16B1">
              <w:rPr>
                <w:rFonts w:cs="Arial"/>
                <w:b/>
                <w:bCs/>
                <w:color w:val="FFFFFF"/>
              </w:rPr>
              <w:t xml:space="preserve"> </w:t>
            </w:r>
            <w:proofErr w:type="spellStart"/>
            <w:r w:rsidRPr="000D16B1">
              <w:rPr>
                <w:rFonts w:cs="Arial"/>
                <w:b/>
                <w:bCs/>
                <w:color w:val="FFFFFF"/>
              </w:rPr>
              <w:t>Inv</w:t>
            </w:r>
            <w:proofErr w:type="spellEnd"/>
            <w:r w:rsidRPr="000D16B1">
              <w:rPr>
                <w:rFonts w:cs="Arial"/>
                <w:b/>
                <w:bCs/>
                <w:color w:val="FFFFFF"/>
              </w:rPr>
              <w:t xml:space="preserve"> / Exp × 365)</w:t>
            </w:r>
          </w:p>
        </w:tc>
        <w:tc>
          <w:tcPr>
            <w:tcW w:w="2500" w:type="dxa"/>
            <w:shd w:val="clear" w:color="auto" w:fill="1F4E79"/>
            <w:tcMar>
              <w:top w:w="60" w:type="dxa"/>
              <w:left w:w="100" w:type="dxa"/>
              <w:bottom w:w="60" w:type="dxa"/>
              <w:right w:w="100" w:type="dxa"/>
            </w:tcMar>
          </w:tcPr>
          <w:p w14:paraId="5E91141D" w14:textId="77777777" w:rsidR="00EC3E1D" w:rsidRPr="000D16B1" w:rsidRDefault="00EC3E1D" w:rsidP="000D16B1">
            <w:pPr>
              <w:spacing w:line="360" w:lineRule="auto"/>
              <w:jc w:val="center"/>
              <w:rPr>
                <w:rFonts w:cs="Arial"/>
              </w:rPr>
            </w:pPr>
            <w:r w:rsidRPr="000D16B1">
              <w:rPr>
                <w:rFonts w:cs="Arial"/>
                <w:b/>
                <w:bCs/>
                <w:color w:val="FFFFFF"/>
              </w:rPr>
              <w:t>Receivable Days (</w:t>
            </w:r>
            <w:proofErr w:type="spellStart"/>
            <w:r w:rsidRPr="000D16B1">
              <w:rPr>
                <w:rFonts w:cs="Arial"/>
                <w:b/>
                <w:bCs/>
                <w:color w:val="FFFFFF"/>
              </w:rPr>
              <w:t>Avg</w:t>
            </w:r>
            <w:proofErr w:type="spellEnd"/>
            <w:r w:rsidRPr="000D16B1">
              <w:rPr>
                <w:rFonts w:cs="Arial"/>
                <w:b/>
                <w:bCs/>
                <w:color w:val="FFFFFF"/>
              </w:rPr>
              <w:t xml:space="preserve"> </w:t>
            </w:r>
            <w:proofErr w:type="spellStart"/>
            <w:r w:rsidRPr="000D16B1">
              <w:rPr>
                <w:rFonts w:cs="Arial"/>
                <w:b/>
                <w:bCs/>
                <w:color w:val="FFFFFF"/>
              </w:rPr>
              <w:t>Recv</w:t>
            </w:r>
            <w:proofErr w:type="spellEnd"/>
            <w:r w:rsidRPr="000D16B1">
              <w:rPr>
                <w:rFonts w:cs="Arial"/>
                <w:b/>
                <w:bCs/>
                <w:color w:val="FFFFFF"/>
              </w:rPr>
              <w:t xml:space="preserve"> / Rev × 365)</w:t>
            </w:r>
          </w:p>
        </w:tc>
        <w:tc>
          <w:tcPr>
            <w:tcW w:w="2500" w:type="dxa"/>
            <w:shd w:val="clear" w:color="auto" w:fill="1F4E79"/>
            <w:tcMar>
              <w:top w:w="60" w:type="dxa"/>
              <w:left w:w="100" w:type="dxa"/>
              <w:bottom w:w="60" w:type="dxa"/>
              <w:right w:w="100" w:type="dxa"/>
            </w:tcMar>
          </w:tcPr>
          <w:p w14:paraId="7EBD75D9" w14:textId="77777777" w:rsidR="00EC3E1D" w:rsidRPr="000D16B1" w:rsidRDefault="00EC3E1D" w:rsidP="000D16B1">
            <w:pPr>
              <w:spacing w:line="360" w:lineRule="auto"/>
              <w:jc w:val="center"/>
              <w:rPr>
                <w:rFonts w:cs="Arial"/>
              </w:rPr>
            </w:pPr>
            <w:r w:rsidRPr="000D16B1">
              <w:rPr>
                <w:rFonts w:cs="Arial"/>
                <w:b/>
                <w:bCs/>
                <w:color w:val="FFFFFF"/>
              </w:rPr>
              <w:t>Payable Days (</w:t>
            </w:r>
            <w:proofErr w:type="spellStart"/>
            <w:r w:rsidRPr="000D16B1">
              <w:rPr>
                <w:rFonts w:cs="Arial"/>
                <w:b/>
                <w:bCs/>
                <w:color w:val="FFFFFF"/>
              </w:rPr>
              <w:t>Avg</w:t>
            </w:r>
            <w:proofErr w:type="spellEnd"/>
            <w:r w:rsidRPr="000D16B1">
              <w:rPr>
                <w:rFonts w:cs="Arial"/>
                <w:b/>
                <w:bCs/>
                <w:color w:val="FFFFFF"/>
              </w:rPr>
              <w:t xml:space="preserve"> AP / Exp × 365)</w:t>
            </w:r>
          </w:p>
        </w:tc>
        <w:tc>
          <w:tcPr>
            <w:tcW w:w="2240" w:type="dxa"/>
            <w:shd w:val="clear" w:color="auto" w:fill="1F4E79"/>
            <w:tcMar>
              <w:top w:w="60" w:type="dxa"/>
              <w:left w:w="100" w:type="dxa"/>
              <w:bottom w:w="60" w:type="dxa"/>
              <w:right w:w="100" w:type="dxa"/>
            </w:tcMar>
          </w:tcPr>
          <w:p w14:paraId="455EF374" w14:textId="77777777" w:rsidR="00EC3E1D" w:rsidRPr="000D16B1" w:rsidRDefault="00EC3E1D" w:rsidP="000D16B1">
            <w:pPr>
              <w:spacing w:line="360" w:lineRule="auto"/>
              <w:jc w:val="center"/>
              <w:rPr>
                <w:rFonts w:cs="Arial"/>
              </w:rPr>
            </w:pPr>
            <w:r w:rsidRPr="000D16B1">
              <w:rPr>
                <w:rFonts w:cs="Arial"/>
                <w:b/>
                <w:bCs/>
                <w:color w:val="FFFFFF"/>
              </w:rPr>
              <w:t xml:space="preserve">CCC = </w:t>
            </w:r>
            <w:proofErr w:type="spellStart"/>
            <w:r w:rsidRPr="000D16B1">
              <w:rPr>
                <w:rFonts w:cs="Arial"/>
                <w:b/>
                <w:bCs/>
                <w:color w:val="FFFFFF"/>
              </w:rPr>
              <w:t>Inv+Recv−Pay</w:t>
            </w:r>
            <w:proofErr w:type="spellEnd"/>
            <w:r w:rsidRPr="000D16B1">
              <w:rPr>
                <w:rFonts w:cs="Arial"/>
                <w:b/>
                <w:bCs/>
                <w:color w:val="FFFFFF"/>
              </w:rPr>
              <w:t xml:space="preserve"> (days)</w:t>
            </w:r>
          </w:p>
        </w:tc>
      </w:tr>
      <w:tr w:rsidR="00EC3E1D" w:rsidRPr="000D16B1" w14:paraId="16FDAE5F" w14:textId="77777777" w:rsidTr="00A37334">
        <w:tc>
          <w:tcPr>
            <w:tcW w:w="700" w:type="dxa"/>
            <w:tcMar>
              <w:top w:w="50" w:type="dxa"/>
              <w:left w:w="100" w:type="dxa"/>
              <w:bottom w:w="50" w:type="dxa"/>
              <w:right w:w="100" w:type="dxa"/>
            </w:tcMar>
          </w:tcPr>
          <w:p w14:paraId="4E6839ED" w14:textId="77777777" w:rsidR="00EC3E1D" w:rsidRPr="000D16B1" w:rsidRDefault="00EC3E1D" w:rsidP="000D16B1">
            <w:pPr>
              <w:spacing w:line="360" w:lineRule="auto"/>
              <w:rPr>
                <w:rFonts w:cs="Arial"/>
              </w:rPr>
            </w:pPr>
            <w:r w:rsidRPr="000D16B1">
              <w:rPr>
                <w:rFonts w:cs="Arial"/>
              </w:rPr>
              <w:t>2020</w:t>
            </w:r>
          </w:p>
        </w:tc>
        <w:tc>
          <w:tcPr>
            <w:tcW w:w="2500" w:type="dxa"/>
            <w:tcMar>
              <w:top w:w="50" w:type="dxa"/>
              <w:left w:w="100" w:type="dxa"/>
              <w:bottom w:w="50" w:type="dxa"/>
              <w:right w:w="100" w:type="dxa"/>
            </w:tcMar>
          </w:tcPr>
          <w:p w14:paraId="0F831962" w14:textId="77777777" w:rsidR="00EC3E1D" w:rsidRPr="000D16B1" w:rsidRDefault="00EC3E1D" w:rsidP="000D16B1">
            <w:pPr>
              <w:spacing w:line="360" w:lineRule="auto"/>
              <w:jc w:val="center"/>
              <w:rPr>
                <w:rFonts w:cs="Arial"/>
              </w:rPr>
            </w:pPr>
            <w:r w:rsidRPr="000D16B1">
              <w:rPr>
                <w:rFonts w:cs="Arial"/>
              </w:rPr>
              <w:t>10.5/2,698×365 = 1.42</w:t>
            </w:r>
          </w:p>
        </w:tc>
        <w:tc>
          <w:tcPr>
            <w:tcW w:w="2500" w:type="dxa"/>
            <w:tcMar>
              <w:top w:w="50" w:type="dxa"/>
              <w:left w:w="100" w:type="dxa"/>
              <w:bottom w:w="50" w:type="dxa"/>
              <w:right w:w="100" w:type="dxa"/>
            </w:tcMar>
          </w:tcPr>
          <w:p w14:paraId="337187BD" w14:textId="77777777" w:rsidR="00EC3E1D" w:rsidRPr="000D16B1" w:rsidRDefault="00EC3E1D" w:rsidP="000D16B1">
            <w:pPr>
              <w:spacing w:line="360" w:lineRule="auto"/>
              <w:jc w:val="center"/>
              <w:rPr>
                <w:rFonts w:cs="Arial"/>
              </w:rPr>
            </w:pPr>
            <w:r w:rsidRPr="000D16B1">
              <w:rPr>
                <w:rFonts w:cs="Arial"/>
              </w:rPr>
              <w:t>368.5/2,066×365 = 65.10</w:t>
            </w:r>
          </w:p>
        </w:tc>
        <w:tc>
          <w:tcPr>
            <w:tcW w:w="2500" w:type="dxa"/>
            <w:tcMar>
              <w:top w:w="50" w:type="dxa"/>
              <w:left w:w="100" w:type="dxa"/>
              <w:bottom w:w="50" w:type="dxa"/>
              <w:right w:w="100" w:type="dxa"/>
            </w:tcMar>
          </w:tcPr>
          <w:p w14:paraId="25712DE9" w14:textId="77777777" w:rsidR="00EC3E1D" w:rsidRPr="000D16B1" w:rsidRDefault="00EC3E1D" w:rsidP="000D16B1">
            <w:pPr>
              <w:spacing w:line="360" w:lineRule="auto"/>
              <w:jc w:val="center"/>
              <w:rPr>
                <w:rFonts w:cs="Arial"/>
              </w:rPr>
            </w:pPr>
            <w:r w:rsidRPr="000D16B1">
              <w:rPr>
                <w:rFonts w:cs="Arial"/>
              </w:rPr>
              <w:t>126.0/2,698×365 = 17.05</w:t>
            </w:r>
          </w:p>
        </w:tc>
        <w:tc>
          <w:tcPr>
            <w:tcW w:w="2240" w:type="dxa"/>
            <w:tcMar>
              <w:top w:w="50" w:type="dxa"/>
              <w:left w:w="100" w:type="dxa"/>
              <w:bottom w:w="50" w:type="dxa"/>
              <w:right w:w="100" w:type="dxa"/>
            </w:tcMar>
          </w:tcPr>
          <w:p w14:paraId="01FB0BBB" w14:textId="77777777" w:rsidR="00EC3E1D" w:rsidRPr="000D16B1" w:rsidRDefault="00EC3E1D" w:rsidP="000D16B1">
            <w:pPr>
              <w:spacing w:line="360" w:lineRule="auto"/>
              <w:jc w:val="center"/>
              <w:rPr>
                <w:rFonts w:cs="Arial"/>
              </w:rPr>
            </w:pPr>
            <w:r w:rsidRPr="000D16B1">
              <w:rPr>
                <w:rFonts w:cs="Arial"/>
                <w:b/>
                <w:bCs/>
              </w:rPr>
              <w:t>1.42+65.10−17.05 = 49.5</w:t>
            </w:r>
          </w:p>
        </w:tc>
      </w:tr>
      <w:tr w:rsidR="00EC3E1D" w:rsidRPr="000D16B1" w14:paraId="11020C16" w14:textId="77777777" w:rsidTr="00A37334">
        <w:tc>
          <w:tcPr>
            <w:tcW w:w="700" w:type="dxa"/>
            <w:shd w:val="clear" w:color="auto" w:fill="FFF2CC"/>
            <w:tcMar>
              <w:top w:w="50" w:type="dxa"/>
              <w:left w:w="100" w:type="dxa"/>
              <w:bottom w:w="50" w:type="dxa"/>
              <w:right w:w="100" w:type="dxa"/>
            </w:tcMar>
          </w:tcPr>
          <w:p w14:paraId="1D173727" w14:textId="77777777" w:rsidR="00EC3E1D" w:rsidRPr="000D16B1" w:rsidRDefault="00EC3E1D" w:rsidP="000D16B1">
            <w:pPr>
              <w:spacing w:line="360" w:lineRule="auto"/>
              <w:rPr>
                <w:rFonts w:cs="Arial"/>
              </w:rPr>
            </w:pPr>
            <w:r w:rsidRPr="000D16B1">
              <w:rPr>
                <w:rFonts w:cs="Arial"/>
              </w:rPr>
              <w:t>2021</w:t>
            </w:r>
          </w:p>
        </w:tc>
        <w:tc>
          <w:tcPr>
            <w:tcW w:w="2500" w:type="dxa"/>
            <w:shd w:val="clear" w:color="auto" w:fill="FFF2CC"/>
            <w:tcMar>
              <w:top w:w="50" w:type="dxa"/>
              <w:left w:w="100" w:type="dxa"/>
              <w:bottom w:w="50" w:type="dxa"/>
              <w:right w:w="100" w:type="dxa"/>
            </w:tcMar>
          </w:tcPr>
          <w:p w14:paraId="1EAB85F9" w14:textId="77777777" w:rsidR="00EC3E1D" w:rsidRPr="000D16B1" w:rsidRDefault="00EC3E1D" w:rsidP="000D16B1">
            <w:pPr>
              <w:spacing w:line="360" w:lineRule="auto"/>
              <w:jc w:val="center"/>
              <w:rPr>
                <w:rFonts w:cs="Arial"/>
              </w:rPr>
            </w:pPr>
            <w:r w:rsidRPr="000D16B1">
              <w:rPr>
                <w:rFonts w:cs="Arial"/>
              </w:rPr>
              <w:t>9.5/3,279×365 = 1.06</w:t>
            </w:r>
          </w:p>
        </w:tc>
        <w:tc>
          <w:tcPr>
            <w:tcW w:w="2500" w:type="dxa"/>
            <w:shd w:val="clear" w:color="auto" w:fill="FFF2CC"/>
            <w:tcMar>
              <w:top w:w="50" w:type="dxa"/>
              <w:left w:w="100" w:type="dxa"/>
              <w:bottom w:w="50" w:type="dxa"/>
              <w:right w:w="100" w:type="dxa"/>
            </w:tcMar>
          </w:tcPr>
          <w:p w14:paraId="353F5AC7" w14:textId="77777777" w:rsidR="00EC3E1D" w:rsidRPr="000D16B1" w:rsidRDefault="00EC3E1D" w:rsidP="000D16B1">
            <w:pPr>
              <w:spacing w:line="360" w:lineRule="auto"/>
              <w:jc w:val="center"/>
              <w:rPr>
                <w:rFonts w:cs="Arial"/>
              </w:rPr>
            </w:pPr>
            <w:r w:rsidRPr="000D16B1">
              <w:rPr>
                <w:rFonts w:cs="Arial"/>
              </w:rPr>
              <w:t>474.5/3,028×365 = 57.20</w:t>
            </w:r>
          </w:p>
        </w:tc>
        <w:tc>
          <w:tcPr>
            <w:tcW w:w="2500" w:type="dxa"/>
            <w:shd w:val="clear" w:color="auto" w:fill="FFF2CC"/>
            <w:tcMar>
              <w:top w:w="50" w:type="dxa"/>
              <w:left w:w="100" w:type="dxa"/>
              <w:bottom w:w="50" w:type="dxa"/>
              <w:right w:w="100" w:type="dxa"/>
            </w:tcMar>
          </w:tcPr>
          <w:p w14:paraId="5A8A5C68" w14:textId="77777777" w:rsidR="00EC3E1D" w:rsidRPr="000D16B1" w:rsidRDefault="00EC3E1D" w:rsidP="000D16B1">
            <w:pPr>
              <w:spacing w:line="360" w:lineRule="auto"/>
              <w:jc w:val="center"/>
              <w:rPr>
                <w:rFonts w:cs="Arial"/>
              </w:rPr>
            </w:pPr>
            <w:r w:rsidRPr="000D16B1">
              <w:rPr>
                <w:rFonts w:cs="Arial"/>
              </w:rPr>
              <w:t>312.5/3,279×365 = 34.79</w:t>
            </w:r>
          </w:p>
        </w:tc>
        <w:tc>
          <w:tcPr>
            <w:tcW w:w="2240" w:type="dxa"/>
            <w:shd w:val="clear" w:color="auto" w:fill="FFF2CC"/>
            <w:tcMar>
              <w:top w:w="50" w:type="dxa"/>
              <w:left w:w="100" w:type="dxa"/>
              <w:bottom w:w="50" w:type="dxa"/>
              <w:right w:w="100" w:type="dxa"/>
            </w:tcMar>
          </w:tcPr>
          <w:p w14:paraId="0907F300" w14:textId="77777777" w:rsidR="00EC3E1D" w:rsidRPr="000D16B1" w:rsidRDefault="00EC3E1D" w:rsidP="000D16B1">
            <w:pPr>
              <w:spacing w:line="360" w:lineRule="auto"/>
              <w:jc w:val="center"/>
              <w:rPr>
                <w:rFonts w:cs="Arial"/>
              </w:rPr>
            </w:pPr>
            <w:r w:rsidRPr="000D16B1">
              <w:rPr>
                <w:rFonts w:cs="Arial"/>
                <w:b/>
                <w:bCs/>
              </w:rPr>
              <w:t>1.06+57.20−34.79 = 23.5</w:t>
            </w:r>
          </w:p>
        </w:tc>
      </w:tr>
      <w:tr w:rsidR="00EC3E1D" w:rsidRPr="000D16B1" w14:paraId="45F60275" w14:textId="77777777" w:rsidTr="00A37334">
        <w:tc>
          <w:tcPr>
            <w:tcW w:w="700" w:type="dxa"/>
            <w:tcMar>
              <w:top w:w="50" w:type="dxa"/>
              <w:left w:w="100" w:type="dxa"/>
              <w:bottom w:w="50" w:type="dxa"/>
              <w:right w:w="100" w:type="dxa"/>
            </w:tcMar>
          </w:tcPr>
          <w:p w14:paraId="16966D9A" w14:textId="77777777" w:rsidR="00EC3E1D" w:rsidRPr="000D16B1" w:rsidRDefault="00EC3E1D" w:rsidP="000D16B1">
            <w:pPr>
              <w:spacing w:line="360" w:lineRule="auto"/>
              <w:rPr>
                <w:rFonts w:cs="Arial"/>
              </w:rPr>
            </w:pPr>
            <w:r w:rsidRPr="000D16B1">
              <w:rPr>
                <w:rFonts w:cs="Arial"/>
              </w:rPr>
              <w:t>2022</w:t>
            </w:r>
          </w:p>
        </w:tc>
        <w:tc>
          <w:tcPr>
            <w:tcW w:w="2500" w:type="dxa"/>
            <w:tcMar>
              <w:top w:w="50" w:type="dxa"/>
              <w:left w:w="100" w:type="dxa"/>
              <w:bottom w:w="50" w:type="dxa"/>
              <w:right w:w="100" w:type="dxa"/>
            </w:tcMar>
          </w:tcPr>
          <w:p w14:paraId="23F77CF9" w14:textId="77777777" w:rsidR="00EC3E1D" w:rsidRPr="000D16B1" w:rsidRDefault="00EC3E1D" w:rsidP="000D16B1">
            <w:pPr>
              <w:spacing w:line="360" w:lineRule="auto"/>
              <w:jc w:val="center"/>
              <w:rPr>
                <w:rFonts w:cs="Arial"/>
              </w:rPr>
            </w:pPr>
            <w:r w:rsidRPr="000D16B1">
              <w:rPr>
                <w:rFonts w:cs="Arial"/>
              </w:rPr>
              <w:t>9.5/5,493×365 = 0.63</w:t>
            </w:r>
          </w:p>
        </w:tc>
        <w:tc>
          <w:tcPr>
            <w:tcW w:w="2500" w:type="dxa"/>
            <w:tcMar>
              <w:top w:w="50" w:type="dxa"/>
              <w:left w:w="100" w:type="dxa"/>
              <w:bottom w:w="50" w:type="dxa"/>
              <w:right w:w="100" w:type="dxa"/>
            </w:tcMar>
          </w:tcPr>
          <w:p w14:paraId="68820FA2" w14:textId="77777777" w:rsidR="00EC3E1D" w:rsidRPr="000D16B1" w:rsidRDefault="00EC3E1D" w:rsidP="000D16B1">
            <w:pPr>
              <w:spacing w:line="360" w:lineRule="auto"/>
              <w:jc w:val="center"/>
              <w:rPr>
                <w:rFonts w:cs="Arial"/>
              </w:rPr>
            </w:pPr>
            <w:r w:rsidRPr="000D16B1">
              <w:rPr>
                <w:rFonts w:cs="Arial"/>
              </w:rPr>
              <w:t>733.5/5,891×365 = 45.45</w:t>
            </w:r>
          </w:p>
        </w:tc>
        <w:tc>
          <w:tcPr>
            <w:tcW w:w="2500" w:type="dxa"/>
            <w:tcMar>
              <w:top w:w="50" w:type="dxa"/>
              <w:left w:w="100" w:type="dxa"/>
              <w:bottom w:w="50" w:type="dxa"/>
              <w:right w:w="100" w:type="dxa"/>
            </w:tcMar>
          </w:tcPr>
          <w:p w14:paraId="609E9603" w14:textId="77777777" w:rsidR="00EC3E1D" w:rsidRPr="000D16B1" w:rsidRDefault="00EC3E1D" w:rsidP="000D16B1">
            <w:pPr>
              <w:spacing w:line="360" w:lineRule="auto"/>
              <w:jc w:val="center"/>
              <w:rPr>
                <w:rFonts w:cs="Arial"/>
              </w:rPr>
            </w:pPr>
            <w:r w:rsidRPr="000D16B1">
              <w:rPr>
                <w:rFonts w:cs="Arial"/>
              </w:rPr>
              <w:t>511.5/5,493×365 = 33.99</w:t>
            </w:r>
          </w:p>
        </w:tc>
        <w:tc>
          <w:tcPr>
            <w:tcW w:w="2240" w:type="dxa"/>
            <w:tcMar>
              <w:top w:w="50" w:type="dxa"/>
              <w:left w:w="100" w:type="dxa"/>
              <w:bottom w:w="50" w:type="dxa"/>
              <w:right w:w="100" w:type="dxa"/>
            </w:tcMar>
          </w:tcPr>
          <w:p w14:paraId="3EEDDAF7" w14:textId="77777777" w:rsidR="00EC3E1D" w:rsidRPr="000D16B1" w:rsidRDefault="00EC3E1D" w:rsidP="000D16B1">
            <w:pPr>
              <w:spacing w:line="360" w:lineRule="auto"/>
              <w:jc w:val="center"/>
              <w:rPr>
                <w:rFonts w:cs="Arial"/>
              </w:rPr>
            </w:pPr>
            <w:r w:rsidRPr="000D16B1">
              <w:rPr>
                <w:rFonts w:cs="Arial"/>
                <w:b/>
                <w:bCs/>
              </w:rPr>
              <w:t>0.63+45.45−33.99 = 12.1</w:t>
            </w:r>
          </w:p>
        </w:tc>
      </w:tr>
      <w:tr w:rsidR="00EC3E1D" w:rsidRPr="000D16B1" w14:paraId="3C9E4AC5" w14:textId="77777777" w:rsidTr="00A37334">
        <w:tc>
          <w:tcPr>
            <w:tcW w:w="700" w:type="dxa"/>
            <w:shd w:val="clear" w:color="auto" w:fill="FFF2CC"/>
            <w:tcMar>
              <w:top w:w="50" w:type="dxa"/>
              <w:left w:w="100" w:type="dxa"/>
              <w:bottom w:w="50" w:type="dxa"/>
              <w:right w:w="100" w:type="dxa"/>
            </w:tcMar>
          </w:tcPr>
          <w:p w14:paraId="09C91C59" w14:textId="77777777" w:rsidR="00EC3E1D" w:rsidRPr="000D16B1" w:rsidRDefault="00EC3E1D" w:rsidP="000D16B1">
            <w:pPr>
              <w:spacing w:line="360" w:lineRule="auto"/>
              <w:rPr>
                <w:rFonts w:cs="Arial"/>
              </w:rPr>
            </w:pPr>
            <w:r w:rsidRPr="000D16B1">
              <w:rPr>
                <w:rFonts w:cs="Arial"/>
              </w:rPr>
              <w:t>2023</w:t>
            </w:r>
          </w:p>
        </w:tc>
        <w:tc>
          <w:tcPr>
            <w:tcW w:w="2500" w:type="dxa"/>
            <w:shd w:val="clear" w:color="auto" w:fill="FFF2CC"/>
            <w:tcMar>
              <w:top w:w="50" w:type="dxa"/>
              <w:left w:w="100" w:type="dxa"/>
              <w:bottom w:w="50" w:type="dxa"/>
              <w:right w:w="100" w:type="dxa"/>
            </w:tcMar>
          </w:tcPr>
          <w:p w14:paraId="03512DA5" w14:textId="77777777" w:rsidR="00EC3E1D" w:rsidRPr="000D16B1" w:rsidRDefault="00EC3E1D" w:rsidP="000D16B1">
            <w:pPr>
              <w:spacing w:line="360" w:lineRule="auto"/>
              <w:jc w:val="center"/>
              <w:rPr>
                <w:rFonts w:cs="Arial"/>
              </w:rPr>
            </w:pPr>
            <w:r w:rsidRPr="000D16B1">
              <w:rPr>
                <w:rFonts w:cs="Arial"/>
              </w:rPr>
              <w:t>9.0/6,362×365 = 0.52</w:t>
            </w:r>
          </w:p>
        </w:tc>
        <w:tc>
          <w:tcPr>
            <w:tcW w:w="2500" w:type="dxa"/>
            <w:shd w:val="clear" w:color="auto" w:fill="FFF2CC"/>
            <w:tcMar>
              <w:top w:w="50" w:type="dxa"/>
              <w:left w:w="100" w:type="dxa"/>
              <w:bottom w:w="50" w:type="dxa"/>
              <w:right w:w="100" w:type="dxa"/>
            </w:tcMar>
          </w:tcPr>
          <w:p w14:paraId="5C50C5F7" w14:textId="77777777" w:rsidR="00EC3E1D" w:rsidRPr="000D16B1" w:rsidRDefault="00EC3E1D" w:rsidP="000D16B1">
            <w:pPr>
              <w:spacing w:line="360" w:lineRule="auto"/>
              <w:jc w:val="center"/>
              <w:rPr>
                <w:rFonts w:cs="Arial"/>
              </w:rPr>
            </w:pPr>
            <w:r w:rsidRPr="000D16B1">
              <w:rPr>
                <w:rFonts w:cs="Arial"/>
              </w:rPr>
              <w:t>858.5/6,667×365 = 47.00</w:t>
            </w:r>
          </w:p>
        </w:tc>
        <w:tc>
          <w:tcPr>
            <w:tcW w:w="2500" w:type="dxa"/>
            <w:shd w:val="clear" w:color="auto" w:fill="FFF2CC"/>
            <w:tcMar>
              <w:top w:w="50" w:type="dxa"/>
              <w:left w:w="100" w:type="dxa"/>
              <w:bottom w:w="50" w:type="dxa"/>
              <w:right w:w="100" w:type="dxa"/>
            </w:tcMar>
          </w:tcPr>
          <w:p w14:paraId="21C78953" w14:textId="77777777" w:rsidR="00EC3E1D" w:rsidRPr="000D16B1" w:rsidRDefault="00EC3E1D" w:rsidP="000D16B1">
            <w:pPr>
              <w:spacing w:line="360" w:lineRule="auto"/>
              <w:jc w:val="center"/>
              <w:rPr>
                <w:rFonts w:cs="Arial"/>
              </w:rPr>
            </w:pPr>
            <w:r w:rsidRPr="000D16B1">
              <w:rPr>
                <w:rFonts w:cs="Arial"/>
              </w:rPr>
              <w:t>496.5/6,362×365 = 28.49</w:t>
            </w:r>
          </w:p>
        </w:tc>
        <w:tc>
          <w:tcPr>
            <w:tcW w:w="2240" w:type="dxa"/>
            <w:shd w:val="clear" w:color="auto" w:fill="FFF2CC"/>
            <w:tcMar>
              <w:top w:w="50" w:type="dxa"/>
              <w:left w:w="100" w:type="dxa"/>
              <w:bottom w:w="50" w:type="dxa"/>
              <w:right w:w="100" w:type="dxa"/>
            </w:tcMar>
          </w:tcPr>
          <w:p w14:paraId="7EEBF18B" w14:textId="77777777" w:rsidR="00EC3E1D" w:rsidRPr="000D16B1" w:rsidRDefault="00EC3E1D" w:rsidP="000D16B1">
            <w:pPr>
              <w:spacing w:line="360" w:lineRule="auto"/>
              <w:jc w:val="center"/>
              <w:rPr>
                <w:rFonts w:cs="Arial"/>
              </w:rPr>
            </w:pPr>
            <w:r w:rsidRPr="000D16B1">
              <w:rPr>
                <w:rFonts w:cs="Arial"/>
                <w:b/>
                <w:bCs/>
              </w:rPr>
              <w:t>0.52+47.00−28.49 = 19.0</w:t>
            </w:r>
          </w:p>
        </w:tc>
      </w:tr>
      <w:tr w:rsidR="00EC3E1D" w:rsidRPr="000D16B1" w14:paraId="448A0042" w14:textId="77777777" w:rsidTr="00A37334">
        <w:tc>
          <w:tcPr>
            <w:tcW w:w="700" w:type="dxa"/>
            <w:tcMar>
              <w:top w:w="50" w:type="dxa"/>
              <w:left w:w="100" w:type="dxa"/>
              <w:bottom w:w="50" w:type="dxa"/>
              <w:right w:w="100" w:type="dxa"/>
            </w:tcMar>
          </w:tcPr>
          <w:p w14:paraId="1FA7495A" w14:textId="77777777" w:rsidR="00EC3E1D" w:rsidRPr="000D16B1" w:rsidRDefault="00EC3E1D" w:rsidP="000D16B1">
            <w:pPr>
              <w:spacing w:line="360" w:lineRule="auto"/>
              <w:rPr>
                <w:rFonts w:cs="Arial"/>
              </w:rPr>
            </w:pPr>
            <w:r w:rsidRPr="000D16B1">
              <w:rPr>
                <w:rFonts w:cs="Arial"/>
              </w:rPr>
              <w:t>2024</w:t>
            </w:r>
          </w:p>
        </w:tc>
        <w:tc>
          <w:tcPr>
            <w:tcW w:w="2500" w:type="dxa"/>
            <w:tcMar>
              <w:top w:w="50" w:type="dxa"/>
              <w:left w:w="100" w:type="dxa"/>
              <w:bottom w:w="50" w:type="dxa"/>
              <w:right w:w="100" w:type="dxa"/>
            </w:tcMar>
          </w:tcPr>
          <w:p w14:paraId="6FB5B6BE" w14:textId="77777777" w:rsidR="00EC3E1D" w:rsidRPr="000D16B1" w:rsidRDefault="00EC3E1D" w:rsidP="000D16B1">
            <w:pPr>
              <w:spacing w:line="360" w:lineRule="auto"/>
              <w:jc w:val="center"/>
              <w:rPr>
                <w:rFonts w:cs="Arial"/>
              </w:rPr>
            </w:pPr>
            <w:r w:rsidRPr="000D16B1">
              <w:rPr>
                <w:rFonts w:cs="Arial"/>
              </w:rPr>
              <w:t>8.5/6,274×365 = 0.49</w:t>
            </w:r>
          </w:p>
        </w:tc>
        <w:tc>
          <w:tcPr>
            <w:tcW w:w="2500" w:type="dxa"/>
            <w:tcMar>
              <w:top w:w="50" w:type="dxa"/>
              <w:left w:w="100" w:type="dxa"/>
              <w:bottom w:w="50" w:type="dxa"/>
              <w:right w:w="100" w:type="dxa"/>
            </w:tcMar>
          </w:tcPr>
          <w:p w14:paraId="293087F1" w14:textId="77777777" w:rsidR="00EC3E1D" w:rsidRPr="000D16B1" w:rsidRDefault="00EC3E1D" w:rsidP="000D16B1">
            <w:pPr>
              <w:spacing w:line="360" w:lineRule="auto"/>
              <w:jc w:val="center"/>
              <w:rPr>
                <w:rFonts w:cs="Arial"/>
              </w:rPr>
            </w:pPr>
            <w:r w:rsidRPr="000D16B1">
              <w:rPr>
                <w:rFonts w:cs="Arial"/>
              </w:rPr>
              <w:t>1,002.0/6,648×365 = 55.01</w:t>
            </w:r>
          </w:p>
        </w:tc>
        <w:tc>
          <w:tcPr>
            <w:tcW w:w="2500" w:type="dxa"/>
            <w:tcMar>
              <w:top w:w="50" w:type="dxa"/>
              <w:left w:w="100" w:type="dxa"/>
              <w:bottom w:w="50" w:type="dxa"/>
              <w:right w:w="100" w:type="dxa"/>
            </w:tcMar>
          </w:tcPr>
          <w:p w14:paraId="45DBF833" w14:textId="77777777" w:rsidR="00EC3E1D" w:rsidRPr="000D16B1" w:rsidRDefault="00EC3E1D" w:rsidP="000D16B1">
            <w:pPr>
              <w:spacing w:line="360" w:lineRule="auto"/>
              <w:jc w:val="center"/>
              <w:rPr>
                <w:rFonts w:cs="Arial"/>
              </w:rPr>
            </w:pPr>
            <w:r w:rsidRPr="000D16B1">
              <w:rPr>
                <w:rFonts w:cs="Arial"/>
              </w:rPr>
              <w:t>484.0/6,274×365 = 28.16</w:t>
            </w:r>
          </w:p>
        </w:tc>
        <w:tc>
          <w:tcPr>
            <w:tcW w:w="2240" w:type="dxa"/>
            <w:tcMar>
              <w:top w:w="50" w:type="dxa"/>
              <w:left w:w="100" w:type="dxa"/>
              <w:bottom w:w="50" w:type="dxa"/>
              <w:right w:w="100" w:type="dxa"/>
            </w:tcMar>
          </w:tcPr>
          <w:p w14:paraId="22CD9997" w14:textId="77777777" w:rsidR="00EC3E1D" w:rsidRPr="000D16B1" w:rsidRDefault="00EC3E1D" w:rsidP="000D16B1">
            <w:pPr>
              <w:spacing w:line="360" w:lineRule="auto"/>
              <w:jc w:val="center"/>
              <w:rPr>
                <w:rFonts w:cs="Arial"/>
              </w:rPr>
            </w:pPr>
            <w:r w:rsidRPr="000D16B1">
              <w:rPr>
                <w:rFonts w:cs="Arial"/>
                <w:b/>
                <w:bCs/>
              </w:rPr>
              <w:t>0.49+55.01−28.16 = 27.4</w:t>
            </w:r>
          </w:p>
        </w:tc>
      </w:tr>
    </w:tbl>
    <w:p w14:paraId="7D38CBF9" w14:textId="77777777" w:rsidR="00EC3E1D" w:rsidRPr="000D16B1" w:rsidRDefault="00EC3E1D" w:rsidP="000D16B1">
      <w:pPr>
        <w:pStyle w:val="Heading1"/>
        <w:spacing w:line="360" w:lineRule="auto"/>
        <w:rPr>
          <w:rFonts w:cs="Arial"/>
        </w:rPr>
      </w:pPr>
      <w:bookmarkStart w:id="15" w:name="_Toc237455747"/>
      <w:r w:rsidRPr="000D16B1">
        <w:rPr>
          <w:rFonts w:cs="Arial"/>
        </w:rPr>
        <w:t>6. Double-check — alternative calculation using year-end balances only</w:t>
      </w:r>
      <w:bookmarkEnd w:id="15"/>
    </w:p>
    <w:p w14:paraId="06F61429" w14:textId="1AAEA8B5" w:rsidR="00EC3E1D" w:rsidRPr="000D16B1" w:rsidRDefault="00C76AF3" w:rsidP="000D16B1">
      <w:pPr>
        <w:spacing w:line="360" w:lineRule="auto"/>
        <w:rPr>
          <w:rFonts w:cs="Arial"/>
        </w:rPr>
      </w:pPr>
      <w:r w:rsidRPr="00C76AF3">
        <w:rPr>
          <w:rFonts w:cs="Arial"/>
        </w:rPr>
        <w:t>The CCC was re-calculated using the year-end (closing) balance for each component rather than the average for the year, as a check. This is a commonly used, simpler alternative not based on the previous year's year-end balance but is more sensitive to year-end balance-sheet timing</w:t>
      </w:r>
      <w:r w:rsidR="00EC3E1D" w:rsidRPr="000D16B1">
        <w:rPr>
          <w:rFonts w:cs="Arial"/>
        </w:rPr>
        <w:t>.</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34"/>
        <w:gridCol w:w="1696"/>
        <w:gridCol w:w="1698"/>
        <w:gridCol w:w="1695"/>
        <w:gridCol w:w="1693"/>
        <w:gridCol w:w="2924"/>
      </w:tblGrid>
      <w:tr w:rsidR="00EC3E1D" w:rsidRPr="000D16B1" w14:paraId="5335FBD0" w14:textId="77777777" w:rsidTr="00C76AF3">
        <w:trPr>
          <w:tblHeader/>
        </w:trPr>
        <w:tc>
          <w:tcPr>
            <w:tcW w:w="734" w:type="dxa"/>
            <w:shd w:val="clear" w:color="auto" w:fill="1F4E79"/>
            <w:tcMar>
              <w:top w:w="60" w:type="dxa"/>
              <w:left w:w="100" w:type="dxa"/>
              <w:bottom w:w="60" w:type="dxa"/>
              <w:right w:w="100" w:type="dxa"/>
            </w:tcMar>
          </w:tcPr>
          <w:p w14:paraId="29701062" w14:textId="77777777" w:rsidR="00EC3E1D" w:rsidRPr="000D16B1" w:rsidRDefault="00EC3E1D" w:rsidP="000D16B1">
            <w:pPr>
              <w:spacing w:line="360" w:lineRule="auto"/>
              <w:rPr>
                <w:rFonts w:cs="Arial"/>
              </w:rPr>
            </w:pPr>
            <w:r w:rsidRPr="000D16B1">
              <w:rPr>
                <w:rFonts w:cs="Arial"/>
                <w:b/>
                <w:bCs/>
                <w:color w:val="FFFFFF"/>
              </w:rPr>
              <w:t>Year</w:t>
            </w:r>
          </w:p>
        </w:tc>
        <w:tc>
          <w:tcPr>
            <w:tcW w:w="1696" w:type="dxa"/>
            <w:shd w:val="clear" w:color="auto" w:fill="1F4E79"/>
            <w:tcMar>
              <w:top w:w="60" w:type="dxa"/>
              <w:left w:w="100" w:type="dxa"/>
              <w:bottom w:w="60" w:type="dxa"/>
              <w:right w:w="100" w:type="dxa"/>
            </w:tcMar>
          </w:tcPr>
          <w:p w14:paraId="4B314EE0" w14:textId="77777777" w:rsidR="00EC3E1D" w:rsidRPr="000D16B1" w:rsidRDefault="00EC3E1D" w:rsidP="000D16B1">
            <w:pPr>
              <w:spacing w:line="360" w:lineRule="auto"/>
              <w:rPr>
                <w:rFonts w:cs="Arial"/>
              </w:rPr>
            </w:pPr>
            <w:r w:rsidRPr="000D16B1">
              <w:rPr>
                <w:rFonts w:cs="Arial"/>
                <w:b/>
                <w:bCs/>
                <w:color w:val="FFFFFF"/>
              </w:rPr>
              <w:t>Inventory Days</w:t>
            </w:r>
          </w:p>
        </w:tc>
        <w:tc>
          <w:tcPr>
            <w:tcW w:w="1698" w:type="dxa"/>
            <w:shd w:val="clear" w:color="auto" w:fill="1F4E79"/>
            <w:tcMar>
              <w:top w:w="60" w:type="dxa"/>
              <w:left w:w="100" w:type="dxa"/>
              <w:bottom w:w="60" w:type="dxa"/>
              <w:right w:w="100" w:type="dxa"/>
            </w:tcMar>
          </w:tcPr>
          <w:p w14:paraId="3DABC7F5" w14:textId="77777777" w:rsidR="00EC3E1D" w:rsidRPr="000D16B1" w:rsidRDefault="00EC3E1D" w:rsidP="000D16B1">
            <w:pPr>
              <w:spacing w:line="360" w:lineRule="auto"/>
              <w:rPr>
                <w:rFonts w:cs="Arial"/>
              </w:rPr>
            </w:pPr>
            <w:r w:rsidRPr="000D16B1">
              <w:rPr>
                <w:rFonts w:cs="Arial"/>
                <w:b/>
                <w:bCs/>
                <w:color w:val="FFFFFF"/>
              </w:rPr>
              <w:t>Receivable Days</w:t>
            </w:r>
          </w:p>
        </w:tc>
        <w:tc>
          <w:tcPr>
            <w:tcW w:w="1695" w:type="dxa"/>
            <w:shd w:val="clear" w:color="auto" w:fill="1F4E79"/>
            <w:tcMar>
              <w:top w:w="60" w:type="dxa"/>
              <w:left w:w="100" w:type="dxa"/>
              <w:bottom w:w="60" w:type="dxa"/>
              <w:right w:w="100" w:type="dxa"/>
            </w:tcMar>
          </w:tcPr>
          <w:p w14:paraId="0222E104" w14:textId="77777777" w:rsidR="00EC3E1D" w:rsidRPr="000D16B1" w:rsidRDefault="00EC3E1D" w:rsidP="000D16B1">
            <w:pPr>
              <w:spacing w:line="360" w:lineRule="auto"/>
              <w:rPr>
                <w:rFonts w:cs="Arial"/>
              </w:rPr>
            </w:pPr>
            <w:r w:rsidRPr="000D16B1">
              <w:rPr>
                <w:rFonts w:cs="Arial"/>
                <w:b/>
                <w:bCs/>
                <w:color w:val="FFFFFF"/>
              </w:rPr>
              <w:t>Payable Days</w:t>
            </w:r>
          </w:p>
        </w:tc>
        <w:tc>
          <w:tcPr>
            <w:tcW w:w="1693" w:type="dxa"/>
            <w:shd w:val="clear" w:color="auto" w:fill="1F4E79"/>
            <w:tcMar>
              <w:top w:w="60" w:type="dxa"/>
              <w:left w:w="100" w:type="dxa"/>
              <w:bottom w:w="60" w:type="dxa"/>
              <w:right w:w="100" w:type="dxa"/>
            </w:tcMar>
          </w:tcPr>
          <w:p w14:paraId="0F1F1638" w14:textId="77777777" w:rsidR="00EC3E1D" w:rsidRPr="000D16B1" w:rsidRDefault="00EC3E1D" w:rsidP="000D16B1">
            <w:pPr>
              <w:spacing w:line="360" w:lineRule="auto"/>
              <w:rPr>
                <w:rFonts w:cs="Arial"/>
              </w:rPr>
            </w:pPr>
            <w:r w:rsidRPr="000D16B1">
              <w:rPr>
                <w:rFonts w:cs="Arial"/>
                <w:b/>
                <w:bCs/>
                <w:color w:val="FFFFFF"/>
              </w:rPr>
              <w:t>CCC (days)</w:t>
            </w:r>
          </w:p>
        </w:tc>
        <w:tc>
          <w:tcPr>
            <w:tcW w:w="2924" w:type="dxa"/>
            <w:shd w:val="clear" w:color="auto" w:fill="1F4E79"/>
            <w:tcMar>
              <w:top w:w="60" w:type="dxa"/>
              <w:left w:w="100" w:type="dxa"/>
              <w:bottom w:w="60" w:type="dxa"/>
              <w:right w:w="100" w:type="dxa"/>
            </w:tcMar>
          </w:tcPr>
          <w:p w14:paraId="36A42BED" w14:textId="77777777" w:rsidR="00EC3E1D" w:rsidRPr="000D16B1" w:rsidRDefault="00EC3E1D" w:rsidP="000D16B1">
            <w:pPr>
              <w:spacing w:line="360" w:lineRule="auto"/>
              <w:rPr>
                <w:rFonts w:cs="Arial"/>
              </w:rPr>
            </w:pPr>
            <w:r w:rsidRPr="000D16B1">
              <w:rPr>
                <w:rFonts w:cs="Arial"/>
                <w:b/>
                <w:bCs/>
                <w:color w:val="FFFFFF"/>
              </w:rPr>
              <w:t>Variance vs. average-balance CCC</w:t>
            </w:r>
          </w:p>
        </w:tc>
      </w:tr>
      <w:tr w:rsidR="00EC3E1D" w:rsidRPr="000D16B1" w14:paraId="5BCD2B73" w14:textId="77777777" w:rsidTr="00C76AF3">
        <w:tc>
          <w:tcPr>
            <w:tcW w:w="734" w:type="dxa"/>
            <w:tcMar>
              <w:top w:w="50" w:type="dxa"/>
              <w:left w:w="100" w:type="dxa"/>
              <w:bottom w:w="50" w:type="dxa"/>
              <w:right w:w="100" w:type="dxa"/>
            </w:tcMar>
          </w:tcPr>
          <w:p w14:paraId="590A36CC" w14:textId="77777777" w:rsidR="00EC3E1D" w:rsidRPr="000D16B1" w:rsidRDefault="00EC3E1D" w:rsidP="000D16B1">
            <w:pPr>
              <w:spacing w:line="360" w:lineRule="auto"/>
              <w:rPr>
                <w:rFonts w:cs="Arial"/>
              </w:rPr>
            </w:pPr>
            <w:r w:rsidRPr="000D16B1">
              <w:rPr>
                <w:rFonts w:cs="Arial"/>
              </w:rPr>
              <w:t>2020</w:t>
            </w:r>
          </w:p>
        </w:tc>
        <w:tc>
          <w:tcPr>
            <w:tcW w:w="1696" w:type="dxa"/>
            <w:tcMar>
              <w:top w:w="50" w:type="dxa"/>
              <w:left w:w="100" w:type="dxa"/>
              <w:bottom w:w="50" w:type="dxa"/>
              <w:right w:w="100" w:type="dxa"/>
            </w:tcMar>
          </w:tcPr>
          <w:p w14:paraId="77E520F3" w14:textId="77777777" w:rsidR="00EC3E1D" w:rsidRPr="000D16B1" w:rsidRDefault="00EC3E1D" w:rsidP="000D16B1">
            <w:pPr>
              <w:spacing w:line="360" w:lineRule="auto"/>
              <w:rPr>
                <w:rFonts w:cs="Arial"/>
              </w:rPr>
            </w:pPr>
            <w:r w:rsidRPr="000D16B1">
              <w:rPr>
                <w:rFonts w:cs="Arial"/>
              </w:rPr>
              <w:t>1.22</w:t>
            </w:r>
          </w:p>
        </w:tc>
        <w:tc>
          <w:tcPr>
            <w:tcW w:w="1698" w:type="dxa"/>
            <w:tcMar>
              <w:top w:w="50" w:type="dxa"/>
              <w:left w:w="100" w:type="dxa"/>
              <w:bottom w:w="50" w:type="dxa"/>
              <w:right w:w="100" w:type="dxa"/>
            </w:tcMar>
          </w:tcPr>
          <w:p w14:paraId="2C2DF93F" w14:textId="77777777" w:rsidR="00EC3E1D" w:rsidRPr="000D16B1" w:rsidRDefault="00EC3E1D" w:rsidP="000D16B1">
            <w:pPr>
              <w:spacing w:line="360" w:lineRule="auto"/>
              <w:rPr>
                <w:rFonts w:cs="Arial"/>
              </w:rPr>
            </w:pPr>
            <w:r w:rsidRPr="000D16B1">
              <w:rPr>
                <w:rFonts w:cs="Arial"/>
              </w:rPr>
              <w:t>55.83</w:t>
            </w:r>
          </w:p>
        </w:tc>
        <w:tc>
          <w:tcPr>
            <w:tcW w:w="1695" w:type="dxa"/>
            <w:tcMar>
              <w:top w:w="50" w:type="dxa"/>
              <w:left w:w="100" w:type="dxa"/>
              <w:bottom w:w="50" w:type="dxa"/>
              <w:right w:w="100" w:type="dxa"/>
            </w:tcMar>
          </w:tcPr>
          <w:p w14:paraId="7ABFC02C" w14:textId="77777777" w:rsidR="00EC3E1D" w:rsidRPr="000D16B1" w:rsidRDefault="00EC3E1D" w:rsidP="000D16B1">
            <w:pPr>
              <w:spacing w:line="360" w:lineRule="auto"/>
              <w:rPr>
                <w:rFonts w:cs="Arial"/>
              </w:rPr>
            </w:pPr>
            <w:r w:rsidRPr="000D16B1">
              <w:rPr>
                <w:rFonts w:cs="Arial"/>
              </w:rPr>
              <w:t>13.80</w:t>
            </w:r>
          </w:p>
        </w:tc>
        <w:tc>
          <w:tcPr>
            <w:tcW w:w="1693" w:type="dxa"/>
            <w:tcMar>
              <w:top w:w="50" w:type="dxa"/>
              <w:left w:w="100" w:type="dxa"/>
              <w:bottom w:w="50" w:type="dxa"/>
              <w:right w:w="100" w:type="dxa"/>
            </w:tcMar>
          </w:tcPr>
          <w:p w14:paraId="293C5378" w14:textId="77777777" w:rsidR="00EC3E1D" w:rsidRPr="000D16B1" w:rsidRDefault="00EC3E1D" w:rsidP="000D16B1">
            <w:pPr>
              <w:spacing w:line="360" w:lineRule="auto"/>
              <w:rPr>
                <w:rFonts w:cs="Arial"/>
              </w:rPr>
            </w:pPr>
            <w:r w:rsidRPr="000D16B1">
              <w:rPr>
                <w:rFonts w:cs="Arial"/>
              </w:rPr>
              <w:t>43.2</w:t>
            </w:r>
          </w:p>
        </w:tc>
        <w:tc>
          <w:tcPr>
            <w:tcW w:w="2924" w:type="dxa"/>
            <w:tcMar>
              <w:top w:w="50" w:type="dxa"/>
              <w:left w:w="100" w:type="dxa"/>
              <w:bottom w:w="50" w:type="dxa"/>
              <w:right w:w="100" w:type="dxa"/>
            </w:tcMar>
          </w:tcPr>
          <w:p w14:paraId="0A5AE343" w14:textId="77777777" w:rsidR="00EC3E1D" w:rsidRPr="000D16B1" w:rsidRDefault="00EC3E1D" w:rsidP="000D16B1">
            <w:pPr>
              <w:spacing w:line="360" w:lineRule="auto"/>
              <w:rPr>
                <w:rFonts w:cs="Arial"/>
              </w:rPr>
            </w:pPr>
            <w:r w:rsidRPr="000D16B1">
              <w:rPr>
                <w:rFonts w:cs="Arial"/>
              </w:rPr>
              <w:t>−6.2</w:t>
            </w:r>
          </w:p>
        </w:tc>
      </w:tr>
      <w:tr w:rsidR="00EC3E1D" w:rsidRPr="000D16B1" w14:paraId="6FEA9DA9" w14:textId="77777777" w:rsidTr="00C76AF3">
        <w:tc>
          <w:tcPr>
            <w:tcW w:w="734" w:type="dxa"/>
            <w:shd w:val="clear" w:color="auto" w:fill="F2F2F2"/>
            <w:tcMar>
              <w:top w:w="50" w:type="dxa"/>
              <w:left w:w="100" w:type="dxa"/>
              <w:bottom w:w="50" w:type="dxa"/>
              <w:right w:w="100" w:type="dxa"/>
            </w:tcMar>
          </w:tcPr>
          <w:p w14:paraId="6908B7C3" w14:textId="77777777" w:rsidR="00EC3E1D" w:rsidRPr="000D16B1" w:rsidRDefault="00EC3E1D" w:rsidP="000D16B1">
            <w:pPr>
              <w:spacing w:line="360" w:lineRule="auto"/>
              <w:rPr>
                <w:rFonts w:cs="Arial"/>
              </w:rPr>
            </w:pPr>
            <w:r w:rsidRPr="000D16B1">
              <w:rPr>
                <w:rFonts w:cs="Arial"/>
              </w:rPr>
              <w:t>2021</w:t>
            </w:r>
          </w:p>
        </w:tc>
        <w:tc>
          <w:tcPr>
            <w:tcW w:w="1696" w:type="dxa"/>
            <w:shd w:val="clear" w:color="auto" w:fill="F2F2F2"/>
            <w:tcMar>
              <w:top w:w="50" w:type="dxa"/>
              <w:left w:w="100" w:type="dxa"/>
              <w:bottom w:w="50" w:type="dxa"/>
              <w:right w:w="100" w:type="dxa"/>
            </w:tcMar>
          </w:tcPr>
          <w:p w14:paraId="0E7E9DA4" w14:textId="77777777" w:rsidR="00EC3E1D" w:rsidRPr="000D16B1" w:rsidRDefault="00EC3E1D" w:rsidP="000D16B1">
            <w:pPr>
              <w:spacing w:line="360" w:lineRule="auto"/>
              <w:rPr>
                <w:rFonts w:cs="Arial"/>
              </w:rPr>
            </w:pPr>
            <w:r w:rsidRPr="000D16B1">
              <w:rPr>
                <w:rFonts w:cs="Arial"/>
              </w:rPr>
              <w:t>1.11</w:t>
            </w:r>
          </w:p>
        </w:tc>
        <w:tc>
          <w:tcPr>
            <w:tcW w:w="1698" w:type="dxa"/>
            <w:shd w:val="clear" w:color="auto" w:fill="F2F2F2"/>
            <w:tcMar>
              <w:top w:w="50" w:type="dxa"/>
              <w:left w:w="100" w:type="dxa"/>
              <w:bottom w:w="50" w:type="dxa"/>
              <w:right w:w="100" w:type="dxa"/>
            </w:tcMar>
          </w:tcPr>
          <w:p w14:paraId="2A726257" w14:textId="77777777" w:rsidR="00EC3E1D" w:rsidRPr="000D16B1" w:rsidRDefault="00EC3E1D" w:rsidP="000D16B1">
            <w:pPr>
              <w:spacing w:line="360" w:lineRule="auto"/>
              <w:rPr>
                <w:rFonts w:cs="Arial"/>
              </w:rPr>
            </w:pPr>
            <w:r w:rsidRPr="000D16B1">
              <w:rPr>
                <w:rFonts w:cs="Arial"/>
              </w:rPr>
              <w:t>76.30</w:t>
            </w:r>
          </w:p>
        </w:tc>
        <w:tc>
          <w:tcPr>
            <w:tcW w:w="1695" w:type="dxa"/>
            <w:shd w:val="clear" w:color="auto" w:fill="F2F2F2"/>
            <w:tcMar>
              <w:top w:w="50" w:type="dxa"/>
              <w:left w:w="100" w:type="dxa"/>
              <w:bottom w:w="50" w:type="dxa"/>
              <w:right w:w="100" w:type="dxa"/>
            </w:tcMar>
          </w:tcPr>
          <w:p w14:paraId="01335B35" w14:textId="77777777" w:rsidR="00EC3E1D" w:rsidRPr="000D16B1" w:rsidRDefault="00EC3E1D" w:rsidP="000D16B1">
            <w:pPr>
              <w:spacing w:line="360" w:lineRule="auto"/>
              <w:rPr>
                <w:rFonts w:cs="Arial"/>
              </w:rPr>
            </w:pPr>
            <w:r w:rsidRPr="000D16B1">
              <w:rPr>
                <w:rFonts w:cs="Arial"/>
              </w:rPr>
              <w:t>58.22</w:t>
            </w:r>
          </w:p>
        </w:tc>
        <w:tc>
          <w:tcPr>
            <w:tcW w:w="1693" w:type="dxa"/>
            <w:shd w:val="clear" w:color="auto" w:fill="F2F2F2"/>
            <w:tcMar>
              <w:top w:w="50" w:type="dxa"/>
              <w:left w:w="100" w:type="dxa"/>
              <w:bottom w:w="50" w:type="dxa"/>
              <w:right w:w="100" w:type="dxa"/>
            </w:tcMar>
          </w:tcPr>
          <w:p w14:paraId="2A3EAB31" w14:textId="77777777" w:rsidR="00EC3E1D" w:rsidRPr="000D16B1" w:rsidRDefault="00EC3E1D" w:rsidP="000D16B1">
            <w:pPr>
              <w:spacing w:line="360" w:lineRule="auto"/>
              <w:rPr>
                <w:rFonts w:cs="Arial"/>
              </w:rPr>
            </w:pPr>
            <w:r w:rsidRPr="000D16B1">
              <w:rPr>
                <w:rFonts w:cs="Arial"/>
              </w:rPr>
              <w:t>19.2</w:t>
            </w:r>
          </w:p>
        </w:tc>
        <w:tc>
          <w:tcPr>
            <w:tcW w:w="2924" w:type="dxa"/>
            <w:shd w:val="clear" w:color="auto" w:fill="F2F2F2"/>
            <w:tcMar>
              <w:top w:w="50" w:type="dxa"/>
              <w:left w:w="100" w:type="dxa"/>
              <w:bottom w:w="50" w:type="dxa"/>
              <w:right w:w="100" w:type="dxa"/>
            </w:tcMar>
          </w:tcPr>
          <w:p w14:paraId="413A2D5A" w14:textId="77777777" w:rsidR="00EC3E1D" w:rsidRPr="000D16B1" w:rsidRDefault="00EC3E1D" w:rsidP="000D16B1">
            <w:pPr>
              <w:spacing w:line="360" w:lineRule="auto"/>
              <w:rPr>
                <w:rFonts w:cs="Arial"/>
              </w:rPr>
            </w:pPr>
            <w:r w:rsidRPr="000D16B1">
              <w:rPr>
                <w:rFonts w:cs="Arial"/>
              </w:rPr>
              <w:t>−4.3</w:t>
            </w:r>
          </w:p>
        </w:tc>
      </w:tr>
      <w:tr w:rsidR="00EC3E1D" w:rsidRPr="000D16B1" w14:paraId="4A182660" w14:textId="77777777" w:rsidTr="00C76AF3">
        <w:tc>
          <w:tcPr>
            <w:tcW w:w="734" w:type="dxa"/>
            <w:tcMar>
              <w:top w:w="50" w:type="dxa"/>
              <w:left w:w="100" w:type="dxa"/>
              <w:bottom w:w="50" w:type="dxa"/>
              <w:right w:w="100" w:type="dxa"/>
            </w:tcMar>
          </w:tcPr>
          <w:p w14:paraId="16AF5B53" w14:textId="77777777" w:rsidR="00EC3E1D" w:rsidRPr="000D16B1" w:rsidRDefault="00EC3E1D" w:rsidP="000D16B1">
            <w:pPr>
              <w:spacing w:line="360" w:lineRule="auto"/>
              <w:rPr>
                <w:rFonts w:cs="Arial"/>
              </w:rPr>
            </w:pPr>
            <w:r w:rsidRPr="000D16B1">
              <w:rPr>
                <w:rFonts w:cs="Arial"/>
              </w:rPr>
              <w:t>2022</w:t>
            </w:r>
          </w:p>
        </w:tc>
        <w:tc>
          <w:tcPr>
            <w:tcW w:w="1696" w:type="dxa"/>
            <w:tcMar>
              <w:top w:w="50" w:type="dxa"/>
              <w:left w:w="100" w:type="dxa"/>
              <w:bottom w:w="50" w:type="dxa"/>
              <w:right w:w="100" w:type="dxa"/>
            </w:tcMar>
          </w:tcPr>
          <w:p w14:paraId="604F4D9A" w14:textId="77777777" w:rsidR="00EC3E1D" w:rsidRPr="000D16B1" w:rsidRDefault="00EC3E1D" w:rsidP="000D16B1">
            <w:pPr>
              <w:spacing w:line="360" w:lineRule="auto"/>
              <w:rPr>
                <w:rFonts w:cs="Arial"/>
              </w:rPr>
            </w:pPr>
            <w:r w:rsidRPr="000D16B1">
              <w:rPr>
                <w:rFonts w:cs="Arial"/>
              </w:rPr>
              <w:t>0.60</w:t>
            </w:r>
          </w:p>
        </w:tc>
        <w:tc>
          <w:tcPr>
            <w:tcW w:w="1698" w:type="dxa"/>
            <w:tcMar>
              <w:top w:w="50" w:type="dxa"/>
              <w:left w:w="100" w:type="dxa"/>
              <w:bottom w:w="50" w:type="dxa"/>
              <w:right w:w="100" w:type="dxa"/>
            </w:tcMar>
          </w:tcPr>
          <w:p w14:paraId="5D60ED9A" w14:textId="77777777" w:rsidR="00EC3E1D" w:rsidRPr="000D16B1" w:rsidRDefault="00EC3E1D" w:rsidP="000D16B1">
            <w:pPr>
              <w:spacing w:line="360" w:lineRule="auto"/>
              <w:rPr>
                <w:rFonts w:cs="Arial"/>
              </w:rPr>
            </w:pPr>
            <w:r w:rsidRPr="000D16B1">
              <w:rPr>
                <w:rFonts w:cs="Arial"/>
              </w:rPr>
              <w:t>51.67</w:t>
            </w:r>
          </w:p>
        </w:tc>
        <w:tc>
          <w:tcPr>
            <w:tcW w:w="1695" w:type="dxa"/>
            <w:tcMar>
              <w:top w:w="50" w:type="dxa"/>
              <w:left w:w="100" w:type="dxa"/>
              <w:bottom w:w="50" w:type="dxa"/>
              <w:right w:w="100" w:type="dxa"/>
            </w:tcMar>
          </w:tcPr>
          <w:p w14:paraId="6A8812EC" w14:textId="77777777" w:rsidR="00EC3E1D" w:rsidRPr="000D16B1" w:rsidRDefault="00EC3E1D" w:rsidP="000D16B1">
            <w:pPr>
              <w:spacing w:line="360" w:lineRule="auto"/>
              <w:rPr>
                <w:rFonts w:cs="Arial"/>
              </w:rPr>
            </w:pPr>
            <w:r w:rsidRPr="000D16B1">
              <w:rPr>
                <w:rFonts w:cs="Arial"/>
              </w:rPr>
              <w:t>33.22</w:t>
            </w:r>
          </w:p>
        </w:tc>
        <w:tc>
          <w:tcPr>
            <w:tcW w:w="1693" w:type="dxa"/>
            <w:tcMar>
              <w:top w:w="50" w:type="dxa"/>
              <w:left w:w="100" w:type="dxa"/>
              <w:bottom w:w="50" w:type="dxa"/>
              <w:right w:w="100" w:type="dxa"/>
            </w:tcMar>
          </w:tcPr>
          <w:p w14:paraId="014AC9BF" w14:textId="77777777" w:rsidR="00EC3E1D" w:rsidRPr="000D16B1" w:rsidRDefault="00EC3E1D" w:rsidP="000D16B1">
            <w:pPr>
              <w:spacing w:line="360" w:lineRule="auto"/>
              <w:rPr>
                <w:rFonts w:cs="Arial"/>
              </w:rPr>
            </w:pPr>
            <w:r w:rsidRPr="000D16B1">
              <w:rPr>
                <w:rFonts w:cs="Arial"/>
              </w:rPr>
              <w:t>19.0</w:t>
            </w:r>
          </w:p>
        </w:tc>
        <w:tc>
          <w:tcPr>
            <w:tcW w:w="2924" w:type="dxa"/>
            <w:tcMar>
              <w:top w:w="50" w:type="dxa"/>
              <w:left w:w="100" w:type="dxa"/>
              <w:bottom w:w="50" w:type="dxa"/>
              <w:right w:w="100" w:type="dxa"/>
            </w:tcMar>
          </w:tcPr>
          <w:p w14:paraId="2D2A47FB" w14:textId="77777777" w:rsidR="00EC3E1D" w:rsidRPr="000D16B1" w:rsidRDefault="00EC3E1D" w:rsidP="000D16B1">
            <w:pPr>
              <w:spacing w:line="360" w:lineRule="auto"/>
              <w:rPr>
                <w:rFonts w:cs="Arial"/>
              </w:rPr>
            </w:pPr>
            <w:r w:rsidRPr="000D16B1">
              <w:rPr>
                <w:rFonts w:cs="Arial"/>
              </w:rPr>
              <w:t>+6.9</w:t>
            </w:r>
          </w:p>
        </w:tc>
      </w:tr>
      <w:tr w:rsidR="00EC3E1D" w:rsidRPr="000D16B1" w14:paraId="22D98A70" w14:textId="77777777" w:rsidTr="00C76AF3">
        <w:tc>
          <w:tcPr>
            <w:tcW w:w="734" w:type="dxa"/>
            <w:shd w:val="clear" w:color="auto" w:fill="F2F2F2"/>
            <w:tcMar>
              <w:top w:w="50" w:type="dxa"/>
              <w:left w:w="100" w:type="dxa"/>
              <w:bottom w:w="50" w:type="dxa"/>
              <w:right w:w="100" w:type="dxa"/>
            </w:tcMar>
          </w:tcPr>
          <w:p w14:paraId="1B850D14" w14:textId="77777777" w:rsidR="00EC3E1D" w:rsidRPr="000D16B1" w:rsidRDefault="00EC3E1D" w:rsidP="000D16B1">
            <w:pPr>
              <w:spacing w:line="360" w:lineRule="auto"/>
              <w:rPr>
                <w:rFonts w:cs="Arial"/>
              </w:rPr>
            </w:pPr>
            <w:r w:rsidRPr="000D16B1">
              <w:rPr>
                <w:rFonts w:cs="Arial"/>
              </w:rPr>
              <w:t>2023</w:t>
            </w:r>
          </w:p>
        </w:tc>
        <w:tc>
          <w:tcPr>
            <w:tcW w:w="1696" w:type="dxa"/>
            <w:shd w:val="clear" w:color="auto" w:fill="F2F2F2"/>
            <w:tcMar>
              <w:top w:w="50" w:type="dxa"/>
              <w:left w:w="100" w:type="dxa"/>
              <w:bottom w:w="50" w:type="dxa"/>
              <w:right w:w="100" w:type="dxa"/>
            </w:tcMar>
          </w:tcPr>
          <w:p w14:paraId="5A536C1D" w14:textId="77777777" w:rsidR="00EC3E1D" w:rsidRPr="000D16B1" w:rsidRDefault="00EC3E1D" w:rsidP="000D16B1">
            <w:pPr>
              <w:spacing w:line="360" w:lineRule="auto"/>
              <w:rPr>
                <w:rFonts w:cs="Arial"/>
              </w:rPr>
            </w:pPr>
            <w:r w:rsidRPr="000D16B1">
              <w:rPr>
                <w:rFonts w:cs="Arial"/>
              </w:rPr>
              <w:t>0.52</w:t>
            </w:r>
          </w:p>
        </w:tc>
        <w:tc>
          <w:tcPr>
            <w:tcW w:w="1698" w:type="dxa"/>
            <w:shd w:val="clear" w:color="auto" w:fill="F2F2F2"/>
            <w:tcMar>
              <w:top w:w="50" w:type="dxa"/>
              <w:left w:w="100" w:type="dxa"/>
              <w:bottom w:w="50" w:type="dxa"/>
              <w:right w:w="100" w:type="dxa"/>
            </w:tcMar>
          </w:tcPr>
          <w:p w14:paraId="4D67890C" w14:textId="77777777" w:rsidR="00EC3E1D" w:rsidRPr="000D16B1" w:rsidRDefault="00EC3E1D" w:rsidP="000D16B1">
            <w:pPr>
              <w:spacing w:line="360" w:lineRule="auto"/>
              <w:rPr>
                <w:rFonts w:cs="Arial"/>
              </w:rPr>
            </w:pPr>
            <w:r w:rsidRPr="000D16B1">
              <w:rPr>
                <w:rFonts w:cs="Arial"/>
              </w:rPr>
              <w:t>48.34</w:t>
            </w:r>
          </w:p>
        </w:tc>
        <w:tc>
          <w:tcPr>
            <w:tcW w:w="1695" w:type="dxa"/>
            <w:shd w:val="clear" w:color="auto" w:fill="F2F2F2"/>
            <w:tcMar>
              <w:top w:w="50" w:type="dxa"/>
              <w:left w:w="100" w:type="dxa"/>
              <w:bottom w:w="50" w:type="dxa"/>
              <w:right w:w="100" w:type="dxa"/>
            </w:tcMar>
          </w:tcPr>
          <w:p w14:paraId="18017C82" w14:textId="77777777" w:rsidR="00EC3E1D" w:rsidRPr="000D16B1" w:rsidRDefault="00EC3E1D" w:rsidP="000D16B1">
            <w:pPr>
              <w:spacing w:line="360" w:lineRule="auto"/>
              <w:rPr>
                <w:rFonts w:cs="Arial"/>
              </w:rPr>
            </w:pPr>
            <w:r w:rsidRPr="000D16B1">
              <w:rPr>
                <w:rFonts w:cs="Arial"/>
              </w:rPr>
              <w:t>28.28</w:t>
            </w:r>
          </w:p>
        </w:tc>
        <w:tc>
          <w:tcPr>
            <w:tcW w:w="1693" w:type="dxa"/>
            <w:shd w:val="clear" w:color="auto" w:fill="F2F2F2"/>
            <w:tcMar>
              <w:top w:w="50" w:type="dxa"/>
              <w:left w:w="100" w:type="dxa"/>
              <w:bottom w:w="50" w:type="dxa"/>
              <w:right w:w="100" w:type="dxa"/>
            </w:tcMar>
          </w:tcPr>
          <w:p w14:paraId="0C125754" w14:textId="77777777" w:rsidR="00EC3E1D" w:rsidRPr="000D16B1" w:rsidRDefault="00EC3E1D" w:rsidP="000D16B1">
            <w:pPr>
              <w:spacing w:line="360" w:lineRule="auto"/>
              <w:rPr>
                <w:rFonts w:cs="Arial"/>
              </w:rPr>
            </w:pPr>
            <w:r w:rsidRPr="000D16B1">
              <w:rPr>
                <w:rFonts w:cs="Arial"/>
              </w:rPr>
              <w:t>20.6</w:t>
            </w:r>
          </w:p>
        </w:tc>
        <w:tc>
          <w:tcPr>
            <w:tcW w:w="2924" w:type="dxa"/>
            <w:shd w:val="clear" w:color="auto" w:fill="F2F2F2"/>
            <w:tcMar>
              <w:top w:w="50" w:type="dxa"/>
              <w:left w:w="100" w:type="dxa"/>
              <w:bottom w:w="50" w:type="dxa"/>
              <w:right w:w="100" w:type="dxa"/>
            </w:tcMar>
          </w:tcPr>
          <w:p w14:paraId="36ACEBA9" w14:textId="77777777" w:rsidR="00EC3E1D" w:rsidRPr="000D16B1" w:rsidRDefault="00EC3E1D" w:rsidP="000D16B1">
            <w:pPr>
              <w:spacing w:line="360" w:lineRule="auto"/>
              <w:rPr>
                <w:rFonts w:cs="Arial"/>
              </w:rPr>
            </w:pPr>
            <w:r w:rsidRPr="000D16B1">
              <w:rPr>
                <w:rFonts w:cs="Arial"/>
              </w:rPr>
              <w:t>+1.5</w:t>
            </w:r>
          </w:p>
        </w:tc>
      </w:tr>
      <w:tr w:rsidR="00EC3E1D" w:rsidRPr="000D16B1" w14:paraId="0896FC2D" w14:textId="77777777" w:rsidTr="00C76AF3">
        <w:tc>
          <w:tcPr>
            <w:tcW w:w="734" w:type="dxa"/>
            <w:tcMar>
              <w:top w:w="50" w:type="dxa"/>
              <w:left w:w="100" w:type="dxa"/>
              <w:bottom w:w="50" w:type="dxa"/>
              <w:right w:w="100" w:type="dxa"/>
            </w:tcMar>
          </w:tcPr>
          <w:p w14:paraId="0EA0AE93" w14:textId="77777777" w:rsidR="00EC3E1D" w:rsidRPr="000D16B1" w:rsidRDefault="00EC3E1D" w:rsidP="000D16B1">
            <w:pPr>
              <w:spacing w:line="360" w:lineRule="auto"/>
              <w:rPr>
                <w:rFonts w:cs="Arial"/>
              </w:rPr>
            </w:pPr>
            <w:r w:rsidRPr="000D16B1">
              <w:rPr>
                <w:rFonts w:cs="Arial"/>
              </w:rPr>
              <w:t>2024</w:t>
            </w:r>
          </w:p>
        </w:tc>
        <w:tc>
          <w:tcPr>
            <w:tcW w:w="1696" w:type="dxa"/>
            <w:tcMar>
              <w:top w:w="50" w:type="dxa"/>
              <w:left w:w="100" w:type="dxa"/>
              <w:bottom w:w="50" w:type="dxa"/>
              <w:right w:w="100" w:type="dxa"/>
            </w:tcMar>
          </w:tcPr>
          <w:p w14:paraId="4556069B" w14:textId="77777777" w:rsidR="00EC3E1D" w:rsidRPr="000D16B1" w:rsidRDefault="00EC3E1D" w:rsidP="000D16B1">
            <w:pPr>
              <w:spacing w:line="360" w:lineRule="auto"/>
              <w:rPr>
                <w:rFonts w:cs="Arial"/>
              </w:rPr>
            </w:pPr>
            <w:r w:rsidRPr="000D16B1">
              <w:rPr>
                <w:rFonts w:cs="Arial"/>
              </w:rPr>
              <w:t>0.47</w:t>
            </w:r>
          </w:p>
        </w:tc>
        <w:tc>
          <w:tcPr>
            <w:tcW w:w="1698" w:type="dxa"/>
            <w:tcMar>
              <w:top w:w="50" w:type="dxa"/>
              <w:left w:w="100" w:type="dxa"/>
              <w:bottom w:w="50" w:type="dxa"/>
              <w:right w:w="100" w:type="dxa"/>
            </w:tcMar>
          </w:tcPr>
          <w:p w14:paraId="104853E9" w14:textId="77777777" w:rsidR="00EC3E1D" w:rsidRPr="000D16B1" w:rsidRDefault="00EC3E1D" w:rsidP="000D16B1">
            <w:pPr>
              <w:spacing w:line="360" w:lineRule="auto"/>
              <w:rPr>
                <w:rFonts w:cs="Arial"/>
              </w:rPr>
            </w:pPr>
            <w:r w:rsidRPr="000D16B1">
              <w:rPr>
                <w:rFonts w:cs="Arial"/>
              </w:rPr>
              <w:t>61.55</w:t>
            </w:r>
          </w:p>
        </w:tc>
        <w:tc>
          <w:tcPr>
            <w:tcW w:w="1695" w:type="dxa"/>
            <w:tcMar>
              <w:top w:w="50" w:type="dxa"/>
              <w:left w:w="100" w:type="dxa"/>
              <w:bottom w:w="50" w:type="dxa"/>
              <w:right w:w="100" w:type="dxa"/>
            </w:tcMar>
          </w:tcPr>
          <w:p w14:paraId="41C7BED4" w14:textId="77777777" w:rsidR="00EC3E1D" w:rsidRPr="000D16B1" w:rsidRDefault="00EC3E1D" w:rsidP="000D16B1">
            <w:pPr>
              <w:spacing w:line="360" w:lineRule="auto"/>
              <w:rPr>
                <w:rFonts w:cs="Arial"/>
              </w:rPr>
            </w:pPr>
            <w:r w:rsidRPr="000D16B1">
              <w:rPr>
                <w:rFonts w:cs="Arial"/>
              </w:rPr>
              <w:t>27.63</w:t>
            </w:r>
          </w:p>
        </w:tc>
        <w:tc>
          <w:tcPr>
            <w:tcW w:w="1693" w:type="dxa"/>
            <w:tcMar>
              <w:top w:w="50" w:type="dxa"/>
              <w:left w:w="100" w:type="dxa"/>
              <w:bottom w:w="50" w:type="dxa"/>
              <w:right w:w="100" w:type="dxa"/>
            </w:tcMar>
          </w:tcPr>
          <w:p w14:paraId="26F092CC" w14:textId="77777777" w:rsidR="00EC3E1D" w:rsidRPr="000D16B1" w:rsidRDefault="00EC3E1D" w:rsidP="000D16B1">
            <w:pPr>
              <w:spacing w:line="360" w:lineRule="auto"/>
              <w:rPr>
                <w:rFonts w:cs="Arial"/>
              </w:rPr>
            </w:pPr>
            <w:r w:rsidRPr="000D16B1">
              <w:rPr>
                <w:rFonts w:cs="Arial"/>
              </w:rPr>
              <w:t>34.4</w:t>
            </w:r>
          </w:p>
        </w:tc>
        <w:tc>
          <w:tcPr>
            <w:tcW w:w="2924" w:type="dxa"/>
            <w:tcMar>
              <w:top w:w="50" w:type="dxa"/>
              <w:left w:w="100" w:type="dxa"/>
              <w:bottom w:w="50" w:type="dxa"/>
              <w:right w:w="100" w:type="dxa"/>
            </w:tcMar>
          </w:tcPr>
          <w:p w14:paraId="763C7665" w14:textId="77777777" w:rsidR="00EC3E1D" w:rsidRPr="000D16B1" w:rsidRDefault="00EC3E1D" w:rsidP="000D16B1">
            <w:pPr>
              <w:spacing w:line="360" w:lineRule="auto"/>
              <w:rPr>
                <w:rFonts w:cs="Arial"/>
              </w:rPr>
            </w:pPr>
            <w:r w:rsidRPr="000D16B1">
              <w:rPr>
                <w:rFonts w:cs="Arial"/>
              </w:rPr>
              <w:t>+7.0</w:t>
            </w:r>
          </w:p>
        </w:tc>
      </w:tr>
    </w:tbl>
    <w:p w14:paraId="23550B03" w14:textId="62CF7503" w:rsidR="00EC3E1D" w:rsidRPr="000D16B1" w:rsidRDefault="00C76AF3" w:rsidP="000D16B1">
      <w:pPr>
        <w:spacing w:line="360" w:lineRule="auto"/>
        <w:rPr>
          <w:rFonts w:cs="Arial"/>
        </w:rPr>
      </w:pPr>
      <w:r w:rsidRPr="00C76AF3">
        <w:rPr>
          <w:rFonts w:cs="Arial"/>
        </w:rPr>
        <w:t>Both approaches point in the same direction each year (down from 2020 to 2022 and then up to 2024), thus affirming that the trend is non-spurious. As would be expected, the difference between the two methods is the greatest on dollars in years with significant movement of the balance during the year (e.g., 2021 and 2024, when there were significant changes in both receivables and payables)</w:t>
      </w:r>
      <w:r w:rsidR="00EC3E1D" w:rsidRPr="000D16B1">
        <w:rPr>
          <w:rFonts w:cs="Arial"/>
        </w:rPr>
        <w:t>.</w:t>
      </w:r>
    </w:p>
    <w:p w14:paraId="10944291" w14:textId="77777777" w:rsidR="00EC3E1D" w:rsidRPr="000D16B1" w:rsidRDefault="00EC3E1D" w:rsidP="000D16B1">
      <w:pPr>
        <w:pStyle w:val="Heading1"/>
        <w:spacing w:before="300" w:after="150" w:line="360" w:lineRule="auto"/>
        <w:rPr>
          <w:rFonts w:cs="Arial"/>
        </w:rPr>
      </w:pPr>
      <w:bookmarkStart w:id="16" w:name="_Toc237455748"/>
      <w:r w:rsidRPr="000D16B1">
        <w:rPr>
          <w:rFonts w:cs="Arial"/>
        </w:rPr>
        <w:lastRenderedPageBreak/>
        <w:t>7. Summary — CCC by year (average-balance method)</w:t>
      </w:r>
      <w:bookmarkEnd w:id="16"/>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40"/>
        <w:gridCol w:w="1600"/>
        <w:gridCol w:w="1600"/>
        <w:gridCol w:w="1600"/>
        <w:gridCol w:w="1600"/>
        <w:gridCol w:w="1600"/>
      </w:tblGrid>
      <w:tr w:rsidR="00EC3E1D" w:rsidRPr="000D16B1" w14:paraId="67E16A8A" w14:textId="77777777" w:rsidTr="00A37334">
        <w:tc>
          <w:tcPr>
            <w:tcW w:w="2440" w:type="dxa"/>
            <w:shd w:val="clear" w:color="auto" w:fill="1F4E79"/>
            <w:tcMar>
              <w:top w:w="60" w:type="dxa"/>
              <w:left w:w="100" w:type="dxa"/>
              <w:bottom w:w="60" w:type="dxa"/>
              <w:right w:w="100" w:type="dxa"/>
            </w:tcMar>
          </w:tcPr>
          <w:p w14:paraId="22CA6B4D" w14:textId="77777777" w:rsidR="00EC3E1D" w:rsidRPr="000D16B1" w:rsidRDefault="00EC3E1D" w:rsidP="000D16B1">
            <w:pPr>
              <w:spacing w:line="360" w:lineRule="auto"/>
              <w:jc w:val="center"/>
              <w:rPr>
                <w:rFonts w:cs="Arial"/>
              </w:rPr>
            </w:pPr>
            <w:r w:rsidRPr="000D16B1">
              <w:rPr>
                <w:rFonts w:cs="Arial"/>
                <w:b/>
                <w:bCs/>
                <w:color w:val="FFFFFF"/>
              </w:rPr>
              <w:t>Cash Conversion Cycle (days)</w:t>
            </w:r>
          </w:p>
        </w:tc>
        <w:tc>
          <w:tcPr>
            <w:tcW w:w="1600" w:type="dxa"/>
            <w:shd w:val="clear" w:color="auto" w:fill="FFF2CC"/>
            <w:tcMar>
              <w:top w:w="50" w:type="dxa"/>
              <w:left w:w="100" w:type="dxa"/>
              <w:bottom w:w="50" w:type="dxa"/>
              <w:right w:w="100" w:type="dxa"/>
            </w:tcMar>
          </w:tcPr>
          <w:p w14:paraId="4A832C68" w14:textId="77777777" w:rsidR="00EC3E1D" w:rsidRPr="000D16B1" w:rsidRDefault="00EC3E1D" w:rsidP="000D16B1">
            <w:pPr>
              <w:spacing w:line="360" w:lineRule="auto"/>
              <w:jc w:val="center"/>
              <w:rPr>
                <w:rFonts w:cs="Arial"/>
              </w:rPr>
            </w:pPr>
            <w:r w:rsidRPr="000D16B1">
              <w:rPr>
                <w:rFonts w:cs="Arial"/>
                <w:b/>
                <w:bCs/>
              </w:rPr>
              <w:t>49.5</w:t>
            </w:r>
          </w:p>
        </w:tc>
        <w:tc>
          <w:tcPr>
            <w:tcW w:w="1600" w:type="dxa"/>
            <w:shd w:val="clear" w:color="auto" w:fill="FFF2CC"/>
            <w:tcMar>
              <w:top w:w="50" w:type="dxa"/>
              <w:left w:w="100" w:type="dxa"/>
              <w:bottom w:w="50" w:type="dxa"/>
              <w:right w:w="100" w:type="dxa"/>
            </w:tcMar>
          </w:tcPr>
          <w:p w14:paraId="254B7DE8" w14:textId="77777777" w:rsidR="00EC3E1D" w:rsidRPr="000D16B1" w:rsidRDefault="00EC3E1D" w:rsidP="000D16B1">
            <w:pPr>
              <w:spacing w:line="360" w:lineRule="auto"/>
              <w:jc w:val="center"/>
              <w:rPr>
                <w:rFonts w:cs="Arial"/>
              </w:rPr>
            </w:pPr>
            <w:r w:rsidRPr="000D16B1">
              <w:rPr>
                <w:rFonts w:cs="Arial"/>
                <w:b/>
                <w:bCs/>
              </w:rPr>
              <w:t>23.5</w:t>
            </w:r>
          </w:p>
        </w:tc>
        <w:tc>
          <w:tcPr>
            <w:tcW w:w="1600" w:type="dxa"/>
            <w:shd w:val="clear" w:color="auto" w:fill="FFF2CC"/>
            <w:tcMar>
              <w:top w:w="50" w:type="dxa"/>
              <w:left w:w="100" w:type="dxa"/>
              <w:bottom w:w="50" w:type="dxa"/>
              <w:right w:w="100" w:type="dxa"/>
            </w:tcMar>
          </w:tcPr>
          <w:p w14:paraId="5C29E4E0" w14:textId="77777777" w:rsidR="00EC3E1D" w:rsidRPr="000D16B1" w:rsidRDefault="00EC3E1D" w:rsidP="000D16B1">
            <w:pPr>
              <w:spacing w:line="360" w:lineRule="auto"/>
              <w:jc w:val="center"/>
              <w:rPr>
                <w:rFonts w:cs="Arial"/>
              </w:rPr>
            </w:pPr>
            <w:r w:rsidRPr="000D16B1">
              <w:rPr>
                <w:rFonts w:cs="Arial"/>
                <w:b/>
                <w:bCs/>
              </w:rPr>
              <w:t>12.1</w:t>
            </w:r>
          </w:p>
        </w:tc>
        <w:tc>
          <w:tcPr>
            <w:tcW w:w="1600" w:type="dxa"/>
            <w:shd w:val="clear" w:color="auto" w:fill="FFF2CC"/>
            <w:tcMar>
              <w:top w:w="50" w:type="dxa"/>
              <w:left w:w="100" w:type="dxa"/>
              <w:bottom w:w="50" w:type="dxa"/>
              <w:right w:w="100" w:type="dxa"/>
            </w:tcMar>
          </w:tcPr>
          <w:p w14:paraId="4E3E5D09" w14:textId="77777777" w:rsidR="00EC3E1D" w:rsidRPr="000D16B1" w:rsidRDefault="00EC3E1D" w:rsidP="000D16B1">
            <w:pPr>
              <w:spacing w:line="360" w:lineRule="auto"/>
              <w:jc w:val="center"/>
              <w:rPr>
                <w:rFonts w:cs="Arial"/>
              </w:rPr>
            </w:pPr>
            <w:r w:rsidRPr="000D16B1">
              <w:rPr>
                <w:rFonts w:cs="Arial"/>
                <w:b/>
                <w:bCs/>
              </w:rPr>
              <w:t>19.0</w:t>
            </w:r>
          </w:p>
        </w:tc>
        <w:tc>
          <w:tcPr>
            <w:tcW w:w="1600" w:type="dxa"/>
            <w:shd w:val="clear" w:color="auto" w:fill="FFF2CC"/>
            <w:tcMar>
              <w:top w:w="50" w:type="dxa"/>
              <w:left w:w="100" w:type="dxa"/>
              <w:bottom w:w="50" w:type="dxa"/>
              <w:right w:w="100" w:type="dxa"/>
            </w:tcMar>
          </w:tcPr>
          <w:p w14:paraId="4983FF2E" w14:textId="77777777" w:rsidR="00EC3E1D" w:rsidRPr="000D16B1" w:rsidRDefault="00EC3E1D" w:rsidP="000D16B1">
            <w:pPr>
              <w:spacing w:line="360" w:lineRule="auto"/>
              <w:jc w:val="center"/>
              <w:rPr>
                <w:rFonts w:cs="Arial"/>
              </w:rPr>
            </w:pPr>
            <w:r w:rsidRPr="000D16B1">
              <w:rPr>
                <w:rFonts w:cs="Arial"/>
                <w:b/>
                <w:bCs/>
              </w:rPr>
              <w:t>27.4</w:t>
            </w:r>
          </w:p>
        </w:tc>
      </w:tr>
      <w:tr w:rsidR="00EC3E1D" w:rsidRPr="000D16B1" w14:paraId="79188BF4" w14:textId="77777777" w:rsidTr="00A37334">
        <w:tc>
          <w:tcPr>
            <w:tcW w:w="2440" w:type="dxa"/>
            <w:tcMar>
              <w:top w:w="50" w:type="dxa"/>
              <w:left w:w="100" w:type="dxa"/>
              <w:bottom w:w="50" w:type="dxa"/>
              <w:right w:w="100" w:type="dxa"/>
            </w:tcMar>
          </w:tcPr>
          <w:p w14:paraId="4DC12060" w14:textId="77777777" w:rsidR="00EC3E1D" w:rsidRPr="000D16B1" w:rsidRDefault="00EC3E1D" w:rsidP="000D16B1">
            <w:pPr>
              <w:spacing w:line="360" w:lineRule="auto"/>
              <w:rPr>
                <w:rFonts w:cs="Arial"/>
              </w:rPr>
            </w:pPr>
            <w:r w:rsidRPr="000D16B1">
              <w:rPr>
                <w:rFonts w:cs="Arial"/>
              </w:rPr>
              <w:t>Year-on-year change (days)</w:t>
            </w:r>
          </w:p>
        </w:tc>
        <w:tc>
          <w:tcPr>
            <w:tcW w:w="1600" w:type="dxa"/>
            <w:tcMar>
              <w:top w:w="50" w:type="dxa"/>
              <w:left w:w="100" w:type="dxa"/>
              <w:bottom w:w="50" w:type="dxa"/>
              <w:right w:w="100" w:type="dxa"/>
            </w:tcMar>
          </w:tcPr>
          <w:p w14:paraId="0503E077" w14:textId="77777777" w:rsidR="00EC3E1D" w:rsidRPr="000D16B1" w:rsidRDefault="00EC3E1D" w:rsidP="000D16B1">
            <w:pPr>
              <w:spacing w:line="360" w:lineRule="auto"/>
              <w:jc w:val="center"/>
              <w:rPr>
                <w:rFonts w:cs="Arial"/>
              </w:rPr>
            </w:pPr>
            <w:r w:rsidRPr="000D16B1">
              <w:rPr>
                <w:rFonts w:cs="Arial"/>
              </w:rPr>
              <w:t>—</w:t>
            </w:r>
          </w:p>
        </w:tc>
        <w:tc>
          <w:tcPr>
            <w:tcW w:w="1600" w:type="dxa"/>
            <w:tcMar>
              <w:top w:w="50" w:type="dxa"/>
              <w:left w:w="100" w:type="dxa"/>
              <w:bottom w:w="50" w:type="dxa"/>
              <w:right w:w="100" w:type="dxa"/>
            </w:tcMar>
          </w:tcPr>
          <w:p w14:paraId="00C6E3B1" w14:textId="77777777" w:rsidR="00EC3E1D" w:rsidRPr="000D16B1" w:rsidRDefault="00EC3E1D" w:rsidP="000D16B1">
            <w:pPr>
              <w:spacing w:line="360" w:lineRule="auto"/>
              <w:jc w:val="center"/>
              <w:rPr>
                <w:rFonts w:cs="Arial"/>
              </w:rPr>
            </w:pPr>
            <w:r w:rsidRPr="000D16B1">
              <w:rPr>
                <w:rFonts w:cs="Arial"/>
              </w:rPr>
              <w:t>−26.0</w:t>
            </w:r>
          </w:p>
        </w:tc>
        <w:tc>
          <w:tcPr>
            <w:tcW w:w="1600" w:type="dxa"/>
            <w:tcMar>
              <w:top w:w="50" w:type="dxa"/>
              <w:left w:w="100" w:type="dxa"/>
              <w:bottom w:w="50" w:type="dxa"/>
              <w:right w:w="100" w:type="dxa"/>
            </w:tcMar>
          </w:tcPr>
          <w:p w14:paraId="6919A217" w14:textId="77777777" w:rsidR="00EC3E1D" w:rsidRPr="000D16B1" w:rsidRDefault="00EC3E1D" w:rsidP="000D16B1">
            <w:pPr>
              <w:spacing w:line="360" w:lineRule="auto"/>
              <w:jc w:val="center"/>
              <w:rPr>
                <w:rFonts w:cs="Arial"/>
              </w:rPr>
            </w:pPr>
            <w:r w:rsidRPr="000D16B1">
              <w:rPr>
                <w:rFonts w:cs="Arial"/>
              </w:rPr>
              <w:t>−11.4</w:t>
            </w:r>
          </w:p>
        </w:tc>
        <w:tc>
          <w:tcPr>
            <w:tcW w:w="1600" w:type="dxa"/>
            <w:tcMar>
              <w:top w:w="50" w:type="dxa"/>
              <w:left w:w="100" w:type="dxa"/>
              <w:bottom w:w="50" w:type="dxa"/>
              <w:right w:w="100" w:type="dxa"/>
            </w:tcMar>
          </w:tcPr>
          <w:p w14:paraId="176C2D51" w14:textId="77777777" w:rsidR="00EC3E1D" w:rsidRPr="000D16B1" w:rsidRDefault="00EC3E1D" w:rsidP="000D16B1">
            <w:pPr>
              <w:spacing w:line="360" w:lineRule="auto"/>
              <w:jc w:val="center"/>
              <w:rPr>
                <w:rFonts w:cs="Arial"/>
              </w:rPr>
            </w:pPr>
            <w:r w:rsidRPr="000D16B1">
              <w:rPr>
                <w:rFonts w:cs="Arial"/>
              </w:rPr>
              <w:t>+6.9</w:t>
            </w:r>
          </w:p>
        </w:tc>
        <w:tc>
          <w:tcPr>
            <w:tcW w:w="1600" w:type="dxa"/>
            <w:tcMar>
              <w:top w:w="50" w:type="dxa"/>
              <w:left w:w="100" w:type="dxa"/>
              <w:bottom w:w="50" w:type="dxa"/>
              <w:right w:w="100" w:type="dxa"/>
            </w:tcMar>
          </w:tcPr>
          <w:p w14:paraId="2C133D04" w14:textId="77777777" w:rsidR="00EC3E1D" w:rsidRPr="000D16B1" w:rsidRDefault="00EC3E1D" w:rsidP="000D16B1">
            <w:pPr>
              <w:spacing w:line="360" w:lineRule="auto"/>
              <w:jc w:val="center"/>
              <w:rPr>
                <w:rFonts w:cs="Arial"/>
              </w:rPr>
            </w:pPr>
            <w:r w:rsidRPr="000D16B1">
              <w:rPr>
                <w:rFonts w:cs="Arial"/>
              </w:rPr>
              <w:t>+8.3</w:t>
            </w:r>
          </w:p>
        </w:tc>
      </w:tr>
    </w:tbl>
    <w:p w14:paraId="3DBE171D" w14:textId="77777777" w:rsidR="00EC3E1D" w:rsidRPr="000D16B1" w:rsidRDefault="00EC3E1D" w:rsidP="000D16B1">
      <w:pPr>
        <w:spacing w:before="250" w:line="360" w:lineRule="auto"/>
        <w:rPr>
          <w:rFonts w:cs="Arial"/>
        </w:rPr>
      </w:pPr>
    </w:p>
    <w:p w14:paraId="40897699" w14:textId="77777777" w:rsidR="00EC3E1D" w:rsidRPr="000D16B1" w:rsidRDefault="00EC3E1D" w:rsidP="000D16B1">
      <w:pPr>
        <w:pStyle w:val="Heading1"/>
        <w:spacing w:line="360" w:lineRule="auto"/>
        <w:rPr>
          <w:rFonts w:cs="Arial"/>
        </w:rPr>
      </w:pPr>
      <w:bookmarkStart w:id="17" w:name="_Toc237455749"/>
      <w:r w:rsidRPr="000D16B1">
        <w:rPr>
          <w:rFonts w:cs="Arial"/>
        </w:rPr>
        <w:t>8. Explanation of significant year-on-year changes</w:t>
      </w:r>
      <w:bookmarkEnd w:id="17"/>
    </w:p>
    <w:p w14:paraId="749794DC" w14:textId="77777777" w:rsidR="00EC3E1D" w:rsidRPr="000D16B1" w:rsidRDefault="00EC3E1D" w:rsidP="000D16B1">
      <w:pPr>
        <w:spacing w:line="360" w:lineRule="auto"/>
        <w:rPr>
          <w:rFonts w:cs="Arial"/>
          <w:b/>
          <w:bCs/>
        </w:rPr>
      </w:pPr>
      <w:r w:rsidRPr="000D16B1">
        <w:rPr>
          <w:rFonts w:cs="Arial"/>
          <w:b/>
          <w:bCs/>
        </w:rPr>
        <w:t>2020 → 2021: CCC fell from 49.5 to 23.5 days (−26.0 days)</w:t>
      </w:r>
    </w:p>
    <w:p w14:paraId="7636AE7C" w14:textId="77777777" w:rsidR="00EC3E1D" w:rsidRPr="000D16B1" w:rsidRDefault="00EC3E1D" w:rsidP="000D16B1">
      <w:pPr>
        <w:spacing w:after="160" w:line="360" w:lineRule="auto"/>
        <w:rPr>
          <w:rFonts w:cs="Arial"/>
        </w:rPr>
      </w:pPr>
      <w:r w:rsidRPr="000D16B1">
        <w:rPr>
          <w:rFonts w:cs="Arial"/>
        </w:rPr>
        <w:t>This was the largest single-year swing in the five-year period and was driven mainly by payables, not by a deterioration in collections. Payable Days roughly doubled, from 17.0 to 34.8 days, because Hyatt completed its acquisition of Apple Leisure Group (ALG) in 2021 — visible in the balance sheet as goodwill jumping from $288m to $2,965m and intangibles from $385m to $1,977m. The acquisition brought in a much larger, faster-turning distribution and destination-management business with a correspondingly larger trade payables base (accounts payable rose from $102m to $523m). Receivable Days also fell (65.1 to 57.2 days) as revenue began recovering from the depressed, pandemic-distorted 2020 base faster than receivables grew. Inventory Days remained negligible throughout, as expected for a hotel operator with only minor food-and-beverage stock.</w:t>
      </w:r>
    </w:p>
    <w:p w14:paraId="2AD0C0E9" w14:textId="77777777" w:rsidR="00EC3E1D" w:rsidRPr="000D16B1" w:rsidRDefault="00EC3E1D" w:rsidP="000D16B1">
      <w:pPr>
        <w:spacing w:line="360" w:lineRule="auto"/>
        <w:rPr>
          <w:rFonts w:cs="Arial"/>
          <w:b/>
          <w:bCs/>
        </w:rPr>
      </w:pPr>
      <w:r w:rsidRPr="000D16B1">
        <w:rPr>
          <w:rFonts w:cs="Arial"/>
          <w:b/>
          <w:bCs/>
        </w:rPr>
        <w:t>2021 → 2022: CCC fell further, from 23.5 to 12.1 days (−11.4 days)</w:t>
      </w:r>
    </w:p>
    <w:p w14:paraId="258579D8" w14:textId="1E23EDC5" w:rsidR="00EC3E1D" w:rsidRPr="000D16B1" w:rsidRDefault="00EC3E1D" w:rsidP="000D16B1">
      <w:pPr>
        <w:spacing w:after="160" w:line="360" w:lineRule="auto"/>
        <w:rPr>
          <w:rFonts w:cs="Arial"/>
        </w:rPr>
      </w:pPr>
      <w:r w:rsidRPr="000D16B1">
        <w:rPr>
          <w:rFonts w:cs="Arial"/>
        </w:rPr>
        <w:t xml:space="preserve">This was primarily a receivables story. As global travel demand rebounded strongly post-pandemic, total revenue nearly doubled (from $3,028m to $5,891m), while receivables grew much more slowly (from $633m to $834m). </w:t>
      </w:r>
      <w:r w:rsidR="00C76AF3" w:rsidRPr="00C76AF3">
        <w:rPr>
          <w:rFonts w:cs="Arial"/>
        </w:rPr>
        <w:t>This pulled Receivable Days down from 57.2 to 45.5 days. Payable Days were generally flat (34.8 to 34.0 days) due to the now fully-integrated ALG cost base normalizing. The net impact was a continuing sustainable increase in cash conversion as the business reduced in size at a faster rate than working capital</w:t>
      </w:r>
      <w:r w:rsidR="0038472E" w:rsidRPr="000D16B1">
        <w:rPr>
          <w:rFonts w:cs="Arial"/>
        </w:rPr>
        <w:t xml:space="preserve"> </w:t>
      </w:r>
      <w:r w:rsidR="0038472E" w:rsidRPr="000D16B1">
        <w:rPr>
          <w:rFonts w:cs="Arial"/>
        </w:rPr>
        <w:fldChar w:fldCharType="begin" w:fldLock="1"/>
      </w:r>
      <w:r w:rsidR="0038472E" w:rsidRPr="000D16B1">
        <w:rPr>
          <w:rFonts w:cs="Arial"/>
        </w:rPr>
        <w:instrText>ADDIN CSL_CITATION {"citationItems":[{"id":"ITEM-1","itemData":{"ISSN":"22148450","author":[{"dropping-particle":"","family":"Kiymaz","given":"Halil","non-dropping-particle":"","parse-names":false,"suffix":""},{"dropping-particle":"","family":"Haque","given":"Samina","non-dropping-particle":"","parse-names":false,"suffix":""},{"dropping-particle":"","family":"Choudhury","given":"Ahmed Abir","non-dropping-particle":"","parse-names":false,"suffix":""}],"container-title":"Borsa Istanbul Review","id":"ITEM-1","issue":"3","issued":{"date-parts":[["2024","5"]]},"page":"634-642","title":"Working capital management and firm performance: A comparative analysis of developed and emerging economies","type":"article-journal","volume":"24"},"uris":["http://www.mendeley.com/documents/?uuid=eff4533f-95ce-49b9-97b9-0bb2048f5dfc"]}],"mendeley":{"formattedCitation":"(Kiymaz, Haque and Choudhury, 2024)","plainTextFormattedCitation":"(Kiymaz, Haque and Choudhury, 2024)","previouslyFormattedCitation":"(Kiymaz, Haque and Choudhury, 2024)"},"properties":{"noteIndex":0},"schema":"https://github.com/citation-style-language/schema/raw/master/csl-citation.json"}</w:instrText>
      </w:r>
      <w:r w:rsidR="0038472E" w:rsidRPr="000D16B1">
        <w:rPr>
          <w:rFonts w:cs="Arial"/>
        </w:rPr>
        <w:fldChar w:fldCharType="separate"/>
      </w:r>
      <w:r w:rsidR="0038472E" w:rsidRPr="000D16B1">
        <w:rPr>
          <w:rFonts w:cs="Arial"/>
          <w:noProof/>
        </w:rPr>
        <w:t>(Kiymaz, Haque and Choudhury, 2024)</w:t>
      </w:r>
      <w:r w:rsidR="0038472E" w:rsidRPr="000D16B1">
        <w:rPr>
          <w:rFonts w:cs="Arial"/>
        </w:rPr>
        <w:fldChar w:fldCharType="end"/>
      </w:r>
      <w:r w:rsidRPr="000D16B1">
        <w:rPr>
          <w:rFonts w:cs="Arial"/>
        </w:rPr>
        <w:t>.</w:t>
      </w:r>
    </w:p>
    <w:p w14:paraId="0CA02D16" w14:textId="77777777" w:rsidR="00EC3E1D" w:rsidRPr="000D16B1" w:rsidRDefault="00EC3E1D" w:rsidP="000D16B1">
      <w:pPr>
        <w:spacing w:line="360" w:lineRule="auto"/>
        <w:rPr>
          <w:rFonts w:cs="Arial"/>
          <w:b/>
          <w:bCs/>
        </w:rPr>
      </w:pPr>
      <w:r w:rsidRPr="000D16B1">
        <w:rPr>
          <w:rFonts w:cs="Arial"/>
          <w:b/>
          <w:bCs/>
        </w:rPr>
        <w:t>2022 → 2023: CCC rose from 12.1 to 19.0 days (+6.9 days)</w:t>
      </w:r>
    </w:p>
    <w:p w14:paraId="77EE61C2" w14:textId="42701FE7" w:rsidR="00EC3E1D" w:rsidRPr="000D16B1" w:rsidRDefault="00C76AF3" w:rsidP="000D16B1">
      <w:pPr>
        <w:spacing w:after="160" w:line="360" w:lineRule="auto"/>
        <w:rPr>
          <w:rFonts w:cs="Arial"/>
        </w:rPr>
      </w:pPr>
      <w:r w:rsidRPr="00C76AF3">
        <w:rPr>
          <w:rFonts w:cs="Arial"/>
        </w:rPr>
        <w:t xml:space="preserve">This partial turnaround had been brought about from two quarters simultaneously challenging Hyatt. Receivable Days turned up a little (45.5 to 47.0 days), as revenue growth was curtailed (+13%) and receivables grew by a similar amount, meaning that there was little further benefit to </w:t>
      </w:r>
      <w:r w:rsidRPr="00C76AF3">
        <w:rPr>
          <w:rFonts w:cs="Arial"/>
        </w:rPr>
        <w:lastRenderedPageBreak/>
        <w:t>be gained. More importantly, Payable Days plunged from 34.0 to 28.5 days: accounts payable actually decreased slightly in dollars ($500m to $493m) despite the increase in operating cost base (+16%), suggesting that Hyatt was paying suppliers a little bit sooner (or maybe the mix shifted to faster-paying categories) than during the immediate post-acquisition years. The net impact — that receivables used a little more cash and payables funded a little less — pushed the cycle back out</w:t>
      </w:r>
      <w:r w:rsidR="0038472E" w:rsidRPr="000D16B1">
        <w:rPr>
          <w:rFonts w:cs="Arial"/>
        </w:rPr>
        <w:t xml:space="preserve"> </w:t>
      </w:r>
      <w:r w:rsidR="0038472E" w:rsidRPr="000D16B1">
        <w:rPr>
          <w:rFonts w:cs="Arial"/>
        </w:rPr>
        <w:fldChar w:fldCharType="begin" w:fldLock="1"/>
      </w:r>
      <w:r w:rsidR="0038472E" w:rsidRPr="000D16B1">
        <w:rPr>
          <w:rFonts w:cs="Arial"/>
        </w:rPr>
        <w:instrText>ADDIN CSL_CITATION {"citationItems":[{"id":"ITEM-1","itemData":{"ISSN":"0810-5391","abstract":"This study investigates the relationship between the cash conversion cycle (CCC) and the financial and market performances of publicly traded” firms in six Latin American (LatAm) countries: Argentina, Brazil, Chile, Colombia, Mexico, and Peru. The analysis covers the period from 2000 to 2018. The results indicate that increases in CCC negatively impact the generation of operating cash flows and long</w:instrText>
      </w:r>
      <w:r w:rsidR="0038472E" w:rsidRPr="000D16B1">
        <w:rPr>
          <w:rFonts w:ascii="Cambria Math" w:hAnsi="Cambria Math" w:cs="Cambria Math"/>
        </w:rPr>
        <w:instrText>‐</w:instrText>
      </w:r>
      <w:r w:rsidR="0038472E" w:rsidRPr="000D16B1">
        <w:rPr>
          <w:rFonts w:cs="Arial"/>
        </w:rPr>
        <w:instrText>term investments, and increase financial risk. Other findings suggest that the mechanisms through which CCC affects a firm's financial performance can provide a satisfactory explanation of its market performance. The evidence is consistent with the hypothesis that CCC is a relevant driver of value in working capital management in undeveloped or emerging economies.","author":[{"dropping-particle":"","family":"Figlioli","given":"Bruno","non-dropping-particle":"","parse-names":false,"suffix":""},{"dropping-particle":"","family":"Antônio","given":"Rafael Moreira","non-dropping-particle":"","parse-names":false,"suffix":""},{"dropping-particle":"","family":"Gatsios","given":"Rafael Confetti","non-dropping-particle":"","parse-names":false,"suffix":""},{"dropping-particle":"","family":"Lima","given":"Fabiano Guasti","non-dropping-particle":"","parse-names":false,"suffix":""}],"container-title":"Accounting &amp; Finance","id":"ITEM-1","issue":"3","issued":{"date-parts":[["2024","9","10"]]},"page":"2375-2401","title":"Influence of the cash conversion cycle on firm's financial performance: Evidence from publicly traded firms in the Latin American context","type":"article-journal","volume":"64"},"uris":["http://www.mendeley.com/documents/?uuid=ad8c42e2-6ef1-423d-ba73-e60bb1b24f4b"]}],"mendeley":{"formattedCitation":"(Figlioli &lt;i&gt;et al.&lt;/i&gt;, 2024)","plainTextFormattedCitation":"(Figlioli et al., 2024)","previouslyFormattedCitation":"(Figlioli &lt;i&gt;et al.&lt;/i&gt;, 2024)"},"properties":{"noteIndex":0},"schema":"https://github.com/citation-style-language/schema/raw/master/csl-citation.json"}</w:instrText>
      </w:r>
      <w:r w:rsidR="0038472E" w:rsidRPr="000D16B1">
        <w:rPr>
          <w:rFonts w:cs="Arial"/>
        </w:rPr>
        <w:fldChar w:fldCharType="separate"/>
      </w:r>
      <w:r w:rsidR="0038472E" w:rsidRPr="000D16B1">
        <w:rPr>
          <w:rFonts w:cs="Arial"/>
          <w:noProof/>
        </w:rPr>
        <w:t xml:space="preserve">(Figlioli </w:t>
      </w:r>
      <w:r w:rsidR="0038472E" w:rsidRPr="000D16B1">
        <w:rPr>
          <w:rFonts w:cs="Arial"/>
          <w:i/>
          <w:noProof/>
        </w:rPr>
        <w:t>et al.</w:t>
      </w:r>
      <w:r w:rsidR="0038472E" w:rsidRPr="000D16B1">
        <w:rPr>
          <w:rFonts w:cs="Arial"/>
          <w:noProof/>
        </w:rPr>
        <w:t>, 2024)</w:t>
      </w:r>
      <w:r w:rsidR="0038472E" w:rsidRPr="000D16B1">
        <w:rPr>
          <w:rFonts w:cs="Arial"/>
        </w:rPr>
        <w:fldChar w:fldCharType="end"/>
      </w:r>
      <w:r w:rsidR="00EC3E1D" w:rsidRPr="000D16B1">
        <w:rPr>
          <w:rFonts w:cs="Arial"/>
        </w:rPr>
        <w:t>.</w:t>
      </w:r>
    </w:p>
    <w:p w14:paraId="0F29353C" w14:textId="77777777" w:rsidR="00EC3E1D" w:rsidRPr="000D16B1" w:rsidRDefault="00EC3E1D" w:rsidP="000D16B1">
      <w:pPr>
        <w:spacing w:line="360" w:lineRule="auto"/>
        <w:rPr>
          <w:rFonts w:cs="Arial"/>
          <w:b/>
          <w:bCs/>
        </w:rPr>
      </w:pPr>
      <w:r w:rsidRPr="000D16B1">
        <w:rPr>
          <w:rFonts w:cs="Arial"/>
          <w:b/>
          <w:bCs/>
        </w:rPr>
        <w:t>2023 → 2024: CCC rose from 19.0 to 27.4 days (+8.3 days)</w:t>
      </w:r>
    </w:p>
    <w:p w14:paraId="3AEBE5AF" w14:textId="6ABA6F5D" w:rsidR="00EC3E1D" w:rsidRPr="000D16B1" w:rsidRDefault="00C76AF3" w:rsidP="000D16B1">
      <w:pPr>
        <w:spacing w:after="160" w:line="360" w:lineRule="auto"/>
        <w:rPr>
          <w:rFonts w:cs="Arial"/>
        </w:rPr>
      </w:pPr>
      <w:r w:rsidRPr="00C76AF3">
        <w:rPr>
          <w:rFonts w:cs="Arial"/>
        </w:rPr>
        <w:t>Again, the large year-on-year shift was led by receivables, and this was the second highest such increase. Receivables, net, rose 27% (from $883m to $1,121m) while total revenue was essentially flat (down 0.3%, from $6,667m to $6,648m — 2024's revenue presentation was also broken out into base/incentive/franchise fee lines, but is comparable to the total). This resulted in a significant increase in Receivable Days from 47.0 to 55.0 days. Payable Days were little changed (28.5 to 28.2 days). When the balance of receivables is increasing significantly faster than revenue, and there is no corresponding increase in payables, it is a number that is worth watching, as it may be an indicator of increased revenue from higher margin but slower-paying customers (such as incentive management fees, which may be billed but not collected as quickly as franchise fees), longer customer/owner payment terms, or a receivables build-up that may signal collection risk. It is not necessarily a negative or a red flag for a well-capitalized institutional hotel owner customer of a hotel manager/franchisor, but it is the standout driver of the 2024 increase and would be a first place to look for further investigation, e.g. the receivables ageing note, if disclosed</w:t>
      </w:r>
      <w:r w:rsidR="0038472E" w:rsidRPr="000D16B1">
        <w:rPr>
          <w:rFonts w:cs="Arial"/>
        </w:rPr>
        <w:t xml:space="preserve"> </w:t>
      </w:r>
      <w:r w:rsidR="0038472E" w:rsidRPr="000D16B1">
        <w:rPr>
          <w:rFonts w:cs="Arial"/>
        </w:rPr>
        <w:fldChar w:fldCharType="begin" w:fldLock="1"/>
      </w:r>
      <w:r w:rsidR="00C34C32" w:rsidRPr="000D16B1">
        <w:rPr>
          <w:rFonts w:cs="Arial"/>
        </w:rPr>
        <w:instrText>ADDIN CSL_CITATION {"citationItems":[{"id":"ITEM-1","itemData":{"ISSN":"18104967","abstract":"This paper investigates the determinants of working capital management in the Indian hotel sector, focusing on factors influencing financial efficiency and sustainability. Using a dynamic panel model, the study analyzes data from 67 publicly listed Indian hotels over ten years from 2013 to 2022. The data were obtained from the Refinitiv database, the World Bank, and the Sustainable Development Index. The system generalized method of moments estimator was applied to ensure the robustness of results. The study results indicate that firm-specific factors, including return on assets, leverage, asset tangibility, and board structure, significantly impact working capital needs. Additionally, macroeconomic elements such as GDP play a crucial role in shaping working capital management. A notable positive relationship was identified between return on assets and working capital requirements. Conversely, leverage exhibited a strong negative association with working capital needs. These results emphasize the importance of both internal financial characteristics and broader economic conditions in effective working capital management. The study highlights the importance of integrating governance and economic conditions into working capital management strategies.","author":[{"dropping-particle":"","family":"Sharma","given":"Pooja","non-dropping-particle":"","parse-names":false,"suffix":""},{"dropping-particle":"","family":"Kumar Mehta","given":"Sushil","non-dropping-particle":"","parse-names":false,"suffix":""},{"dropping-particle":"","family":"Dsouza","given":"Suzan","non-dropping-particle":"","parse-names":false,"suffix":""},{"dropping-particle":"","family":"AlKhawaja","given":"Abdallah","non-dropping-particle":"","parse-names":false,"suffix":""}],"container-title":"Investment Management and Financial Innovations","id":"ITEM-1","issue":"2","issued":{"date-parts":[["2025","4","9"]]},"page":"47-64","title":"Drivers of working capital efficiency in Indian hospitality sector","type":"article-journal","volume":"22"},"uris":["http://www.mendeley.com/documents/?uuid=9f62c9ef-c08d-46ae-86af-61375111a11e"]}],"mendeley":{"formattedCitation":"(Sharma &lt;i&gt;et al.&lt;/i&gt;, 2025)","plainTextFormattedCitation":"(Sharma et al., 2025)","previouslyFormattedCitation":"(Sharma &lt;i&gt;et al.&lt;/i&gt;, 2025)"},"properties":{"noteIndex":0},"schema":"https://github.com/citation-style-language/schema/raw/master/csl-citation.json"}</w:instrText>
      </w:r>
      <w:r w:rsidR="0038472E" w:rsidRPr="000D16B1">
        <w:rPr>
          <w:rFonts w:cs="Arial"/>
        </w:rPr>
        <w:fldChar w:fldCharType="separate"/>
      </w:r>
      <w:r w:rsidR="0038472E" w:rsidRPr="000D16B1">
        <w:rPr>
          <w:rFonts w:cs="Arial"/>
          <w:noProof/>
        </w:rPr>
        <w:t xml:space="preserve">(Sharma </w:t>
      </w:r>
      <w:r w:rsidR="0038472E" w:rsidRPr="000D16B1">
        <w:rPr>
          <w:rFonts w:cs="Arial"/>
          <w:i/>
          <w:noProof/>
        </w:rPr>
        <w:t>et al.</w:t>
      </w:r>
      <w:r w:rsidR="0038472E" w:rsidRPr="000D16B1">
        <w:rPr>
          <w:rFonts w:cs="Arial"/>
          <w:noProof/>
        </w:rPr>
        <w:t>, 2025)</w:t>
      </w:r>
      <w:r w:rsidR="0038472E" w:rsidRPr="000D16B1">
        <w:rPr>
          <w:rFonts w:cs="Arial"/>
        </w:rPr>
        <w:fldChar w:fldCharType="end"/>
      </w:r>
      <w:r w:rsidR="00EC3E1D" w:rsidRPr="000D16B1">
        <w:rPr>
          <w:rFonts w:cs="Arial"/>
        </w:rPr>
        <w:t>.</w:t>
      </w:r>
    </w:p>
    <w:p w14:paraId="06D74ED5" w14:textId="77777777" w:rsidR="00EC3E1D" w:rsidRPr="000D16B1" w:rsidRDefault="00EC3E1D" w:rsidP="000D16B1">
      <w:pPr>
        <w:spacing w:line="360" w:lineRule="auto"/>
        <w:rPr>
          <w:rFonts w:cs="Arial"/>
          <w:b/>
          <w:bCs/>
        </w:rPr>
      </w:pPr>
      <w:r w:rsidRPr="000D16B1">
        <w:rPr>
          <w:rFonts w:cs="Arial"/>
          <w:b/>
          <w:bCs/>
        </w:rPr>
        <w:t>Overall pattern across 2020–2024</w:t>
      </w:r>
    </w:p>
    <w:p w14:paraId="0CF7F635" w14:textId="77777777" w:rsidR="00EC3E1D" w:rsidRPr="000D16B1" w:rsidRDefault="00EC3E1D" w:rsidP="000D16B1">
      <w:pPr>
        <w:spacing w:after="160" w:line="360" w:lineRule="auto"/>
        <w:rPr>
          <w:rFonts w:cs="Arial"/>
        </w:rPr>
      </w:pPr>
      <w:r w:rsidRPr="000D16B1">
        <w:rPr>
          <w:rFonts w:cs="Arial"/>
        </w:rPr>
        <w:t>Inventory Days are immaterial throughout (never exceeding 1.5 days) because Hyatt is an asset-light hotel manager/franchisor rather than a goods business — this is expected and not a point of concern. The larger story is: (1) a sharp, acquisition- and recovery-driven improvement in cash conversion from 2020 to 2022, followed by (2) a steady give-back of that improvement in 2023–2024, driven almost entirely by receivables growing faster than revenue while payables stayed roughly flat. By 2024, the CCC (27.4 days) remained well below the 2020 pandemic-distorted peak (49.5 days) but had reversed more than two-thirds of the 2020–2022 improvement.</w:t>
      </w:r>
    </w:p>
    <w:p w14:paraId="1FAD04E8" w14:textId="77777777" w:rsidR="00EC3E1D" w:rsidRPr="000D16B1" w:rsidRDefault="00EC3E1D" w:rsidP="000D16B1">
      <w:pPr>
        <w:pStyle w:val="Heading1"/>
        <w:spacing w:line="360" w:lineRule="auto"/>
        <w:rPr>
          <w:rFonts w:cs="Arial"/>
        </w:rPr>
      </w:pPr>
      <w:bookmarkStart w:id="18" w:name="_Toc237455750"/>
      <w:r w:rsidRPr="000D16B1">
        <w:rPr>
          <w:rFonts w:cs="Arial"/>
        </w:rPr>
        <w:t>9. Caveats</w:t>
      </w:r>
      <w:bookmarkEnd w:id="18"/>
    </w:p>
    <w:p w14:paraId="4BA1EDDB" w14:textId="6326576F" w:rsidR="00EC3E1D" w:rsidRPr="000D16B1" w:rsidRDefault="00D96462" w:rsidP="000D16B1">
      <w:pPr>
        <w:spacing w:line="360" w:lineRule="auto"/>
        <w:rPr>
          <w:rFonts w:cs="Arial"/>
        </w:rPr>
      </w:pPr>
      <w:r w:rsidRPr="00D96462">
        <w:rPr>
          <w:rFonts w:cs="Arial"/>
        </w:rPr>
        <w:lastRenderedPageBreak/>
        <w:t>If COGS is not separately disclosed, "direct and selling, general &amp; administrative expenses" can be used and the direction of travel (the change in day-counts year-to-year) would not be affected by the proxy, as the same proxy would be used for all five years (e.g. total costs and expenses including D&amp;A and reimbursed costs, depending on the nature of the item)</w:t>
      </w:r>
      <w:r>
        <w:rPr>
          <w:rFonts w:cs="Arial"/>
        </w:rPr>
        <w:t xml:space="preserve"> </w:t>
      </w:r>
      <w:r w:rsidR="00C34C32" w:rsidRPr="000D16B1">
        <w:rPr>
          <w:rFonts w:cs="Arial"/>
        </w:rPr>
        <w:fldChar w:fldCharType="begin" w:fldLock="1"/>
      </w:r>
      <w:r w:rsidR="00C34C32" w:rsidRPr="000D16B1">
        <w:rPr>
          <w:rFonts w:cs="Arial"/>
        </w:rPr>
        <w:instrText>ADDIN CSL_CITATION {"citationItems":[{"id":"ITEM-1","itemData":{"author":[{"dropping-particle":"","family":"Berg","given":"Terje","non-dropping-particle":"","parse-names":false,"suffix":""},{"dropping-particle":"","family":"Gustafsson","given":"Emil","non-dropping-particle":"","parse-names":false,"suffix":""},{"dropping-particle":"","family":"Wahlstrøm","given":"Ranik Raaen","non-dropping-particle":"","parse-names":false,"suffix":""}],"id":"ITEM-1","issued":{"date-parts":[["2024"]]},"title":"Cost management and working capital management: ebony and ivory in perfect harmony?","type":"article-journal"},"uris":["http://www.mendeley.com/documents/?uuid=3f8cb27d-248d-4f1c-a61b-0a6e08c94035"]}],"mendeley":{"formattedCitation":"(Berg, Gustafsson and Wahlstrøm, 2024)","plainTextFormattedCitation":"(Berg, Gustafsson and Wahlstrøm, 2024)","previouslyFormattedCitation":"(Berg, Gustafsson and Wahlstrøm, 2024)"},"properties":{"noteIndex":0},"schema":"https://github.com/citation-style-language/schema/raw/master/csl-citation.json"}</w:instrText>
      </w:r>
      <w:r w:rsidR="00C34C32" w:rsidRPr="000D16B1">
        <w:rPr>
          <w:rFonts w:cs="Arial"/>
        </w:rPr>
        <w:fldChar w:fldCharType="separate"/>
      </w:r>
      <w:r w:rsidR="00C34C32" w:rsidRPr="000D16B1">
        <w:rPr>
          <w:rFonts w:cs="Arial"/>
          <w:noProof/>
        </w:rPr>
        <w:t>(Berg, Gustafsson and Wahlstrøm, 2024)</w:t>
      </w:r>
      <w:r w:rsidR="00C34C32" w:rsidRPr="000D16B1">
        <w:rPr>
          <w:rFonts w:cs="Arial"/>
        </w:rPr>
        <w:fldChar w:fldCharType="end"/>
      </w:r>
      <w:r w:rsidR="00EC3E1D" w:rsidRPr="000D16B1">
        <w:rPr>
          <w:rFonts w:cs="Arial"/>
        </w:rPr>
        <w:t>.</w:t>
      </w:r>
    </w:p>
    <w:p w14:paraId="1C36F647" w14:textId="77777777" w:rsidR="00D96462" w:rsidRPr="00D96462" w:rsidRDefault="00D96462" w:rsidP="00D96462">
      <w:pPr>
        <w:spacing w:line="360" w:lineRule="auto"/>
        <w:rPr>
          <w:rFonts w:cs="Arial"/>
        </w:rPr>
      </w:pPr>
      <w:r w:rsidRPr="00D96462">
        <w:rPr>
          <w:rFonts w:cs="Arial"/>
        </w:rPr>
        <w:t>Direct/SG&amp;A expenses in 2023 are as originally disclosed in the FY2023 10-K ($6,362m) and have been restated in the FY2024 10-K's comparative column to $6,378m due to a minor classification of expenses. The difference is not significant for the CCC (≈0.1 days).</w:t>
      </w:r>
    </w:p>
    <w:p w14:paraId="02767723" w14:textId="0392CB3A" w:rsidR="00EC3E1D" w:rsidRPr="000D16B1" w:rsidRDefault="00D96462" w:rsidP="00D96462">
      <w:pPr>
        <w:spacing w:line="360" w:lineRule="auto"/>
        <w:rPr>
          <w:rFonts w:cs="Arial"/>
        </w:rPr>
      </w:pPr>
      <w:r w:rsidRPr="00D96462">
        <w:rPr>
          <w:rFonts w:cs="Arial"/>
        </w:rPr>
        <w:t>Receivables has been presented net of the allowance for doubtful accounts in all years following Hyatt's balance sheet presentation</w:t>
      </w:r>
      <w:r w:rsidR="00EC3E1D" w:rsidRPr="000D16B1">
        <w:rPr>
          <w:rFonts w:cs="Arial"/>
        </w:rPr>
        <w:t>.</w:t>
      </w:r>
    </w:p>
    <w:p w14:paraId="15C52C12" w14:textId="77777777" w:rsidR="005F204F" w:rsidRPr="000D16B1" w:rsidRDefault="005F204F" w:rsidP="000D16B1">
      <w:pPr>
        <w:spacing w:line="360" w:lineRule="auto"/>
        <w:rPr>
          <w:rFonts w:cs="Arial"/>
        </w:rPr>
      </w:pPr>
    </w:p>
    <w:p w14:paraId="4838646A" w14:textId="77777777" w:rsidR="00EC3E1D" w:rsidRPr="000D16B1" w:rsidRDefault="00EC3E1D" w:rsidP="000D16B1">
      <w:pPr>
        <w:spacing w:line="360" w:lineRule="auto"/>
        <w:rPr>
          <w:rFonts w:cs="Arial"/>
        </w:rPr>
      </w:pPr>
    </w:p>
    <w:p w14:paraId="367117FE" w14:textId="77777777" w:rsidR="005F4A9E" w:rsidRPr="000D16B1" w:rsidRDefault="005F4A9E" w:rsidP="000D16B1">
      <w:pPr>
        <w:pStyle w:val="Heading1"/>
        <w:spacing w:line="360" w:lineRule="auto"/>
        <w:rPr>
          <w:rFonts w:cs="Arial"/>
        </w:rPr>
      </w:pPr>
      <w:bookmarkStart w:id="19" w:name="_Toc237455751"/>
      <w:r w:rsidRPr="000D16B1">
        <w:rPr>
          <w:rFonts w:cs="Arial"/>
        </w:rPr>
        <w:t>AI Use Reflective Piece</w:t>
      </w:r>
      <w:bookmarkEnd w:id="19"/>
    </w:p>
    <w:p w14:paraId="2BB22AD0" w14:textId="77777777" w:rsidR="005F4A9E" w:rsidRPr="000D16B1" w:rsidRDefault="005F4A9E" w:rsidP="000D16B1">
      <w:pPr>
        <w:pStyle w:val="Heading2"/>
        <w:spacing w:line="360" w:lineRule="auto"/>
        <w:rPr>
          <w:rFonts w:cs="Arial"/>
        </w:rPr>
      </w:pPr>
      <w:bookmarkStart w:id="20" w:name="_Toc237455752"/>
      <w:r w:rsidRPr="000D16B1">
        <w:rPr>
          <w:rFonts w:cs="Arial"/>
        </w:rPr>
        <w:t>Tool Disclosure</w:t>
      </w:r>
      <w:bookmarkEnd w:id="20"/>
    </w:p>
    <w:p w14:paraId="6D214899" w14:textId="4F02911F" w:rsidR="005F4A9E" w:rsidRPr="000D16B1" w:rsidRDefault="00D96462" w:rsidP="000D16B1">
      <w:pPr>
        <w:spacing w:line="360" w:lineRule="auto"/>
        <w:rPr>
          <w:rFonts w:cs="Arial"/>
        </w:rPr>
      </w:pPr>
      <w:r w:rsidRPr="00D96462">
        <w:rPr>
          <w:rFonts w:cs="Arial"/>
        </w:rPr>
        <w:t xml:space="preserve">Throughout Weeks 2-9 of my Independent Study, Claude.ai was my main AI tool for assisting me in </w:t>
      </w:r>
      <w:proofErr w:type="spellStart"/>
      <w:r w:rsidRPr="00D96462">
        <w:rPr>
          <w:rFonts w:cs="Arial"/>
        </w:rPr>
        <w:t>analyzing</w:t>
      </w:r>
      <w:proofErr w:type="spellEnd"/>
      <w:r w:rsidRPr="00D96462">
        <w:rPr>
          <w:rFonts w:cs="Arial"/>
        </w:rPr>
        <w:t xml:space="preserve"> company annual reports. My use of the tool changed in complexity during the time of the study. Earlier in the week, I gave Claude only the task of extracting and consolidating data, and let it analyse 5 years of annual reports, summarising data on the balance sheet and providing profitability, liquidity, efficiency and leverage ratios with hyperlinks back to the originating annual reports. My prompts were gradually more challenging as the study went on: calculate a range of key financial ratios for the last 10 years for at least 4 categories, calculate investment and cash-flow ratios, compare my company with 2 to 3 competitors or industry average, work out cash conversion cycle with all workings, and finally, create a complete model in Excel for investment appraisal involving 3 capital projects using Payback Period, ARR, NPV and Profitability Index and IRR. I believe that each of these interactions is captured showing what prompt the AI has used to help me with my independent study, and that's a really transparent and traceable record in my opinion of where and when the AI has helped me with my independent study</w:t>
      </w:r>
      <w:r w:rsidR="005F4A9E" w:rsidRPr="000D16B1">
        <w:rPr>
          <w:rFonts w:cs="Arial"/>
        </w:rPr>
        <w:t>.</w:t>
      </w:r>
    </w:p>
    <w:p w14:paraId="30EB0A06" w14:textId="77777777" w:rsidR="005F4A9E" w:rsidRPr="000D16B1" w:rsidRDefault="005F4A9E" w:rsidP="000D16B1">
      <w:pPr>
        <w:pStyle w:val="Heading2"/>
        <w:spacing w:line="360" w:lineRule="auto"/>
        <w:rPr>
          <w:rFonts w:cs="Arial"/>
        </w:rPr>
      </w:pPr>
      <w:bookmarkStart w:id="21" w:name="_Toc237455753"/>
      <w:r w:rsidRPr="000D16B1">
        <w:rPr>
          <w:rFonts w:cs="Arial"/>
        </w:rPr>
        <w:t>Critical Evaluation of AI Output</w:t>
      </w:r>
      <w:bookmarkEnd w:id="21"/>
    </w:p>
    <w:p w14:paraId="43EC4625" w14:textId="23F2EE94" w:rsidR="005F4A9E" w:rsidRPr="000D16B1" w:rsidRDefault="00D96462" w:rsidP="000D16B1">
      <w:pPr>
        <w:spacing w:line="360" w:lineRule="auto"/>
        <w:rPr>
          <w:rFonts w:cs="Arial"/>
        </w:rPr>
      </w:pPr>
      <w:r w:rsidRPr="00D96462">
        <w:rPr>
          <w:rFonts w:cs="Arial"/>
        </w:rPr>
        <w:t xml:space="preserve">I did not take anything created by AI as gospel. In order to make the ratio calculations, I specifically instruct Claude to recheck its working out and I pick a sample of the calculations and work them out by hand and against the source data in the annual report to ensure accuracy (this is particularly important for ratio analysis calculations where any number could be used for any </w:t>
      </w:r>
      <w:r w:rsidRPr="00D96462">
        <w:rPr>
          <w:rFonts w:cs="Arial"/>
        </w:rPr>
        <w:lastRenderedPageBreak/>
        <w:t xml:space="preserve">calculation, for example, debt includes/or excludes leases in gearing; this could make a significant difference to the results). I cross-checked the consolidated figures with the original pdfs to ensure that all line items were classified consistently year-over-year for the 5-year combined balance sheet, as it is easy to get the direction of classification wrong in this sort of exercise. On the Excel investment </w:t>
      </w:r>
      <w:proofErr w:type="gramStart"/>
      <w:r w:rsidRPr="00D96462">
        <w:rPr>
          <w:rFonts w:cs="Arial"/>
        </w:rPr>
        <w:t>model</w:t>
      </w:r>
      <w:proofErr w:type="gramEnd"/>
      <w:r w:rsidRPr="00D96462">
        <w:rPr>
          <w:rFonts w:cs="Arial"/>
        </w:rPr>
        <w:t xml:space="preserve"> I checked the formulas, not only the results, to confirm that the rows for the discount rate and cash flows were correct, and I sense-checked the project recommendation by considering the trade-off between the one with a high payoff in the later years (Project C) and the one with steady payoffs over the years (Project B). I checked that the AI's labels of 'reasons' for the ratio changes were generic; I went and looked on the annual reports and added company specific reasons, rather than taking the AI's commentaries at face value</w:t>
      </w:r>
      <w:r>
        <w:rPr>
          <w:rFonts w:cs="Arial"/>
        </w:rPr>
        <w:t xml:space="preserve"> </w:t>
      </w:r>
      <w:r w:rsidR="00C34C32" w:rsidRPr="000D16B1">
        <w:rPr>
          <w:rFonts w:cs="Arial"/>
        </w:rPr>
        <w:fldChar w:fldCharType="begin" w:fldLock="1"/>
      </w:r>
      <w:r w:rsidR="00C34C32" w:rsidRPr="000D16B1">
        <w:rPr>
          <w:rFonts w:cs="Arial"/>
        </w:rPr>
        <w:instrText>ADDIN CSL_CITATION {"citationItems":[{"id":"ITEM-1","itemData":{"author":[{"dropping-particle":"","family":"Chen","given":"Yuemin","non-dropping-particle":"","parse-names":false,"suffix":""},{"dropping-particle":"","family":"Wu","given":"Feifan","non-dropping-particle":"","parse-names":false,"suffix":""},{"dropping-particle":"","family":"Wang","given":"Jingwei","non-dropping-particle":"","parse-names":false,"suffix":""},{"dropping-particle":"","family":"Qian","given":"Hao","non-dropping-particle":"","parse-names":false,"suffix":""},{"dropping-particle":"","family":"Liu","given":"Ziqi","non-dropping-particle":"","parse-names":false,"suffix":""},{"dropping-particle":"","family":"Zhang","given":"Zhiqiang","non-dropping-particle":"","parse-names":false,"suffix":""},{"dropping-particle":"","family":"Zhou","given":"Jun","non-dropping-particle":"","parse-names":false,"suffix":""},{"dropping-particle":"","family":"Wang","given":"Meng","non-dropping-particle":"","parse-names":false,"suffix":""}],"container-title":"Proceedings of the 2024 Conference on Empirical Methods in Natural Language Processing: Industry Track","id":"ITEM-1","issued":{"date-parts":[["2024"]]},"page":"1207-1217","publisher":"Association for Computational Linguistics","publisher-place":"Stroudsburg, PA, USA","title":"Knowledge-augmented Financial Market Analysis and Report Generation","type":"paper-conference"},"uris":["http://www.mendeley.com/documents/?uuid=3648d5d8-2b19-444c-8e10-9628cd06bace"]}],"mendeley":{"formattedCitation":"(Chen &lt;i&gt;et al.&lt;/i&gt;, 2024)","plainTextFormattedCitation":"(Chen et al., 2024)","previouslyFormattedCitation":"(Chen &lt;i&gt;et al.&lt;/i&gt;, 2024)"},"properties":{"noteIndex":0},"schema":"https://github.com/citation-style-language/schema/raw/master/csl-citation.json"}</w:instrText>
      </w:r>
      <w:r w:rsidR="00C34C32" w:rsidRPr="000D16B1">
        <w:rPr>
          <w:rFonts w:cs="Arial"/>
        </w:rPr>
        <w:fldChar w:fldCharType="separate"/>
      </w:r>
      <w:r w:rsidR="00C34C32" w:rsidRPr="000D16B1">
        <w:rPr>
          <w:rFonts w:cs="Arial"/>
          <w:noProof/>
        </w:rPr>
        <w:t xml:space="preserve">(Chen </w:t>
      </w:r>
      <w:r w:rsidR="00C34C32" w:rsidRPr="000D16B1">
        <w:rPr>
          <w:rFonts w:cs="Arial"/>
          <w:i/>
          <w:noProof/>
        </w:rPr>
        <w:t>et al.</w:t>
      </w:r>
      <w:r w:rsidR="00C34C32" w:rsidRPr="000D16B1">
        <w:rPr>
          <w:rFonts w:cs="Arial"/>
          <w:noProof/>
        </w:rPr>
        <w:t>, 2024)</w:t>
      </w:r>
      <w:r w:rsidR="00C34C32" w:rsidRPr="000D16B1">
        <w:rPr>
          <w:rFonts w:cs="Arial"/>
        </w:rPr>
        <w:fldChar w:fldCharType="end"/>
      </w:r>
      <w:r w:rsidR="005F4A9E" w:rsidRPr="000D16B1">
        <w:rPr>
          <w:rFonts w:cs="Arial"/>
        </w:rPr>
        <w:t>.</w:t>
      </w:r>
    </w:p>
    <w:p w14:paraId="5A4BDB99" w14:textId="77777777" w:rsidR="005F4A9E" w:rsidRPr="000D16B1" w:rsidRDefault="005F4A9E" w:rsidP="000D16B1">
      <w:pPr>
        <w:pStyle w:val="Heading2"/>
        <w:spacing w:line="360" w:lineRule="auto"/>
        <w:rPr>
          <w:rFonts w:cs="Arial"/>
        </w:rPr>
      </w:pPr>
      <w:bookmarkStart w:id="22" w:name="_Toc237455754"/>
      <w:r w:rsidRPr="000D16B1">
        <w:rPr>
          <w:rFonts w:cs="Arial"/>
        </w:rPr>
        <w:t>Contribution Analysis</w:t>
      </w:r>
      <w:bookmarkEnd w:id="22"/>
    </w:p>
    <w:p w14:paraId="2B345479" w14:textId="4025081B" w:rsidR="005F4A9E" w:rsidRPr="000D16B1" w:rsidRDefault="00D96462" w:rsidP="000D16B1">
      <w:pPr>
        <w:spacing w:after="200" w:line="360" w:lineRule="auto"/>
        <w:jc w:val="both"/>
        <w:rPr>
          <w:rFonts w:cs="Arial"/>
        </w:rPr>
      </w:pPr>
      <w:r w:rsidRPr="00D96462">
        <w:rPr>
          <w:rFonts w:cs="Arial"/>
        </w:rPr>
        <w:t>That meant that AI took care of the mechanical and repetitive parts of the work: pulling out the figures from several very long PDFs, doing repetitive calculations based on a formula over five years, and table formatting and output creation. Determined which competitor and benchmarks were relevant, judged which changes in ratios were good or bad given the company's strategy and made the final decision on which set of projects to recommend for implementation, as shown in the capital rationing situation. I'd say that a large portion of the data processing and/or drafting was done by AI, my interpretation and verification (and last-ditch judgement, of course) amounted to the rest. This segment implied that AI was doing its work as an efficiency instrument to carry out volume and computation, not as a replacement for monetary considering</w:t>
      </w:r>
      <w:r w:rsidR="00C34C32" w:rsidRPr="000D16B1">
        <w:rPr>
          <w:rFonts w:cs="Arial"/>
        </w:rPr>
        <w:t xml:space="preserve"> </w:t>
      </w:r>
      <w:r w:rsidR="00C34C32" w:rsidRPr="000D16B1">
        <w:rPr>
          <w:rFonts w:cs="Arial"/>
        </w:rPr>
        <w:fldChar w:fldCharType="begin" w:fldLock="1"/>
      </w:r>
      <w:r w:rsidR="00C34C32" w:rsidRPr="000D16B1">
        <w:rPr>
          <w:rFonts w:cs="Arial"/>
        </w:rPr>
        <w:instrText>ADDIN CSL_CITATION {"citationItems":[{"id":"ITEM-1","itemData":{"author":[{"dropping-particle":"","family":"Sachan","given":"Swati","non-dropping-particle":"","parse-names":false,"suffix":""},{"dropping-particle":"","family":"Almaghrabi","given":"Fatima","non-dropping-particle":"","parse-names":false,"suffix":""},{"dropping-particle":"","family":"Yang","given":"Jian-Bo","non-dropping-particle":"","parse-names":false,"suffix":""},{"dropping-particle":"","family":"Xu","given":"Dong-Ling","non-dropping-particle":"","parse-names":false,"suffix":""}],"id":"ITEM-1","issued":{"date-parts":[["2024"]]},"title":"Human-AI collaboration to mitigate decision noise in financial underwriting: A study on FinTech innovation in a lending firm","type":"article-journal"},"uris":["http://www.mendeley.com/documents/?uuid=2c122ac5-59b4-46a9-9853-515de23c1ab1"]}],"mendeley":{"formattedCitation":"(Sachan &lt;i&gt;et al.&lt;/i&gt;, 2024)","plainTextFormattedCitation":"(Sachan et al., 2024)","previouslyFormattedCitation":"(Sachan &lt;i&gt;et al.&lt;/i&gt;, 2024)"},"properties":{"noteIndex":0},"schema":"https://github.com/citation-style-language/schema/raw/master/csl-citation.json"}</w:instrText>
      </w:r>
      <w:r w:rsidR="00C34C32" w:rsidRPr="000D16B1">
        <w:rPr>
          <w:rFonts w:cs="Arial"/>
        </w:rPr>
        <w:fldChar w:fldCharType="separate"/>
      </w:r>
      <w:r w:rsidR="00C34C32" w:rsidRPr="000D16B1">
        <w:rPr>
          <w:rFonts w:cs="Arial"/>
          <w:noProof/>
        </w:rPr>
        <w:t xml:space="preserve">(Sachan </w:t>
      </w:r>
      <w:r w:rsidR="00C34C32" w:rsidRPr="000D16B1">
        <w:rPr>
          <w:rFonts w:cs="Arial"/>
          <w:i/>
          <w:noProof/>
        </w:rPr>
        <w:t>et al.</w:t>
      </w:r>
      <w:r w:rsidR="00C34C32" w:rsidRPr="000D16B1">
        <w:rPr>
          <w:rFonts w:cs="Arial"/>
          <w:noProof/>
        </w:rPr>
        <w:t>, 2024)</w:t>
      </w:r>
      <w:r w:rsidR="00C34C32" w:rsidRPr="000D16B1">
        <w:rPr>
          <w:rFonts w:cs="Arial"/>
        </w:rPr>
        <w:fldChar w:fldCharType="end"/>
      </w:r>
      <w:r w:rsidR="005F4A9E" w:rsidRPr="000D16B1">
        <w:rPr>
          <w:rFonts w:cs="Arial"/>
        </w:rPr>
        <w:t>.</w:t>
      </w:r>
    </w:p>
    <w:p w14:paraId="11998246" w14:textId="77777777" w:rsidR="005F4A9E" w:rsidRPr="000D16B1" w:rsidRDefault="005F4A9E" w:rsidP="000D16B1">
      <w:pPr>
        <w:pStyle w:val="Heading2"/>
        <w:spacing w:line="360" w:lineRule="auto"/>
        <w:rPr>
          <w:rFonts w:cs="Arial"/>
        </w:rPr>
      </w:pPr>
      <w:bookmarkStart w:id="23" w:name="_Toc237455755"/>
      <w:r w:rsidRPr="000D16B1">
        <w:rPr>
          <w:rFonts w:cs="Arial"/>
        </w:rPr>
        <w:t>Ethical &amp; Professional Reflection</w:t>
      </w:r>
      <w:bookmarkEnd w:id="23"/>
    </w:p>
    <w:p w14:paraId="49276283" w14:textId="19E1148F" w:rsidR="005F4A9E" w:rsidRPr="000D16B1" w:rsidRDefault="00D96462" w:rsidP="000D16B1">
      <w:pPr>
        <w:spacing w:after="200" w:line="360" w:lineRule="auto"/>
        <w:jc w:val="both"/>
        <w:rPr>
          <w:rFonts w:cs="Arial"/>
        </w:rPr>
      </w:pPr>
      <w:r w:rsidRPr="00D96462">
        <w:rPr>
          <w:rFonts w:cs="Arial"/>
        </w:rPr>
        <w:t>With AI doing that, there were a number of things I was aware of the whole time. First, accuracy and academic integrity: Financial figures can be misstated or mis-read using an AI tool, so I always added an extra step of checking any AI helped figure before I put it into my final submission and I have documented every prompt I used so that my process is open to auditing. Second, data handling: that I would be careful to follow if I worked with data which was not publicly available, in this instance the annual reports used were such. Third, over-reliance: the more ‘natural’ and ‘confident’ the AI's recommendations were, the more critical it became not to take something on its face value, such as the project recommendations, which are based on a judgement</w:t>
      </w:r>
      <w:r w:rsidR="00C34C32" w:rsidRPr="000D16B1">
        <w:rPr>
          <w:rFonts w:cs="Arial"/>
        </w:rPr>
        <w:t xml:space="preserve"> </w:t>
      </w:r>
      <w:r w:rsidR="00C34C32" w:rsidRPr="000D16B1">
        <w:rPr>
          <w:rFonts w:cs="Arial"/>
        </w:rPr>
        <w:fldChar w:fldCharType="begin" w:fldLock="1"/>
      </w:r>
      <w:r w:rsidR="00C34C32" w:rsidRPr="000D16B1">
        <w:rPr>
          <w:rFonts w:cs="Arial"/>
        </w:rPr>
        <w:instrText>ADDIN CSL_CITATION {"citationItems":[{"id":"ITEM-1","itemData":{"author":[{"dropping-particle":"","family":"Klingbeil","given":"Artur","non-dropping-particle":"","parse-names":false,"suffix":""},{"dropping-particle":"","family":"Grützner","given":"Cassandra","non-dropping-particle":"","parse-names":false,"suffix":""},{"dropping-particle":"","family":"Schreck","given":"Philipp","non-dropping-particle":"","parse-names":false,"suffix":""}],"id":"ITEM-1","issued":{"date-parts":[["2024"]]},"title":"Trust and reliance on AI — An experimental study on the extent and costs of overreliance on AI","type":"article-journal"},"uris":["http://www.mendeley.com/documents/?uuid=a6379575-c289-4cbb-a126-645dbd65870e"]}],"mendeley":{"formattedCitation":"(Klingbeil, Grützner and Schreck, 2024)","plainTextFormattedCitation":"(Klingbeil, Grützner and Schreck, 2024)","previouslyFormattedCitation":"(Klingbeil, Grützner and Schreck, 2024)"},"properties":{"noteIndex":0},"schema":"https://github.com/citation-style-language/schema/raw/master/csl-citation.json"}</w:instrText>
      </w:r>
      <w:r w:rsidR="00C34C32" w:rsidRPr="000D16B1">
        <w:rPr>
          <w:rFonts w:cs="Arial"/>
        </w:rPr>
        <w:fldChar w:fldCharType="separate"/>
      </w:r>
      <w:r w:rsidR="00C34C32" w:rsidRPr="000D16B1">
        <w:rPr>
          <w:rFonts w:cs="Arial"/>
          <w:noProof/>
        </w:rPr>
        <w:t>(Klingbeil, Grützner and Schreck, 2024)</w:t>
      </w:r>
      <w:r w:rsidR="00C34C32" w:rsidRPr="000D16B1">
        <w:rPr>
          <w:rFonts w:cs="Arial"/>
        </w:rPr>
        <w:fldChar w:fldCharType="end"/>
      </w:r>
      <w:r w:rsidR="005F4A9E" w:rsidRPr="000D16B1">
        <w:rPr>
          <w:rFonts w:cs="Arial"/>
        </w:rPr>
        <w:t xml:space="preserve">. </w:t>
      </w:r>
      <w:r w:rsidRPr="00D96462">
        <w:rPr>
          <w:rFonts w:cs="Arial"/>
        </w:rPr>
        <w:t>Overall, I found that I was able to do a wider analysis because I had the time to do so and disclosed and verified, and critically evaluated, the use of AI left the responsibility for accuracy and the final professional judgement mine</w:t>
      </w:r>
      <w:r w:rsidR="005F4A9E" w:rsidRPr="000D16B1">
        <w:rPr>
          <w:rFonts w:cs="Arial"/>
        </w:rPr>
        <w:t>.</w:t>
      </w:r>
    </w:p>
    <w:p w14:paraId="06FB2671" w14:textId="77777777" w:rsidR="005F4A9E" w:rsidRPr="000D16B1" w:rsidRDefault="005F4A9E" w:rsidP="000D16B1">
      <w:pPr>
        <w:spacing w:line="360" w:lineRule="auto"/>
        <w:rPr>
          <w:rFonts w:cs="Arial"/>
        </w:rPr>
      </w:pPr>
    </w:p>
    <w:p w14:paraId="6BFE7146" w14:textId="77777777" w:rsidR="005F4A9E" w:rsidRPr="000D16B1" w:rsidRDefault="005F4A9E" w:rsidP="000D16B1">
      <w:pPr>
        <w:spacing w:line="360" w:lineRule="auto"/>
        <w:rPr>
          <w:rFonts w:cs="Arial"/>
        </w:rPr>
      </w:pPr>
    </w:p>
    <w:p w14:paraId="1B4C7B6D" w14:textId="77777777" w:rsidR="005F4A9E" w:rsidRPr="000D16B1" w:rsidRDefault="005F4A9E" w:rsidP="000D16B1">
      <w:pPr>
        <w:spacing w:line="360" w:lineRule="auto"/>
        <w:rPr>
          <w:rFonts w:cs="Arial"/>
        </w:rPr>
      </w:pPr>
    </w:p>
    <w:p w14:paraId="6027B4C6" w14:textId="77777777" w:rsidR="005F4A9E" w:rsidRPr="000D16B1" w:rsidRDefault="005F4A9E" w:rsidP="000D16B1">
      <w:pPr>
        <w:spacing w:line="360" w:lineRule="auto"/>
        <w:rPr>
          <w:rFonts w:cs="Arial"/>
        </w:rPr>
      </w:pPr>
    </w:p>
    <w:p w14:paraId="6E4F0843" w14:textId="77777777" w:rsidR="005F4A9E" w:rsidRPr="000D16B1" w:rsidRDefault="005F4A9E" w:rsidP="000D16B1">
      <w:pPr>
        <w:spacing w:line="360" w:lineRule="auto"/>
        <w:rPr>
          <w:rFonts w:cs="Arial"/>
        </w:rPr>
      </w:pPr>
    </w:p>
    <w:p w14:paraId="68FCE79A" w14:textId="77777777" w:rsidR="005F4A9E" w:rsidRPr="000D16B1" w:rsidRDefault="005F4A9E" w:rsidP="000D16B1">
      <w:pPr>
        <w:spacing w:line="360" w:lineRule="auto"/>
        <w:rPr>
          <w:rFonts w:cs="Arial"/>
        </w:rPr>
      </w:pPr>
    </w:p>
    <w:p w14:paraId="494DE320" w14:textId="77777777" w:rsidR="005F4A9E" w:rsidRPr="000D16B1" w:rsidRDefault="005F4A9E" w:rsidP="000D16B1">
      <w:pPr>
        <w:spacing w:line="360" w:lineRule="auto"/>
        <w:rPr>
          <w:rFonts w:cs="Arial"/>
        </w:rPr>
      </w:pPr>
    </w:p>
    <w:p w14:paraId="4C0F16D8" w14:textId="77777777" w:rsidR="005F4A9E" w:rsidRPr="000D16B1" w:rsidRDefault="005F4A9E" w:rsidP="000D16B1">
      <w:pPr>
        <w:spacing w:after="60" w:line="360" w:lineRule="auto"/>
        <w:jc w:val="center"/>
        <w:rPr>
          <w:rFonts w:cs="Arial"/>
        </w:rPr>
      </w:pPr>
      <w:r w:rsidRPr="000D16B1">
        <w:rPr>
          <w:rFonts w:cs="Arial"/>
          <w:b/>
          <w:bCs/>
          <w:color w:val="1F3864"/>
          <w:sz w:val="36"/>
          <w:szCs w:val="36"/>
        </w:rPr>
        <w:t>Hyatt Hotels Corporation (NYSE: H)</w:t>
      </w:r>
    </w:p>
    <w:p w14:paraId="79EC3C99" w14:textId="77777777" w:rsidR="005F4A9E" w:rsidRPr="000D16B1" w:rsidRDefault="005F4A9E" w:rsidP="000D16B1">
      <w:pPr>
        <w:spacing w:after="40" w:line="360" w:lineRule="auto"/>
        <w:jc w:val="center"/>
        <w:rPr>
          <w:rFonts w:cs="Arial"/>
        </w:rPr>
      </w:pPr>
      <w:r w:rsidRPr="000D16B1">
        <w:rPr>
          <w:rFonts w:cs="Arial"/>
          <w:b/>
          <w:bCs/>
          <w:sz w:val="26"/>
          <w:szCs w:val="26"/>
        </w:rPr>
        <w:t>Competitive Financial Ratio Comparison — Fiscal Year 2024</w:t>
      </w:r>
    </w:p>
    <w:p w14:paraId="76DDBB81" w14:textId="77777777" w:rsidR="005F4A9E" w:rsidRPr="000D16B1" w:rsidRDefault="005F4A9E" w:rsidP="000D16B1">
      <w:pPr>
        <w:spacing w:after="300" w:line="360" w:lineRule="auto"/>
        <w:jc w:val="center"/>
        <w:rPr>
          <w:rFonts w:cs="Arial"/>
        </w:rPr>
      </w:pPr>
      <w:r w:rsidRPr="000D16B1">
        <w:rPr>
          <w:rFonts w:cs="Arial"/>
          <w:i/>
          <w:iCs/>
          <w:color w:val="595959"/>
        </w:rPr>
        <w:t>Prepared from company FY2024 10-K / annual report filings for Hyatt, Marriott, Hilton and IHG</w:t>
      </w:r>
    </w:p>
    <w:p w14:paraId="336F42DE" w14:textId="77777777" w:rsidR="005F4A9E" w:rsidRPr="000D16B1" w:rsidRDefault="005F4A9E" w:rsidP="000D16B1">
      <w:pPr>
        <w:pStyle w:val="Heading1"/>
        <w:spacing w:line="360" w:lineRule="auto"/>
        <w:rPr>
          <w:rFonts w:eastAsia="Arial" w:cs="Arial"/>
        </w:rPr>
      </w:pPr>
      <w:bookmarkStart w:id="24" w:name="_Toc237455756"/>
      <w:r w:rsidRPr="000D16B1">
        <w:rPr>
          <w:rFonts w:eastAsia="Arial" w:cs="Arial"/>
        </w:rPr>
        <w:t>1. Introduction</w:t>
      </w:r>
      <w:bookmarkEnd w:id="24"/>
    </w:p>
    <w:p w14:paraId="4E6513FE" w14:textId="77777777" w:rsidR="005F4A9E" w:rsidRPr="000D16B1" w:rsidRDefault="005F4A9E" w:rsidP="000D16B1">
      <w:pPr>
        <w:spacing w:after="160" w:line="360" w:lineRule="auto"/>
        <w:rPr>
          <w:rFonts w:eastAsia="Arial" w:cs="Arial"/>
        </w:rPr>
      </w:pPr>
      <w:r w:rsidRPr="000D16B1">
        <w:rPr>
          <w:rFonts w:cs="Arial"/>
        </w:rPr>
        <w:t>This report compares the fiscal year 2024 financial ratios of Hyatt Hotels Corporation (NYSE: H) against three direct competitors in the global branded-hotel industry: Marriott International (NYSE: MAR), Hilton Worldwide Holdings (NYSE: HLT), and InterContinental Hotels Group (LSE/NYSE: IHG). All four companies operate largely “asset-light”, fee-based franchise and management models, making them appropriate direct competitors for benchmarking purposes. A subscription-based industry database (GlobalData) was not accessible in this environment; the peer figures below are instead drawn from each company’s own FY2024 10-K/annual report and FY2024 earnings releases, which are the primary source documents GlobalData and similar aggregators use to build their own comparisons.</w:t>
      </w:r>
    </w:p>
    <w:p w14:paraId="16BCCCD8" w14:textId="77777777" w:rsidR="005F4A9E" w:rsidRPr="000D16B1" w:rsidRDefault="005F4A9E" w:rsidP="000D16B1">
      <w:pPr>
        <w:spacing w:after="160" w:line="360" w:lineRule="auto"/>
        <w:rPr>
          <w:rFonts w:cs="Arial"/>
        </w:rPr>
      </w:pPr>
      <w:r w:rsidRPr="000D16B1">
        <w:rPr>
          <w:rFonts w:cs="Arial"/>
        </w:rPr>
        <w:t>Ratios are grouped into four categories — liquidity, profitability, leverage, and efficiency — followed by a summary table, a discussion of Hyatt’s relative strengths and weaknesses, and a set of caveats that should be kept in mind when reading the comparison.</w:t>
      </w:r>
    </w:p>
    <w:p w14:paraId="640B3E94" w14:textId="77777777" w:rsidR="005F4A9E" w:rsidRPr="000D16B1" w:rsidRDefault="005F4A9E" w:rsidP="000D16B1">
      <w:pPr>
        <w:pStyle w:val="Heading1"/>
        <w:spacing w:line="360" w:lineRule="auto"/>
        <w:rPr>
          <w:rFonts w:eastAsia="Arial" w:cs="Arial"/>
        </w:rPr>
      </w:pPr>
      <w:bookmarkStart w:id="25" w:name="_Toc237455757"/>
      <w:r w:rsidRPr="000D16B1">
        <w:rPr>
          <w:rFonts w:eastAsia="Arial" w:cs="Arial"/>
        </w:rPr>
        <w:t>2. Summary Ratio Table</w:t>
      </w:r>
      <w:bookmarkEnd w:id="25"/>
    </w:p>
    <w:tbl>
      <w:tblPr>
        <w:tblW w:w="9350" w:type="dxa"/>
        <w:tblBorders>
          <w:top w:val="single" w:sz="4" w:space="0" w:color="BFBFBF"/>
          <w:left w:val="single" w:sz="4" w:space="0" w:color="BFBFBF"/>
          <w:bottom w:val="single" w:sz="4" w:space="0" w:color="BFBFBF"/>
          <w:right w:val="single" w:sz="4" w:space="0" w:color="BFBFBF"/>
          <w:insideH w:val="single" w:sz="2" w:space="0" w:color="D9D9D9"/>
          <w:insideV w:val="single" w:sz="2" w:space="0" w:color="D9D9D9"/>
        </w:tblBorders>
        <w:tblCellMar>
          <w:left w:w="10" w:type="dxa"/>
          <w:right w:w="10" w:type="dxa"/>
        </w:tblCellMar>
        <w:tblLook w:val="04A0" w:firstRow="1" w:lastRow="0" w:firstColumn="1" w:lastColumn="0" w:noHBand="0" w:noVBand="1"/>
      </w:tblPr>
      <w:tblGrid>
        <w:gridCol w:w="2400"/>
        <w:gridCol w:w="1300"/>
        <w:gridCol w:w="1500"/>
        <w:gridCol w:w="1300"/>
        <w:gridCol w:w="1300"/>
        <w:gridCol w:w="1550"/>
      </w:tblGrid>
      <w:tr w:rsidR="005F4A9E" w:rsidRPr="000D16B1" w14:paraId="54A0952F" w14:textId="77777777" w:rsidTr="005F4A9E">
        <w:trPr>
          <w:tblHeader/>
        </w:trPr>
        <w:tc>
          <w:tcPr>
            <w:tcW w:w="2400" w:type="dxa"/>
            <w:tcBorders>
              <w:top w:val="single" w:sz="4" w:space="0" w:color="BFBFBF"/>
              <w:left w:val="single" w:sz="4" w:space="0" w:color="BFBFBF"/>
              <w:bottom w:val="single" w:sz="2" w:space="0" w:color="D9D9D9"/>
              <w:right w:val="single" w:sz="2" w:space="0" w:color="D9D9D9"/>
            </w:tcBorders>
            <w:shd w:val="clear" w:color="auto" w:fill="1F3864"/>
            <w:tcMar>
              <w:top w:w="80" w:type="dxa"/>
              <w:left w:w="100" w:type="dxa"/>
              <w:bottom w:w="80" w:type="dxa"/>
              <w:right w:w="100" w:type="dxa"/>
            </w:tcMar>
            <w:vAlign w:val="center"/>
            <w:hideMark/>
          </w:tcPr>
          <w:p w14:paraId="1E6C91E1" w14:textId="77777777" w:rsidR="005F4A9E" w:rsidRPr="000D16B1" w:rsidRDefault="005F4A9E" w:rsidP="000D16B1">
            <w:pPr>
              <w:spacing w:line="360" w:lineRule="auto"/>
              <w:rPr>
                <w:rFonts w:eastAsia="Arial" w:cs="Arial"/>
              </w:rPr>
            </w:pPr>
            <w:r w:rsidRPr="000D16B1">
              <w:rPr>
                <w:rFonts w:cs="Arial"/>
                <w:b/>
                <w:bCs/>
                <w:color w:val="FFFFFF"/>
              </w:rPr>
              <w:t>Ratio</w:t>
            </w:r>
          </w:p>
        </w:tc>
        <w:tc>
          <w:tcPr>
            <w:tcW w:w="1300" w:type="dxa"/>
            <w:tcBorders>
              <w:top w:val="single" w:sz="4" w:space="0" w:color="BFBFBF"/>
              <w:left w:val="single" w:sz="2" w:space="0" w:color="D9D9D9"/>
              <w:bottom w:val="single" w:sz="2" w:space="0" w:color="D9D9D9"/>
              <w:right w:val="single" w:sz="2" w:space="0" w:color="D9D9D9"/>
            </w:tcBorders>
            <w:shd w:val="clear" w:color="auto" w:fill="1F3864"/>
            <w:tcMar>
              <w:top w:w="80" w:type="dxa"/>
              <w:left w:w="100" w:type="dxa"/>
              <w:bottom w:w="80" w:type="dxa"/>
              <w:right w:w="100" w:type="dxa"/>
            </w:tcMar>
            <w:vAlign w:val="center"/>
            <w:hideMark/>
          </w:tcPr>
          <w:p w14:paraId="46251D9C" w14:textId="77777777" w:rsidR="005F4A9E" w:rsidRPr="000D16B1" w:rsidRDefault="005F4A9E" w:rsidP="000D16B1">
            <w:pPr>
              <w:spacing w:line="360" w:lineRule="auto"/>
              <w:jc w:val="center"/>
              <w:rPr>
                <w:rFonts w:cs="Arial"/>
              </w:rPr>
            </w:pPr>
            <w:r w:rsidRPr="000D16B1">
              <w:rPr>
                <w:rFonts w:cs="Arial"/>
                <w:b/>
                <w:bCs/>
                <w:color w:val="FFFFFF"/>
              </w:rPr>
              <w:t>Hyatt (H)</w:t>
            </w:r>
          </w:p>
        </w:tc>
        <w:tc>
          <w:tcPr>
            <w:tcW w:w="1500" w:type="dxa"/>
            <w:tcBorders>
              <w:top w:val="single" w:sz="4" w:space="0" w:color="BFBFBF"/>
              <w:left w:val="single" w:sz="2" w:space="0" w:color="D9D9D9"/>
              <w:bottom w:val="single" w:sz="2" w:space="0" w:color="D9D9D9"/>
              <w:right w:val="single" w:sz="2" w:space="0" w:color="D9D9D9"/>
            </w:tcBorders>
            <w:shd w:val="clear" w:color="auto" w:fill="1F3864"/>
            <w:tcMar>
              <w:top w:w="80" w:type="dxa"/>
              <w:left w:w="100" w:type="dxa"/>
              <w:bottom w:w="80" w:type="dxa"/>
              <w:right w:w="100" w:type="dxa"/>
            </w:tcMar>
            <w:vAlign w:val="center"/>
            <w:hideMark/>
          </w:tcPr>
          <w:p w14:paraId="18EDBE58" w14:textId="77777777" w:rsidR="005F4A9E" w:rsidRPr="000D16B1" w:rsidRDefault="005F4A9E" w:rsidP="000D16B1">
            <w:pPr>
              <w:spacing w:line="360" w:lineRule="auto"/>
              <w:jc w:val="center"/>
              <w:rPr>
                <w:rFonts w:cs="Arial"/>
              </w:rPr>
            </w:pPr>
            <w:r w:rsidRPr="000D16B1">
              <w:rPr>
                <w:rFonts w:cs="Arial"/>
                <w:b/>
                <w:bCs/>
                <w:color w:val="FFFFFF"/>
              </w:rPr>
              <w:t>Marriott (MAR)</w:t>
            </w:r>
          </w:p>
        </w:tc>
        <w:tc>
          <w:tcPr>
            <w:tcW w:w="1300" w:type="dxa"/>
            <w:tcBorders>
              <w:top w:val="single" w:sz="4" w:space="0" w:color="BFBFBF"/>
              <w:left w:val="single" w:sz="2" w:space="0" w:color="D9D9D9"/>
              <w:bottom w:val="single" w:sz="2" w:space="0" w:color="D9D9D9"/>
              <w:right w:val="single" w:sz="2" w:space="0" w:color="D9D9D9"/>
            </w:tcBorders>
            <w:shd w:val="clear" w:color="auto" w:fill="1F3864"/>
            <w:tcMar>
              <w:top w:w="80" w:type="dxa"/>
              <w:left w:w="100" w:type="dxa"/>
              <w:bottom w:w="80" w:type="dxa"/>
              <w:right w:w="100" w:type="dxa"/>
            </w:tcMar>
            <w:vAlign w:val="center"/>
            <w:hideMark/>
          </w:tcPr>
          <w:p w14:paraId="73ABF32F" w14:textId="77777777" w:rsidR="005F4A9E" w:rsidRPr="000D16B1" w:rsidRDefault="005F4A9E" w:rsidP="000D16B1">
            <w:pPr>
              <w:spacing w:line="360" w:lineRule="auto"/>
              <w:jc w:val="center"/>
              <w:rPr>
                <w:rFonts w:cs="Arial"/>
              </w:rPr>
            </w:pPr>
            <w:r w:rsidRPr="000D16B1">
              <w:rPr>
                <w:rFonts w:cs="Arial"/>
                <w:b/>
                <w:bCs/>
                <w:color w:val="FFFFFF"/>
              </w:rPr>
              <w:t>Hilton (HLT)</w:t>
            </w:r>
          </w:p>
        </w:tc>
        <w:tc>
          <w:tcPr>
            <w:tcW w:w="1300" w:type="dxa"/>
            <w:tcBorders>
              <w:top w:val="single" w:sz="4" w:space="0" w:color="BFBFBF"/>
              <w:left w:val="single" w:sz="2" w:space="0" w:color="D9D9D9"/>
              <w:bottom w:val="single" w:sz="2" w:space="0" w:color="D9D9D9"/>
              <w:right w:val="single" w:sz="2" w:space="0" w:color="D9D9D9"/>
            </w:tcBorders>
            <w:shd w:val="clear" w:color="auto" w:fill="1F3864"/>
            <w:tcMar>
              <w:top w:w="80" w:type="dxa"/>
              <w:left w:w="100" w:type="dxa"/>
              <w:bottom w:w="80" w:type="dxa"/>
              <w:right w:w="100" w:type="dxa"/>
            </w:tcMar>
            <w:vAlign w:val="center"/>
            <w:hideMark/>
          </w:tcPr>
          <w:p w14:paraId="269D3B47" w14:textId="77777777" w:rsidR="005F4A9E" w:rsidRPr="000D16B1" w:rsidRDefault="005F4A9E" w:rsidP="000D16B1">
            <w:pPr>
              <w:spacing w:line="360" w:lineRule="auto"/>
              <w:jc w:val="center"/>
              <w:rPr>
                <w:rFonts w:cs="Arial"/>
              </w:rPr>
            </w:pPr>
            <w:r w:rsidRPr="000D16B1">
              <w:rPr>
                <w:rFonts w:cs="Arial"/>
                <w:b/>
                <w:bCs/>
                <w:color w:val="FFFFFF"/>
              </w:rPr>
              <w:t>IHG</w:t>
            </w:r>
          </w:p>
        </w:tc>
        <w:tc>
          <w:tcPr>
            <w:tcW w:w="1550" w:type="dxa"/>
            <w:tcBorders>
              <w:top w:val="single" w:sz="4" w:space="0" w:color="BFBFBF"/>
              <w:left w:val="single" w:sz="2" w:space="0" w:color="D9D9D9"/>
              <w:bottom w:val="single" w:sz="2" w:space="0" w:color="D9D9D9"/>
              <w:right w:val="single" w:sz="4" w:space="0" w:color="BFBFBF"/>
            </w:tcBorders>
            <w:shd w:val="clear" w:color="auto" w:fill="1F3864"/>
            <w:tcMar>
              <w:top w:w="80" w:type="dxa"/>
              <w:left w:w="100" w:type="dxa"/>
              <w:bottom w:w="80" w:type="dxa"/>
              <w:right w:w="100" w:type="dxa"/>
            </w:tcMar>
            <w:vAlign w:val="center"/>
            <w:hideMark/>
          </w:tcPr>
          <w:p w14:paraId="78F7C72A" w14:textId="77777777" w:rsidR="005F4A9E" w:rsidRPr="000D16B1" w:rsidRDefault="005F4A9E" w:rsidP="000D16B1">
            <w:pPr>
              <w:spacing w:line="360" w:lineRule="auto"/>
              <w:jc w:val="center"/>
              <w:rPr>
                <w:rFonts w:cs="Arial"/>
              </w:rPr>
            </w:pPr>
            <w:r w:rsidRPr="000D16B1">
              <w:rPr>
                <w:rFonts w:cs="Arial"/>
                <w:b/>
                <w:bCs/>
                <w:color w:val="FFFFFF"/>
              </w:rPr>
              <w:t xml:space="preserve">Peer </w:t>
            </w:r>
            <w:proofErr w:type="spellStart"/>
            <w:r w:rsidRPr="000D16B1">
              <w:rPr>
                <w:rFonts w:cs="Arial"/>
                <w:b/>
                <w:bCs/>
                <w:color w:val="FFFFFF"/>
              </w:rPr>
              <w:t>Avg</w:t>
            </w:r>
            <w:proofErr w:type="spellEnd"/>
            <w:r w:rsidRPr="000D16B1">
              <w:rPr>
                <w:rFonts w:cs="Arial"/>
                <w:b/>
                <w:bCs/>
                <w:color w:val="FFFFFF"/>
              </w:rPr>
              <w:t xml:space="preserve"> (3)</w:t>
            </w:r>
          </w:p>
        </w:tc>
      </w:tr>
      <w:tr w:rsidR="005F4A9E" w:rsidRPr="000D16B1" w14:paraId="74A9F3B3" w14:textId="77777777" w:rsidTr="005F4A9E">
        <w:tc>
          <w:tcPr>
            <w:tcW w:w="2400" w:type="dxa"/>
            <w:tcBorders>
              <w:top w:val="single" w:sz="2" w:space="0" w:color="D9D9D9"/>
              <w:left w:val="single" w:sz="4" w:space="0" w:color="BFBFBF"/>
              <w:bottom w:val="single" w:sz="2" w:space="0" w:color="D9D9D9"/>
              <w:right w:val="single" w:sz="2" w:space="0" w:color="D9D9D9"/>
            </w:tcBorders>
            <w:tcMar>
              <w:top w:w="80" w:type="dxa"/>
              <w:left w:w="100" w:type="dxa"/>
              <w:bottom w:w="80" w:type="dxa"/>
              <w:right w:w="100" w:type="dxa"/>
            </w:tcMar>
            <w:vAlign w:val="center"/>
            <w:hideMark/>
          </w:tcPr>
          <w:p w14:paraId="2F8820E4" w14:textId="77777777" w:rsidR="005F4A9E" w:rsidRPr="000D16B1" w:rsidRDefault="005F4A9E" w:rsidP="000D16B1">
            <w:pPr>
              <w:spacing w:line="360" w:lineRule="auto"/>
              <w:rPr>
                <w:rFonts w:cs="Arial"/>
              </w:rPr>
            </w:pPr>
            <w:r w:rsidRPr="000D16B1">
              <w:rPr>
                <w:rFonts w:cs="Arial"/>
                <w:b/>
                <w:bCs/>
                <w:color w:val="000000"/>
              </w:rPr>
              <w:t>Current Ratio</w:t>
            </w:r>
          </w:p>
        </w:tc>
        <w:tc>
          <w:tcPr>
            <w:tcW w:w="1300" w:type="dxa"/>
            <w:tcBorders>
              <w:top w:val="single" w:sz="2" w:space="0" w:color="D9D9D9"/>
              <w:left w:val="single" w:sz="2" w:space="0" w:color="D9D9D9"/>
              <w:bottom w:val="single" w:sz="2" w:space="0" w:color="D9D9D9"/>
              <w:right w:val="single" w:sz="2" w:space="0" w:color="D9D9D9"/>
            </w:tcBorders>
            <w:shd w:val="clear" w:color="auto" w:fill="DCE6F1"/>
            <w:tcMar>
              <w:top w:w="80" w:type="dxa"/>
              <w:left w:w="100" w:type="dxa"/>
              <w:bottom w:w="80" w:type="dxa"/>
              <w:right w:w="100" w:type="dxa"/>
            </w:tcMar>
            <w:vAlign w:val="center"/>
            <w:hideMark/>
          </w:tcPr>
          <w:p w14:paraId="14628520" w14:textId="77777777" w:rsidR="005F4A9E" w:rsidRPr="000D16B1" w:rsidRDefault="005F4A9E" w:rsidP="000D16B1">
            <w:pPr>
              <w:spacing w:line="360" w:lineRule="auto"/>
              <w:jc w:val="center"/>
              <w:rPr>
                <w:rFonts w:cs="Arial"/>
              </w:rPr>
            </w:pPr>
            <w:r w:rsidRPr="000D16B1">
              <w:rPr>
                <w:rFonts w:cs="Arial"/>
                <w:b/>
                <w:bCs/>
                <w:color w:val="000000"/>
              </w:rPr>
              <w:t>0.83x</w:t>
            </w:r>
          </w:p>
        </w:tc>
        <w:tc>
          <w:tcPr>
            <w:tcW w:w="1500" w:type="dxa"/>
            <w:tcBorders>
              <w:top w:val="single" w:sz="2" w:space="0" w:color="D9D9D9"/>
              <w:left w:val="single" w:sz="2" w:space="0" w:color="D9D9D9"/>
              <w:bottom w:val="single" w:sz="2" w:space="0" w:color="D9D9D9"/>
              <w:right w:val="single" w:sz="2" w:space="0" w:color="D9D9D9"/>
            </w:tcBorders>
            <w:tcMar>
              <w:top w:w="80" w:type="dxa"/>
              <w:left w:w="100" w:type="dxa"/>
              <w:bottom w:w="80" w:type="dxa"/>
              <w:right w:w="100" w:type="dxa"/>
            </w:tcMar>
            <w:vAlign w:val="center"/>
            <w:hideMark/>
          </w:tcPr>
          <w:p w14:paraId="2299DC3E" w14:textId="77777777" w:rsidR="005F4A9E" w:rsidRPr="000D16B1" w:rsidRDefault="005F4A9E" w:rsidP="000D16B1">
            <w:pPr>
              <w:spacing w:line="360" w:lineRule="auto"/>
              <w:jc w:val="center"/>
              <w:rPr>
                <w:rFonts w:cs="Arial"/>
              </w:rPr>
            </w:pPr>
            <w:r w:rsidRPr="000D16B1">
              <w:rPr>
                <w:rFonts w:cs="Arial"/>
                <w:color w:val="000000"/>
              </w:rPr>
              <w:t>0.40x</w:t>
            </w:r>
          </w:p>
        </w:tc>
        <w:tc>
          <w:tcPr>
            <w:tcW w:w="1300" w:type="dxa"/>
            <w:tcBorders>
              <w:top w:val="single" w:sz="2" w:space="0" w:color="D9D9D9"/>
              <w:left w:val="single" w:sz="2" w:space="0" w:color="D9D9D9"/>
              <w:bottom w:val="single" w:sz="2" w:space="0" w:color="D9D9D9"/>
              <w:right w:val="single" w:sz="2" w:space="0" w:color="D9D9D9"/>
            </w:tcBorders>
            <w:tcMar>
              <w:top w:w="80" w:type="dxa"/>
              <w:left w:w="100" w:type="dxa"/>
              <w:bottom w:w="80" w:type="dxa"/>
              <w:right w:w="100" w:type="dxa"/>
            </w:tcMar>
            <w:vAlign w:val="center"/>
            <w:hideMark/>
          </w:tcPr>
          <w:p w14:paraId="03A2F22C" w14:textId="77777777" w:rsidR="005F4A9E" w:rsidRPr="000D16B1" w:rsidRDefault="005F4A9E" w:rsidP="000D16B1">
            <w:pPr>
              <w:spacing w:line="360" w:lineRule="auto"/>
              <w:jc w:val="center"/>
              <w:rPr>
                <w:rFonts w:cs="Arial"/>
              </w:rPr>
            </w:pPr>
            <w:r w:rsidRPr="000D16B1">
              <w:rPr>
                <w:rFonts w:cs="Arial"/>
                <w:color w:val="000000"/>
              </w:rPr>
              <w:t>0.70x</w:t>
            </w:r>
          </w:p>
        </w:tc>
        <w:tc>
          <w:tcPr>
            <w:tcW w:w="1300" w:type="dxa"/>
            <w:tcBorders>
              <w:top w:val="single" w:sz="2" w:space="0" w:color="D9D9D9"/>
              <w:left w:val="single" w:sz="2" w:space="0" w:color="D9D9D9"/>
              <w:bottom w:val="single" w:sz="2" w:space="0" w:color="D9D9D9"/>
              <w:right w:val="single" w:sz="2" w:space="0" w:color="D9D9D9"/>
            </w:tcBorders>
            <w:tcMar>
              <w:top w:w="80" w:type="dxa"/>
              <w:left w:w="100" w:type="dxa"/>
              <w:bottom w:w="80" w:type="dxa"/>
              <w:right w:w="100" w:type="dxa"/>
            </w:tcMar>
            <w:vAlign w:val="center"/>
            <w:hideMark/>
          </w:tcPr>
          <w:p w14:paraId="1D312594" w14:textId="77777777" w:rsidR="005F4A9E" w:rsidRPr="000D16B1" w:rsidRDefault="005F4A9E" w:rsidP="000D16B1">
            <w:pPr>
              <w:spacing w:line="360" w:lineRule="auto"/>
              <w:jc w:val="center"/>
              <w:rPr>
                <w:rFonts w:cs="Arial"/>
              </w:rPr>
            </w:pPr>
            <w:r w:rsidRPr="000D16B1">
              <w:rPr>
                <w:rFonts w:cs="Arial"/>
                <w:color w:val="000000"/>
              </w:rPr>
              <w:t>0.97x</w:t>
            </w:r>
          </w:p>
        </w:tc>
        <w:tc>
          <w:tcPr>
            <w:tcW w:w="1550" w:type="dxa"/>
            <w:tcBorders>
              <w:top w:val="single" w:sz="2" w:space="0" w:color="D9D9D9"/>
              <w:left w:val="single" w:sz="2" w:space="0" w:color="D9D9D9"/>
              <w:bottom w:val="single" w:sz="2" w:space="0" w:color="D9D9D9"/>
              <w:right w:val="single" w:sz="4" w:space="0" w:color="BFBFBF"/>
            </w:tcBorders>
            <w:shd w:val="clear" w:color="auto" w:fill="FFF2CC"/>
            <w:tcMar>
              <w:top w:w="80" w:type="dxa"/>
              <w:left w:w="100" w:type="dxa"/>
              <w:bottom w:w="80" w:type="dxa"/>
              <w:right w:w="100" w:type="dxa"/>
            </w:tcMar>
            <w:vAlign w:val="center"/>
            <w:hideMark/>
          </w:tcPr>
          <w:p w14:paraId="017B5CF6" w14:textId="77777777" w:rsidR="005F4A9E" w:rsidRPr="000D16B1" w:rsidRDefault="005F4A9E" w:rsidP="000D16B1">
            <w:pPr>
              <w:spacing w:line="360" w:lineRule="auto"/>
              <w:jc w:val="center"/>
              <w:rPr>
                <w:rFonts w:cs="Arial"/>
              </w:rPr>
            </w:pPr>
            <w:r w:rsidRPr="000D16B1">
              <w:rPr>
                <w:rFonts w:cs="Arial"/>
                <w:color w:val="000000"/>
              </w:rPr>
              <w:t>0.69x</w:t>
            </w:r>
          </w:p>
        </w:tc>
      </w:tr>
      <w:tr w:rsidR="005F4A9E" w:rsidRPr="000D16B1" w14:paraId="2CF46A19" w14:textId="77777777" w:rsidTr="005F4A9E">
        <w:tc>
          <w:tcPr>
            <w:tcW w:w="2400" w:type="dxa"/>
            <w:tcBorders>
              <w:top w:val="single" w:sz="2" w:space="0" w:color="D9D9D9"/>
              <w:left w:val="single" w:sz="4" w:space="0" w:color="BFBFBF"/>
              <w:bottom w:val="single" w:sz="2" w:space="0" w:color="D9D9D9"/>
              <w:right w:val="single" w:sz="2" w:space="0" w:color="D9D9D9"/>
            </w:tcBorders>
            <w:shd w:val="clear" w:color="auto" w:fill="F2F2F2"/>
            <w:tcMar>
              <w:top w:w="80" w:type="dxa"/>
              <w:left w:w="100" w:type="dxa"/>
              <w:bottom w:w="80" w:type="dxa"/>
              <w:right w:w="100" w:type="dxa"/>
            </w:tcMar>
            <w:vAlign w:val="center"/>
            <w:hideMark/>
          </w:tcPr>
          <w:p w14:paraId="36F70BEC" w14:textId="77777777" w:rsidR="005F4A9E" w:rsidRPr="000D16B1" w:rsidRDefault="005F4A9E" w:rsidP="000D16B1">
            <w:pPr>
              <w:spacing w:line="360" w:lineRule="auto"/>
              <w:rPr>
                <w:rFonts w:cs="Arial"/>
              </w:rPr>
            </w:pPr>
            <w:r w:rsidRPr="000D16B1">
              <w:rPr>
                <w:rFonts w:cs="Arial"/>
                <w:b/>
                <w:bCs/>
                <w:color w:val="000000"/>
              </w:rPr>
              <w:t>Quick Ratio</w:t>
            </w:r>
          </w:p>
        </w:tc>
        <w:tc>
          <w:tcPr>
            <w:tcW w:w="1300" w:type="dxa"/>
            <w:tcBorders>
              <w:top w:val="single" w:sz="2" w:space="0" w:color="D9D9D9"/>
              <w:left w:val="single" w:sz="2" w:space="0" w:color="D9D9D9"/>
              <w:bottom w:val="single" w:sz="2" w:space="0" w:color="D9D9D9"/>
              <w:right w:val="single" w:sz="2" w:space="0" w:color="D9D9D9"/>
            </w:tcBorders>
            <w:shd w:val="clear" w:color="auto" w:fill="DCE6F1"/>
            <w:tcMar>
              <w:top w:w="80" w:type="dxa"/>
              <w:left w:w="100" w:type="dxa"/>
              <w:bottom w:w="80" w:type="dxa"/>
              <w:right w:w="100" w:type="dxa"/>
            </w:tcMar>
            <w:vAlign w:val="center"/>
            <w:hideMark/>
          </w:tcPr>
          <w:p w14:paraId="3E911F59" w14:textId="77777777" w:rsidR="005F4A9E" w:rsidRPr="000D16B1" w:rsidRDefault="005F4A9E" w:rsidP="000D16B1">
            <w:pPr>
              <w:spacing w:line="360" w:lineRule="auto"/>
              <w:jc w:val="center"/>
              <w:rPr>
                <w:rFonts w:cs="Arial"/>
              </w:rPr>
            </w:pPr>
            <w:r w:rsidRPr="000D16B1">
              <w:rPr>
                <w:rFonts w:cs="Arial"/>
                <w:b/>
                <w:bCs/>
                <w:color w:val="000000"/>
              </w:rPr>
              <w:t>0.83x</w:t>
            </w:r>
          </w:p>
        </w:tc>
        <w:tc>
          <w:tcPr>
            <w:tcW w:w="1500" w:type="dxa"/>
            <w:tcBorders>
              <w:top w:val="single" w:sz="2" w:space="0" w:color="D9D9D9"/>
              <w:left w:val="single" w:sz="2" w:space="0" w:color="D9D9D9"/>
              <w:bottom w:val="single" w:sz="2" w:space="0" w:color="D9D9D9"/>
              <w:right w:val="single" w:sz="2" w:space="0" w:color="D9D9D9"/>
            </w:tcBorders>
            <w:shd w:val="clear" w:color="auto" w:fill="F2F2F2"/>
            <w:tcMar>
              <w:top w:w="80" w:type="dxa"/>
              <w:left w:w="100" w:type="dxa"/>
              <w:bottom w:w="80" w:type="dxa"/>
              <w:right w:w="100" w:type="dxa"/>
            </w:tcMar>
            <w:vAlign w:val="center"/>
            <w:hideMark/>
          </w:tcPr>
          <w:p w14:paraId="606C5F2A" w14:textId="77777777" w:rsidR="005F4A9E" w:rsidRPr="000D16B1" w:rsidRDefault="005F4A9E" w:rsidP="000D16B1">
            <w:pPr>
              <w:spacing w:line="360" w:lineRule="auto"/>
              <w:jc w:val="center"/>
              <w:rPr>
                <w:rFonts w:cs="Arial"/>
              </w:rPr>
            </w:pPr>
            <w:r w:rsidRPr="000D16B1">
              <w:rPr>
                <w:rFonts w:cs="Arial"/>
                <w:color w:val="000000"/>
              </w:rPr>
              <w:t>0.40x</w:t>
            </w:r>
          </w:p>
        </w:tc>
        <w:tc>
          <w:tcPr>
            <w:tcW w:w="1300" w:type="dxa"/>
            <w:tcBorders>
              <w:top w:val="single" w:sz="2" w:space="0" w:color="D9D9D9"/>
              <w:left w:val="single" w:sz="2" w:space="0" w:color="D9D9D9"/>
              <w:bottom w:val="single" w:sz="2" w:space="0" w:color="D9D9D9"/>
              <w:right w:val="single" w:sz="2" w:space="0" w:color="D9D9D9"/>
            </w:tcBorders>
            <w:shd w:val="clear" w:color="auto" w:fill="F2F2F2"/>
            <w:tcMar>
              <w:top w:w="80" w:type="dxa"/>
              <w:left w:w="100" w:type="dxa"/>
              <w:bottom w:w="80" w:type="dxa"/>
              <w:right w:w="100" w:type="dxa"/>
            </w:tcMar>
            <w:vAlign w:val="center"/>
            <w:hideMark/>
          </w:tcPr>
          <w:p w14:paraId="388BB330" w14:textId="77777777" w:rsidR="005F4A9E" w:rsidRPr="000D16B1" w:rsidRDefault="005F4A9E" w:rsidP="000D16B1">
            <w:pPr>
              <w:spacing w:line="360" w:lineRule="auto"/>
              <w:jc w:val="center"/>
              <w:rPr>
                <w:rFonts w:cs="Arial"/>
              </w:rPr>
            </w:pPr>
            <w:r w:rsidRPr="000D16B1">
              <w:rPr>
                <w:rFonts w:cs="Arial"/>
                <w:color w:val="000000"/>
              </w:rPr>
              <w:t>0.70x</w:t>
            </w:r>
          </w:p>
        </w:tc>
        <w:tc>
          <w:tcPr>
            <w:tcW w:w="1300" w:type="dxa"/>
            <w:tcBorders>
              <w:top w:val="single" w:sz="2" w:space="0" w:color="D9D9D9"/>
              <w:left w:val="single" w:sz="2" w:space="0" w:color="D9D9D9"/>
              <w:bottom w:val="single" w:sz="2" w:space="0" w:color="D9D9D9"/>
              <w:right w:val="single" w:sz="2" w:space="0" w:color="D9D9D9"/>
            </w:tcBorders>
            <w:shd w:val="clear" w:color="auto" w:fill="F2F2F2"/>
            <w:tcMar>
              <w:top w:w="80" w:type="dxa"/>
              <w:left w:w="100" w:type="dxa"/>
              <w:bottom w:w="80" w:type="dxa"/>
              <w:right w:w="100" w:type="dxa"/>
            </w:tcMar>
            <w:vAlign w:val="center"/>
            <w:hideMark/>
          </w:tcPr>
          <w:p w14:paraId="6266059D" w14:textId="77777777" w:rsidR="005F4A9E" w:rsidRPr="000D16B1" w:rsidRDefault="005F4A9E" w:rsidP="000D16B1">
            <w:pPr>
              <w:spacing w:line="360" w:lineRule="auto"/>
              <w:jc w:val="center"/>
              <w:rPr>
                <w:rFonts w:cs="Arial"/>
              </w:rPr>
            </w:pPr>
            <w:r w:rsidRPr="000D16B1">
              <w:rPr>
                <w:rFonts w:cs="Arial"/>
                <w:color w:val="000000"/>
              </w:rPr>
              <w:t>0.97x</w:t>
            </w:r>
          </w:p>
        </w:tc>
        <w:tc>
          <w:tcPr>
            <w:tcW w:w="1550" w:type="dxa"/>
            <w:tcBorders>
              <w:top w:val="single" w:sz="2" w:space="0" w:color="D9D9D9"/>
              <w:left w:val="single" w:sz="2" w:space="0" w:color="D9D9D9"/>
              <w:bottom w:val="single" w:sz="2" w:space="0" w:color="D9D9D9"/>
              <w:right w:val="single" w:sz="4" w:space="0" w:color="BFBFBF"/>
            </w:tcBorders>
            <w:shd w:val="clear" w:color="auto" w:fill="FFF2CC"/>
            <w:tcMar>
              <w:top w:w="80" w:type="dxa"/>
              <w:left w:w="100" w:type="dxa"/>
              <w:bottom w:w="80" w:type="dxa"/>
              <w:right w:w="100" w:type="dxa"/>
            </w:tcMar>
            <w:vAlign w:val="center"/>
            <w:hideMark/>
          </w:tcPr>
          <w:p w14:paraId="7EF23551" w14:textId="77777777" w:rsidR="005F4A9E" w:rsidRPr="000D16B1" w:rsidRDefault="005F4A9E" w:rsidP="000D16B1">
            <w:pPr>
              <w:spacing w:line="360" w:lineRule="auto"/>
              <w:jc w:val="center"/>
              <w:rPr>
                <w:rFonts w:cs="Arial"/>
              </w:rPr>
            </w:pPr>
            <w:r w:rsidRPr="000D16B1">
              <w:rPr>
                <w:rFonts w:cs="Arial"/>
                <w:color w:val="000000"/>
              </w:rPr>
              <w:t>0.69x</w:t>
            </w:r>
          </w:p>
        </w:tc>
      </w:tr>
      <w:tr w:rsidR="005F4A9E" w:rsidRPr="000D16B1" w14:paraId="76026CFF" w14:textId="77777777" w:rsidTr="005F4A9E">
        <w:tc>
          <w:tcPr>
            <w:tcW w:w="2400" w:type="dxa"/>
            <w:tcBorders>
              <w:top w:val="single" w:sz="2" w:space="0" w:color="D9D9D9"/>
              <w:left w:val="single" w:sz="4" w:space="0" w:color="BFBFBF"/>
              <w:bottom w:val="single" w:sz="2" w:space="0" w:color="D9D9D9"/>
              <w:right w:val="single" w:sz="2" w:space="0" w:color="D9D9D9"/>
            </w:tcBorders>
            <w:tcMar>
              <w:top w:w="80" w:type="dxa"/>
              <w:left w:w="100" w:type="dxa"/>
              <w:bottom w:w="80" w:type="dxa"/>
              <w:right w:w="100" w:type="dxa"/>
            </w:tcMar>
            <w:vAlign w:val="center"/>
            <w:hideMark/>
          </w:tcPr>
          <w:p w14:paraId="37971CB8" w14:textId="77777777" w:rsidR="005F4A9E" w:rsidRPr="000D16B1" w:rsidRDefault="005F4A9E" w:rsidP="000D16B1">
            <w:pPr>
              <w:spacing w:line="360" w:lineRule="auto"/>
              <w:rPr>
                <w:rFonts w:cs="Arial"/>
              </w:rPr>
            </w:pPr>
            <w:r w:rsidRPr="000D16B1">
              <w:rPr>
                <w:rFonts w:cs="Arial"/>
                <w:b/>
                <w:bCs/>
                <w:color w:val="000000"/>
              </w:rPr>
              <w:lastRenderedPageBreak/>
              <w:t>Net Profit Margin</w:t>
            </w:r>
          </w:p>
        </w:tc>
        <w:tc>
          <w:tcPr>
            <w:tcW w:w="1300" w:type="dxa"/>
            <w:tcBorders>
              <w:top w:val="single" w:sz="2" w:space="0" w:color="D9D9D9"/>
              <w:left w:val="single" w:sz="2" w:space="0" w:color="D9D9D9"/>
              <w:bottom w:val="single" w:sz="2" w:space="0" w:color="D9D9D9"/>
              <w:right w:val="single" w:sz="2" w:space="0" w:color="D9D9D9"/>
            </w:tcBorders>
            <w:shd w:val="clear" w:color="auto" w:fill="DCE6F1"/>
            <w:tcMar>
              <w:top w:w="80" w:type="dxa"/>
              <w:left w:w="100" w:type="dxa"/>
              <w:bottom w:w="80" w:type="dxa"/>
              <w:right w:w="100" w:type="dxa"/>
            </w:tcMar>
            <w:vAlign w:val="center"/>
            <w:hideMark/>
          </w:tcPr>
          <w:p w14:paraId="3B359E4E" w14:textId="77777777" w:rsidR="005F4A9E" w:rsidRPr="000D16B1" w:rsidRDefault="005F4A9E" w:rsidP="000D16B1">
            <w:pPr>
              <w:spacing w:line="360" w:lineRule="auto"/>
              <w:jc w:val="center"/>
              <w:rPr>
                <w:rFonts w:cs="Arial"/>
              </w:rPr>
            </w:pPr>
            <w:r w:rsidRPr="000D16B1">
              <w:rPr>
                <w:rFonts w:cs="Arial"/>
                <w:b/>
                <w:bCs/>
                <w:color w:val="000000"/>
              </w:rPr>
              <w:t>19.5%</w:t>
            </w:r>
          </w:p>
        </w:tc>
        <w:tc>
          <w:tcPr>
            <w:tcW w:w="1500" w:type="dxa"/>
            <w:tcBorders>
              <w:top w:val="single" w:sz="2" w:space="0" w:color="D9D9D9"/>
              <w:left w:val="single" w:sz="2" w:space="0" w:color="D9D9D9"/>
              <w:bottom w:val="single" w:sz="2" w:space="0" w:color="D9D9D9"/>
              <w:right w:val="single" w:sz="2" w:space="0" w:color="D9D9D9"/>
            </w:tcBorders>
            <w:tcMar>
              <w:top w:w="80" w:type="dxa"/>
              <w:left w:w="100" w:type="dxa"/>
              <w:bottom w:w="80" w:type="dxa"/>
              <w:right w:w="100" w:type="dxa"/>
            </w:tcMar>
            <w:vAlign w:val="center"/>
            <w:hideMark/>
          </w:tcPr>
          <w:p w14:paraId="1306D98D" w14:textId="77777777" w:rsidR="005F4A9E" w:rsidRPr="000D16B1" w:rsidRDefault="005F4A9E" w:rsidP="000D16B1">
            <w:pPr>
              <w:spacing w:line="360" w:lineRule="auto"/>
              <w:jc w:val="center"/>
              <w:rPr>
                <w:rFonts w:cs="Arial"/>
              </w:rPr>
            </w:pPr>
            <w:r w:rsidRPr="000D16B1">
              <w:rPr>
                <w:rFonts w:cs="Arial"/>
                <w:color w:val="000000"/>
              </w:rPr>
              <w:t>9.5%</w:t>
            </w:r>
          </w:p>
        </w:tc>
        <w:tc>
          <w:tcPr>
            <w:tcW w:w="1300" w:type="dxa"/>
            <w:tcBorders>
              <w:top w:val="single" w:sz="2" w:space="0" w:color="D9D9D9"/>
              <w:left w:val="single" w:sz="2" w:space="0" w:color="D9D9D9"/>
              <w:bottom w:val="single" w:sz="2" w:space="0" w:color="D9D9D9"/>
              <w:right w:val="single" w:sz="2" w:space="0" w:color="D9D9D9"/>
            </w:tcBorders>
            <w:tcMar>
              <w:top w:w="80" w:type="dxa"/>
              <w:left w:w="100" w:type="dxa"/>
              <w:bottom w:w="80" w:type="dxa"/>
              <w:right w:w="100" w:type="dxa"/>
            </w:tcMar>
            <w:vAlign w:val="center"/>
            <w:hideMark/>
          </w:tcPr>
          <w:p w14:paraId="08D4A714" w14:textId="77777777" w:rsidR="005F4A9E" w:rsidRPr="000D16B1" w:rsidRDefault="005F4A9E" w:rsidP="000D16B1">
            <w:pPr>
              <w:spacing w:line="360" w:lineRule="auto"/>
              <w:jc w:val="center"/>
              <w:rPr>
                <w:rFonts w:cs="Arial"/>
              </w:rPr>
            </w:pPr>
            <w:r w:rsidRPr="000D16B1">
              <w:rPr>
                <w:rFonts w:cs="Arial"/>
                <w:color w:val="000000"/>
              </w:rPr>
              <w:t>13.8%</w:t>
            </w:r>
          </w:p>
        </w:tc>
        <w:tc>
          <w:tcPr>
            <w:tcW w:w="1300" w:type="dxa"/>
            <w:tcBorders>
              <w:top w:val="single" w:sz="2" w:space="0" w:color="D9D9D9"/>
              <w:left w:val="single" w:sz="2" w:space="0" w:color="D9D9D9"/>
              <w:bottom w:val="single" w:sz="2" w:space="0" w:color="D9D9D9"/>
              <w:right w:val="single" w:sz="2" w:space="0" w:color="D9D9D9"/>
            </w:tcBorders>
            <w:tcMar>
              <w:top w:w="80" w:type="dxa"/>
              <w:left w:w="100" w:type="dxa"/>
              <w:bottom w:w="80" w:type="dxa"/>
              <w:right w:w="100" w:type="dxa"/>
            </w:tcMar>
            <w:vAlign w:val="center"/>
            <w:hideMark/>
          </w:tcPr>
          <w:p w14:paraId="611A6E39" w14:textId="77777777" w:rsidR="005F4A9E" w:rsidRPr="000D16B1" w:rsidRDefault="005F4A9E" w:rsidP="000D16B1">
            <w:pPr>
              <w:spacing w:line="360" w:lineRule="auto"/>
              <w:jc w:val="center"/>
              <w:rPr>
                <w:rFonts w:cs="Arial"/>
              </w:rPr>
            </w:pPr>
            <w:r w:rsidRPr="000D16B1">
              <w:rPr>
                <w:rFonts w:cs="Arial"/>
                <w:color w:val="000000"/>
              </w:rPr>
              <w:t>12.8%</w:t>
            </w:r>
          </w:p>
        </w:tc>
        <w:tc>
          <w:tcPr>
            <w:tcW w:w="1550" w:type="dxa"/>
            <w:tcBorders>
              <w:top w:val="single" w:sz="2" w:space="0" w:color="D9D9D9"/>
              <w:left w:val="single" w:sz="2" w:space="0" w:color="D9D9D9"/>
              <w:bottom w:val="single" w:sz="2" w:space="0" w:color="D9D9D9"/>
              <w:right w:val="single" w:sz="4" w:space="0" w:color="BFBFBF"/>
            </w:tcBorders>
            <w:shd w:val="clear" w:color="auto" w:fill="FFF2CC"/>
            <w:tcMar>
              <w:top w:w="80" w:type="dxa"/>
              <w:left w:w="100" w:type="dxa"/>
              <w:bottom w:w="80" w:type="dxa"/>
              <w:right w:w="100" w:type="dxa"/>
            </w:tcMar>
            <w:vAlign w:val="center"/>
            <w:hideMark/>
          </w:tcPr>
          <w:p w14:paraId="4E03773E" w14:textId="77777777" w:rsidR="005F4A9E" w:rsidRPr="000D16B1" w:rsidRDefault="005F4A9E" w:rsidP="000D16B1">
            <w:pPr>
              <w:spacing w:line="360" w:lineRule="auto"/>
              <w:jc w:val="center"/>
              <w:rPr>
                <w:rFonts w:cs="Arial"/>
              </w:rPr>
            </w:pPr>
            <w:r w:rsidRPr="000D16B1">
              <w:rPr>
                <w:rFonts w:cs="Arial"/>
                <w:color w:val="000000"/>
              </w:rPr>
              <w:t>12.0%</w:t>
            </w:r>
          </w:p>
        </w:tc>
      </w:tr>
      <w:tr w:rsidR="005F4A9E" w:rsidRPr="000D16B1" w14:paraId="3434A30A" w14:textId="77777777" w:rsidTr="005F4A9E">
        <w:tc>
          <w:tcPr>
            <w:tcW w:w="2400" w:type="dxa"/>
            <w:tcBorders>
              <w:top w:val="single" w:sz="2" w:space="0" w:color="D9D9D9"/>
              <w:left w:val="single" w:sz="4" w:space="0" w:color="BFBFBF"/>
              <w:bottom w:val="single" w:sz="2" w:space="0" w:color="D9D9D9"/>
              <w:right w:val="single" w:sz="2" w:space="0" w:color="D9D9D9"/>
            </w:tcBorders>
            <w:shd w:val="clear" w:color="auto" w:fill="F2F2F2"/>
            <w:tcMar>
              <w:top w:w="80" w:type="dxa"/>
              <w:left w:w="100" w:type="dxa"/>
              <w:bottom w:w="80" w:type="dxa"/>
              <w:right w:w="100" w:type="dxa"/>
            </w:tcMar>
            <w:vAlign w:val="center"/>
            <w:hideMark/>
          </w:tcPr>
          <w:p w14:paraId="561C6CEB" w14:textId="77777777" w:rsidR="005F4A9E" w:rsidRPr="000D16B1" w:rsidRDefault="005F4A9E" w:rsidP="000D16B1">
            <w:pPr>
              <w:spacing w:line="360" w:lineRule="auto"/>
              <w:rPr>
                <w:rFonts w:cs="Arial"/>
              </w:rPr>
            </w:pPr>
            <w:r w:rsidRPr="000D16B1">
              <w:rPr>
                <w:rFonts w:cs="Arial"/>
                <w:b/>
                <w:bCs/>
                <w:color w:val="000000"/>
              </w:rPr>
              <w:t>Return on Assets (ROA)</w:t>
            </w:r>
          </w:p>
        </w:tc>
        <w:tc>
          <w:tcPr>
            <w:tcW w:w="1300" w:type="dxa"/>
            <w:tcBorders>
              <w:top w:val="single" w:sz="2" w:space="0" w:color="D9D9D9"/>
              <w:left w:val="single" w:sz="2" w:space="0" w:color="D9D9D9"/>
              <w:bottom w:val="single" w:sz="2" w:space="0" w:color="D9D9D9"/>
              <w:right w:val="single" w:sz="2" w:space="0" w:color="D9D9D9"/>
            </w:tcBorders>
            <w:shd w:val="clear" w:color="auto" w:fill="DCE6F1"/>
            <w:tcMar>
              <w:top w:w="80" w:type="dxa"/>
              <w:left w:w="100" w:type="dxa"/>
              <w:bottom w:w="80" w:type="dxa"/>
              <w:right w:w="100" w:type="dxa"/>
            </w:tcMar>
            <w:vAlign w:val="center"/>
            <w:hideMark/>
          </w:tcPr>
          <w:p w14:paraId="1B8B5DFF" w14:textId="77777777" w:rsidR="005F4A9E" w:rsidRPr="000D16B1" w:rsidRDefault="005F4A9E" w:rsidP="000D16B1">
            <w:pPr>
              <w:spacing w:line="360" w:lineRule="auto"/>
              <w:jc w:val="center"/>
              <w:rPr>
                <w:rFonts w:cs="Arial"/>
              </w:rPr>
            </w:pPr>
            <w:r w:rsidRPr="000D16B1">
              <w:rPr>
                <w:rFonts w:cs="Arial"/>
                <w:b/>
                <w:bCs/>
                <w:color w:val="000000"/>
              </w:rPr>
              <w:t>9.7%</w:t>
            </w:r>
          </w:p>
        </w:tc>
        <w:tc>
          <w:tcPr>
            <w:tcW w:w="1500" w:type="dxa"/>
            <w:tcBorders>
              <w:top w:val="single" w:sz="2" w:space="0" w:color="D9D9D9"/>
              <w:left w:val="single" w:sz="2" w:space="0" w:color="D9D9D9"/>
              <w:bottom w:val="single" w:sz="2" w:space="0" w:color="D9D9D9"/>
              <w:right w:val="single" w:sz="2" w:space="0" w:color="D9D9D9"/>
            </w:tcBorders>
            <w:shd w:val="clear" w:color="auto" w:fill="F2F2F2"/>
            <w:tcMar>
              <w:top w:w="80" w:type="dxa"/>
              <w:left w:w="100" w:type="dxa"/>
              <w:bottom w:w="80" w:type="dxa"/>
              <w:right w:w="100" w:type="dxa"/>
            </w:tcMar>
            <w:vAlign w:val="center"/>
            <w:hideMark/>
          </w:tcPr>
          <w:p w14:paraId="4CA1C552" w14:textId="77777777" w:rsidR="005F4A9E" w:rsidRPr="000D16B1" w:rsidRDefault="005F4A9E" w:rsidP="000D16B1">
            <w:pPr>
              <w:spacing w:line="360" w:lineRule="auto"/>
              <w:jc w:val="center"/>
              <w:rPr>
                <w:rFonts w:cs="Arial"/>
              </w:rPr>
            </w:pPr>
            <w:r w:rsidRPr="000D16B1">
              <w:rPr>
                <w:rFonts w:cs="Arial"/>
                <w:color w:val="000000"/>
              </w:rPr>
              <w:t>9.1%</w:t>
            </w:r>
          </w:p>
        </w:tc>
        <w:tc>
          <w:tcPr>
            <w:tcW w:w="1300" w:type="dxa"/>
            <w:tcBorders>
              <w:top w:val="single" w:sz="2" w:space="0" w:color="D9D9D9"/>
              <w:left w:val="single" w:sz="2" w:space="0" w:color="D9D9D9"/>
              <w:bottom w:val="single" w:sz="2" w:space="0" w:color="D9D9D9"/>
              <w:right w:val="single" w:sz="2" w:space="0" w:color="D9D9D9"/>
            </w:tcBorders>
            <w:shd w:val="clear" w:color="auto" w:fill="F2F2F2"/>
            <w:tcMar>
              <w:top w:w="80" w:type="dxa"/>
              <w:left w:w="100" w:type="dxa"/>
              <w:bottom w:w="80" w:type="dxa"/>
              <w:right w:w="100" w:type="dxa"/>
            </w:tcMar>
            <w:vAlign w:val="center"/>
            <w:hideMark/>
          </w:tcPr>
          <w:p w14:paraId="751BB1C7" w14:textId="77777777" w:rsidR="005F4A9E" w:rsidRPr="000D16B1" w:rsidRDefault="005F4A9E" w:rsidP="000D16B1">
            <w:pPr>
              <w:spacing w:line="360" w:lineRule="auto"/>
              <w:jc w:val="center"/>
              <w:rPr>
                <w:rFonts w:cs="Arial"/>
              </w:rPr>
            </w:pPr>
            <w:r w:rsidRPr="000D16B1">
              <w:rPr>
                <w:rFonts w:cs="Arial"/>
                <w:color w:val="000000"/>
              </w:rPr>
              <w:t>9.3%</w:t>
            </w:r>
          </w:p>
        </w:tc>
        <w:tc>
          <w:tcPr>
            <w:tcW w:w="1300" w:type="dxa"/>
            <w:tcBorders>
              <w:top w:val="single" w:sz="2" w:space="0" w:color="D9D9D9"/>
              <w:left w:val="single" w:sz="2" w:space="0" w:color="D9D9D9"/>
              <w:bottom w:val="single" w:sz="2" w:space="0" w:color="D9D9D9"/>
              <w:right w:val="single" w:sz="2" w:space="0" w:color="D9D9D9"/>
            </w:tcBorders>
            <w:shd w:val="clear" w:color="auto" w:fill="F2F2F2"/>
            <w:tcMar>
              <w:top w:w="80" w:type="dxa"/>
              <w:left w:w="100" w:type="dxa"/>
              <w:bottom w:w="80" w:type="dxa"/>
              <w:right w:w="100" w:type="dxa"/>
            </w:tcMar>
            <w:vAlign w:val="center"/>
            <w:hideMark/>
          </w:tcPr>
          <w:p w14:paraId="42801B13" w14:textId="77777777" w:rsidR="005F4A9E" w:rsidRPr="000D16B1" w:rsidRDefault="005F4A9E" w:rsidP="000D16B1">
            <w:pPr>
              <w:spacing w:line="360" w:lineRule="auto"/>
              <w:jc w:val="center"/>
              <w:rPr>
                <w:rFonts w:cs="Arial"/>
              </w:rPr>
            </w:pPr>
            <w:r w:rsidRPr="000D16B1">
              <w:rPr>
                <w:rFonts w:cs="Arial"/>
                <w:color w:val="000000"/>
              </w:rPr>
              <w:t>13.2%</w:t>
            </w:r>
          </w:p>
        </w:tc>
        <w:tc>
          <w:tcPr>
            <w:tcW w:w="1550" w:type="dxa"/>
            <w:tcBorders>
              <w:top w:val="single" w:sz="2" w:space="0" w:color="D9D9D9"/>
              <w:left w:val="single" w:sz="2" w:space="0" w:color="D9D9D9"/>
              <w:bottom w:val="single" w:sz="2" w:space="0" w:color="D9D9D9"/>
              <w:right w:val="single" w:sz="4" w:space="0" w:color="BFBFBF"/>
            </w:tcBorders>
            <w:shd w:val="clear" w:color="auto" w:fill="FFF2CC"/>
            <w:tcMar>
              <w:top w:w="80" w:type="dxa"/>
              <w:left w:w="100" w:type="dxa"/>
              <w:bottom w:w="80" w:type="dxa"/>
              <w:right w:w="100" w:type="dxa"/>
            </w:tcMar>
            <w:vAlign w:val="center"/>
            <w:hideMark/>
          </w:tcPr>
          <w:p w14:paraId="479B8470" w14:textId="77777777" w:rsidR="005F4A9E" w:rsidRPr="000D16B1" w:rsidRDefault="005F4A9E" w:rsidP="000D16B1">
            <w:pPr>
              <w:spacing w:line="360" w:lineRule="auto"/>
              <w:jc w:val="center"/>
              <w:rPr>
                <w:rFonts w:cs="Arial"/>
              </w:rPr>
            </w:pPr>
            <w:r w:rsidRPr="000D16B1">
              <w:rPr>
                <w:rFonts w:cs="Arial"/>
                <w:color w:val="000000"/>
              </w:rPr>
              <w:t>10.5%</w:t>
            </w:r>
          </w:p>
        </w:tc>
      </w:tr>
      <w:tr w:rsidR="005F4A9E" w:rsidRPr="000D16B1" w14:paraId="12FDB14B" w14:textId="77777777" w:rsidTr="005F4A9E">
        <w:tc>
          <w:tcPr>
            <w:tcW w:w="2400" w:type="dxa"/>
            <w:tcBorders>
              <w:top w:val="single" w:sz="2" w:space="0" w:color="D9D9D9"/>
              <w:left w:val="single" w:sz="4" w:space="0" w:color="BFBFBF"/>
              <w:bottom w:val="single" w:sz="2" w:space="0" w:color="D9D9D9"/>
              <w:right w:val="single" w:sz="2" w:space="0" w:color="D9D9D9"/>
            </w:tcBorders>
            <w:tcMar>
              <w:top w:w="80" w:type="dxa"/>
              <w:left w:w="100" w:type="dxa"/>
              <w:bottom w:w="80" w:type="dxa"/>
              <w:right w:w="100" w:type="dxa"/>
            </w:tcMar>
            <w:vAlign w:val="center"/>
            <w:hideMark/>
          </w:tcPr>
          <w:p w14:paraId="625F951E" w14:textId="77777777" w:rsidR="005F4A9E" w:rsidRPr="000D16B1" w:rsidRDefault="005F4A9E" w:rsidP="000D16B1">
            <w:pPr>
              <w:spacing w:line="360" w:lineRule="auto"/>
              <w:rPr>
                <w:rFonts w:cs="Arial"/>
              </w:rPr>
            </w:pPr>
            <w:r w:rsidRPr="000D16B1">
              <w:rPr>
                <w:rFonts w:cs="Arial"/>
                <w:b/>
                <w:bCs/>
                <w:color w:val="000000"/>
              </w:rPr>
              <w:t>Return on Equity (ROE)</w:t>
            </w:r>
          </w:p>
        </w:tc>
        <w:tc>
          <w:tcPr>
            <w:tcW w:w="1300" w:type="dxa"/>
            <w:tcBorders>
              <w:top w:val="single" w:sz="2" w:space="0" w:color="D9D9D9"/>
              <w:left w:val="single" w:sz="2" w:space="0" w:color="D9D9D9"/>
              <w:bottom w:val="single" w:sz="2" w:space="0" w:color="D9D9D9"/>
              <w:right w:val="single" w:sz="2" w:space="0" w:color="D9D9D9"/>
            </w:tcBorders>
            <w:shd w:val="clear" w:color="auto" w:fill="DCE6F1"/>
            <w:tcMar>
              <w:top w:w="80" w:type="dxa"/>
              <w:left w:w="100" w:type="dxa"/>
              <w:bottom w:w="80" w:type="dxa"/>
              <w:right w:w="100" w:type="dxa"/>
            </w:tcMar>
            <w:vAlign w:val="center"/>
            <w:hideMark/>
          </w:tcPr>
          <w:p w14:paraId="07E87B9D" w14:textId="77777777" w:rsidR="005F4A9E" w:rsidRPr="000D16B1" w:rsidRDefault="005F4A9E" w:rsidP="000D16B1">
            <w:pPr>
              <w:spacing w:line="360" w:lineRule="auto"/>
              <w:jc w:val="center"/>
              <w:rPr>
                <w:rFonts w:cs="Arial"/>
              </w:rPr>
            </w:pPr>
            <w:r w:rsidRPr="000D16B1">
              <w:rPr>
                <w:rFonts w:cs="Arial"/>
                <w:b/>
                <w:bCs/>
                <w:color w:val="000000"/>
              </w:rPr>
              <w:t>36.5%</w:t>
            </w:r>
          </w:p>
        </w:tc>
        <w:tc>
          <w:tcPr>
            <w:tcW w:w="1500" w:type="dxa"/>
            <w:tcBorders>
              <w:top w:val="single" w:sz="2" w:space="0" w:color="D9D9D9"/>
              <w:left w:val="single" w:sz="2" w:space="0" w:color="D9D9D9"/>
              <w:bottom w:val="single" w:sz="2" w:space="0" w:color="D9D9D9"/>
              <w:right w:val="single" w:sz="2" w:space="0" w:color="D9D9D9"/>
            </w:tcBorders>
            <w:tcMar>
              <w:top w:w="80" w:type="dxa"/>
              <w:left w:w="100" w:type="dxa"/>
              <w:bottom w:w="80" w:type="dxa"/>
              <w:right w:w="100" w:type="dxa"/>
            </w:tcMar>
            <w:vAlign w:val="center"/>
            <w:hideMark/>
          </w:tcPr>
          <w:p w14:paraId="7CDAF618" w14:textId="77777777" w:rsidR="005F4A9E" w:rsidRPr="000D16B1" w:rsidRDefault="005F4A9E" w:rsidP="000D16B1">
            <w:pPr>
              <w:spacing w:line="360" w:lineRule="auto"/>
              <w:jc w:val="center"/>
              <w:rPr>
                <w:rFonts w:cs="Arial"/>
              </w:rPr>
            </w:pPr>
            <w:r w:rsidRPr="000D16B1">
              <w:rPr>
                <w:rFonts w:cs="Arial"/>
                <w:color w:val="000000"/>
              </w:rPr>
              <w:t>N/M (neg. equity)</w:t>
            </w:r>
          </w:p>
        </w:tc>
        <w:tc>
          <w:tcPr>
            <w:tcW w:w="1300" w:type="dxa"/>
            <w:tcBorders>
              <w:top w:val="single" w:sz="2" w:space="0" w:color="D9D9D9"/>
              <w:left w:val="single" w:sz="2" w:space="0" w:color="D9D9D9"/>
              <w:bottom w:val="single" w:sz="2" w:space="0" w:color="D9D9D9"/>
              <w:right w:val="single" w:sz="2" w:space="0" w:color="D9D9D9"/>
            </w:tcBorders>
            <w:tcMar>
              <w:top w:w="80" w:type="dxa"/>
              <w:left w:w="100" w:type="dxa"/>
              <w:bottom w:w="80" w:type="dxa"/>
              <w:right w:w="100" w:type="dxa"/>
            </w:tcMar>
            <w:vAlign w:val="center"/>
            <w:hideMark/>
          </w:tcPr>
          <w:p w14:paraId="77200288" w14:textId="77777777" w:rsidR="005F4A9E" w:rsidRPr="000D16B1" w:rsidRDefault="005F4A9E" w:rsidP="000D16B1">
            <w:pPr>
              <w:spacing w:line="360" w:lineRule="auto"/>
              <w:jc w:val="center"/>
              <w:rPr>
                <w:rFonts w:cs="Arial"/>
              </w:rPr>
            </w:pPr>
            <w:r w:rsidRPr="000D16B1">
              <w:rPr>
                <w:rFonts w:cs="Arial"/>
                <w:color w:val="000000"/>
              </w:rPr>
              <w:t>N/M (neg. equity)</w:t>
            </w:r>
          </w:p>
        </w:tc>
        <w:tc>
          <w:tcPr>
            <w:tcW w:w="1300" w:type="dxa"/>
            <w:tcBorders>
              <w:top w:val="single" w:sz="2" w:space="0" w:color="D9D9D9"/>
              <w:left w:val="single" w:sz="2" w:space="0" w:color="D9D9D9"/>
              <w:bottom w:val="single" w:sz="2" w:space="0" w:color="D9D9D9"/>
              <w:right w:val="single" w:sz="2" w:space="0" w:color="D9D9D9"/>
            </w:tcBorders>
            <w:tcMar>
              <w:top w:w="80" w:type="dxa"/>
              <w:left w:w="100" w:type="dxa"/>
              <w:bottom w:w="80" w:type="dxa"/>
              <w:right w:w="100" w:type="dxa"/>
            </w:tcMar>
            <w:vAlign w:val="center"/>
            <w:hideMark/>
          </w:tcPr>
          <w:p w14:paraId="220E1983" w14:textId="77777777" w:rsidR="005F4A9E" w:rsidRPr="000D16B1" w:rsidRDefault="005F4A9E" w:rsidP="000D16B1">
            <w:pPr>
              <w:spacing w:line="360" w:lineRule="auto"/>
              <w:jc w:val="center"/>
              <w:rPr>
                <w:rFonts w:cs="Arial"/>
              </w:rPr>
            </w:pPr>
            <w:r w:rsidRPr="000D16B1">
              <w:rPr>
                <w:rFonts w:cs="Arial"/>
                <w:color w:val="000000"/>
              </w:rPr>
              <w:t>N/M (neg. equity)</w:t>
            </w:r>
          </w:p>
        </w:tc>
        <w:tc>
          <w:tcPr>
            <w:tcW w:w="1550" w:type="dxa"/>
            <w:tcBorders>
              <w:top w:val="single" w:sz="2" w:space="0" w:color="D9D9D9"/>
              <w:left w:val="single" w:sz="2" w:space="0" w:color="D9D9D9"/>
              <w:bottom w:val="single" w:sz="2" w:space="0" w:color="D9D9D9"/>
              <w:right w:val="single" w:sz="4" w:space="0" w:color="BFBFBF"/>
            </w:tcBorders>
            <w:shd w:val="clear" w:color="auto" w:fill="FFF2CC"/>
            <w:tcMar>
              <w:top w:w="80" w:type="dxa"/>
              <w:left w:w="100" w:type="dxa"/>
              <w:bottom w:w="80" w:type="dxa"/>
              <w:right w:w="100" w:type="dxa"/>
            </w:tcMar>
            <w:vAlign w:val="center"/>
            <w:hideMark/>
          </w:tcPr>
          <w:p w14:paraId="11F5850B" w14:textId="77777777" w:rsidR="005F4A9E" w:rsidRPr="000D16B1" w:rsidRDefault="005F4A9E" w:rsidP="000D16B1">
            <w:pPr>
              <w:spacing w:line="360" w:lineRule="auto"/>
              <w:jc w:val="center"/>
              <w:rPr>
                <w:rFonts w:cs="Arial"/>
              </w:rPr>
            </w:pPr>
            <w:r w:rsidRPr="000D16B1">
              <w:rPr>
                <w:rFonts w:cs="Arial"/>
                <w:color w:val="000000"/>
              </w:rPr>
              <w:t>N/M</w:t>
            </w:r>
          </w:p>
        </w:tc>
      </w:tr>
      <w:tr w:rsidR="005F4A9E" w:rsidRPr="000D16B1" w14:paraId="7C6FD834" w14:textId="77777777" w:rsidTr="005F4A9E">
        <w:tc>
          <w:tcPr>
            <w:tcW w:w="2400" w:type="dxa"/>
            <w:tcBorders>
              <w:top w:val="single" w:sz="2" w:space="0" w:color="D9D9D9"/>
              <w:left w:val="single" w:sz="4" w:space="0" w:color="BFBFBF"/>
              <w:bottom w:val="single" w:sz="2" w:space="0" w:color="D9D9D9"/>
              <w:right w:val="single" w:sz="2" w:space="0" w:color="D9D9D9"/>
            </w:tcBorders>
            <w:shd w:val="clear" w:color="auto" w:fill="F2F2F2"/>
            <w:tcMar>
              <w:top w:w="80" w:type="dxa"/>
              <w:left w:w="100" w:type="dxa"/>
              <w:bottom w:w="80" w:type="dxa"/>
              <w:right w:w="100" w:type="dxa"/>
            </w:tcMar>
            <w:vAlign w:val="center"/>
            <w:hideMark/>
          </w:tcPr>
          <w:p w14:paraId="298749DD" w14:textId="77777777" w:rsidR="005F4A9E" w:rsidRPr="000D16B1" w:rsidRDefault="005F4A9E" w:rsidP="000D16B1">
            <w:pPr>
              <w:spacing w:line="360" w:lineRule="auto"/>
              <w:rPr>
                <w:rFonts w:cs="Arial"/>
              </w:rPr>
            </w:pPr>
            <w:r w:rsidRPr="000D16B1">
              <w:rPr>
                <w:rFonts w:cs="Arial"/>
                <w:b/>
                <w:bCs/>
                <w:color w:val="000000"/>
              </w:rPr>
              <w:t>Asset Turnover</w:t>
            </w:r>
          </w:p>
        </w:tc>
        <w:tc>
          <w:tcPr>
            <w:tcW w:w="1300" w:type="dxa"/>
            <w:tcBorders>
              <w:top w:val="single" w:sz="2" w:space="0" w:color="D9D9D9"/>
              <w:left w:val="single" w:sz="2" w:space="0" w:color="D9D9D9"/>
              <w:bottom w:val="single" w:sz="2" w:space="0" w:color="D9D9D9"/>
              <w:right w:val="single" w:sz="2" w:space="0" w:color="D9D9D9"/>
            </w:tcBorders>
            <w:shd w:val="clear" w:color="auto" w:fill="DCE6F1"/>
            <w:tcMar>
              <w:top w:w="80" w:type="dxa"/>
              <w:left w:w="100" w:type="dxa"/>
              <w:bottom w:w="80" w:type="dxa"/>
              <w:right w:w="100" w:type="dxa"/>
            </w:tcMar>
            <w:vAlign w:val="center"/>
            <w:hideMark/>
          </w:tcPr>
          <w:p w14:paraId="46295EEE" w14:textId="77777777" w:rsidR="005F4A9E" w:rsidRPr="000D16B1" w:rsidRDefault="005F4A9E" w:rsidP="000D16B1">
            <w:pPr>
              <w:spacing w:line="360" w:lineRule="auto"/>
              <w:jc w:val="center"/>
              <w:rPr>
                <w:rFonts w:cs="Arial"/>
              </w:rPr>
            </w:pPr>
            <w:r w:rsidRPr="000D16B1">
              <w:rPr>
                <w:rFonts w:cs="Arial"/>
                <w:b/>
                <w:bCs/>
                <w:color w:val="000000"/>
              </w:rPr>
              <w:t>0.50x</w:t>
            </w:r>
          </w:p>
        </w:tc>
        <w:tc>
          <w:tcPr>
            <w:tcW w:w="1500" w:type="dxa"/>
            <w:tcBorders>
              <w:top w:val="single" w:sz="2" w:space="0" w:color="D9D9D9"/>
              <w:left w:val="single" w:sz="2" w:space="0" w:color="D9D9D9"/>
              <w:bottom w:val="single" w:sz="2" w:space="0" w:color="D9D9D9"/>
              <w:right w:val="single" w:sz="2" w:space="0" w:color="D9D9D9"/>
            </w:tcBorders>
            <w:shd w:val="clear" w:color="auto" w:fill="F2F2F2"/>
            <w:tcMar>
              <w:top w:w="80" w:type="dxa"/>
              <w:left w:w="100" w:type="dxa"/>
              <w:bottom w:w="80" w:type="dxa"/>
              <w:right w:w="100" w:type="dxa"/>
            </w:tcMar>
            <w:vAlign w:val="center"/>
            <w:hideMark/>
          </w:tcPr>
          <w:p w14:paraId="3C2B9A6A" w14:textId="77777777" w:rsidR="005F4A9E" w:rsidRPr="000D16B1" w:rsidRDefault="005F4A9E" w:rsidP="000D16B1">
            <w:pPr>
              <w:spacing w:line="360" w:lineRule="auto"/>
              <w:jc w:val="center"/>
              <w:rPr>
                <w:rFonts w:cs="Arial"/>
              </w:rPr>
            </w:pPr>
            <w:r w:rsidRPr="000D16B1">
              <w:rPr>
                <w:rFonts w:cs="Arial"/>
                <w:color w:val="000000"/>
              </w:rPr>
              <w:t>0.96x</w:t>
            </w:r>
          </w:p>
        </w:tc>
        <w:tc>
          <w:tcPr>
            <w:tcW w:w="1300" w:type="dxa"/>
            <w:tcBorders>
              <w:top w:val="single" w:sz="2" w:space="0" w:color="D9D9D9"/>
              <w:left w:val="single" w:sz="2" w:space="0" w:color="D9D9D9"/>
              <w:bottom w:val="single" w:sz="2" w:space="0" w:color="D9D9D9"/>
              <w:right w:val="single" w:sz="2" w:space="0" w:color="D9D9D9"/>
            </w:tcBorders>
            <w:shd w:val="clear" w:color="auto" w:fill="F2F2F2"/>
            <w:tcMar>
              <w:top w:w="80" w:type="dxa"/>
              <w:left w:w="100" w:type="dxa"/>
              <w:bottom w:w="80" w:type="dxa"/>
              <w:right w:w="100" w:type="dxa"/>
            </w:tcMar>
            <w:vAlign w:val="center"/>
            <w:hideMark/>
          </w:tcPr>
          <w:p w14:paraId="6FCFB90F" w14:textId="77777777" w:rsidR="005F4A9E" w:rsidRPr="000D16B1" w:rsidRDefault="005F4A9E" w:rsidP="000D16B1">
            <w:pPr>
              <w:spacing w:line="360" w:lineRule="auto"/>
              <w:jc w:val="center"/>
              <w:rPr>
                <w:rFonts w:cs="Arial"/>
              </w:rPr>
            </w:pPr>
            <w:r w:rsidRPr="000D16B1">
              <w:rPr>
                <w:rFonts w:cs="Arial"/>
                <w:color w:val="000000"/>
              </w:rPr>
              <w:t>0.68x</w:t>
            </w:r>
          </w:p>
        </w:tc>
        <w:tc>
          <w:tcPr>
            <w:tcW w:w="1300" w:type="dxa"/>
            <w:tcBorders>
              <w:top w:val="single" w:sz="2" w:space="0" w:color="D9D9D9"/>
              <w:left w:val="single" w:sz="2" w:space="0" w:color="D9D9D9"/>
              <w:bottom w:val="single" w:sz="2" w:space="0" w:color="D9D9D9"/>
              <w:right w:val="single" w:sz="2" w:space="0" w:color="D9D9D9"/>
            </w:tcBorders>
            <w:shd w:val="clear" w:color="auto" w:fill="F2F2F2"/>
            <w:tcMar>
              <w:top w:w="80" w:type="dxa"/>
              <w:left w:w="100" w:type="dxa"/>
              <w:bottom w:w="80" w:type="dxa"/>
              <w:right w:w="100" w:type="dxa"/>
            </w:tcMar>
            <w:vAlign w:val="center"/>
            <w:hideMark/>
          </w:tcPr>
          <w:p w14:paraId="0EFB6B83" w14:textId="77777777" w:rsidR="005F4A9E" w:rsidRPr="000D16B1" w:rsidRDefault="005F4A9E" w:rsidP="000D16B1">
            <w:pPr>
              <w:spacing w:line="360" w:lineRule="auto"/>
              <w:jc w:val="center"/>
              <w:rPr>
                <w:rFonts w:cs="Arial"/>
              </w:rPr>
            </w:pPr>
            <w:r w:rsidRPr="000D16B1">
              <w:rPr>
                <w:rFonts w:cs="Arial"/>
                <w:color w:val="000000"/>
              </w:rPr>
              <w:t>1.04x</w:t>
            </w:r>
          </w:p>
        </w:tc>
        <w:tc>
          <w:tcPr>
            <w:tcW w:w="1550" w:type="dxa"/>
            <w:tcBorders>
              <w:top w:val="single" w:sz="2" w:space="0" w:color="D9D9D9"/>
              <w:left w:val="single" w:sz="2" w:space="0" w:color="D9D9D9"/>
              <w:bottom w:val="single" w:sz="2" w:space="0" w:color="D9D9D9"/>
              <w:right w:val="single" w:sz="4" w:space="0" w:color="BFBFBF"/>
            </w:tcBorders>
            <w:shd w:val="clear" w:color="auto" w:fill="FFF2CC"/>
            <w:tcMar>
              <w:top w:w="80" w:type="dxa"/>
              <w:left w:w="100" w:type="dxa"/>
              <w:bottom w:w="80" w:type="dxa"/>
              <w:right w:w="100" w:type="dxa"/>
            </w:tcMar>
            <w:vAlign w:val="center"/>
            <w:hideMark/>
          </w:tcPr>
          <w:p w14:paraId="5E584C31" w14:textId="77777777" w:rsidR="005F4A9E" w:rsidRPr="000D16B1" w:rsidRDefault="005F4A9E" w:rsidP="000D16B1">
            <w:pPr>
              <w:spacing w:line="360" w:lineRule="auto"/>
              <w:jc w:val="center"/>
              <w:rPr>
                <w:rFonts w:cs="Arial"/>
              </w:rPr>
            </w:pPr>
            <w:r w:rsidRPr="000D16B1">
              <w:rPr>
                <w:rFonts w:cs="Arial"/>
                <w:color w:val="000000"/>
              </w:rPr>
              <w:t>0.89x</w:t>
            </w:r>
          </w:p>
        </w:tc>
      </w:tr>
      <w:tr w:rsidR="005F4A9E" w:rsidRPr="000D16B1" w14:paraId="4C32C967" w14:textId="77777777" w:rsidTr="005F4A9E">
        <w:tc>
          <w:tcPr>
            <w:tcW w:w="2400" w:type="dxa"/>
            <w:tcBorders>
              <w:top w:val="single" w:sz="2" w:space="0" w:color="D9D9D9"/>
              <w:left w:val="single" w:sz="4" w:space="0" w:color="BFBFBF"/>
              <w:bottom w:val="single" w:sz="2" w:space="0" w:color="D9D9D9"/>
              <w:right w:val="single" w:sz="2" w:space="0" w:color="D9D9D9"/>
            </w:tcBorders>
            <w:tcMar>
              <w:top w:w="80" w:type="dxa"/>
              <w:left w:w="100" w:type="dxa"/>
              <w:bottom w:w="80" w:type="dxa"/>
              <w:right w:w="100" w:type="dxa"/>
            </w:tcMar>
            <w:vAlign w:val="center"/>
            <w:hideMark/>
          </w:tcPr>
          <w:p w14:paraId="69C62C03" w14:textId="77777777" w:rsidR="005F4A9E" w:rsidRPr="000D16B1" w:rsidRDefault="005F4A9E" w:rsidP="000D16B1">
            <w:pPr>
              <w:spacing w:line="360" w:lineRule="auto"/>
              <w:rPr>
                <w:rFonts w:cs="Arial"/>
              </w:rPr>
            </w:pPr>
            <w:r w:rsidRPr="000D16B1">
              <w:rPr>
                <w:rFonts w:cs="Arial"/>
                <w:b/>
                <w:bCs/>
                <w:color w:val="000000"/>
              </w:rPr>
              <w:t>Liabilities / Equity</w:t>
            </w:r>
          </w:p>
        </w:tc>
        <w:tc>
          <w:tcPr>
            <w:tcW w:w="1300" w:type="dxa"/>
            <w:tcBorders>
              <w:top w:val="single" w:sz="2" w:space="0" w:color="D9D9D9"/>
              <w:left w:val="single" w:sz="2" w:space="0" w:color="D9D9D9"/>
              <w:bottom w:val="single" w:sz="2" w:space="0" w:color="D9D9D9"/>
              <w:right w:val="single" w:sz="2" w:space="0" w:color="D9D9D9"/>
            </w:tcBorders>
            <w:shd w:val="clear" w:color="auto" w:fill="DCE6F1"/>
            <w:tcMar>
              <w:top w:w="80" w:type="dxa"/>
              <w:left w:w="100" w:type="dxa"/>
              <w:bottom w:w="80" w:type="dxa"/>
              <w:right w:w="100" w:type="dxa"/>
            </w:tcMar>
            <w:vAlign w:val="center"/>
            <w:hideMark/>
          </w:tcPr>
          <w:p w14:paraId="7293694C" w14:textId="77777777" w:rsidR="005F4A9E" w:rsidRPr="000D16B1" w:rsidRDefault="005F4A9E" w:rsidP="000D16B1">
            <w:pPr>
              <w:spacing w:line="360" w:lineRule="auto"/>
              <w:jc w:val="center"/>
              <w:rPr>
                <w:rFonts w:cs="Arial"/>
              </w:rPr>
            </w:pPr>
            <w:r w:rsidRPr="000D16B1">
              <w:rPr>
                <w:rFonts w:cs="Arial"/>
                <w:b/>
                <w:bCs/>
                <w:color w:val="000000"/>
              </w:rPr>
              <w:t>2.48x</w:t>
            </w:r>
          </w:p>
        </w:tc>
        <w:tc>
          <w:tcPr>
            <w:tcW w:w="1500" w:type="dxa"/>
            <w:tcBorders>
              <w:top w:val="single" w:sz="2" w:space="0" w:color="D9D9D9"/>
              <w:left w:val="single" w:sz="2" w:space="0" w:color="D9D9D9"/>
              <w:bottom w:val="single" w:sz="2" w:space="0" w:color="D9D9D9"/>
              <w:right w:val="single" w:sz="2" w:space="0" w:color="D9D9D9"/>
            </w:tcBorders>
            <w:tcMar>
              <w:top w:w="80" w:type="dxa"/>
              <w:left w:w="100" w:type="dxa"/>
              <w:bottom w:w="80" w:type="dxa"/>
              <w:right w:w="100" w:type="dxa"/>
            </w:tcMar>
            <w:vAlign w:val="center"/>
            <w:hideMark/>
          </w:tcPr>
          <w:p w14:paraId="1C3B6C44" w14:textId="77777777" w:rsidR="005F4A9E" w:rsidRPr="000D16B1" w:rsidRDefault="005F4A9E" w:rsidP="000D16B1">
            <w:pPr>
              <w:spacing w:line="360" w:lineRule="auto"/>
              <w:jc w:val="center"/>
              <w:rPr>
                <w:rFonts w:cs="Arial"/>
              </w:rPr>
            </w:pPr>
            <w:r w:rsidRPr="000D16B1">
              <w:rPr>
                <w:rFonts w:cs="Arial"/>
                <w:color w:val="000000"/>
              </w:rPr>
              <w:t>N/M (neg. equity)</w:t>
            </w:r>
          </w:p>
        </w:tc>
        <w:tc>
          <w:tcPr>
            <w:tcW w:w="1300" w:type="dxa"/>
            <w:tcBorders>
              <w:top w:val="single" w:sz="2" w:space="0" w:color="D9D9D9"/>
              <w:left w:val="single" w:sz="2" w:space="0" w:color="D9D9D9"/>
              <w:bottom w:val="single" w:sz="2" w:space="0" w:color="D9D9D9"/>
              <w:right w:val="single" w:sz="2" w:space="0" w:color="D9D9D9"/>
            </w:tcBorders>
            <w:tcMar>
              <w:top w:w="80" w:type="dxa"/>
              <w:left w:w="100" w:type="dxa"/>
              <w:bottom w:w="80" w:type="dxa"/>
              <w:right w:w="100" w:type="dxa"/>
            </w:tcMar>
            <w:vAlign w:val="center"/>
            <w:hideMark/>
          </w:tcPr>
          <w:p w14:paraId="2EB536A9" w14:textId="77777777" w:rsidR="005F4A9E" w:rsidRPr="000D16B1" w:rsidRDefault="005F4A9E" w:rsidP="000D16B1">
            <w:pPr>
              <w:spacing w:line="360" w:lineRule="auto"/>
              <w:jc w:val="center"/>
              <w:rPr>
                <w:rFonts w:cs="Arial"/>
              </w:rPr>
            </w:pPr>
            <w:r w:rsidRPr="000D16B1">
              <w:rPr>
                <w:rFonts w:cs="Arial"/>
                <w:color w:val="000000"/>
              </w:rPr>
              <w:t>N/M (neg. equity)</w:t>
            </w:r>
          </w:p>
        </w:tc>
        <w:tc>
          <w:tcPr>
            <w:tcW w:w="1300" w:type="dxa"/>
            <w:tcBorders>
              <w:top w:val="single" w:sz="2" w:space="0" w:color="D9D9D9"/>
              <w:left w:val="single" w:sz="2" w:space="0" w:color="D9D9D9"/>
              <w:bottom w:val="single" w:sz="2" w:space="0" w:color="D9D9D9"/>
              <w:right w:val="single" w:sz="2" w:space="0" w:color="D9D9D9"/>
            </w:tcBorders>
            <w:tcMar>
              <w:top w:w="80" w:type="dxa"/>
              <w:left w:w="100" w:type="dxa"/>
              <w:bottom w:w="80" w:type="dxa"/>
              <w:right w:w="100" w:type="dxa"/>
            </w:tcMar>
            <w:vAlign w:val="center"/>
            <w:hideMark/>
          </w:tcPr>
          <w:p w14:paraId="78FEAF95" w14:textId="77777777" w:rsidR="005F4A9E" w:rsidRPr="000D16B1" w:rsidRDefault="005F4A9E" w:rsidP="000D16B1">
            <w:pPr>
              <w:spacing w:line="360" w:lineRule="auto"/>
              <w:jc w:val="center"/>
              <w:rPr>
                <w:rFonts w:cs="Arial"/>
              </w:rPr>
            </w:pPr>
            <w:r w:rsidRPr="000D16B1">
              <w:rPr>
                <w:rFonts w:cs="Arial"/>
                <w:color w:val="000000"/>
              </w:rPr>
              <w:t>N/M (neg. equity)</w:t>
            </w:r>
          </w:p>
        </w:tc>
        <w:tc>
          <w:tcPr>
            <w:tcW w:w="1550" w:type="dxa"/>
            <w:tcBorders>
              <w:top w:val="single" w:sz="2" w:space="0" w:color="D9D9D9"/>
              <w:left w:val="single" w:sz="2" w:space="0" w:color="D9D9D9"/>
              <w:bottom w:val="single" w:sz="2" w:space="0" w:color="D9D9D9"/>
              <w:right w:val="single" w:sz="4" w:space="0" w:color="BFBFBF"/>
            </w:tcBorders>
            <w:shd w:val="clear" w:color="auto" w:fill="FFF2CC"/>
            <w:tcMar>
              <w:top w:w="80" w:type="dxa"/>
              <w:left w:w="100" w:type="dxa"/>
              <w:bottom w:w="80" w:type="dxa"/>
              <w:right w:w="100" w:type="dxa"/>
            </w:tcMar>
            <w:vAlign w:val="center"/>
            <w:hideMark/>
          </w:tcPr>
          <w:p w14:paraId="5DA2DE30" w14:textId="77777777" w:rsidR="005F4A9E" w:rsidRPr="000D16B1" w:rsidRDefault="005F4A9E" w:rsidP="000D16B1">
            <w:pPr>
              <w:spacing w:line="360" w:lineRule="auto"/>
              <w:jc w:val="center"/>
              <w:rPr>
                <w:rFonts w:cs="Arial"/>
              </w:rPr>
            </w:pPr>
            <w:r w:rsidRPr="000D16B1">
              <w:rPr>
                <w:rFonts w:cs="Arial"/>
                <w:color w:val="000000"/>
              </w:rPr>
              <w:t>N/M</w:t>
            </w:r>
          </w:p>
        </w:tc>
      </w:tr>
      <w:tr w:rsidR="005F4A9E" w:rsidRPr="000D16B1" w14:paraId="319DC2E0" w14:textId="77777777" w:rsidTr="005F4A9E">
        <w:tc>
          <w:tcPr>
            <w:tcW w:w="2400" w:type="dxa"/>
            <w:tcBorders>
              <w:top w:val="single" w:sz="2" w:space="0" w:color="D9D9D9"/>
              <w:left w:val="single" w:sz="4" w:space="0" w:color="BFBFBF"/>
              <w:bottom w:val="single" w:sz="4" w:space="0" w:color="BFBFBF"/>
              <w:right w:val="single" w:sz="2" w:space="0" w:color="D9D9D9"/>
            </w:tcBorders>
            <w:shd w:val="clear" w:color="auto" w:fill="F2F2F2"/>
            <w:tcMar>
              <w:top w:w="80" w:type="dxa"/>
              <w:left w:w="100" w:type="dxa"/>
              <w:bottom w:w="80" w:type="dxa"/>
              <w:right w:w="100" w:type="dxa"/>
            </w:tcMar>
            <w:vAlign w:val="center"/>
            <w:hideMark/>
          </w:tcPr>
          <w:p w14:paraId="536558D2" w14:textId="77777777" w:rsidR="005F4A9E" w:rsidRPr="000D16B1" w:rsidRDefault="005F4A9E" w:rsidP="000D16B1">
            <w:pPr>
              <w:spacing w:line="360" w:lineRule="auto"/>
              <w:rPr>
                <w:rFonts w:cs="Arial"/>
              </w:rPr>
            </w:pPr>
            <w:r w:rsidRPr="000D16B1">
              <w:rPr>
                <w:rFonts w:cs="Arial"/>
                <w:b/>
                <w:bCs/>
                <w:color w:val="000000"/>
              </w:rPr>
              <w:t>Liabilities / Assets</w:t>
            </w:r>
          </w:p>
        </w:tc>
        <w:tc>
          <w:tcPr>
            <w:tcW w:w="1300" w:type="dxa"/>
            <w:tcBorders>
              <w:top w:val="single" w:sz="2" w:space="0" w:color="D9D9D9"/>
              <w:left w:val="single" w:sz="2" w:space="0" w:color="D9D9D9"/>
              <w:bottom w:val="single" w:sz="4" w:space="0" w:color="BFBFBF"/>
              <w:right w:val="single" w:sz="2" w:space="0" w:color="D9D9D9"/>
            </w:tcBorders>
            <w:shd w:val="clear" w:color="auto" w:fill="DCE6F1"/>
            <w:tcMar>
              <w:top w:w="80" w:type="dxa"/>
              <w:left w:w="100" w:type="dxa"/>
              <w:bottom w:w="80" w:type="dxa"/>
              <w:right w:w="100" w:type="dxa"/>
            </w:tcMar>
            <w:vAlign w:val="center"/>
            <w:hideMark/>
          </w:tcPr>
          <w:p w14:paraId="720D5969" w14:textId="77777777" w:rsidR="005F4A9E" w:rsidRPr="000D16B1" w:rsidRDefault="005F4A9E" w:rsidP="000D16B1">
            <w:pPr>
              <w:spacing w:line="360" w:lineRule="auto"/>
              <w:jc w:val="center"/>
              <w:rPr>
                <w:rFonts w:cs="Arial"/>
              </w:rPr>
            </w:pPr>
            <w:r w:rsidRPr="000D16B1">
              <w:rPr>
                <w:rFonts w:cs="Arial"/>
                <w:b/>
                <w:bCs/>
                <w:color w:val="000000"/>
              </w:rPr>
              <w:t>71.3%</w:t>
            </w:r>
          </w:p>
        </w:tc>
        <w:tc>
          <w:tcPr>
            <w:tcW w:w="1500" w:type="dxa"/>
            <w:tcBorders>
              <w:top w:val="single" w:sz="2" w:space="0" w:color="D9D9D9"/>
              <w:left w:val="single" w:sz="2" w:space="0" w:color="D9D9D9"/>
              <w:bottom w:val="single" w:sz="4" w:space="0" w:color="BFBFBF"/>
              <w:right w:val="single" w:sz="2" w:space="0" w:color="D9D9D9"/>
            </w:tcBorders>
            <w:shd w:val="clear" w:color="auto" w:fill="F2F2F2"/>
            <w:tcMar>
              <w:top w:w="80" w:type="dxa"/>
              <w:left w:w="100" w:type="dxa"/>
              <w:bottom w:w="80" w:type="dxa"/>
              <w:right w:w="100" w:type="dxa"/>
            </w:tcMar>
            <w:vAlign w:val="center"/>
            <w:hideMark/>
          </w:tcPr>
          <w:p w14:paraId="052C0B48" w14:textId="77777777" w:rsidR="005F4A9E" w:rsidRPr="000D16B1" w:rsidRDefault="005F4A9E" w:rsidP="000D16B1">
            <w:pPr>
              <w:spacing w:line="360" w:lineRule="auto"/>
              <w:jc w:val="center"/>
              <w:rPr>
                <w:rFonts w:cs="Arial"/>
              </w:rPr>
            </w:pPr>
            <w:r w:rsidRPr="000D16B1">
              <w:rPr>
                <w:rFonts w:cs="Arial"/>
                <w:color w:val="000000"/>
              </w:rPr>
              <w:t>111.4%</w:t>
            </w:r>
          </w:p>
        </w:tc>
        <w:tc>
          <w:tcPr>
            <w:tcW w:w="1300" w:type="dxa"/>
            <w:tcBorders>
              <w:top w:val="single" w:sz="2" w:space="0" w:color="D9D9D9"/>
              <w:left w:val="single" w:sz="2" w:space="0" w:color="D9D9D9"/>
              <w:bottom w:val="single" w:sz="4" w:space="0" w:color="BFBFBF"/>
              <w:right w:val="single" w:sz="2" w:space="0" w:color="D9D9D9"/>
            </w:tcBorders>
            <w:shd w:val="clear" w:color="auto" w:fill="F2F2F2"/>
            <w:tcMar>
              <w:top w:w="80" w:type="dxa"/>
              <w:left w:w="100" w:type="dxa"/>
              <w:bottom w:w="80" w:type="dxa"/>
              <w:right w:w="100" w:type="dxa"/>
            </w:tcMar>
            <w:vAlign w:val="center"/>
            <w:hideMark/>
          </w:tcPr>
          <w:p w14:paraId="05B97FA2" w14:textId="77777777" w:rsidR="005F4A9E" w:rsidRPr="000D16B1" w:rsidRDefault="005F4A9E" w:rsidP="000D16B1">
            <w:pPr>
              <w:spacing w:line="360" w:lineRule="auto"/>
              <w:jc w:val="center"/>
              <w:rPr>
                <w:rFonts w:cs="Arial"/>
              </w:rPr>
            </w:pPr>
            <w:r w:rsidRPr="000D16B1">
              <w:rPr>
                <w:rFonts w:cs="Arial"/>
                <w:color w:val="000000"/>
              </w:rPr>
              <w:t>122.3%</w:t>
            </w:r>
          </w:p>
        </w:tc>
        <w:tc>
          <w:tcPr>
            <w:tcW w:w="1300" w:type="dxa"/>
            <w:tcBorders>
              <w:top w:val="single" w:sz="2" w:space="0" w:color="D9D9D9"/>
              <w:left w:val="single" w:sz="2" w:space="0" w:color="D9D9D9"/>
              <w:bottom w:val="single" w:sz="4" w:space="0" w:color="BFBFBF"/>
              <w:right w:val="single" w:sz="2" w:space="0" w:color="D9D9D9"/>
            </w:tcBorders>
            <w:shd w:val="clear" w:color="auto" w:fill="F2F2F2"/>
            <w:tcMar>
              <w:top w:w="80" w:type="dxa"/>
              <w:left w:w="100" w:type="dxa"/>
              <w:bottom w:w="80" w:type="dxa"/>
              <w:right w:w="100" w:type="dxa"/>
            </w:tcMar>
            <w:vAlign w:val="center"/>
            <w:hideMark/>
          </w:tcPr>
          <w:p w14:paraId="38621F5A" w14:textId="77777777" w:rsidR="005F4A9E" w:rsidRPr="000D16B1" w:rsidRDefault="005F4A9E" w:rsidP="000D16B1">
            <w:pPr>
              <w:spacing w:line="360" w:lineRule="auto"/>
              <w:jc w:val="center"/>
              <w:rPr>
                <w:rFonts w:cs="Arial"/>
              </w:rPr>
            </w:pPr>
            <w:r w:rsidRPr="000D16B1">
              <w:rPr>
                <w:rFonts w:cs="Arial"/>
                <w:color w:val="000000"/>
              </w:rPr>
              <w:t>148.6%</w:t>
            </w:r>
          </w:p>
        </w:tc>
        <w:tc>
          <w:tcPr>
            <w:tcW w:w="1550" w:type="dxa"/>
            <w:tcBorders>
              <w:top w:val="single" w:sz="2" w:space="0" w:color="D9D9D9"/>
              <w:left w:val="single" w:sz="2" w:space="0" w:color="D9D9D9"/>
              <w:bottom w:val="single" w:sz="4" w:space="0" w:color="BFBFBF"/>
              <w:right w:val="single" w:sz="4" w:space="0" w:color="BFBFBF"/>
            </w:tcBorders>
            <w:shd w:val="clear" w:color="auto" w:fill="FFF2CC"/>
            <w:tcMar>
              <w:top w:w="80" w:type="dxa"/>
              <w:left w:w="100" w:type="dxa"/>
              <w:bottom w:w="80" w:type="dxa"/>
              <w:right w:w="100" w:type="dxa"/>
            </w:tcMar>
            <w:vAlign w:val="center"/>
            <w:hideMark/>
          </w:tcPr>
          <w:p w14:paraId="27598DB3" w14:textId="77777777" w:rsidR="005F4A9E" w:rsidRPr="000D16B1" w:rsidRDefault="005F4A9E" w:rsidP="000D16B1">
            <w:pPr>
              <w:spacing w:line="360" w:lineRule="auto"/>
              <w:jc w:val="center"/>
              <w:rPr>
                <w:rFonts w:cs="Arial"/>
              </w:rPr>
            </w:pPr>
            <w:r w:rsidRPr="000D16B1">
              <w:rPr>
                <w:rFonts w:cs="Arial"/>
                <w:color w:val="000000"/>
              </w:rPr>
              <w:t>127.5%</w:t>
            </w:r>
          </w:p>
        </w:tc>
      </w:tr>
    </w:tbl>
    <w:p w14:paraId="0C49E3B8" w14:textId="77777777" w:rsidR="005F4A9E" w:rsidRPr="000D16B1" w:rsidRDefault="005F4A9E" w:rsidP="000D16B1">
      <w:pPr>
        <w:spacing w:before="120" w:after="240" w:line="360" w:lineRule="auto"/>
        <w:rPr>
          <w:rFonts w:cs="Arial"/>
          <w:sz w:val="22"/>
          <w:szCs w:val="22"/>
        </w:rPr>
      </w:pPr>
      <w:r w:rsidRPr="000D16B1">
        <w:rPr>
          <w:rFonts w:cs="Arial"/>
          <w:i/>
          <w:iCs/>
          <w:color w:val="595959"/>
          <w:sz w:val="18"/>
          <w:szCs w:val="18"/>
        </w:rPr>
        <w:t xml:space="preserve">Peer </w:t>
      </w:r>
      <w:proofErr w:type="spellStart"/>
      <w:r w:rsidRPr="000D16B1">
        <w:rPr>
          <w:rFonts w:cs="Arial"/>
          <w:i/>
          <w:iCs/>
          <w:color w:val="595959"/>
          <w:sz w:val="18"/>
          <w:szCs w:val="18"/>
        </w:rPr>
        <w:t>Avg</w:t>
      </w:r>
      <w:proofErr w:type="spellEnd"/>
      <w:r w:rsidRPr="000D16B1">
        <w:rPr>
          <w:rFonts w:cs="Arial"/>
          <w:i/>
          <w:iCs/>
          <w:color w:val="595959"/>
          <w:sz w:val="18"/>
          <w:szCs w:val="18"/>
        </w:rPr>
        <w:t xml:space="preserve"> (3) is a simple, unweighted average of Marriott, Hilton and IHG. “N/M” = not meaningful, used where negative shareholders’ equity makes the ratio uninterpretable in the conventional sense (see Section 3.3 and caveats).</w:t>
      </w:r>
    </w:p>
    <w:p w14:paraId="09B1C33E" w14:textId="77777777" w:rsidR="005F4A9E" w:rsidRPr="000D16B1" w:rsidRDefault="005F4A9E" w:rsidP="000D16B1">
      <w:pPr>
        <w:pStyle w:val="Heading1"/>
        <w:spacing w:line="360" w:lineRule="auto"/>
        <w:rPr>
          <w:rFonts w:eastAsia="Arial" w:cs="Arial"/>
        </w:rPr>
      </w:pPr>
      <w:bookmarkStart w:id="26" w:name="_Toc237455758"/>
      <w:r w:rsidRPr="000D16B1">
        <w:rPr>
          <w:rFonts w:eastAsia="Arial" w:cs="Arial"/>
        </w:rPr>
        <w:t>3. Ratio-by-Ratio Comparison</w:t>
      </w:r>
      <w:bookmarkEnd w:id="26"/>
    </w:p>
    <w:p w14:paraId="039BDA40" w14:textId="77777777" w:rsidR="005F4A9E" w:rsidRPr="000D16B1" w:rsidRDefault="005F4A9E" w:rsidP="000D16B1">
      <w:pPr>
        <w:pStyle w:val="Heading2"/>
        <w:spacing w:line="360" w:lineRule="auto"/>
        <w:rPr>
          <w:rFonts w:eastAsia="Arial" w:cs="Arial"/>
        </w:rPr>
      </w:pPr>
      <w:bookmarkStart w:id="27" w:name="_Toc237455759"/>
      <w:r w:rsidRPr="000D16B1">
        <w:rPr>
          <w:rFonts w:eastAsia="Arial" w:cs="Arial"/>
        </w:rPr>
        <w:t>3.1 Liquidity</w:t>
      </w:r>
      <w:bookmarkEnd w:id="27"/>
    </w:p>
    <w:p w14:paraId="0D10699F" w14:textId="17EFE70E" w:rsidR="005F4A9E" w:rsidRPr="000D16B1" w:rsidRDefault="00D96462" w:rsidP="000D16B1">
      <w:pPr>
        <w:spacing w:after="160" w:line="360" w:lineRule="auto"/>
        <w:rPr>
          <w:rFonts w:eastAsia="Arial" w:cs="Arial"/>
        </w:rPr>
      </w:pPr>
      <w:r w:rsidRPr="00D96462">
        <w:rPr>
          <w:rFonts w:cs="Arial"/>
        </w:rPr>
        <w:t>The current ratio of 0.83x is well above Marriott's current ratio of 0.40x and slightly above Hilton's current ratio of 0.70x, but behind IHG's current ratio of 0.97x – the only one of the four companies that has current assets nearly equal to current liabilities. Since none of the four companies has any significant inventory, the quick ratio is essentially the same as the current ratio in all cases. None of them has a consistently high current ratio (1.0x or more), which is common with asset-light hotel franchisors because of the nature of these “current liabilities” that are deferred and contractual obligations related to loyalty-program points and franchise/management fee agreements instead of cash liabilities that need to be paid back in the short term. On a relative basis, Hyatt's short term liquidity position is "mid-pack" that is to say it is significantly better than Marriott's; about equal to Hilton's; and somewhat inferior to IHG's.</w:t>
      </w:r>
    </w:p>
    <w:p w14:paraId="49B0BE38" w14:textId="77777777" w:rsidR="005F4A9E" w:rsidRPr="000D16B1" w:rsidRDefault="005F4A9E" w:rsidP="000D16B1">
      <w:pPr>
        <w:pStyle w:val="Heading2"/>
        <w:spacing w:line="360" w:lineRule="auto"/>
        <w:rPr>
          <w:rFonts w:eastAsia="Arial" w:cs="Arial"/>
        </w:rPr>
      </w:pPr>
      <w:bookmarkStart w:id="28" w:name="_Toc237455760"/>
      <w:r w:rsidRPr="000D16B1">
        <w:rPr>
          <w:rFonts w:eastAsia="Arial" w:cs="Arial"/>
        </w:rPr>
        <w:t>3.2 Profitability</w:t>
      </w:r>
      <w:bookmarkEnd w:id="28"/>
    </w:p>
    <w:p w14:paraId="1C7E52CC" w14:textId="1425F126" w:rsidR="005F4A9E" w:rsidRPr="000D16B1" w:rsidRDefault="00D96462" w:rsidP="000D16B1">
      <w:pPr>
        <w:spacing w:after="160" w:line="360" w:lineRule="auto"/>
        <w:rPr>
          <w:rFonts w:eastAsia="Arial" w:cs="Arial"/>
        </w:rPr>
      </w:pPr>
      <w:r w:rsidRPr="00D96462">
        <w:rPr>
          <w:rFonts w:cs="Arial"/>
        </w:rPr>
        <w:t xml:space="preserve">Strong profitability at Hyatt was measured by the highest net profit margin for the group at 19.5%, compared with roughly 12.0% for the peers (Marriott 9.5%, Hilton 13.8%, IHG 12.8%). This was significantly influenced by a $1,245 million one-time gain on the sale of real estate that was </w:t>
      </w:r>
      <w:r w:rsidRPr="00D96462">
        <w:rPr>
          <w:rFonts w:cs="Arial"/>
        </w:rPr>
        <w:lastRenderedPageBreak/>
        <w:t>recorded in 2024 as Hyatt's asset-light strategy proceeds with the sales of owned hotels, and were this gain excluded, pre-tax income would be $318 million versus $1,563 million and the profitability would be closer to, or below, peers. ROA is more balanced: Hyatt is at 9.7% versus Marriott's 9.1% and Hilton's 9.3%, with IHG leading the group at 13.2%, as it has a smaller asset base that is more heavily franchised. ROE cannot be compared on a like for like basis as only Hyatt is the one company to have positive share holders' equity which in turn gives a real, interpretable ROE of 36.5%, while other companies, namely Marriott, Hilton and IHG show negative equity which gives a mathematically enormous ROE that is not meaningful as a performance indicator</w:t>
      </w:r>
      <w:r>
        <w:rPr>
          <w:rFonts w:cs="Arial"/>
        </w:rPr>
        <w:t xml:space="preserve"> </w:t>
      </w:r>
      <w:r w:rsidR="00C34C32" w:rsidRPr="000D16B1">
        <w:rPr>
          <w:rFonts w:cs="Arial"/>
        </w:rPr>
        <w:fldChar w:fldCharType="begin" w:fldLock="1"/>
      </w:r>
      <w:r w:rsidR="00C34C32" w:rsidRPr="000D16B1">
        <w:rPr>
          <w:rFonts w:cs="Arial"/>
        </w:rPr>
        <w:instrText>ADDIN CSL_CITATION {"citationItems":[{"id":"ITEM-1","itemData":{"ISSN":"2643-7015","author":[{"dropping-particle":"","family":"Amoa-Gyarteng","given":"Karikari","non-dropping-particle":"","parse-names":false,"suffix":""},{"dropping-particle":"","family":"Dhliwayo","given":"Shepherd","non-dropping-particle":"","parse-names":false,"suffix":""}],"container-title":"Journal of the International Council for Small Business","id":"ITEM-1","issue":"3","issued":{"date-parts":[["2024","7","2"]]},"page":"246-258","title":"Overcoming the liability of newness: The interplay of debt, equity, and profitability in nascent SMEs","type":"article-journal","volume":"5"},"uris":["http://www.mendeley.com/documents/?uuid=7be3f6cb-9880-4983-9c85-691c32558fb7"]}],"mendeley":{"formattedCitation":"(Amoa-Gyarteng and Dhliwayo, 2024)","plainTextFormattedCitation":"(Amoa-Gyarteng and Dhliwayo, 2024)","previouslyFormattedCitation":"(Amoa-Gyarteng and Dhliwayo, 2024)"},"properties":{"noteIndex":0},"schema":"https://github.com/citation-style-language/schema/raw/master/csl-citation.json"}</w:instrText>
      </w:r>
      <w:r w:rsidR="00C34C32" w:rsidRPr="000D16B1">
        <w:rPr>
          <w:rFonts w:cs="Arial"/>
        </w:rPr>
        <w:fldChar w:fldCharType="separate"/>
      </w:r>
      <w:r w:rsidR="00C34C32" w:rsidRPr="000D16B1">
        <w:rPr>
          <w:rFonts w:cs="Arial"/>
          <w:noProof/>
        </w:rPr>
        <w:t>(Amoa-Gyarteng and Dhliwayo, 2024)</w:t>
      </w:r>
      <w:r w:rsidR="00C34C32" w:rsidRPr="000D16B1">
        <w:rPr>
          <w:rFonts w:cs="Arial"/>
        </w:rPr>
        <w:fldChar w:fldCharType="end"/>
      </w:r>
      <w:r w:rsidR="005F4A9E" w:rsidRPr="000D16B1">
        <w:rPr>
          <w:rFonts w:cs="Arial"/>
        </w:rPr>
        <w:t>.</w:t>
      </w:r>
    </w:p>
    <w:p w14:paraId="353B1787" w14:textId="77777777" w:rsidR="005F4A9E" w:rsidRPr="000D16B1" w:rsidRDefault="005F4A9E" w:rsidP="000D16B1">
      <w:pPr>
        <w:pStyle w:val="Heading2"/>
        <w:spacing w:line="360" w:lineRule="auto"/>
        <w:rPr>
          <w:rFonts w:eastAsia="Arial" w:cs="Arial"/>
        </w:rPr>
      </w:pPr>
      <w:bookmarkStart w:id="29" w:name="_Toc237455761"/>
      <w:r w:rsidRPr="000D16B1">
        <w:rPr>
          <w:rFonts w:eastAsia="Arial" w:cs="Arial"/>
        </w:rPr>
        <w:t>3.3 Leverage &amp; Solvency</w:t>
      </w:r>
      <w:bookmarkEnd w:id="29"/>
    </w:p>
    <w:p w14:paraId="37027175" w14:textId="5BB48195" w:rsidR="005F4A9E" w:rsidRPr="000D16B1" w:rsidRDefault="00D96462" w:rsidP="000D16B1">
      <w:pPr>
        <w:spacing w:after="160" w:line="360" w:lineRule="auto"/>
        <w:rPr>
          <w:rFonts w:eastAsia="Arial" w:cs="Arial"/>
        </w:rPr>
      </w:pPr>
      <w:r w:rsidRPr="00D96462">
        <w:rPr>
          <w:rFonts w:cs="Arial"/>
        </w:rPr>
        <w:t>The four companies have widely differing approaches when it comes to share buybacks, a fact reflected in their total equity, where only Hyatt has positive total equity ($3.8 billion). Each of these three companies, Marriott, Hilton and IHG, has been doing it for a number of years now: buying back stock and paying more in dividends than they earn in retained earnings, which resulted in negative book equity (i.e. −$2.99 billion, −$3.69 billion and −$2.31 billion respectively). That means that traditional solvency ratios like debt/liabilities/equity are not very informative for the three peers (perhaps mathematically these ratios can be calculated, but a negative denominator doesn't necessarily represent a lower risk). Accordingly, Hyatt's debt/equity rate of 2.48x is the only one that can be interpreted in the group. A more apples-to-apples leverage comparison is liabilities-to-assets: here, Hyatt comes in the least leveraged at 71.3% of assets to 111.4% for Marriott, 122.3% for Hilton and 148.6% for IHG (ratios greater than 100% are only possible because of negative equity). Based on this, Hyatt's balance-sheet risk is less of any of its three direct competitors</w:t>
      </w:r>
      <w:r w:rsidR="005F4A9E" w:rsidRPr="000D16B1">
        <w:rPr>
          <w:rFonts w:cs="Arial"/>
        </w:rPr>
        <w:t>.</w:t>
      </w:r>
    </w:p>
    <w:p w14:paraId="73C7600E" w14:textId="77777777" w:rsidR="005F4A9E" w:rsidRPr="000D16B1" w:rsidRDefault="005F4A9E" w:rsidP="000D16B1">
      <w:pPr>
        <w:pStyle w:val="Heading2"/>
        <w:spacing w:line="360" w:lineRule="auto"/>
        <w:rPr>
          <w:rFonts w:eastAsia="Arial" w:cs="Arial"/>
        </w:rPr>
      </w:pPr>
      <w:bookmarkStart w:id="30" w:name="_Toc237455762"/>
      <w:r w:rsidRPr="000D16B1">
        <w:rPr>
          <w:rFonts w:eastAsia="Arial" w:cs="Arial"/>
        </w:rPr>
        <w:t>3.4 Efficiency</w:t>
      </w:r>
      <w:bookmarkEnd w:id="30"/>
    </w:p>
    <w:p w14:paraId="42BCEF06" w14:textId="77777777" w:rsidR="005F4A9E" w:rsidRPr="000D16B1" w:rsidRDefault="005F4A9E" w:rsidP="000D16B1">
      <w:pPr>
        <w:spacing w:after="160" w:line="360" w:lineRule="auto"/>
        <w:rPr>
          <w:rFonts w:eastAsia="Arial" w:cs="Arial"/>
        </w:rPr>
      </w:pPr>
      <w:r w:rsidRPr="000D16B1">
        <w:rPr>
          <w:rFonts w:cs="Arial"/>
        </w:rPr>
        <w:t>Asset turnover is Hyatt’s clearest relative weakness: at 0.50x, it is the lowest of the four, versus 0.96x for Marriott, 0.68x for Hilton and 1.04x for IHG. Hyatt still owns more real estate and carries a larger base of goodwill and intangible assets (partly reflecting its 2021–2022 acquisitions of Apple Leisure Group and other portfolio additions) relative to the revenue those assets generate, compared with more fully “asset-light” peers such as IHG and Marriott, which have franchised or sold off the large majority of their owned real estate. This means Hyatt’s balance sheet has to work harder to produce each dollar of revenue than its competitors’ balance sheets do.</w:t>
      </w:r>
    </w:p>
    <w:p w14:paraId="652A8F6C" w14:textId="77777777" w:rsidR="005F4A9E" w:rsidRPr="000D16B1" w:rsidRDefault="005F4A9E" w:rsidP="000D16B1">
      <w:pPr>
        <w:pStyle w:val="Heading1"/>
        <w:spacing w:line="360" w:lineRule="auto"/>
        <w:rPr>
          <w:rFonts w:eastAsia="Arial" w:cs="Arial"/>
        </w:rPr>
      </w:pPr>
      <w:bookmarkStart w:id="31" w:name="_Toc237455763"/>
      <w:r w:rsidRPr="000D16B1">
        <w:rPr>
          <w:rFonts w:eastAsia="Arial" w:cs="Arial"/>
        </w:rPr>
        <w:lastRenderedPageBreak/>
        <w:t>4. Strengths and Weaknesses Summary</w:t>
      </w:r>
      <w:bookmarkEnd w:id="31"/>
    </w:p>
    <w:p w14:paraId="2CCCFEB3" w14:textId="77777777" w:rsidR="005F4A9E" w:rsidRPr="000D16B1" w:rsidRDefault="005F4A9E" w:rsidP="000D16B1">
      <w:pPr>
        <w:pStyle w:val="Heading2"/>
        <w:spacing w:line="360" w:lineRule="auto"/>
        <w:rPr>
          <w:rFonts w:eastAsia="Arial" w:cs="Arial"/>
        </w:rPr>
      </w:pPr>
      <w:bookmarkStart w:id="32" w:name="_Toc237455764"/>
      <w:r w:rsidRPr="000D16B1">
        <w:rPr>
          <w:rFonts w:eastAsia="Arial" w:cs="Arial"/>
        </w:rPr>
        <w:t>4.1 Strengths</w:t>
      </w:r>
      <w:bookmarkEnd w:id="32"/>
    </w:p>
    <w:p w14:paraId="4F53D20C" w14:textId="77777777" w:rsidR="005F4A9E" w:rsidRPr="000D16B1" w:rsidRDefault="005F4A9E" w:rsidP="000D16B1">
      <w:pPr>
        <w:spacing w:line="360" w:lineRule="auto"/>
        <w:jc w:val="both"/>
        <w:rPr>
          <w:rFonts w:eastAsia="Arial" w:cs="Arial"/>
        </w:rPr>
      </w:pPr>
      <w:r w:rsidRPr="000D16B1">
        <w:rPr>
          <w:rFonts w:cs="Arial"/>
        </w:rPr>
        <w:t>Positive shareholders’ equity ($3.8bn) — the only company in the peer set not carrying negative book equity, implying materially lower balance-sheet risk.</w:t>
      </w:r>
    </w:p>
    <w:p w14:paraId="5DADF8F7" w14:textId="77777777" w:rsidR="005F4A9E" w:rsidRPr="000D16B1" w:rsidRDefault="005F4A9E" w:rsidP="000D16B1">
      <w:pPr>
        <w:spacing w:line="360" w:lineRule="auto"/>
        <w:jc w:val="both"/>
        <w:rPr>
          <w:rFonts w:cs="Arial"/>
        </w:rPr>
      </w:pPr>
      <w:r w:rsidRPr="000D16B1">
        <w:rPr>
          <w:rFonts w:cs="Arial"/>
        </w:rPr>
        <w:t>Lowest overall leverage on a liabilities-to-assets basis (71.3% vs. 111–149% for peers).</w:t>
      </w:r>
    </w:p>
    <w:p w14:paraId="7634F711" w14:textId="77777777" w:rsidR="005F4A9E" w:rsidRPr="000D16B1" w:rsidRDefault="005F4A9E" w:rsidP="000D16B1">
      <w:pPr>
        <w:spacing w:line="360" w:lineRule="auto"/>
        <w:jc w:val="both"/>
        <w:rPr>
          <w:rFonts w:cs="Arial"/>
        </w:rPr>
      </w:pPr>
      <w:r w:rsidRPr="000D16B1">
        <w:rPr>
          <w:rFonts w:cs="Arial"/>
        </w:rPr>
        <w:t>Highest headline net margin (19.5%) and a real, calculable ROE (36.5%), unlike peers whose ROE is distorted by negative equity.</w:t>
      </w:r>
    </w:p>
    <w:p w14:paraId="68F7311F" w14:textId="77777777" w:rsidR="005F4A9E" w:rsidRPr="000D16B1" w:rsidRDefault="005F4A9E" w:rsidP="000D16B1">
      <w:pPr>
        <w:spacing w:line="360" w:lineRule="auto"/>
        <w:jc w:val="both"/>
        <w:rPr>
          <w:rFonts w:cs="Arial"/>
        </w:rPr>
      </w:pPr>
      <w:r w:rsidRPr="000D16B1">
        <w:rPr>
          <w:rFonts w:cs="Arial"/>
        </w:rPr>
        <w:t>Current ratio (0.83x) stronger than Marriott’s and broadly in line with Hilton’s, indicating comparatively healthier short-term liquidity.</w:t>
      </w:r>
    </w:p>
    <w:p w14:paraId="6E246C78" w14:textId="77777777" w:rsidR="005F4A9E" w:rsidRPr="000D16B1" w:rsidRDefault="005F4A9E" w:rsidP="000D16B1">
      <w:pPr>
        <w:pStyle w:val="Heading2"/>
        <w:spacing w:line="360" w:lineRule="auto"/>
        <w:rPr>
          <w:rFonts w:eastAsia="Arial" w:cs="Arial"/>
        </w:rPr>
      </w:pPr>
      <w:bookmarkStart w:id="33" w:name="_Toc237455765"/>
      <w:r w:rsidRPr="000D16B1">
        <w:rPr>
          <w:rFonts w:eastAsia="Arial" w:cs="Arial"/>
        </w:rPr>
        <w:t>4.2 Weaknesses</w:t>
      </w:r>
      <w:bookmarkEnd w:id="33"/>
    </w:p>
    <w:p w14:paraId="06621B41" w14:textId="77777777" w:rsidR="005F4A9E" w:rsidRPr="000D16B1" w:rsidRDefault="005F4A9E" w:rsidP="000D16B1">
      <w:pPr>
        <w:spacing w:line="360" w:lineRule="auto"/>
        <w:rPr>
          <w:rFonts w:eastAsia="Arial" w:cs="Arial"/>
        </w:rPr>
      </w:pPr>
      <w:r w:rsidRPr="000D16B1">
        <w:rPr>
          <w:rFonts w:cs="Arial"/>
        </w:rPr>
        <w:t>Lowest asset turnover in the group (0.50x) — a heavier, less “asset-light” balance sheet than Marriott, Hilton or IHG relative to revenue generated.</w:t>
      </w:r>
    </w:p>
    <w:p w14:paraId="7CBC3033" w14:textId="77777777" w:rsidR="005F4A9E" w:rsidRPr="000D16B1" w:rsidRDefault="005F4A9E" w:rsidP="000D16B1">
      <w:pPr>
        <w:spacing w:line="360" w:lineRule="auto"/>
        <w:rPr>
          <w:rFonts w:cs="Arial"/>
        </w:rPr>
      </w:pPr>
      <w:r w:rsidRPr="000D16B1">
        <w:rPr>
          <w:rFonts w:cs="Arial"/>
        </w:rPr>
        <w:t>Reported profitability is flattered by a one-off $1,245m real-estate gain; underlying, gain-adjusted profitability would likely be below the peer average rather than above it.</w:t>
      </w:r>
    </w:p>
    <w:p w14:paraId="5A921F71" w14:textId="77777777" w:rsidR="005F4A9E" w:rsidRPr="000D16B1" w:rsidRDefault="005F4A9E" w:rsidP="000D16B1">
      <w:pPr>
        <w:spacing w:line="360" w:lineRule="auto"/>
        <w:rPr>
          <w:rFonts w:cs="Arial"/>
        </w:rPr>
      </w:pPr>
      <w:r w:rsidRPr="000D16B1">
        <w:rPr>
          <w:rFonts w:cs="Arial"/>
        </w:rPr>
        <w:t>Current ratio, while better than peers except IHG, is still below 1.0x, so current liabilities exceed current assets.</w:t>
      </w:r>
    </w:p>
    <w:p w14:paraId="32CD2943" w14:textId="77777777" w:rsidR="005F4A9E" w:rsidRPr="000D16B1" w:rsidRDefault="005F4A9E" w:rsidP="000D16B1">
      <w:pPr>
        <w:spacing w:line="360" w:lineRule="auto"/>
        <w:rPr>
          <w:rFonts w:cs="Arial"/>
        </w:rPr>
      </w:pPr>
      <w:r w:rsidRPr="000D16B1">
        <w:rPr>
          <w:rFonts w:cs="Arial"/>
        </w:rPr>
        <w:t>Smallest scale by revenue ($6.6bn vs. Marriott’s $25.1bn, Hilton’s $11.2bn and even IHG’s $4.9bn is closer), which may limit negotiating leverage with hotel owners, OTAs and technology vendors relative to larger peers.</w:t>
      </w:r>
    </w:p>
    <w:p w14:paraId="03B4C8CF" w14:textId="77777777" w:rsidR="005F4A9E" w:rsidRPr="000D16B1" w:rsidRDefault="005F4A9E" w:rsidP="000D16B1">
      <w:pPr>
        <w:pStyle w:val="Heading1"/>
        <w:spacing w:line="360" w:lineRule="auto"/>
        <w:rPr>
          <w:rFonts w:eastAsia="Arial" w:cs="Arial"/>
        </w:rPr>
      </w:pPr>
      <w:bookmarkStart w:id="34" w:name="_Toc237455766"/>
      <w:r w:rsidRPr="000D16B1">
        <w:rPr>
          <w:rFonts w:eastAsia="Arial" w:cs="Arial"/>
        </w:rPr>
        <w:t>5. Caveats &amp; Notes on Comparability</w:t>
      </w:r>
      <w:bookmarkEnd w:id="34"/>
    </w:p>
    <w:p w14:paraId="49885C07" w14:textId="77777777" w:rsidR="005F4A9E" w:rsidRPr="000D16B1" w:rsidRDefault="005F4A9E" w:rsidP="000D16B1">
      <w:pPr>
        <w:spacing w:line="360" w:lineRule="auto"/>
        <w:jc w:val="both"/>
        <w:rPr>
          <w:rFonts w:eastAsia="Arial" w:cs="Arial"/>
        </w:rPr>
      </w:pPr>
      <w:r w:rsidRPr="000D16B1">
        <w:rPr>
          <w:rFonts w:cs="Arial"/>
        </w:rPr>
        <w:t>GlobalData was not accessible in this environment (subscription/institutional login required); figures instead come directly from each company’s FY2024 10-K/annual report and FY2024 earnings release, sourced via SEC EDGAR and company investor-relations pages.</w:t>
      </w:r>
    </w:p>
    <w:p w14:paraId="0F3F668A" w14:textId="77777777" w:rsidR="005F4A9E" w:rsidRPr="000D16B1" w:rsidRDefault="005F4A9E" w:rsidP="000D16B1">
      <w:pPr>
        <w:spacing w:line="360" w:lineRule="auto"/>
        <w:jc w:val="both"/>
        <w:rPr>
          <w:rFonts w:cs="Arial"/>
        </w:rPr>
      </w:pPr>
      <w:r w:rsidRPr="000D16B1">
        <w:rPr>
          <w:rFonts w:cs="Arial"/>
        </w:rPr>
        <w:t xml:space="preserve">“Peer </w:t>
      </w:r>
      <w:proofErr w:type="spellStart"/>
      <w:r w:rsidRPr="000D16B1">
        <w:rPr>
          <w:rFonts w:cs="Arial"/>
        </w:rPr>
        <w:t>Avg</w:t>
      </w:r>
      <w:proofErr w:type="spellEnd"/>
      <w:r w:rsidRPr="000D16B1">
        <w:rPr>
          <w:rFonts w:cs="Arial"/>
        </w:rPr>
        <w:t xml:space="preserve"> (3)” is a simple, unweighted average of Marriott, Hilton and IHG and does not adjust for the very different scale of the three companies.</w:t>
      </w:r>
    </w:p>
    <w:p w14:paraId="2C57766E" w14:textId="77777777" w:rsidR="00D96462" w:rsidRPr="00D96462" w:rsidRDefault="00D96462" w:rsidP="00D96462">
      <w:pPr>
        <w:spacing w:line="360" w:lineRule="auto"/>
        <w:jc w:val="both"/>
        <w:rPr>
          <w:rFonts w:cs="Arial"/>
        </w:rPr>
      </w:pPr>
      <w:r w:rsidRPr="00D96462">
        <w:rPr>
          <w:rFonts w:cs="Arial"/>
        </w:rPr>
        <w:t>For Marriott, Hilton and IHG, ROE and debt/liabilities-to-equity are denoted with N/M as the negative shareholders' equity makes such ratios mathematically meaningful but not economically relevant as performance or risk measures.</w:t>
      </w:r>
    </w:p>
    <w:p w14:paraId="32673766" w14:textId="77777777" w:rsidR="00D96462" w:rsidRPr="00D96462" w:rsidRDefault="00D96462" w:rsidP="00D96462">
      <w:pPr>
        <w:spacing w:line="360" w:lineRule="auto"/>
        <w:jc w:val="both"/>
        <w:rPr>
          <w:rFonts w:cs="Arial"/>
        </w:rPr>
      </w:pPr>
      <w:r w:rsidRPr="00D96462">
        <w:rPr>
          <w:rFonts w:cs="Arial"/>
        </w:rPr>
        <w:t>A non-recurring gain of $1,245m from the disposition of real estate assets materially impacts Hyatt's 2024 net income and margin; year-over-year comparisons of profitability trends should be adjusted for this item.</w:t>
      </w:r>
    </w:p>
    <w:p w14:paraId="10BCAE10" w14:textId="6E416C95" w:rsidR="005F4A9E" w:rsidRPr="000D16B1" w:rsidRDefault="00D96462" w:rsidP="00D96462">
      <w:pPr>
        <w:spacing w:line="360" w:lineRule="auto"/>
        <w:jc w:val="both"/>
        <w:rPr>
          <w:rFonts w:cs="Arial"/>
        </w:rPr>
      </w:pPr>
      <w:r w:rsidRPr="00D96462">
        <w:rPr>
          <w:rFonts w:cs="Arial"/>
        </w:rPr>
        <w:lastRenderedPageBreak/>
        <w:t>In the consolidated statements IHG reports in USD and no further currency adjustment was done, even though the group is domiciled in UK</w:t>
      </w:r>
      <w:r w:rsidR="005F4A9E" w:rsidRPr="000D16B1">
        <w:rPr>
          <w:rFonts w:cs="Arial"/>
        </w:rPr>
        <w:t>.</w:t>
      </w:r>
    </w:p>
    <w:p w14:paraId="316E4CF7" w14:textId="77777777" w:rsidR="005F4A9E" w:rsidRPr="000D16B1" w:rsidRDefault="005F4A9E" w:rsidP="000D16B1">
      <w:pPr>
        <w:pStyle w:val="Heading1"/>
        <w:spacing w:line="360" w:lineRule="auto"/>
        <w:rPr>
          <w:rFonts w:eastAsia="Arial" w:cs="Arial"/>
        </w:rPr>
      </w:pPr>
      <w:bookmarkStart w:id="35" w:name="_Toc237455767"/>
      <w:r w:rsidRPr="000D16B1">
        <w:rPr>
          <w:rFonts w:eastAsia="Arial" w:cs="Arial"/>
        </w:rPr>
        <w:t>6. Sources</w:t>
      </w:r>
      <w:bookmarkEnd w:id="35"/>
    </w:p>
    <w:p w14:paraId="6F8B7F90" w14:textId="77777777" w:rsidR="005F4A9E" w:rsidRPr="000D16B1" w:rsidRDefault="005F4A9E" w:rsidP="000D16B1">
      <w:pPr>
        <w:spacing w:line="360" w:lineRule="auto"/>
        <w:rPr>
          <w:rFonts w:eastAsia="Arial" w:cs="Arial"/>
        </w:rPr>
      </w:pPr>
      <w:r w:rsidRPr="000D16B1">
        <w:rPr>
          <w:rFonts w:cs="Arial"/>
        </w:rPr>
        <w:t>Hyatt Hotels Corporation, Form 10-K for fiscal year ended December 31, 2024 (as provided).</w:t>
      </w:r>
    </w:p>
    <w:p w14:paraId="55A99D5D" w14:textId="77777777" w:rsidR="005F4A9E" w:rsidRPr="000D16B1" w:rsidRDefault="005F4A9E" w:rsidP="000D16B1">
      <w:pPr>
        <w:spacing w:line="360" w:lineRule="auto"/>
        <w:rPr>
          <w:rFonts w:cs="Arial"/>
        </w:rPr>
      </w:pPr>
      <w:r w:rsidRPr="000D16B1">
        <w:rPr>
          <w:rFonts w:cs="Arial"/>
        </w:rPr>
        <w:t>Marriott International, Inc., Form 10-K and Q4/FY2024 earnings release, filed February 2025 (SEC EDGAR).</w:t>
      </w:r>
    </w:p>
    <w:p w14:paraId="6706E1E8" w14:textId="77777777" w:rsidR="005F4A9E" w:rsidRPr="000D16B1" w:rsidRDefault="005F4A9E" w:rsidP="000D16B1">
      <w:pPr>
        <w:spacing w:line="360" w:lineRule="auto"/>
        <w:rPr>
          <w:rFonts w:cs="Arial"/>
        </w:rPr>
      </w:pPr>
      <w:r w:rsidRPr="000D16B1">
        <w:rPr>
          <w:rFonts w:cs="Arial"/>
        </w:rPr>
        <w:t>Hilton Worldwide Holdings Inc., Form 10-K/Annual Report to Shareholders (ARS) for fiscal year 2024 and Q4/FY2024 earnings release (SEC EDGAR).</w:t>
      </w:r>
    </w:p>
    <w:p w14:paraId="0E157B6B" w14:textId="77777777" w:rsidR="005F4A9E" w:rsidRDefault="005F4A9E" w:rsidP="000D16B1">
      <w:pPr>
        <w:spacing w:line="360" w:lineRule="auto"/>
        <w:rPr>
          <w:rFonts w:cs="Arial"/>
        </w:rPr>
      </w:pPr>
      <w:r w:rsidRPr="000D16B1">
        <w:rPr>
          <w:rFonts w:cs="Arial"/>
        </w:rPr>
        <w:t>InterContinental Hotels Group PLC, Full-Year 2024 Results announcement and FY2024 Annual Report; supplementary balance-sheet figures via Yahoo Finance.</w:t>
      </w:r>
    </w:p>
    <w:p w14:paraId="1ED8451C" w14:textId="77777777" w:rsidR="000D16B1" w:rsidRDefault="000D16B1" w:rsidP="000D16B1">
      <w:pPr>
        <w:spacing w:line="360" w:lineRule="auto"/>
        <w:rPr>
          <w:rFonts w:cs="Arial"/>
        </w:rPr>
      </w:pPr>
    </w:p>
    <w:p w14:paraId="4FDDD1C9" w14:textId="77777777" w:rsidR="000D16B1" w:rsidRDefault="000D16B1" w:rsidP="000D16B1">
      <w:pPr>
        <w:spacing w:line="360" w:lineRule="auto"/>
        <w:rPr>
          <w:rFonts w:cs="Arial"/>
        </w:rPr>
      </w:pPr>
    </w:p>
    <w:p w14:paraId="44E45A01" w14:textId="77777777" w:rsidR="000D16B1" w:rsidRDefault="000D16B1" w:rsidP="000D16B1">
      <w:pPr>
        <w:spacing w:line="360" w:lineRule="auto"/>
        <w:rPr>
          <w:rFonts w:cs="Arial"/>
        </w:rPr>
      </w:pPr>
    </w:p>
    <w:p w14:paraId="30118BFF" w14:textId="77777777" w:rsidR="000D16B1" w:rsidRDefault="000D16B1" w:rsidP="000D16B1">
      <w:pPr>
        <w:spacing w:line="360" w:lineRule="auto"/>
        <w:rPr>
          <w:rFonts w:cs="Arial"/>
        </w:rPr>
      </w:pPr>
    </w:p>
    <w:p w14:paraId="74912E19" w14:textId="77777777" w:rsidR="000D16B1" w:rsidRDefault="000D16B1" w:rsidP="000D16B1">
      <w:pPr>
        <w:spacing w:line="360" w:lineRule="auto"/>
        <w:rPr>
          <w:rFonts w:cs="Arial"/>
        </w:rPr>
      </w:pPr>
    </w:p>
    <w:p w14:paraId="70892526" w14:textId="77777777" w:rsidR="000D16B1" w:rsidRDefault="000D16B1" w:rsidP="000D16B1">
      <w:pPr>
        <w:spacing w:line="360" w:lineRule="auto"/>
        <w:rPr>
          <w:rFonts w:cs="Arial"/>
        </w:rPr>
      </w:pPr>
    </w:p>
    <w:p w14:paraId="6A51EE54" w14:textId="77777777" w:rsidR="000D16B1" w:rsidRPr="000D16B1" w:rsidRDefault="000D16B1" w:rsidP="000D16B1">
      <w:pPr>
        <w:spacing w:line="360" w:lineRule="auto"/>
        <w:rPr>
          <w:rFonts w:cs="Arial"/>
        </w:rPr>
      </w:pPr>
    </w:p>
    <w:p w14:paraId="692C6E31" w14:textId="15513847" w:rsidR="00C34C32" w:rsidRPr="000D16B1" w:rsidRDefault="00C34C32" w:rsidP="000D16B1">
      <w:pPr>
        <w:spacing w:before="240" w:line="360" w:lineRule="auto"/>
        <w:jc w:val="both"/>
        <w:rPr>
          <w:rFonts w:cs="Arial"/>
        </w:rPr>
      </w:pPr>
    </w:p>
    <w:p w14:paraId="0A680902" w14:textId="77777777" w:rsidR="000D16B1" w:rsidRDefault="000D16B1" w:rsidP="000D16B1">
      <w:pPr>
        <w:pStyle w:val="Heading1"/>
        <w:spacing w:line="360" w:lineRule="auto"/>
        <w:rPr>
          <w:rFonts w:cs="Arial"/>
        </w:rPr>
      </w:pPr>
      <w:bookmarkStart w:id="36" w:name="_Toc237455768"/>
    </w:p>
    <w:p w14:paraId="114C4919" w14:textId="77777777" w:rsidR="000D16B1" w:rsidRDefault="000D16B1" w:rsidP="000D16B1">
      <w:pPr>
        <w:pStyle w:val="Heading1"/>
        <w:spacing w:line="360" w:lineRule="auto"/>
        <w:rPr>
          <w:rFonts w:cs="Arial"/>
        </w:rPr>
      </w:pPr>
    </w:p>
    <w:p w14:paraId="3D118ECC" w14:textId="77777777" w:rsidR="000D16B1" w:rsidRDefault="000D16B1" w:rsidP="000D16B1">
      <w:pPr>
        <w:pStyle w:val="Heading1"/>
        <w:spacing w:line="360" w:lineRule="auto"/>
        <w:rPr>
          <w:rFonts w:cs="Arial"/>
        </w:rPr>
      </w:pPr>
    </w:p>
    <w:p w14:paraId="218C8E0F" w14:textId="77777777" w:rsidR="005F6E3B" w:rsidRDefault="005F6E3B" w:rsidP="000D16B1">
      <w:pPr>
        <w:pStyle w:val="Heading1"/>
        <w:spacing w:line="360" w:lineRule="auto"/>
        <w:rPr>
          <w:rFonts w:cs="Arial"/>
        </w:rPr>
      </w:pPr>
    </w:p>
    <w:p w14:paraId="3AAC84DE" w14:textId="77777777" w:rsidR="005F6E3B" w:rsidRDefault="005F6E3B" w:rsidP="000D16B1">
      <w:pPr>
        <w:pStyle w:val="Heading1"/>
        <w:spacing w:line="360" w:lineRule="auto"/>
        <w:rPr>
          <w:rFonts w:cs="Arial"/>
        </w:rPr>
      </w:pPr>
    </w:p>
    <w:p w14:paraId="3CA3E972" w14:textId="77777777" w:rsidR="005F6E3B" w:rsidRDefault="005F6E3B" w:rsidP="000D16B1">
      <w:pPr>
        <w:pStyle w:val="Heading1"/>
        <w:spacing w:line="360" w:lineRule="auto"/>
        <w:rPr>
          <w:rFonts w:cs="Arial"/>
        </w:rPr>
      </w:pPr>
    </w:p>
    <w:p w14:paraId="5E8BC33F" w14:textId="77777777" w:rsidR="005F6E3B" w:rsidRDefault="005F6E3B" w:rsidP="000D16B1">
      <w:pPr>
        <w:pStyle w:val="Heading1"/>
        <w:spacing w:line="360" w:lineRule="auto"/>
        <w:rPr>
          <w:rFonts w:cs="Arial"/>
        </w:rPr>
      </w:pPr>
    </w:p>
    <w:p w14:paraId="2CCD81C1" w14:textId="77777777" w:rsidR="005F6E3B" w:rsidRDefault="005F6E3B" w:rsidP="000D16B1">
      <w:pPr>
        <w:pStyle w:val="Heading1"/>
        <w:spacing w:line="360" w:lineRule="auto"/>
        <w:rPr>
          <w:rFonts w:cs="Arial"/>
        </w:rPr>
      </w:pPr>
    </w:p>
    <w:p w14:paraId="5166F9FC" w14:textId="77777777" w:rsidR="005F6E3B" w:rsidRDefault="005F6E3B" w:rsidP="000D16B1">
      <w:pPr>
        <w:pStyle w:val="Heading1"/>
        <w:spacing w:line="360" w:lineRule="auto"/>
        <w:rPr>
          <w:rFonts w:cs="Arial"/>
        </w:rPr>
      </w:pPr>
    </w:p>
    <w:p w14:paraId="36CBAE04" w14:textId="77777777" w:rsidR="005F6E3B" w:rsidRDefault="005F6E3B" w:rsidP="000D16B1">
      <w:pPr>
        <w:pStyle w:val="Heading1"/>
        <w:spacing w:line="360" w:lineRule="auto"/>
        <w:rPr>
          <w:rFonts w:cs="Arial"/>
        </w:rPr>
      </w:pPr>
    </w:p>
    <w:p w14:paraId="255774F4" w14:textId="77777777" w:rsidR="005F6E3B" w:rsidRDefault="005F6E3B" w:rsidP="000D16B1">
      <w:pPr>
        <w:pStyle w:val="Heading1"/>
        <w:spacing w:line="360" w:lineRule="auto"/>
        <w:rPr>
          <w:rFonts w:cs="Arial"/>
        </w:rPr>
      </w:pPr>
    </w:p>
    <w:p w14:paraId="3F3CA071" w14:textId="77777777" w:rsidR="005F6E3B" w:rsidRDefault="005F6E3B" w:rsidP="000D16B1">
      <w:pPr>
        <w:pStyle w:val="Heading1"/>
        <w:spacing w:line="360" w:lineRule="auto"/>
        <w:rPr>
          <w:rFonts w:cs="Arial"/>
        </w:rPr>
      </w:pPr>
    </w:p>
    <w:p w14:paraId="2B86AC30" w14:textId="77777777" w:rsidR="005F6E3B" w:rsidRDefault="005F6E3B" w:rsidP="000D16B1">
      <w:pPr>
        <w:pStyle w:val="Heading1"/>
        <w:spacing w:line="360" w:lineRule="auto"/>
        <w:rPr>
          <w:rFonts w:cs="Arial"/>
        </w:rPr>
      </w:pPr>
    </w:p>
    <w:p w14:paraId="5789CE2C" w14:textId="77777777" w:rsidR="005F6E3B" w:rsidRDefault="005F6E3B" w:rsidP="000D16B1">
      <w:pPr>
        <w:pStyle w:val="Heading1"/>
        <w:spacing w:line="360" w:lineRule="auto"/>
        <w:rPr>
          <w:rFonts w:cs="Arial"/>
        </w:rPr>
      </w:pPr>
    </w:p>
    <w:p w14:paraId="0073227F" w14:textId="77777777" w:rsidR="005F6E3B" w:rsidRDefault="005F6E3B" w:rsidP="000D16B1">
      <w:pPr>
        <w:pStyle w:val="Heading1"/>
        <w:spacing w:line="360" w:lineRule="auto"/>
        <w:rPr>
          <w:rFonts w:cs="Arial"/>
        </w:rPr>
      </w:pPr>
    </w:p>
    <w:p w14:paraId="6603A1A7" w14:textId="77777777" w:rsidR="005F6E3B" w:rsidRDefault="005F6E3B" w:rsidP="000D16B1">
      <w:pPr>
        <w:pStyle w:val="Heading1"/>
        <w:spacing w:line="360" w:lineRule="auto"/>
        <w:rPr>
          <w:rFonts w:cs="Arial"/>
        </w:rPr>
      </w:pPr>
    </w:p>
    <w:p w14:paraId="7E9C6197" w14:textId="77777777" w:rsidR="005F6E3B" w:rsidRDefault="005F6E3B" w:rsidP="000D16B1">
      <w:pPr>
        <w:pStyle w:val="Heading1"/>
        <w:spacing w:line="360" w:lineRule="auto"/>
        <w:rPr>
          <w:rFonts w:cs="Arial"/>
        </w:rPr>
      </w:pPr>
    </w:p>
    <w:p w14:paraId="009FC029" w14:textId="345D6946" w:rsidR="005F4A9E" w:rsidRPr="000D16B1" w:rsidRDefault="00C34C32" w:rsidP="000D16B1">
      <w:pPr>
        <w:pStyle w:val="Heading1"/>
        <w:spacing w:line="360" w:lineRule="auto"/>
        <w:rPr>
          <w:rFonts w:cs="Arial"/>
        </w:rPr>
      </w:pPr>
      <w:r w:rsidRPr="000D16B1">
        <w:rPr>
          <w:rFonts w:cs="Arial"/>
        </w:rPr>
        <w:t>References:</w:t>
      </w:r>
      <w:bookmarkEnd w:id="36"/>
    </w:p>
    <w:p w14:paraId="50773C78" w14:textId="43AB08EA" w:rsidR="00C34C32" w:rsidRPr="000D16B1" w:rsidRDefault="00C34C32" w:rsidP="000D16B1">
      <w:pPr>
        <w:spacing w:line="360" w:lineRule="auto"/>
        <w:jc w:val="both"/>
        <w:rPr>
          <w:rFonts w:cs="Arial"/>
          <w:noProof/>
        </w:rPr>
      </w:pPr>
      <w:r w:rsidRPr="000D16B1">
        <w:rPr>
          <w:rFonts w:cs="Arial"/>
        </w:rPr>
        <w:fldChar w:fldCharType="begin" w:fldLock="1"/>
      </w:r>
      <w:r w:rsidRPr="000D16B1">
        <w:rPr>
          <w:rFonts w:cs="Arial"/>
        </w:rPr>
        <w:instrText xml:space="preserve">ADDIN Mendeley Bibliography CSL_BIBLIOGRAPHY </w:instrText>
      </w:r>
      <w:r w:rsidRPr="000D16B1">
        <w:rPr>
          <w:rFonts w:cs="Arial"/>
        </w:rPr>
        <w:fldChar w:fldCharType="separate"/>
      </w:r>
      <w:r w:rsidRPr="000D16B1">
        <w:rPr>
          <w:rFonts w:cs="Arial"/>
          <w:noProof/>
        </w:rPr>
        <w:t xml:space="preserve">Amoa-Gyarteng, K. and Dhliwayo, S. (2024) “Overcoming the liability of newness: The interplay of debt, equity, and profitability in nascent SMEs,” </w:t>
      </w:r>
      <w:r w:rsidRPr="000D16B1">
        <w:rPr>
          <w:rFonts w:cs="Arial"/>
          <w:i/>
          <w:iCs/>
          <w:noProof/>
        </w:rPr>
        <w:t>Journal of the International Council for Small Business</w:t>
      </w:r>
      <w:r w:rsidRPr="000D16B1">
        <w:rPr>
          <w:rFonts w:cs="Arial"/>
          <w:noProof/>
        </w:rPr>
        <w:t xml:space="preserve">, 5(3), pp. 246–258. Available at: </w:t>
      </w:r>
      <w:hyperlink r:id="rId10" w:history="1">
        <w:r w:rsidRPr="000D16B1">
          <w:rPr>
            <w:rStyle w:val="Hyperlink"/>
            <w:rFonts w:cs="Arial"/>
            <w:noProof/>
          </w:rPr>
          <w:t>https://www.tandfonline.com/doi/full/10.1080/26437015.2024.2336454</w:t>
        </w:r>
      </w:hyperlink>
      <w:r w:rsidRPr="000D16B1">
        <w:rPr>
          <w:rFonts w:cs="Arial"/>
          <w:noProof/>
        </w:rPr>
        <w:t>.</w:t>
      </w:r>
    </w:p>
    <w:p w14:paraId="0957AE40" w14:textId="5FE9C558" w:rsidR="00C34C32" w:rsidRPr="000D16B1" w:rsidRDefault="00C34C32" w:rsidP="000D16B1">
      <w:pPr>
        <w:spacing w:line="360" w:lineRule="auto"/>
        <w:jc w:val="both"/>
        <w:rPr>
          <w:rFonts w:cs="Arial"/>
          <w:noProof/>
        </w:rPr>
      </w:pPr>
      <w:r w:rsidRPr="000D16B1">
        <w:rPr>
          <w:rFonts w:cs="Arial"/>
          <w:noProof/>
        </w:rPr>
        <w:t xml:space="preserve">Berg, T., Gustafsson, E. and Wahlstrøm, R.R. (2024) “Cost management and working capital management: ebony and ivory in perfect harmony?” Available at: </w:t>
      </w:r>
      <w:hyperlink r:id="rId11" w:history="1">
        <w:r w:rsidRPr="000D16B1">
          <w:rPr>
            <w:rStyle w:val="Hyperlink"/>
            <w:rFonts w:cs="Arial"/>
            <w:noProof/>
          </w:rPr>
          <w:t>https://link.springer.com/article/10.1007/s00187-024-00368-3</w:t>
        </w:r>
      </w:hyperlink>
      <w:r w:rsidRPr="000D16B1">
        <w:rPr>
          <w:rFonts w:cs="Arial"/>
          <w:noProof/>
        </w:rPr>
        <w:t>.</w:t>
      </w:r>
    </w:p>
    <w:p w14:paraId="03C47AE3" w14:textId="2F7D7798" w:rsidR="00C34C32" w:rsidRPr="000D16B1" w:rsidRDefault="00C34C32" w:rsidP="000D16B1">
      <w:pPr>
        <w:spacing w:line="360" w:lineRule="auto"/>
        <w:jc w:val="both"/>
        <w:rPr>
          <w:rFonts w:cs="Arial"/>
          <w:noProof/>
        </w:rPr>
      </w:pPr>
      <w:r w:rsidRPr="000D16B1">
        <w:rPr>
          <w:rFonts w:cs="Arial"/>
          <w:noProof/>
        </w:rPr>
        <w:t xml:space="preserve">Chen, Y. </w:t>
      </w:r>
      <w:r w:rsidRPr="000D16B1">
        <w:rPr>
          <w:rFonts w:cs="Arial"/>
          <w:i/>
          <w:iCs/>
          <w:noProof/>
        </w:rPr>
        <w:t>et al.</w:t>
      </w:r>
      <w:r w:rsidRPr="000D16B1">
        <w:rPr>
          <w:rFonts w:cs="Arial"/>
          <w:noProof/>
        </w:rPr>
        <w:t xml:space="preserve"> (2024) “Knowledge-augmented Financial Market Analysis and Report Generation,” in </w:t>
      </w:r>
      <w:r w:rsidRPr="000D16B1">
        <w:rPr>
          <w:rFonts w:cs="Arial"/>
          <w:i/>
          <w:iCs/>
          <w:noProof/>
        </w:rPr>
        <w:t>Proceedings of the 2024 Conference on Empirical Methods in Natural Language Processing: Industry Track</w:t>
      </w:r>
      <w:r w:rsidRPr="000D16B1">
        <w:rPr>
          <w:rFonts w:cs="Arial"/>
          <w:noProof/>
        </w:rPr>
        <w:t>. Stroudsburg, PA, USA: Association for Computational Linguistics, pp. 1207–1217. Available at:</w:t>
      </w:r>
      <w:hyperlink r:id="rId12" w:history="1">
        <w:r w:rsidRPr="000D16B1">
          <w:rPr>
            <w:rStyle w:val="Hyperlink"/>
            <w:rFonts w:cs="Arial"/>
            <w:noProof/>
          </w:rPr>
          <w:t xml:space="preserve"> https://aclanthology.org/2024.emnlp-industry.90/</w:t>
        </w:r>
      </w:hyperlink>
      <w:r w:rsidRPr="000D16B1">
        <w:rPr>
          <w:rFonts w:cs="Arial"/>
          <w:noProof/>
        </w:rPr>
        <w:t>.</w:t>
      </w:r>
    </w:p>
    <w:p w14:paraId="23AAFB55" w14:textId="550844B6" w:rsidR="00C34C32" w:rsidRPr="000D16B1" w:rsidRDefault="00C34C32" w:rsidP="000D16B1">
      <w:pPr>
        <w:spacing w:line="360" w:lineRule="auto"/>
        <w:jc w:val="both"/>
        <w:rPr>
          <w:rFonts w:cs="Arial"/>
          <w:noProof/>
        </w:rPr>
      </w:pPr>
      <w:r w:rsidRPr="000D16B1">
        <w:rPr>
          <w:rFonts w:cs="Arial"/>
          <w:noProof/>
        </w:rPr>
        <w:t xml:space="preserve">Figlioli, B. </w:t>
      </w:r>
      <w:r w:rsidRPr="000D16B1">
        <w:rPr>
          <w:rFonts w:cs="Arial"/>
          <w:i/>
          <w:iCs/>
          <w:noProof/>
        </w:rPr>
        <w:t>et al.</w:t>
      </w:r>
      <w:r w:rsidRPr="000D16B1">
        <w:rPr>
          <w:rFonts w:cs="Arial"/>
          <w:noProof/>
        </w:rPr>
        <w:t xml:space="preserve"> (2024) “Influence of the cash conversion cycle on firm’s financial performance: Evidence from publicly traded firms in the Latin American context,” </w:t>
      </w:r>
      <w:r w:rsidRPr="000D16B1">
        <w:rPr>
          <w:rFonts w:cs="Arial"/>
          <w:i/>
          <w:iCs/>
          <w:noProof/>
        </w:rPr>
        <w:t>Accounting &amp; Finance</w:t>
      </w:r>
      <w:r w:rsidRPr="000D16B1">
        <w:rPr>
          <w:rFonts w:cs="Arial"/>
          <w:noProof/>
        </w:rPr>
        <w:t xml:space="preserve">, 64(3), pp. 2375–2401. Available at: </w:t>
      </w:r>
      <w:hyperlink r:id="rId13" w:history="1">
        <w:r w:rsidRPr="000D16B1">
          <w:rPr>
            <w:rStyle w:val="Hyperlink"/>
            <w:rFonts w:cs="Arial"/>
            <w:noProof/>
          </w:rPr>
          <w:t>https://onlinelibrary.wiley.com/doi/10.1111/acfi.13220</w:t>
        </w:r>
      </w:hyperlink>
      <w:r w:rsidRPr="000D16B1">
        <w:rPr>
          <w:rFonts w:cs="Arial"/>
          <w:noProof/>
        </w:rPr>
        <w:t>.</w:t>
      </w:r>
    </w:p>
    <w:p w14:paraId="7178AD70" w14:textId="39C67A3C" w:rsidR="00C34C32" w:rsidRPr="000D16B1" w:rsidRDefault="00C34C32" w:rsidP="000D16B1">
      <w:pPr>
        <w:spacing w:line="360" w:lineRule="auto"/>
        <w:jc w:val="both"/>
        <w:rPr>
          <w:rFonts w:cs="Arial"/>
          <w:noProof/>
        </w:rPr>
      </w:pPr>
      <w:r w:rsidRPr="000D16B1">
        <w:rPr>
          <w:rFonts w:cs="Arial"/>
          <w:noProof/>
        </w:rPr>
        <w:t xml:space="preserve">García-Cutrín, J. and Rodríguez-García, C. (2024) “Enhancing Corporate Sustainability through Just-In-Time (JIT) Practices: A Meta-Analytic Examination of Financial Performance Outcomes,” </w:t>
      </w:r>
      <w:r w:rsidRPr="000D16B1">
        <w:rPr>
          <w:rFonts w:cs="Arial"/>
          <w:i/>
          <w:iCs/>
          <w:noProof/>
        </w:rPr>
        <w:t>Sustainability</w:t>
      </w:r>
      <w:r w:rsidRPr="000D16B1">
        <w:rPr>
          <w:rFonts w:cs="Arial"/>
          <w:noProof/>
        </w:rPr>
        <w:t xml:space="preserve">, 16(10), p. 4025. Available at: </w:t>
      </w:r>
      <w:hyperlink r:id="rId14" w:history="1">
        <w:r w:rsidRPr="000D16B1">
          <w:rPr>
            <w:rStyle w:val="Hyperlink"/>
            <w:rFonts w:cs="Arial"/>
            <w:noProof/>
          </w:rPr>
          <w:t>https://www.mdpi.com/2071-1050/16/10/4025</w:t>
        </w:r>
      </w:hyperlink>
      <w:r w:rsidRPr="000D16B1">
        <w:rPr>
          <w:rFonts w:cs="Arial"/>
          <w:noProof/>
        </w:rPr>
        <w:t>.</w:t>
      </w:r>
    </w:p>
    <w:p w14:paraId="3DA29F6B" w14:textId="24DD2A59" w:rsidR="00C34C32" w:rsidRPr="000D16B1" w:rsidRDefault="00C34C32" w:rsidP="000D16B1">
      <w:pPr>
        <w:spacing w:line="360" w:lineRule="auto"/>
        <w:jc w:val="both"/>
        <w:rPr>
          <w:rFonts w:cs="Arial"/>
          <w:noProof/>
        </w:rPr>
      </w:pPr>
      <w:r w:rsidRPr="000D16B1">
        <w:rPr>
          <w:rFonts w:cs="Arial"/>
          <w:noProof/>
        </w:rPr>
        <w:t xml:space="preserve">Haque, M.R. (2025) “From disruption to recovery: a multi-country analysis of tourism and hospitality firms’ performance post-COVID-19,” </w:t>
      </w:r>
      <w:r w:rsidRPr="000D16B1">
        <w:rPr>
          <w:rFonts w:cs="Arial"/>
          <w:i/>
          <w:iCs/>
          <w:noProof/>
        </w:rPr>
        <w:t>Tourism Recreation Research</w:t>
      </w:r>
      <w:r w:rsidRPr="000D16B1">
        <w:rPr>
          <w:rFonts w:cs="Arial"/>
          <w:noProof/>
        </w:rPr>
        <w:t>, 50(5), pp. 1062–1073. Available at:</w:t>
      </w:r>
      <w:hyperlink r:id="rId15" w:history="1">
        <w:r w:rsidRPr="000D16B1">
          <w:rPr>
            <w:rStyle w:val="Hyperlink"/>
            <w:rFonts w:cs="Arial"/>
            <w:noProof/>
          </w:rPr>
          <w:t xml:space="preserve"> https://doi.org/10.1080/02508281.2024.2372969</w:t>
        </w:r>
      </w:hyperlink>
      <w:r w:rsidRPr="000D16B1">
        <w:rPr>
          <w:rFonts w:cs="Arial"/>
          <w:noProof/>
        </w:rPr>
        <w:t>.</w:t>
      </w:r>
    </w:p>
    <w:p w14:paraId="22CA9DEB" w14:textId="3ECCC159" w:rsidR="00C34C32" w:rsidRPr="000D16B1" w:rsidRDefault="00C34C32" w:rsidP="000D16B1">
      <w:pPr>
        <w:spacing w:line="360" w:lineRule="auto"/>
        <w:jc w:val="both"/>
        <w:rPr>
          <w:rFonts w:cs="Arial"/>
          <w:noProof/>
        </w:rPr>
      </w:pPr>
      <w:r w:rsidRPr="000D16B1">
        <w:rPr>
          <w:rFonts w:cs="Arial"/>
          <w:noProof/>
        </w:rPr>
        <w:t xml:space="preserve">HYATT (2024) </w:t>
      </w:r>
      <w:r w:rsidRPr="000D16B1">
        <w:rPr>
          <w:rFonts w:cs="Arial"/>
          <w:i/>
          <w:iCs/>
          <w:noProof/>
        </w:rPr>
        <w:t>Annual Reports</w:t>
      </w:r>
      <w:r w:rsidRPr="000D16B1">
        <w:rPr>
          <w:rFonts w:cs="Arial"/>
          <w:noProof/>
        </w:rPr>
        <w:t xml:space="preserve">. Available at: </w:t>
      </w:r>
      <w:hyperlink r:id="rId16" w:history="1">
        <w:r w:rsidRPr="000D16B1">
          <w:rPr>
            <w:rStyle w:val="Hyperlink"/>
            <w:rFonts w:cs="Arial"/>
            <w:noProof/>
          </w:rPr>
          <w:t>https://investors.hyatt.com/financials/annual-reports/default.aspx?languageid=1</w:t>
        </w:r>
      </w:hyperlink>
      <w:r w:rsidRPr="000D16B1">
        <w:rPr>
          <w:rFonts w:cs="Arial"/>
          <w:noProof/>
        </w:rPr>
        <w:t>.</w:t>
      </w:r>
    </w:p>
    <w:p w14:paraId="5219163D" w14:textId="1338F034" w:rsidR="00C34C32" w:rsidRPr="000D16B1" w:rsidRDefault="00C34C32" w:rsidP="000D16B1">
      <w:pPr>
        <w:spacing w:line="360" w:lineRule="auto"/>
        <w:jc w:val="both"/>
        <w:rPr>
          <w:rFonts w:cs="Arial"/>
          <w:noProof/>
        </w:rPr>
      </w:pPr>
      <w:r w:rsidRPr="000D16B1">
        <w:rPr>
          <w:rFonts w:cs="Arial"/>
          <w:noProof/>
        </w:rPr>
        <w:lastRenderedPageBreak/>
        <w:t xml:space="preserve">Kiymaz, H., Haque, S. and Choudhury, A.A. (2024) “Working capital management and firm performance: A comparative analysis of developed and emerging economies,” </w:t>
      </w:r>
      <w:r w:rsidRPr="000D16B1">
        <w:rPr>
          <w:rFonts w:cs="Arial"/>
          <w:i/>
          <w:iCs/>
          <w:noProof/>
        </w:rPr>
        <w:t>Borsa Istanbul Review</w:t>
      </w:r>
      <w:r w:rsidRPr="000D16B1">
        <w:rPr>
          <w:rFonts w:cs="Arial"/>
          <w:noProof/>
        </w:rPr>
        <w:t xml:space="preserve">, 24(3), pp. 634–642. Available at: </w:t>
      </w:r>
      <w:hyperlink r:id="rId17" w:history="1">
        <w:r w:rsidRPr="000D16B1">
          <w:rPr>
            <w:rStyle w:val="Hyperlink"/>
            <w:rFonts w:cs="Arial"/>
            <w:noProof/>
          </w:rPr>
          <w:t>https://www.sciencedirect.com/science/article/pii/S2214845024000462</w:t>
        </w:r>
      </w:hyperlink>
      <w:r w:rsidRPr="000D16B1">
        <w:rPr>
          <w:rFonts w:cs="Arial"/>
          <w:noProof/>
        </w:rPr>
        <w:t>.</w:t>
      </w:r>
    </w:p>
    <w:p w14:paraId="27770225" w14:textId="60A79DC2" w:rsidR="00C34C32" w:rsidRPr="000D16B1" w:rsidRDefault="00C34C32" w:rsidP="000D16B1">
      <w:pPr>
        <w:spacing w:line="360" w:lineRule="auto"/>
        <w:jc w:val="both"/>
        <w:rPr>
          <w:rFonts w:cs="Arial"/>
          <w:noProof/>
        </w:rPr>
      </w:pPr>
      <w:r w:rsidRPr="000D16B1">
        <w:rPr>
          <w:rFonts w:cs="Arial"/>
          <w:noProof/>
        </w:rPr>
        <w:t>Klingbeil, A., Grützner, C. and Schreck, P. (2024) “Trust and reliance on AI — An experimental study on the extent and costs of overreliance on AI.” Available at:</w:t>
      </w:r>
      <w:hyperlink r:id="rId18" w:history="1">
        <w:r w:rsidRPr="000D16B1">
          <w:rPr>
            <w:rStyle w:val="Hyperlink"/>
            <w:rFonts w:cs="Arial"/>
            <w:noProof/>
          </w:rPr>
          <w:t xml:space="preserve"> https://www.sciencedirect.com/science/article/pii/S0747563224002206</w:t>
        </w:r>
      </w:hyperlink>
      <w:r w:rsidRPr="000D16B1">
        <w:rPr>
          <w:rFonts w:cs="Arial"/>
          <w:noProof/>
        </w:rPr>
        <w:t>.</w:t>
      </w:r>
    </w:p>
    <w:p w14:paraId="1B9A1312" w14:textId="208DA457" w:rsidR="00C34C32" w:rsidRPr="000D16B1" w:rsidRDefault="00C34C32" w:rsidP="000D16B1">
      <w:pPr>
        <w:spacing w:line="360" w:lineRule="auto"/>
        <w:jc w:val="both"/>
        <w:rPr>
          <w:rFonts w:cs="Arial"/>
          <w:noProof/>
        </w:rPr>
      </w:pPr>
      <w:r w:rsidRPr="000D16B1">
        <w:rPr>
          <w:rFonts w:cs="Arial"/>
          <w:noProof/>
        </w:rPr>
        <w:t xml:space="preserve">Sachan, S. </w:t>
      </w:r>
      <w:r w:rsidRPr="000D16B1">
        <w:rPr>
          <w:rFonts w:cs="Arial"/>
          <w:i/>
          <w:iCs/>
          <w:noProof/>
        </w:rPr>
        <w:t>et al.</w:t>
      </w:r>
      <w:r w:rsidRPr="000D16B1">
        <w:rPr>
          <w:rFonts w:cs="Arial"/>
          <w:noProof/>
        </w:rPr>
        <w:t xml:space="preserve"> (2024) “Human-AI collaboration to mitigate decision noise in financial underwriting: A study on FinTech innovation in a lending firm.” Available at: </w:t>
      </w:r>
      <w:hyperlink r:id="rId19" w:history="1">
        <w:r w:rsidRPr="000D16B1">
          <w:rPr>
            <w:rStyle w:val="Hyperlink"/>
            <w:rFonts w:cs="Arial"/>
            <w:noProof/>
          </w:rPr>
          <w:t>https://www.sciencedirect.com/science/article/abs/pii/S1057521924000814</w:t>
        </w:r>
      </w:hyperlink>
      <w:r w:rsidRPr="000D16B1">
        <w:rPr>
          <w:rFonts w:cs="Arial"/>
          <w:noProof/>
        </w:rPr>
        <w:t>.</w:t>
      </w:r>
    </w:p>
    <w:p w14:paraId="00DA53EA" w14:textId="26364FC6" w:rsidR="00C34C32" w:rsidRPr="000D16B1" w:rsidRDefault="00C34C32" w:rsidP="000D16B1">
      <w:pPr>
        <w:spacing w:line="360" w:lineRule="auto"/>
        <w:jc w:val="both"/>
        <w:rPr>
          <w:rFonts w:cs="Arial"/>
          <w:noProof/>
        </w:rPr>
      </w:pPr>
      <w:r w:rsidRPr="000D16B1">
        <w:rPr>
          <w:rFonts w:cs="Arial"/>
          <w:noProof/>
        </w:rPr>
        <w:t xml:space="preserve">Sharma, P. </w:t>
      </w:r>
      <w:r w:rsidRPr="000D16B1">
        <w:rPr>
          <w:rFonts w:cs="Arial"/>
          <w:i/>
          <w:iCs/>
          <w:noProof/>
        </w:rPr>
        <w:t>et al.</w:t>
      </w:r>
      <w:r w:rsidRPr="000D16B1">
        <w:rPr>
          <w:rFonts w:cs="Arial"/>
          <w:noProof/>
        </w:rPr>
        <w:t xml:space="preserve"> (2025) “Drivers of working capital efficiency in Indian hospitality sector,” </w:t>
      </w:r>
      <w:r w:rsidRPr="000D16B1">
        <w:rPr>
          <w:rFonts w:cs="Arial"/>
          <w:i/>
          <w:iCs/>
          <w:noProof/>
        </w:rPr>
        <w:t>Investment Management and Financial Innovations</w:t>
      </w:r>
      <w:r w:rsidRPr="000D16B1">
        <w:rPr>
          <w:rFonts w:cs="Arial"/>
          <w:noProof/>
        </w:rPr>
        <w:t xml:space="preserve">, 22(2), pp. 47–64. Available at: </w:t>
      </w:r>
      <w:hyperlink r:id="rId20" w:history="1">
        <w:r w:rsidRPr="000D16B1">
          <w:rPr>
            <w:rStyle w:val="Hyperlink"/>
            <w:rFonts w:cs="Arial"/>
            <w:noProof/>
          </w:rPr>
          <w:t>https://businessperspectives.org/journals/investment-management-and-financial-innovations/issue-486/drivers-of-working-capital-efficiency-in-indian-hospitality-sector</w:t>
        </w:r>
      </w:hyperlink>
      <w:r w:rsidRPr="000D16B1">
        <w:rPr>
          <w:rFonts w:cs="Arial"/>
          <w:noProof/>
        </w:rPr>
        <w:t>.</w:t>
      </w:r>
    </w:p>
    <w:p w14:paraId="6F2A8CB3" w14:textId="4054BACC" w:rsidR="00C34C32" w:rsidRPr="000D16B1" w:rsidRDefault="00C34C32" w:rsidP="000D16B1">
      <w:pPr>
        <w:spacing w:line="360" w:lineRule="auto"/>
        <w:jc w:val="both"/>
        <w:rPr>
          <w:rFonts w:cs="Arial"/>
        </w:rPr>
      </w:pPr>
      <w:r w:rsidRPr="000D16B1">
        <w:rPr>
          <w:rFonts w:cs="Arial"/>
        </w:rPr>
        <w:fldChar w:fldCharType="end"/>
      </w:r>
    </w:p>
    <w:p w14:paraId="04CCE8A4" w14:textId="77777777" w:rsidR="005F6E3B" w:rsidRDefault="005F6E3B" w:rsidP="000D16B1">
      <w:pPr>
        <w:pStyle w:val="Heading1"/>
      </w:pPr>
      <w:bookmarkStart w:id="37" w:name="_Toc237455769"/>
    </w:p>
    <w:p w14:paraId="2356A8E2" w14:textId="77777777" w:rsidR="005F6E3B" w:rsidRDefault="005F6E3B" w:rsidP="000D16B1">
      <w:pPr>
        <w:pStyle w:val="Heading1"/>
      </w:pPr>
    </w:p>
    <w:p w14:paraId="76F3056F" w14:textId="77777777" w:rsidR="005F6E3B" w:rsidRDefault="005F6E3B" w:rsidP="000D16B1">
      <w:pPr>
        <w:pStyle w:val="Heading1"/>
      </w:pPr>
    </w:p>
    <w:p w14:paraId="62B93316" w14:textId="77777777" w:rsidR="005F6E3B" w:rsidRDefault="005F6E3B">
      <w:pPr>
        <w:spacing w:before="240" w:line="360" w:lineRule="auto"/>
        <w:jc w:val="both"/>
        <w:rPr>
          <w:color w:val="000000" w:themeColor="text1"/>
          <w:sz w:val="32"/>
          <w:szCs w:val="32"/>
        </w:rPr>
      </w:pPr>
      <w:r>
        <w:br w:type="page"/>
      </w:r>
    </w:p>
    <w:p w14:paraId="688C4216" w14:textId="64246164" w:rsidR="005F4A9E" w:rsidRDefault="000D16B1" w:rsidP="000D16B1">
      <w:pPr>
        <w:pStyle w:val="Heading1"/>
      </w:pPr>
      <w:r>
        <w:lastRenderedPageBreak/>
        <w:t>Appendix:</w:t>
      </w:r>
      <w:bookmarkEnd w:id="37"/>
    </w:p>
    <w:p w14:paraId="61DDADBD" w14:textId="2C6F39CD" w:rsidR="000D16B1" w:rsidRDefault="002B0246" w:rsidP="000D16B1">
      <w:pPr>
        <w:spacing w:line="360" w:lineRule="auto"/>
        <w:jc w:val="both"/>
        <w:rPr>
          <w:rFonts w:cs="Arial"/>
        </w:rPr>
      </w:pPr>
      <w:r>
        <w:rPr>
          <w:rFonts w:cs="Arial"/>
        </w:rPr>
        <w:object w:dxaOrig="1537" w:dyaOrig="994" w14:anchorId="4C7EFE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76.5pt;height:49.5pt" o:ole="">
            <v:imagedata r:id="rId21" o:title=""/>
          </v:shape>
          <o:OLEObject Type="Embed" ProgID="Excel.Sheet.12" ShapeID="_x0000_i1032" DrawAspect="Icon" ObjectID="_1848135361" r:id="rId22"/>
        </w:object>
      </w:r>
    </w:p>
    <w:p w14:paraId="74F880D1" w14:textId="77777777" w:rsidR="002B0246" w:rsidRDefault="002B0246" w:rsidP="000D16B1">
      <w:pPr>
        <w:spacing w:line="360" w:lineRule="auto"/>
        <w:jc w:val="both"/>
        <w:rPr>
          <w:rFonts w:cs="Arial"/>
        </w:rPr>
      </w:pPr>
    </w:p>
    <w:p w14:paraId="5978CA64" w14:textId="1FF01799" w:rsidR="002B0246" w:rsidRDefault="002B0246" w:rsidP="000D16B1">
      <w:pPr>
        <w:spacing w:line="360" w:lineRule="auto"/>
        <w:jc w:val="both"/>
        <w:rPr>
          <w:rFonts w:cs="Arial"/>
        </w:rPr>
      </w:pPr>
      <w:r>
        <w:rPr>
          <w:rFonts w:cs="Arial"/>
        </w:rPr>
        <w:object w:dxaOrig="1537" w:dyaOrig="994" w14:anchorId="4723E32F">
          <v:shape id="_x0000_i1034" type="#_x0000_t75" style="width:76.5pt;height:49.5pt" o:ole="">
            <v:imagedata r:id="rId23" o:title=""/>
          </v:shape>
          <o:OLEObject Type="Embed" ProgID="Excel.Sheet.12" ShapeID="_x0000_i1034" DrawAspect="Icon" ObjectID="_1848135362" r:id="rId24"/>
        </w:object>
      </w:r>
    </w:p>
    <w:p w14:paraId="39769516" w14:textId="19CD57A3" w:rsidR="002B0246" w:rsidRDefault="002B0246" w:rsidP="000D16B1">
      <w:pPr>
        <w:spacing w:line="360" w:lineRule="auto"/>
        <w:jc w:val="both"/>
        <w:rPr>
          <w:rFonts w:cs="Arial"/>
        </w:rPr>
      </w:pPr>
      <w:r>
        <w:rPr>
          <w:rFonts w:cs="Arial"/>
        </w:rPr>
        <w:object w:dxaOrig="1537" w:dyaOrig="994" w14:anchorId="75A7D623">
          <v:shape id="_x0000_i1027" type="#_x0000_t75" style="width:76.5pt;height:49.5pt" o:ole="">
            <v:imagedata r:id="rId25" o:title=""/>
          </v:shape>
          <o:OLEObject Type="Embed" ProgID="Excel.Sheet.12" ShapeID="_x0000_i1027" DrawAspect="Icon" ObjectID="_1848135363" r:id="rId26"/>
        </w:object>
      </w:r>
    </w:p>
    <w:p w14:paraId="072CA6D3" w14:textId="77777777" w:rsidR="002B0246" w:rsidRDefault="002B0246" w:rsidP="000D16B1">
      <w:pPr>
        <w:spacing w:line="360" w:lineRule="auto"/>
        <w:jc w:val="both"/>
        <w:rPr>
          <w:rFonts w:cs="Arial"/>
        </w:rPr>
      </w:pPr>
    </w:p>
    <w:p w14:paraId="3E9CA03D" w14:textId="77777777" w:rsidR="002B0246" w:rsidRDefault="002B0246" w:rsidP="000D16B1">
      <w:pPr>
        <w:spacing w:line="360" w:lineRule="auto"/>
        <w:jc w:val="both"/>
        <w:rPr>
          <w:rFonts w:cs="Arial"/>
        </w:rPr>
      </w:pPr>
      <w:r>
        <w:rPr>
          <w:rFonts w:cs="Arial"/>
        </w:rPr>
        <w:object w:dxaOrig="1537" w:dyaOrig="994" w14:anchorId="30153F2B">
          <v:shape id="_x0000_i1030" type="#_x0000_t75" style="width:76.5pt;height:49.5pt" o:ole="">
            <v:imagedata r:id="rId27" o:title=""/>
          </v:shape>
          <o:OLEObject Type="Embed" ProgID="Excel.Sheet.12" ShapeID="_x0000_i1030" DrawAspect="Icon" ObjectID="_1848135364" r:id="rId28"/>
        </w:object>
      </w:r>
    </w:p>
    <w:p w14:paraId="6119D4B2" w14:textId="77777777" w:rsidR="002B0246" w:rsidRDefault="002B0246" w:rsidP="000D16B1">
      <w:pPr>
        <w:spacing w:line="360" w:lineRule="auto"/>
        <w:jc w:val="both"/>
        <w:rPr>
          <w:rFonts w:cs="Arial"/>
        </w:rPr>
      </w:pPr>
      <w:r>
        <w:rPr>
          <w:rFonts w:cs="Arial"/>
        </w:rPr>
        <w:object w:dxaOrig="1537" w:dyaOrig="994" w14:anchorId="2EB588C6">
          <v:shape id="_x0000_i1029" type="#_x0000_t75" style="width:76.5pt;height:49.5pt" o:ole="">
            <v:imagedata r:id="rId29" o:title=""/>
          </v:shape>
          <o:OLEObject Type="Embed" ProgID="Excel.Sheet.12" ShapeID="_x0000_i1029" DrawAspect="Icon" ObjectID="_1848135365" r:id="rId30"/>
        </w:object>
      </w:r>
    </w:p>
    <w:p w14:paraId="193F9B54" w14:textId="19BC1FBA" w:rsidR="002B0246" w:rsidRPr="000D16B1" w:rsidRDefault="002B0246" w:rsidP="000D16B1">
      <w:pPr>
        <w:spacing w:line="360" w:lineRule="auto"/>
        <w:jc w:val="both"/>
        <w:rPr>
          <w:rFonts w:cs="Arial"/>
        </w:rPr>
      </w:pPr>
      <w:r>
        <w:rPr>
          <w:rFonts w:cs="Arial"/>
        </w:rPr>
        <w:object w:dxaOrig="1537" w:dyaOrig="994" w14:anchorId="78DC5A83">
          <v:shape id="_x0000_i1028" type="#_x0000_t75" style="width:76.5pt;height:49.5pt" o:ole="">
            <v:imagedata r:id="rId31" o:title=""/>
          </v:shape>
          <o:OLEObject Type="Embed" ProgID="Excel.Sheet.12" ShapeID="_x0000_i1028" DrawAspect="Icon" ObjectID="_1848135366" r:id="rId32"/>
        </w:object>
      </w:r>
    </w:p>
    <w:sectPr w:rsidR="002B0246" w:rsidRPr="000D16B1" w:rsidSect="005F6E3B">
      <w:footerReference w:type="default" r:id="rId33"/>
      <w:pgSz w:w="12240" w:h="15840"/>
      <w:pgMar w:top="900" w:right="900" w:bottom="900" w:left="900" w:header="708" w:footer="708"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791E4" w14:textId="77777777" w:rsidR="001E0AB1" w:rsidRDefault="001E0AB1" w:rsidP="00A37334">
      <w:r>
        <w:separator/>
      </w:r>
    </w:p>
  </w:endnote>
  <w:endnote w:type="continuationSeparator" w:id="0">
    <w:p w14:paraId="5A600C80" w14:textId="77777777" w:rsidR="001E0AB1" w:rsidRDefault="001E0AB1" w:rsidP="00A37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2160C" w14:textId="609CC4AF" w:rsidR="005F6E3B" w:rsidRDefault="005F6E3B">
    <w:pPr>
      <w:pStyle w:val="Footer"/>
      <w:pBdr>
        <w:top w:val="single" w:sz="4" w:space="1" w:color="D9D9D9" w:themeColor="background1" w:themeShade="D9"/>
      </w:pBdr>
      <w:jc w:val="right"/>
    </w:pPr>
  </w:p>
  <w:p w14:paraId="0CBDE734" w14:textId="77777777" w:rsidR="005F6E3B" w:rsidRDefault="005F6E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4902017"/>
      <w:docPartObj>
        <w:docPartGallery w:val="Page Numbers (Bottom of Page)"/>
        <w:docPartUnique/>
      </w:docPartObj>
    </w:sdtPr>
    <w:sdtEndPr>
      <w:rPr>
        <w:color w:val="7F7F7F" w:themeColor="background1" w:themeShade="7F"/>
        <w:spacing w:val="60"/>
      </w:rPr>
    </w:sdtEndPr>
    <w:sdtContent>
      <w:p w14:paraId="692A98C6" w14:textId="77777777" w:rsidR="005F6E3B" w:rsidRDefault="005F6E3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233CA0F" w14:textId="77777777" w:rsidR="005F6E3B" w:rsidRDefault="005F6E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D6068" w14:textId="77777777" w:rsidR="001E0AB1" w:rsidRDefault="001E0AB1" w:rsidP="00A37334">
      <w:r>
        <w:separator/>
      </w:r>
    </w:p>
  </w:footnote>
  <w:footnote w:type="continuationSeparator" w:id="0">
    <w:p w14:paraId="22F32286" w14:textId="77777777" w:rsidR="001E0AB1" w:rsidRDefault="001E0AB1" w:rsidP="00A373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C21ACC"/>
    <w:multiLevelType w:val="hybridMultilevel"/>
    <w:tmpl w:val="13C6F258"/>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562B6D46"/>
    <w:multiLevelType w:val="hybridMultilevel"/>
    <w:tmpl w:val="E862A9F8"/>
    <w:lvl w:ilvl="0" w:tplc="269A2A7E">
      <w:start w:val="1"/>
      <w:numFmt w:val="bullet"/>
      <w:lvlText w:val="●"/>
      <w:lvlJc w:val="left"/>
      <w:pPr>
        <w:ind w:left="720" w:hanging="360"/>
      </w:pPr>
    </w:lvl>
    <w:lvl w:ilvl="1" w:tplc="7F5454E8">
      <w:start w:val="1"/>
      <w:numFmt w:val="bullet"/>
      <w:lvlText w:val="○"/>
      <w:lvlJc w:val="left"/>
      <w:pPr>
        <w:ind w:left="1440" w:hanging="360"/>
      </w:pPr>
    </w:lvl>
    <w:lvl w:ilvl="2" w:tplc="B1384C52">
      <w:start w:val="1"/>
      <w:numFmt w:val="bullet"/>
      <w:lvlText w:val="■"/>
      <w:lvlJc w:val="left"/>
      <w:pPr>
        <w:ind w:left="2160" w:hanging="360"/>
      </w:pPr>
    </w:lvl>
    <w:lvl w:ilvl="3" w:tplc="58A673A2">
      <w:start w:val="1"/>
      <w:numFmt w:val="bullet"/>
      <w:lvlText w:val="●"/>
      <w:lvlJc w:val="left"/>
      <w:pPr>
        <w:ind w:left="2880" w:hanging="360"/>
      </w:pPr>
    </w:lvl>
    <w:lvl w:ilvl="4" w:tplc="6BDA02F6">
      <w:start w:val="1"/>
      <w:numFmt w:val="bullet"/>
      <w:lvlText w:val="○"/>
      <w:lvlJc w:val="left"/>
      <w:pPr>
        <w:ind w:left="3600" w:hanging="360"/>
      </w:pPr>
    </w:lvl>
    <w:lvl w:ilvl="5" w:tplc="F0603EB2">
      <w:start w:val="1"/>
      <w:numFmt w:val="bullet"/>
      <w:lvlText w:val="■"/>
      <w:lvlJc w:val="left"/>
      <w:pPr>
        <w:ind w:left="4320" w:hanging="360"/>
      </w:pPr>
    </w:lvl>
    <w:lvl w:ilvl="6" w:tplc="B2FE4222">
      <w:start w:val="1"/>
      <w:numFmt w:val="bullet"/>
      <w:lvlText w:val="●"/>
      <w:lvlJc w:val="left"/>
      <w:pPr>
        <w:ind w:left="5040" w:hanging="360"/>
      </w:pPr>
    </w:lvl>
    <w:lvl w:ilvl="7" w:tplc="62B2E4D2">
      <w:start w:val="1"/>
      <w:numFmt w:val="bullet"/>
      <w:lvlText w:val="●"/>
      <w:lvlJc w:val="left"/>
      <w:pPr>
        <w:ind w:left="5760" w:hanging="360"/>
      </w:pPr>
    </w:lvl>
    <w:lvl w:ilvl="8" w:tplc="0142B874">
      <w:start w:val="1"/>
      <w:numFmt w:val="bullet"/>
      <w:lvlText w:val="●"/>
      <w:lvlJc w:val="left"/>
      <w:pPr>
        <w:ind w:left="6480" w:hanging="360"/>
      </w:pPr>
    </w:lvl>
  </w:abstractNum>
  <w:abstractNum w:abstractNumId="2" w15:restartNumberingAfterBreak="0">
    <w:nsid w:val="611665F1"/>
    <w:multiLevelType w:val="hybridMultilevel"/>
    <w:tmpl w:val="C068CD50"/>
    <w:lvl w:ilvl="0" w:tplc="4D7607EE">
      <w:start w:val="1"/>
      <w:numFmt w:val="bullet"/>
      <w:lvlText w:val="•"/>
      <w:lvlJc w:val="left"/>
      <w:pPr>
        <w:ind w:left="360" w:hanging="240"/>
      </w:pPr>
    </w:lvl>
    <w:lvl w:ilvl="1" w:tplc="04090001">
      <w:start w:val="1"/>
      <w:numFmt w:val="bullet"/>
      <w:lvlText w:val=""/>
      <w:lvlJc w:val="left"/>
      <w:pPr>
        <w:ind w:left="840" w:hanging="360"/>
      </w:pPr>
      <w:rPr>
        <w:rFonts w:ascii="Symbol" w:hAnsi="Symbol" w:hint="default"/>
      </w:rPr>
    </w:lvl>
    <w:lvl w:ilvl="2" w:tplc="85CA1EBA">
      <w:numFmt w:val="decimal"/>
      <w:lvlText w:val=""/>
      <w:lvlJc w:val="left"/>
      <w:pPr>
        <w:ind w:left="0" w:firstLine="0"/>
      </w:pPr>
    </w:lvl>
    <w:lvl w:ilvl="3" w:tplc="31A03E28">
      <w:numFmt w:val="decimal"/>
      <w:lvlText w:val=""/>
      <w:lvlJc w:val="left"/>
      <w:pPr>
        <w:ind w:left="0" w:firstLine="0"/>
      </w:pPr>
    </w:lvl>
    <w:lvl w:ilvl="4" w:tplc="0B74D46E">
      <w:numFmt w:val="decimal"/>
      <w:lvlText w:val=""/>
      <w:lvlJc w:val="left"/>
      <w:pPr>
        <w:ind w:left="0" w:firstLine="0"/>
      </w:pPr>
    </w:lvl>
    <w:lvl w:ilvl="5" w:tplc="115697FC">
      <w:numFmt w:val="decimal"/>
      <w:lvlText w:val=""/>
      <w:lvlJc w:val="left"/>
      <w:pPr>
        <w:ind w:left="0" w:firstLine="0"/>
      </w:pPr>
    </w:lvl>
    <w:lvl w:ilvl="6" w:tplc="28E2B482">
      <w:numFmt w:val="decimal"/>
      <w:lvlText w:val=""/>
      <w:lvlJc w:val="left"/>
      <w:pPr>
        <w:ind w:left="0" w:firstLine="0"/>
      </w:pPr>
    </w:lvl>
    <w:lvl w:ilvl="7" w:tplc="75F48A50">
      <w:numFmt w:val="decimal"/>
      <w:lvlText w:val=""/>
      <w:lvlJc w:val="left"/>
      <w:pPr>
        <w:ind w:left="0" w:firstLine="0"/>
      </w:pPr>
    </w:lvl>
    <w:lvl w:ilvl="8" w:tplc="8582545A">
      <w:numFmt w:val="decimal"/>
      <w:lvlText w:val=""/>
      <w:lvlJc w:val="left"/>
      <w:pPr>
        <w:ind w:left="0" w:firstLine="0"/>
      </w:pPr>
    </w:lvl>
  </w:abstractNum>
  <w:abstractNum w:abstractNumId="3" w15:restartNumberingAfterBreak="0">
    <w:nsid w:val="6C792195"/>
    <w:multiLevelType w:val="hybridMultilevel"/>
    <w:tmpl w:val="F4E45616"/>
    <w:lvl w:ilvl="0" w:tplc="09264FDC">
      <w:start w:val="1"/>
      <w:numFmt w:val="bullet"/>
      <w:lvlText w:val="●"/>
      <w:lvlJc w:val="left"/>
      <w:pPr>
        <w:ind w:left="720" w:hanging="360"/>
      </w:pPr>
    </w:lvl>
    <w:lvl w:ilvl="1" w:tplc="312481B0">
      <w:start w:val="1"/>
      <w:numFmt w:val="bullet"/>
      <w:lvlText w:val="○"/>
      <w:lvlJc w:val="left"/>
      <w:pPr>
        <w:ind w:left="1440" w:hanging="360"/>
      </w:pPr>
    </w:lvl>
    <w:lvl w:ilvl="2" w:tplc="A9468366">
      <w:start w:val="1"/>
      <w:numFmt w:val="bullet"/>
      <w:lvlText w:val="■"/>
      <w:lvlJc w:val="left"/>
      <w:pPr>
        <w:ind w:left="2160" w:hanging="360"/>
      </w:pPr>
    </w:lvl>
    <w:lvl w:ilvl="3" w:tplc="5750EB7A">
      <w:start w:val="1"/>
      <w:numFmt w:val="bullet"/>
      <w:lvlText w:val="●"/>
      <w:lvlJc w:val="left"/>
      <w:pPr>
        <w:ind w:left="2880" w:hanging="360"/>
      </w:pPr>
    </w:lvl>
    <w:lvl w:ilvl="4" w:tplc="49025EC2">
      <w:start w:val="1"/>
      <w:numFmt w:val="bullet"/>
      <w:lvlText w:val="○"/>
      <w:lvlJc w:val="left"/>
      <w:pPr>
        <w:ind w:left="3600" w:hanging="360"/>
      </w:pPr>
    </w:lvl>
    <w:lvl w:ilvl="5" w:tplc="B9742F54">
      <w:start w:val="1"/>
      <w:numFmt w:val="bullet"/>
      <w:lvlText w:val="■"/>
      <w:lvlJc w:val="left"/>
      <w:pPr>
        <w:ind w:left="4320" w:hanging="360"/>
      </w:pPr>
    </w:lvl>
    <w:lvl w:ilvl="6" w:tplc="0D0C05DA">
      <w:start w:val="1"/>
      <w:numFmt w:val="bullet"/>
      <w:lvlText w:val="●"/>
      <w:lvlJc w:val="left"/>
      <w:pPr>
        <w:ind w:left="5040" w:hanging="360"/>
      </w:pPr>
    </w:lvl>
    <w:lvl w:ilvl="7" w:tplc="BDECAA10">
      <w:start w:val="1"/>
      <w:numFmt w:val="bullet"/>
      <w:lvlText w:val="●"/>
      <w:lvlJc w:val="left"/>
      <w:pPr>
        <w:ind w:left="5760" w:hanging="360"/>
      </w:pPr>
    </w:lvl>
    <w:lvl w:ilvl="8" w:tplc="D0F4DB04">
      <w:start w:val="1"/>
      <w:numFmt w:val="bullet"/>
      <w:lvlText w:val="●"/>
      <w:lvlJc w:val="left"/>
      <w:pPr>
        <w:ind w:left="6480" w:hanging="360"/>
      </w:pPr>
    </w:lvl>
  </w:abstractNum>
  <w:num w:numId="1" w16cid:durableId="1845389906">
    <w:abstractNumId w:val="1"/>
    <w:lvlOverride w:ilvl="0">
      <w:startOverride w:val="1"/>
    </w:lvlOverride>
  </w:num>
  <w:num w:numId="2" w16cid:durableId="1037899305">
    <w:abstractNumId w:val="2"/>
  </w:num>
  <w:num w:numId="3" w16cid:durableId="1451170304">
    <w:abstractNumId w:val="3"/>
  </w:num>
  <w:num w:numId="4" w16cid:durableId="5569379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jQwNDG0NDQxNrY0MjNU0lEKTi0uzszPAykwqQUA3USXGCwAAAA="/>
  </w:docVars>
  <w:rsids>
    <w:rsidRoot w:val="00EC3E1D"/>
    <w:rsid w:val="000D16B1"/>
    <w:rsid w:val="001E0AB1"/>
    <w:rsid w:val="002653EC"/>
    <w:rsid w:val="002B0246"/>
    <w:rsid w:val="003552B6"/>
    <w:rsid w:val="0038472E"/>
    <w:rsid w:val="005F204F"/>
    <w:rsid w:val="005F4A9E"/>
    <w:rsid w:val="005F6E3B"/>
    <w:rsid w:val="006D6D9D"/>
    <w:rsid w:val="007B6273"/>
    <w:rsid w:val="007E1501"/>
    <w:rsid w:val="007F1993"/>
    <w:rsid w:val="008D0250"/>
    <w:rsid w:val="00A37334"/>
    <w:rsid w:val="00C34C32"/>
    <w:rsid w:val="00C76AF3"/>
    <w:rsid w:val="00CD4B12"/>
    <w:rsid w:val="00D54198"/>
    <w:rsid w:val="00D60659"/>
    <w:rsid w:val="00D87F8E"/>
    <w:rsid w:val="00D96462"/>
    <w:rsid w:val="00E30158"/>
    <w:rsid w:val="00E97AC7"/>
    <w:rsid w:val="00EC3E1D"/>
  </w:rsids>
  <m:mathPr>
    <m:mathFont m:val="Cambria Math"/>
    <m:brkBin m:val="before"/>
    <m:brkBinSub m:val="--"/>
    <m:smallFrac m:val="0"/>
    <m:dispDef/>
    <m:lMargin m:val="0"/>
    <m:rMargin m:val="0"/>
    <m:defJc m:val="centerGroup"/>
    <m:wrapIndent m:val="1440"/>
    <m:intLim m:val="subSup"/>
    <m:naryLim m:val="undOvr"/>
  </m:mathPr>
  <w:themeFontLang w:val="en-IN"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68DA23"/>
  <w15:chartTrackingRefBased/>
  <w15:docId w15:val="{2611778C-DF12-497F-99BB-0116C4D1E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before="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6E3B"/>
    <w:pPr>
      <w:spacing w:before="0" w:line="240" w:lineRule="auto"/>
      <w:jc w:val="left"/>
    </w:pPr>
    <w:rPr>
      <w:rFonts w:ascii="Arial" w:eastAsia="Times New Roman" w:hAnsi="Arial" w:cs="Times New Roman"/>
      <w:kern w:val="0"/>
      <w:szCs w:val="20"/>
      <w:lang w:eastAsia="en-IN" w:bidi="ne-NP"/>
      <w14:ligatures w14:val="none"/>
    </w:rPr>
  </w:style>
  <w:style w:type="paragraph" w:styleId="Heading1">
    <w:name w:val="heading 1"/>
    <w:link w:val="Heading1Char"/>
    <w:uiPriority w:val="9"/>
    <w:qFormat/>
    <w:rsid w:val="00C34C32"/>
    <w:pPr>
      <w:spacing w:before="0" w:line="240" w:lineRule="auto"/>
      <w:jc w:val="left"/>
      <w:outlineLvl w:val="0"/>
    </w:pPr>
    <w:rPr>
      <w:rFonts w:ascii="Arial" w:eastAsia="Times New Roman" w:hAnsi="Arial" w:cs="Times New Roman"/>
      <w:color w:val="000000" w:themeColor="text1"/>
      <w:kern w:val="0"/>
      <w:sz w:val="32"/>
      <w:szCs w:val="32"/>
      <w:lang w:eastAsia="en-IN" w:bidi="ne-NP"/>
      <w14:ligatures w14:val="none"/>
    </w:rPr>
  </w:style>
  <w:style w:type="paragraph" w:styleId="Heading2">
    <w:name w:val="heading 2"/>
    <w:link w:val="Heading2Char"/>
    <w:uiPriority w:val="9"/>
    <w:unhideWhenUsed/>
    <w:qFormat/>
    <w:rsid w:val="00C34C32"/>
    <w:pPr>
      <w:spacing w:before="0" w:line="240" w:lineRule="auto"/>
      <w:jc w:val="left"/>
      <w:outlineLvl w:val="1"/>
    </w:pPr>
    <w:rPr>
      <w:rFonts w:ascii="Arial" w:eastAsia="Times New Roman" w:hAnsi="Arial" w:cs="Times New Roman"/>
      <w:color w:val="000000" w:themeColor="text1"/>
      <w:kern w:val="0"/>
      <w:sz w:val="28"/>
      <w:szCs w:val="26"/>
      <w:lang w:eastAsia="en-IN" w:bidi="ne-NP"/>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4C32"/>
    <w:rPr>
      <w:rFonts w:ascii="Arial" w:eastAsia="Times New Roman" w:hAnsi="Arial" w:cs="Times New Roman"/>
      <w:color w:val="000000" w:themeColor="text1"/>
      <w:kern w:val="0"/>
      <w:sz w:val="32"/>
      <w:szCs w:val="32"/>
      <w:lang w:eastAsia="en-IN" w:bidi="ne-NP"/>
      <w14:ligatures w14:val="none"/>
    </w:rPr>
  </w:style>
  <w:style w:type="character" w:customStyle="1" w:styleId="Heading2Char">
    <w:name w:val="Heading 2 Char"/>
    <w:basedOn w:val="DefaultParagraphFont"/>
    <w:link w:val="Heading2"/>
    <w:uiPriority w:val="9"/>
    <w:rsid w:val="00C34C32"/>
    <w:rPr>
      <w:rFonts w:ascii="Arial" w:eastAsia="Times New Roman" w:hAnsi="Arial" w:cs="Times New Roman"/>
      <w:color w:val="000000" w:themeColor="text1"/>
      <w:kern w:val="0"/>
      <w:sz w:val="28"/>
      <w:szCs w:val="26"/>
      <w:lang w:eastAsia="en-IN" w:bidi="ne-NP"/>
      <w14:ligatures w14:val="none"/>
    </w:rPr>
  </w:style>
  <w:style w:type="paragraph" w:styleId="Title">
    <w:name w:val="Title"/>
    <w:link w:val="TitleChar"/>
    <w:uiPriority w:val="10"/>
    <w:qFormat/>
    <w:rsid w:val="00EC3E1D"/>
    <w:pPr>
      <w:spacing w:before="0" w:line="240" w:lineRule="auto"/>
      <w:jc w:val="left"/>
    </w:pPr>
    <w:rPr>
      <w:rFonts w:ascii="Times New Roman" w:eastAsia="Times New Roman" w:hAnsi="Times New Roman" w:cs="Times New Roman"/>
      <w:kern w:val="0"/>
      <w:sz w:val="56"/>
      <w:szCs w:val="56"/>
      <w:lang w:eastAsia="en-IN" w:bidi="ne-NP"/>
      <w14:ligatures w14:val="none"/>
    </w:rPr>
  </w:style>
  <w:style w:type="character" w:customStyle="1" w:styleId="TitleChar">
    <w:name w:val="Title Char"/>
    <w:basedOn w:val="DefaultParagraphFont"/>
    <w:link w:val="Title"/>
    <w:uiPriority w:val="10"/>
    <w:rsid w:val="00EC3E1D"/>
    <w:rPr>
      <w:rFonts w:ascii="Times New Roman" w:eastAsia="Times New Roman" w:hAnsi="Times New Roman" w:cs="Times New Roman"/>
      <w:kern w:val="0"/>
      <w:sz w:val="56"/>
      <w:szCs w:val="56"/>
      <w:lang w:eastAsia="en-IN" w:bidi="ne-NP"/>
      <w14:ligatures w14:val="none"/>
    </w:rPr>
  </w:style>
  <w:style w:type="paragraph" w:styleId="ListParagraph">
    <w:name w:val="List Paragraph"/>
    <w:qFormat/>
    <w:rsid w:val="00EC3E1D"/>
    <w:pPr>
      <w:spacing w:before="0" w:line="240" w:lineRule="auto"/>
      <w:jc w:val="left"/>
    </w:pPr>
    <w:rPr>
      <w:rFonts w:ascii="Times New Roman" w:eastAsia="Times New Roman" w:hAnsi="Times New Roman" w:cs="Times New Roman"/>
      <w:kern w:val="0"/>
      <w:sz w:val="20"/>
      <w:szCs w:val="20"/>
      <w:lang w:eastAsia="en-IN" w:bidi="ne-NP"/>
      <w14:ligatures w14:val="none"/>
    </w:rPr>
  </w:style>
  <w:style w:type="paragraph" w:styleId="FootnoteText">
    <w:name w:val="footnote text"/>
    <w:basedOn w:val="Normal"/>
    <w:link w:val="FootnoteTextChar"/>
    <w:uiPriority w:val="99"/>
    <w:semiHidden/>
    <w:unhideWhenUsed/>
    <w:rsid w:val="00A37334"/>
    <w:rPr>
      <w:szCs w:val="18"/>
    </w:rPr>
  </w:style>
  <w:style w:type="character" w:customStyle="1" w:styleId="FootnoteTextChar">
    <w:name w:val="Footnote Text Char"/>
    <w:basedOn w:val="DefaultParagraphFont"/>
    <w:link w:val="FootnoteText"/>
    <w:uiPriority w:val="99"/>
    <w:semiHidden/>
    <w:rsid w:val="00A37334"/>
    <w:rPr>
      <w:rFonts w:ascii="Times New Roman" w:eastAsia="Times New Roman" w:hAnsi="Times New Roman" w:cs="Times New Roman"/>
      <w:kern w:val="0"/>
      <w:sz w:val="20"/>
      <w:szCs w:val="18"/>
      <w:lang w:eastAsia="en-IN" w:bidi="ne-NP"/>
      <w14:ligatures w14:val="none"/>
    </w:rPr>
  </w:style>
  <w:style w:type="character" w:styleId="FootnoteReference">
    <w:name w:val="footnote reference"/>
    <w:basedOn w:val="DefaultParagraphFont"/>
    <w:uiPriority w:val="99"/>
    <w:semiHidden/>
    <w:unhideWhenUsed/>
    <w:rsid w:val="00A37334"/>
    <w:rPr>
      <w:vertAlign w:val="superscript"/>
    </w:rPr>
  </w:style>
  <w:style w:type="character" w:styleId="Hyperlink">
    <w:name w:val="Hyperlink"/>
    <w:basedOn w:val="DefaultParagraphFont"/>
    <w:uiPriority w:val="99"/>
    <w:unhideWhenUsed/>
    <w:rsid w:val="00A37334"/>
    <w:rPr>
      <w:color w:val="0563C1" w:themeColor="hyperlink"/>
      <w:u w:val="single"/>
    </w:rPr>
  </w:style>
  <w:style w:type="character" w:styleId="UnresolvedMention">
    <w:name w:val="Unresolved Mention"/>
    <w:basedOn w:val="DefaultParagraphFont"/>
    <w:uiPriority w:val="99"/>
    <w:semiHidden/>
    <w:unhideWhenUsed/>
    <w:rsid w:val="00A37334"/>
    <w:rPr>
      <w:color w:val="605E5C"/>
      <w:shd w:val="clear" w:color="auto" w:fill="E1DFDD"/>
    </w:rPr>
  </w:style>
  <w:style w:type="character" w:styleId="FollowedHyperlink">
    <w:name w:val="FollowedHyperlink"/>
    <w:basedOn w:val="DefaultParagraphFont"/>
    <w:uiPriority w:val="99"/>
    <w:semiHidden/>
    <w:unhideWhenUsed/>
    <w:rsid w:val="0038472E"/>
    <w:rPr>
      <w:color w:val="954F72" w:themeColor="followedHyperlink"/>
      <w:u w:val="single"/>
    </w:rPr>
  </w:style>
  <w:style w:type="paragraph" w:styleId="TOCHeading">
    <w:name w:val="TOC Heading"/>
    <w:basedOn w:val="Heading1"/>
    <w:next w:val="Normal"/>
    <w:uiPriority w:val="39"/>
    <w:unhideWhenUsed/>
    <w:qFormat/>
    <w:rsid w:val="000D16B1"/>
    <w:pPr>
      <w:keepNext/>
      <w:keepLines/>
      <w:spacing w:before="240" w:line="259" w:lineRule="auto"/>
      <w:outlineLvl w:val="9"/>
    </w:pPr>
    <w:rPr>
      <w:rFonts w:asciiTheme="majorHAnsi" w:eastAsiaTheme="majorEastAsia" w:hAnsiTheme="majorHAnsi" w:cstheme="majorBidi"/>
      <w:color w:val="2F5496" w:themeColor="accent1" w:themeShade="BF"/>
      <w:lang w:val="en-US" w:eastAsia="en-US" w:bidi="ar-SA"/>
    </w:rPr>
  </w:style>
  <w:style w:type="paragraph" w:styleId="TOC1">
    <w:name w:val="toc 1"/>
    <w:basedOn w:val="Normal"/>
    <w:next w:val="Normal"/>
    <w:autoRedefine/>
    <w:uiPriority w:val="39"/>
    <w:unhideWhenUsed/>
    <w:rsid w:val="000D16B1"/>
    <w:pPr>
      <w:spacing w:after="100"/>
    </w:pPr>
  </w:style>
  <w:style w:type="paragraph" w:styleId="TOC2">
    <w:name w:val="toc 2"/>
    <w:basedOn w:val="Normal"/>
    <w:next w:val="Normal"/>
    <w:autoRedefine/>
    <w:uiPriority w:val="39"/>
    <w:unhideWhenUsed/>
    <w:rsid w:val="000D16B1"/>
    <w:pPr>
      <w:spacing w:after="100"/>
      <w:ind w:left="240"/>
    </w:pPr>
  </w:style>
  <w:style w:type="paragraph" w:customStyle="1" w:styleId="TableParagraph">
    <w:name w:val="Table Paragraph"/>
    <w:basedOn w:val="Normal"/>
    <w:uiPriority w:val="1"/>
    <w:qFormat/>
    <w:rsid w:val="005F6E3B"/>
    <w:pPr>
      <w:widowControl w:val="0"/>
      <w:autoSpaceDE w:val="0"/>
      <w:autoSpaceDN w:val="0"/>
    </w:pPr>
    <w:rPr>
      <w:rFonts w:ascii="Arial MT" w:eastAsia="Arial MT" w:hAnsi="Arial MT" w:cs="Arial MT"/>
      <w:sz w:val="22"/>
      <w:szCs w:val="22"/>
      <w:lang w:val="en-US" w:eastAsia="en-US" w:bidi="ar-SA"/>
    </w:rPr>
  </w:style>
  <w:style w:type="paragraph" w:styleId="Header">
    <w:name w:val="header"/>
    <w:basedOn w:val="Normal"/>
    <w:link w:val="HeaderChar"/>
    <w:uiPriority w:val="99"/>
    <w:unhideWhenUsed/>
    <w:rsid w:val="005F6E3B"/>
    <w:pPr>
      <w:tabs>
        <w:tab w:val="center" w:pos="4680"/>
        <w:tab w:val="right" w:pos="9360"/>
      </w:tabs>
    </w:pPr>
  </w:style>
  <w:style w:type="character" w:customStyle="1" w:styleId="HeaderChar">
    <w:name w:val="Header Char"/>
    <w:basedOn w:val="DefaultParagraphFont"/>
    <w:link w:val="Header"/>
    <w:uiPriority w:val="99"/>
    <w:rsid w:val="005F6E3B"/>
    <w:rPr>
      <w:rFonts w:ascii="Arial" w:eastAsia="Times New Roman" w:hAnsi="Arial" w:cs="Times New Roman"/>
      <w:kern w:val="0"/>
      <w:szCs w:val="20"/>
      <w:lang w:eastAsia="en-IN" w:bidi="ne-NP"/>
      <w14:ligatures w14:val="none"/>
    </w:rPr>
  </w:style>
  <w:style w:type="paragraph" w:styleId="Footer">
    <w:name w:val="footer"/>
    <w:basedOn w:val="Normal"/>
    <w:link w:val="FooterChar"/>
    <w:uiPriority w:val="99"/>
    <w:unhideWhenUsed/>
    <w:rsid w:val="005F6E3B"/>
    <w:pPr>
      <w:tabs>
        <w:tab w:val="center" w:pos="4680"/>
        <w:tab w:val="right" w:pos="9360"/>
      </w:tabs>
    </w:pPr>
  </w:style>
  <w:style w:type="character" w:customStyle="1" w:styleId="FooterChar">
    <w:name w:val="Footer Char"/>
    <w:basedOn w:val="DefaultParagraphFont"/>
    <w:link w:val="Footer"/>
    <w:uiPriority w:val="99"/>
    <w:rsid w:val="005F6E3B"/>
    <w:rPr>
      <w:rFonts w:ascii="Arial" w:eastAsia="Times New Roman" w:hAnsi="Arial" w:cs="Times New Roman"/>
      <w:kern w:val="0"/>
      <w:szCs w:val="20"/>
      <w:lang w:eastAsia="en-IN" w:bidi="ne-N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716902">
      <w:bodyDiv w:val="1"/>
      <w:marLeft w:val="0"/>
      <w:marRight w:val="0"/>
      <w:marTop w:val="0"/>
      <w:marBottom w:val="0"/>
      <w:divBdr>
        <w:top w:val="none" w:sz="0" w:space="0" w:color="auto"/>
        <w:left w:val="none" w:sz="0" w:space="0" w:color="auto"/>
        <w:bottom w:val="none" w:sz="0" w:space="0" w:color="auto"/>
        <w:right w:val="none" w:sz="0" w:space="0" w:color="auto"/>
      </w:divBdr>
    </w:div>
    <w:div w:id="1239485156">
      <w:bodyDiv w:val="1"/>
      <w:marLeft w:val="0"/>
      <w:marRight w:val="0"/>
      <w:marTop w:val="0"/>
      <w:marBottom w:val="0"/>
      <w:divBdr>
        <w:top w:val="none" w:sz="0" w:space="0" w:color="auto"/>
        <w:left w:val="none" w:sz="0" w:space="0" w:color="auto"/>
        <w:bottom w:val="none" w:sz="0" w:space="0" w:color="auto"/>
        <w:right w:val="none" w:sz="0" w:space="0" w:color="auto"/>
      </w:divBdr>
    </w:div>
    <w:div w:id="1853643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nlinelibrary.wiley.com/doi/10.1111/acfi.13220" TargetMode="External"/><Relationship Id="rId18" Type="http://schemas.openxmlformats.org/officeDocument/2006/relationships/hyperlink" Target="%20https:/www.sciencedirect.com/science/article/pii/S0747563224002206" TargetMode="External"/><Relationship Id="rId26" Type="http://schemas.openxmlformats.org/officeDocument/2006/relationships/package" Target="embeddings/Microsoft_Excel_Worksheet2.xlsx"/><Relationship Id="rId3" Type="http://schemas.openxmlformats.org/officeDocument/2006/relationships/styles" Target="styles.xml"/><Relationship Id="rId21" Type="http://schemas.openxmlformats.org/officeDocument/2006/relationships/image" Target="media/image2.emf"/><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20https:/aclanthology.org/2024.emnlp-industry.90/" TargetMode="External"/><Relationship Id="rId17" Type="http://schemas.openxmlformats.org/officeDocument/2006/relationships/hyperlink" Target="https://www.sciencedirect.com/science/article/pii/S2214845024000462" TargetMode="External"/><Relationship Id="rId25" Type="http://schemas.openxmlformats.org/officeDocument/2006/relationships/image" Target="media/image4.emf"/><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investors.hyatt.com/financials/annual-reports/default.aspx?languageid=1" TargetMode="External"/><Relationship Id="rId20" Type="http://schemas.openxmlformats.org/officeDocument/2006/relationships/hyperlink" Target="https://businessperspectives.org/journals/investment-management-and-financial-innovations/issue-486/drivers-of-working-capital-efficiency-in-indian-hospitality-sector" TargetMode="External"/><Relationship Id="rId29"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article/10.1007/s00187-024-00368-3" TargetMode="External"/><Relationship Id="rId24" Type="http://schemas.openxmlformats.org/officeDocument/2006/relationships/package" Target="embeddings/Microsoft_Excel_Worksheet1.xlsx"/><Relationship Id="rId32" Type="http://schemas.openxmlformats.org/officeDocument/2006/relationships/package" Target="embeddings/Microsoft_Excel_Worksheet5.xlsx"/><Relationship Id="rId5" Type="http://schemas.openxmlformats.org/officeDocument/2006/relationships/webSettings" Target="webSettings.xml"/><Relationship Id="rId15" Type="http://schemas.openxmlformats.org/officeDocument/2006/relationships/hyperlink" Target="%20https:/doi.org/10.1080/02508281.2024.2372969" TargetMode="External"/><Relationship Id="rId23" Type="http://schemas.openxmlformats.org/officeDocument/2006/relationships/image" Target="media/image3.emf"/><Relationship Id="rId28" Type="http://schemas.openxmlformats.org/officeDocument/2006/relationships/package" Target="embeddings/Microsoft_Excel_Worksheet3.xlsx"/><Relationship Id="rId10" Type="http://schemas.openxmlformats.org/officeDocument/2006/relationships/hyperlink" Target="https://www.tandfonline.com/doi/full/10.1080/26437015.2024.2336454" TargetMode="External"/><Relationship Id="rId19" Type="http://schemas.openxmlformats.org/officeDocument/2006/relationships/hyperlink" Target="https://www.sciencedirect.com/science/article/abs/pii/S1057521924000814" TargetMode="External"/><Relationship Id="rId31"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mdpi.com/2071-1050/16/10/4025" TargetMode="External"/><Relationship Id="rId22" Type="http://schemas.openxmlformats.org/officeDocument/2006/relationships/package" Target="embeddings/Microsoft_Excel_Worksheet.xlsx"/><Relationship Id="rId27" Type="http://schemas.openxmlformats.org/officeDocument/2006/relationships/image" Target="media/image5.emf"/><Relationship Id="rId30" Type="http://schemas.openxmlformats.org/officeDocument/2006/relationships/package" Target="embeddings/Microsoft_Excel_Worksheet4.xlsx"/><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138901-C0FB-4B16-8E75-29A4DD97D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22</Pages>
  <Words>8177</Words>
  <Characters>46614</Characters>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2026-08-12T13:06:00Z</dcterms:created>
  <dcterms:modified xsi:type="dcterms:W3CDTF">2026-08-13T08:24:00Z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8e091807-bbbe-416d-b048-3aff19f1df0e</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 11th edition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7th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 6th/7th edition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18th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12th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9th edition (in-text citations)</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Unique User Id_1">
    <vt:lpwstr>b4b1ef0a-370d-3f94-891b-42a85d8fe91d</vt:lpwstr>
  </property>
  <property fmtid="{D5CDD505-2E9C-101B-9397-08002B2CF9AE}" pid="25" name="Mendeley Citation Style_1">
    <vt:lpwstr>http://www.zotero.org/styles/harvard-cite-them-right</vt:lpwstr>
  </property>
</Properties>
</file>