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b w:val="0"/>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1fob9te" w:id="2"/>
      <w:bookmarkEnd w:id="2"/>
      <w:r w:rsidDel="00000000" w:rsidR="00000000" w:rsidRPr="00000000">
        <w:rPr>
          <w:rtl w:val="0"/>
        </w:rPr>
        <w:t xml:space="preserve">OBJECT BIOGRAPHY: SYNTHESIZING THE CULTURAL, MATERIAL, AND SOCIAL IN ANALYSIS</w:t>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znysh7" w:id="3"/>
      <w:bookmarkEnd w:id="3"/>
      <w:r w:rsidDel="00000000" w:rsidR="00000000" w:rsidRPr="00000000">
        <w:rPr>
          <w:rtl w:val="0"/>
        </w:rPr>
        <w:t xml:space="preserve">by Mila “Emryn” Hart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t xml:space="preserve">Entanglements: Exploring Interactions Between the Aegean and the Near East (HPAH5083)</w:t>
      </w:r>
    </w:p>
    <w:p w:rsidR="00000000" w:rsidDel="00000000" w:rsidP="00000000" w:rsidRDefault="00000000" w:rsidRPr="00000000" w14:paraId="00000009">
      <w:pPr>
        <w:jc w:val="center"/>
        <w:rPr/>
      </w:pPr>
      <w:r w:rsidDel="00000000" w:rsidR="00000000" w:rsidRPr="00000000">
        <w:rPr>
          <w:rtl w:val="0"/>
        </w:rPr>
        <w:t xml:space="preserve">Professor Thomas Humphrey</w:t>
      </w:r>
    </w:p>
    <w:p w:rsidR="00000000" w:rsidDel="00000000" w:rsidP="00000000" w:rsidRDefault="00000000" w:rsidRPr="00000000" w14:paraId="0000000A">
      <w:pPr>
        <w:jc w:val="center"/>
        <w:rPr/>
      </w:pPr>
      <w:r w:rsidDel="00000000" w:rsidR="00000000" w:rsidRPr="00000000">
        <w:rPr>
          <w:rtl w:val="0"/>
        </w:rPr>
        <w:t xml:space="preserve">University of Wales Trinity St. David</w:t>
      </w:r>
    </w:p>
    <w:p w:rsidR="00000000" w:rsidDel="00000000" w:rsidP="00000000" w:rsidRDefault="00000000" w:rsidRPr="00000000" w14:paraId="0000000B">
      <w:pPr>
        <w:jc w:val="center"/>
        <w:rPr/>
      </w:pPr>
      <w:r w:rsidDel="00000000" w:rsidR="00000000" w:rsidRPr="00000000">
        <w:rPr>
          <w:rtl w:val="0"/>
        </w:rPr>
        <w:t xml:space="preserve">Lampeter</w:t>
      </w:r>
    </w:p>
    <w:p w:rsidR="00000000" w:rsidDel="00000000" w:rsidP="00000000" w:rsidRDefault="00000000" w:rsidRPr="00000000" w14:paraId="0000000C">
      <w:pPr>
        <w:jc w:val="center"/>
        <w:rPr/>
      </w:pPr>
      <w:r w:rsidDel="00000000" w:rsidR="00000000" w:rsidRPr="00000000">
        <w:rPr>
          <w:rtl w:val="0"/>
        </w:rPr>
        <w:t xml:space="preserve">26 November 2023</w:t>
      </w: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pageBreakBefore w:val="0"/>
        <w:pBdr>
          <w:top w:space="0" w:sz="0" w:val="nil"/>
          <w:left w:space="0" w:sz="0" w:val="nil"/>
          <w:bottom w:space="0" w:sz="0" w:val="nil"/>
          <w:right w:space="0" w:sz="0" w:val="nil"/>
          <w:between w:space="0" w:sz="0" w:val="nil"/>
        </w:pBdr>
        <w:shd w:fill="auto" w:val="clear"/>
        <w:ind w:firstLine="0"/>
        <w:rPr/>
      </w:pPr>
      <w:bookmarkStart w:colFirst="0" w:colLast="0" w:name="_2s8eyo1" w:id="4"/>
      <w:bookmarkEnd w:id="4"/>
      <w:r w:rsidDel="00000000" w:rsidR="00000000" w:rsidRPr="00000000">
        <w:rPr>
          <w:rtl w:val="0"/>
        </w:rPr>
        <w:t xml:space="preserve">Object Biography: Synthesizing the Cultural, Material, and Social in Analysis</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ind w:firstLine="705"/>
        <w:rPr/>
      </w:pPr>
      <w:r w:rsidDel="00000000" w:rsidR="00000000" w:rsidRPr="00000000">
        <w:rPr>
          <w:rtl w:val="0"/>
        </w:rPr>
        <w:t xml:space="preserve">The place of theory and theoretical analysis is undeniable within academic and historical spheres. Though many theories exist, how they are implemented and utilized, as well as the nuances of their form and use is widely debated. Object biographies are a form of theoretical analysis that invokes much of this discourse, but despite the debates over exact nuances and application, this tool has a notable place in academia. The usage of object biographies in critical and theoretical analysis shapes and empowers the study of cultural contact and the material and social worlds of the Bronze Age East Mediterranean. </w:t>
      </w:r>
    </w:p>
    <w:p w:rsidR="00000000" w:rsidDel="00000000" w:rsidP="00000000" w:rsidRDefault="00000000" w:rsidRPr="00000000" w14:paraId="00000011">
      <w:pPr>
        <w:pStyle w:val="Heading1"/>
        <w:jc w:val="center"/>
        <w:rPr/>
      </w:pPr>
      <w:bookmarkStart w:colFirst="0" w:colLast="0" w:name="_8qtco9cea6ut" w:id="5"/>
      <w:bookmarkEnd w:id="5"/>
      <w:r w:rsidDel="00000000" w:rsidR="00000000" w:rsidRPr="00000000">
        <w:rPr>
          <w:rtl w:val="0"/>
        </w:rPr>
        <w:t xml:space="preserve">Object </w:t>
      </w:r>
      <w:r w:rsidDel="00000000" w:rsidR="00000000" w:rsidRPr="00000000">
        <w:rPr>
          <w:rtl w:val="0"/>
        </w:rPr>
        <w:t xml:space="preserve">Biography Theory</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ind w:firstLine="708.6614173228347"/>
        <w:rPr/>
      </w:pPr>
      <w:r w:rsidDel="00000000" w:rsidR="00000000" w:rsidRPr="00000000">
        <w:rPr>
          <w:rtl w:val="0"/>
        </w:rPr>
        <w:t xml:space="preserve">Before delving into how object biographies have been used to enhance analysis, it is important to establish what exactly an object biography is. There is plenty of debate in scholarly circles surrounding this subject and its limits, and as such, there are a variety of interpretations and opinions on this theory’s shape and usage. For the sake of this paper’s analysis, the baseline of this analytical tool is largely sourced from Adam Drazin’s chapter in </w:t>
      </w:r>
      <w:r w:rsidDel="00000000" w:rsidR="00000000" w:rsidRPr="00000000">
        <w:rPr>
          <w:i w:val="1"/>
          <w:rtl w:val="0"/>
        </w:rPr>
        <w:t xml:space="preserve">Lineages and Advancements</w:t>
      </w:r>
      <w:r w:rsidDel="00000000" w:rsidR="00000000" w:rsidRPr="00000000">
        <w:rPr>
          <w:rtl w:val="0"/>
        </w:rPr>
        <w:t xml:space="preserve"> titled “The object biography.” Drazin begins by referring to Appadurai’s early idea that: </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ind w:left="708.6614173228347" w:firstLine="0"/>
        <w:rPr/>
      </w:pPr>
      <w:r w:rsidDel="00000000" w:rsidR="00000000" w:rsidRPr="00000000">
        <w:rPr>
          <w:rtl w:val="0"/>
        </w:rPr>
        <w:t xml:space="preserve">We have to follow the things themselves, for their meanings are inscribed in their forms, their uses, their trajectories. It is only through the analysis of these trajectories that we can interpret … the things-in-motion that illuminate their human and social context. </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ind w:left="708.6614173228347" w:firstLine="0"/>
        <w:jc w:val="right"/>
        <w:rPr/>
      </w:pPr>
      <w:r w:rsidDel="00000000" w:rsidR="00000000" w:rsidRPr="00000000">
        <w:rPr>
          <w:rtl w:val="0"/>
        </w:rPr>
        <w:t xml:space="preserve">(Drazin, 2021 cited Appadurai 1986b, p.5). </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Drazin (2021) goes on to interpret the object biography as something more akin to a tool or methodology rather than a broader lens to apply to a subject to extract social and cultural meaning. Moving beyond an object biography’s broader place or interpretation, Drazin (2021) notes that it is, in short, describing an object and a variety of different moments in its life, as these moments inherently involve interaction with different individuals and groups of people. Those social and cultural contexts are described as parallel to human life: </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ind w:left="708.6614173228347" w:firstLine="0"/>
        <w:rPr/>
      </w:pPr>
      <w:r w:rsidDel="00000000" w:rsidR="00000000" w:rsidRPr="00000000">
        <w:rPr>
          <w:rtl w:val="0"/>
        </w:rPr>
        <w:t xml:space="preserve">A biography describes uses, identities, experiences, and relationships that different phases of its life enable. The thing might be at times a tool, a gift, a product, a good: such words describe its social state in relation to the conceptions of people. … The term ‘biography’ then is important because we are not only interested in setting out a sequence of events, or how objects age and develop over time, but in the succession of their social states. </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ind w:left="708.6614173228347" w:firstLine="0"/>
        <w:jc w:val="right"/>
        <w:rPr/>
      </w:pPr>
      <w:r w:rsidDel="00000000" w:rsidR="00000000" w:rsidRPr="00000000">
        <w:rPr>
          <w:rtl w:val="0"/>
        </w:rPr>
        <w:t xml:space="preserve">(Drazin, 2021) </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t xml:space="preserve">Notably, object biographies do not necessarily focus on these external elements, but rather those aspects are revealed or expounded upon through the focus on the object’s lifetime and the changes and motion it experiences through human contact (Drazin, 2021). The chapter also engages with the idea that, through objects, any number of ideas, beliefs, and otherwise intangible concepts may be interacted with and studied, as the transmission of objects often reflects the equivalent transmission of correlating ideas (Drazin, 2021). In summary, object biographies enable the study of elements of the past that are far greater than the objects themselves, as the process of studying and highlighting key moments in an object’s lifetime highlights connections to the humans that existed beside the object in those moments. An object biography enables the exploration of interactions between the social and material world, and the contact of cultures along with it.</w:t>
      </w:r>
      <w:r w:rsidDel="00000000" w:rsidR="00000000" w:rsidRPr="00000000">
        <w:rPr>
          <w:rtl w:val="0"/>
        </w:rPr>
      </w:r>
    </w:p>
    <w:p w:rsidR="00000000" w:rsidDel="00000000" w:rsidP="00000000" w:rsidRDefault="00000000" w:rsidRPr="00000000" w14:paraId="00000019">
      <w:pPr>
        <w:pStyle w:val="Heading1"/>
        <w:jc w:val="center"/>
        <w:rPr/>
      </w:pPr>
      <w:bookmarkStart w:colFirst="0" w:colLast="0" w:name="_cphiqgjegr8n" w:id="6"/>
      <w:bookmarkEnd w:id="6"/>
      <w:r w:rsidDel="00000000" w:rsidR="00000000" w:rsidRPr="00000000">
        <w:rPr>
          <w:rtl w:val="0"/>
        </w:rPr>
        <w:t xml:space="preserve">Culture </w:t>
      </w:r>
      <w:r w:rsidDel="00000000" w:rsidR="00000000" w:rsidRPr="00000000">
        <w:rPr>
          <w:rtl w:val="0"/>
        </w:rPr>
        <w:t xml:space="preserve">Contact</w:t>
      </w:r>
      <w:r w:rsidDel="00000000" w:rsidR="00000000" w:rsidRPr="00000000">
        <w:rPr>
          <w:rtl w:val="0"/>
        </w:rPr>
      </w:r>
    </w:p>
    <w:p w:rsidR="00000000" w:rsidDel="00000000" w:rsidP="00000000" w:rsidRDefault="00000000" w:rsidRPr="00000000" w14:paraId="0000001A">
      <w:pPr>
        <w:pStyle w:val="Heading2"/>
        <w:ind w:firstLine="708.6614173228347"/>
        <w:rPr/>
      </w:pPr>
      <w:bookmarkStart w:colFirst="0" w:colLast="0" w:name="_9f9blnq756km" w:id="7"/>
      <w:bookmarkEnd w:id="7"/>
      <w:r w:rsidDel="00000000" w:rsidR="00000000" w:rsidRPr="00000000">
        <w:rPr>
          <w:rtl w:val="0"/>
        </w:rPr>
        <w:t xml:space="preserve">Case </w:t>
      </w:r>
      <w:r w:rsidDel="00000000" w:rsidR="00000000" w:rsidRPr="00000000">
        <w:rPr>
          <w:rtl w:val="0"/>
        </w:rPr>
        <w:t xml:space="preserve">study 1: Franković’s “</w:t>
      </w:r>
      <w:r w:rsidDel="00000000" w:rsidR="00000000" w:rsidRPr="00000000">
        <w:rPr>
          <w:rtl w:val="0"/>
        </w:rPr>
        <w:t xml:space="preserve">Appropriating Foreign Material Culture in the Late Bronze Age Aegean”</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ind w:left="0" w:firstLine="708.6614173228347"/>
        <w:rPr/>
      </w:pPr>
      <w:r w:rsidDel="00000000" w:rsidR="00000000" w:rsidRPr="00000000">
        <w:rPr>
          <w:rtl w:val="0"/>
        </w:rPr>
        <w:t xml:space="preserve">Filip Franković’s “Something Old, Something New and Something Borrowed — Appropriating Foreign Material Culture in the Late Bronze Age Aegean” utilizes the idea of the object biography, and through this, effectively emphasizes and explores cultural contact in the Bronze Age Aegean. Franković (2018) acknowledges the limitations of the theory, saying: </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ind w:left="708.6614173228347" w:firstLine="0"/>
        <w:rPr/>
      </w:pPr>
      <w:r w:rsidDel="00000000" w:rsidR="00000000" w:rsidRPr="00000000">
        <w:rPr>
          <w:rtl w:val="0"/>
        </w:rPr>
        <w:t xml:space="preserve">[O]nly one part of the object’s biography can be fully understood. However, in this case, the meanings and functions of the object are dependent on time and space, as we are dealing with an old object that was introduced into a different cultural context. </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ind w:left="708.6614173228347" w:firstLine="0"/>
        <w:jc w:val="right"/>
        <w:rPr/>
      </w:pPr>
      <w:r w:rsidDel="00000000" w:rsidR="00000000" w:rsidRPr="00000000">
        <w:rPr>
          <w:rtl w:val="0"/>
        </w:rPr>
        <w:t xml:space="preserve">(Franković, 2018)</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t xml:space="preserve">Instead of engaging with one singular object through its entire lifetime, the study references these biographies as ideas that may be used to shed some light on types of objects. The study analyzes objects that display elements tying them to multiple cultures in the Late Bronze Age Aegean. As Franković (2018) analyzes appropriation via objects and their dynamic and complex biographies, the theory furthers and empowers Franković’s (2018) analysis. For example, as Franković (2018) analyzes objects entering a new cultural context, it is determined that the more complicated or difficult to determine object biographies would have experienced a perception that is very distinct from similar objects under different circumstances. He states, “The re‐contextualization of the object within a new cultural context can be considered as one of the most important points of every object’s biography” (Franković, 2018). Essentially, Franković (2018) narrows down the concept of object biographies to focus on only the most concrete and essential moments in an object’s lifetime, at least as far as its connection to the people and cultural contexts of the time. The study utilizes the theory in a manner that does not exclude the larger connections and contacts of people from other cultures, but rather enhances the nuance and understanding of these cultural entanglements. </w:t>
      </w:r>
    </w:p>
    <w:p w:rsidR="00000000" w:rsidDel="00000000" w:rsidP="00000000" w:rsidRDefault="00000000" w:rsidRPr="00000000" w14:paraId="0000001F">
      <w:pPr>
        <w:pStyle w:val="Heading2"/>
        <w:ind w:firstLine="708.6614173228347"/>
        <w:rPr/>
      </w:pPr>
      <w:bookmarkStart w:colFirst="0" w:colLast="0" w:name="_pzpqe0lfgr21" w:id="8"/>
      <w:bookmarkEnd w:id="8"/>
      <w:r w:rsidDel="00000000" w:rsidR="00000000" w:rsidRPr="00000000">
        <w:rPr>
          <w:rtl w:val="0"/>
        </w:rPr>
        <w:t xml:space="preserve">Case study 2: Panagiotopoulos’ “Encountering the Foreign”</w:t>
      </w: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ind w:left="0" w:firstLine="708.6614173228347"/>
        <w:rPr/>
      </w:pPr>
      <w:r w:rsidDel="00000000" w:rsidR="00000000" w:rsidRPr="00000000">
        <w:rPr>
          <w:rtl w:val="0"/>
        </w:rPr>
        <w:t xml:space="preserve">Panagiotopoulos’ (2012) study utilizes similar strategies as Franković (2018), namely the use of object biographies. Panagiotopoulos (2012) similarly analyzes the presence of foreign objects and their contexts, believing that there is greater nuance and additional explanations for this that have yet to be properly explored. Object biography is utilized in this study with a primary focus on the moment an object is taken into a new culture, and the object’s second life after experiencing what Panagiotopoulos (2012) calls its “cultural dislocation.” When exploring the first of these moments in a foreign object’s biography, Panagiotopoulos concludes that “the specific conditions at the moment of entry of foreign goods into a new culture affected in several ways their inherent value of otherness” (2012). In other words, in the ancient world, foreign objects carried additional value for being visibly foreign, but not all imported objects fell into that category. This foreign appeal only lasts for a short period of time immediately after the object is imported into the new cultural context (Panagiotopoulos, 2012). In some cases, an object’s biography may be too unclear, making it possible for its background to be exaggerated and subsequently given a false cultural context and value (Panagiotopoulos, 2012). The study also acknowledges that there has been a shift in scholarly fields from an emphasis on how objects were produced to the perception or cultural impact of these objects (Panagiotopoulos, 2012). As for the second life of foreign objects, Panagiotopoulos (2012) describes their foreign nature as ephemeral, eventually overshadowed by newfound, local perceptions and usages. Panagiotopoulos describes the phenomenon as: </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ind w:left="708.6614173228347" w:firstLine="0"/>
        <w:rPr/>
      </w:pPr>
      <w:r w:rsidDel="00000000" w:rsidR="00000000" w:rsidRPr="00000000">
        <w:rPr>
          <w:rtl w:val="0"/>
        </w:rPr>
        <w:t xml:space="preserve">[T]he otherness of the foreign import gradually faded through redesign and regular use. Its exotic character was covered, or, better still, tamed by local acts of display and consumption. But even if the design of a foreign import remained unmodified, it is legitimate to assume that its alien character gradually diminished. </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ind w:left="708.6614173228347" w:firstLine="0"/>
        <w:jc w:val="right"/>
        <w:rPr/>
      </w:pPr>
      <w:r w:rsidDel="00000000" w:rsidR="00000000" w:rsidRPr="00000000">
        <w:rPr>
          <w:rtl w:val="0"/>
        </w:rPr>
        <w:t xml:space="preserve">(2012)</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t xml:space="preserve">Through the use of object biography, Panagiotopoulos (2012) isolates two key moments in a foreign object’s biography and uses them to recontextualize the perception of the objects and their foreign nature, especially regarding their relationships to cultural contact.</w:t>
      </w:r>
    </w:p>
    <w:p w:rsidR="00000000" w:rsidDel="00000000" w:rsidP="00000000" w:rsidRDefault="00000000" w:rsidRPr="00000000" w14:paraId="00000024">
      <w:pPr>
        <w:pStyle w:val="Heading2"/>
        <w:ind w:firstLine="708.6614173228347"/>
        <w:rPr/>
      </w:pPr>
      <w:bookmarkStart w:colFirst="0" w:colLast="0" w:name="_2w4b3cb9ccut" w:id="9"/>
      <w:bookmarkEnd w:id="9"/>
      <w:r w:rsidDel="00000000" w:rsidR="00000000" w:rsidRPr="00000000">
        <w:rPr>
          <w:rtl w:val="0"/>
        </w:rPr>
        <w:t xml:space="preserve">Case study 3: Knapp’s “Matter of Fact”</w:t>
      </w:r>
      <w:r w:rsidDel="00000000" w:rsidR="00000000" w:rsidRPr="00000000">
        <w:rPr>
          <w:rtl w:val="0"/>
        </w:rPr>
      </w:r>
    </w:p>
    <w:p w:rsidR="00000000" w:rsidDel="00000000" w:rsidP="00000000" w:rsidRDefault="00000000" w:rsidRPr="00000000" w14:paraId="00000025">
      <w:pPr>
        <w:ind w:firstLine="708.6614173228347"/>
        <w:rPr/>
      </w:pPr>
      <w:r w:rsidDel="00000000" w:rsidR="00000000" w:rsidRPr="00000000">
        <w:rPr>
          <w:rtl w:val="0"/>
        </w:rPr>
        <w:t xml:space="preserve">Knapp’s chapter in </w:t>
      </w:r>
      <w:r w:rsidDel="00000000" w:rsidR="00000000" w:rsidRPr="00000000">
        <w:rPr>
          <w:i w:val="1"/>
          <w:rtl w:val="0"/>
        </w:rPr>
        <w:t xml:space="preserve">Materiality and social practice</w:t>
      </w:r>
      <w:r w:rsidDel="00000000" w:rsidR="00000000" w:rsidRPr="00000000">
        <w:rPr>
          <w:rtl w:val="0"/>
        </w:rPr>
        <w:t xml:space="preserve"> titled “Matter of fact: transcultural contacts in the Late Bronze Age Eastern Mediterranean” also engages with the concept of object biographies in order to further the analysis of themes like cultural contact. Knapp (2012) engages with object biographies after establishing the facts and characteristics of multiple different objects associated with the East Mediterranean in the Late Bronze Age, at which point it becomes necessary to delve into contextualization and seek out meaning behind these objects. It is notable that it is at this stage that Knapp (2012) engages with the theory, as object biographies, as have been previously established, are inherently tools for meaning-making and broader cultural interpretation. The only explicit mention of object biographies in the study states: </w:t>
      </w:r>
    </w:p>
    <w:p w:rsidR="00000000" w:rsidDel="00000000" w:rsidP="00000000" w:rsidRDefault="00000000" w:rsidRPr="00000000" w14:paraId="00000026">
      <w:pPr>
        <w:ind w:left="708.6614173228347" w:firstLine="0"/>
        <w:rPr/>
      </w:pPr>
      <w:r w:rsidDel="00000000" w:rsidR="00000000" w:rsidRPr="00000000">
        <w:rPr>
          <w:rtl w:val="0"/>
        </w:rPr>
        <w:t xml:space="preserve">All the objects discussed here have complex biographies and social entanglements; they will have changed meanings frequently as they passed from their locus of production to site of consumption to their ultimate point of deposition. </w:t>
      </w:r>
    </w:p>
    <w:p w:rsidR="00000000" w:rsidDel="00000000" w:rsidP="00000000" w:rsidRDefault="00000000" w:rsidRPr="00000000" w14:paraId="00000027">
      <w:pPr>
        <w:ind w:left="708.6614173228347" w:firstLine="0"/>
        <w:jc w:val="right"/>
        <w:rPr/>
      </w:pPr>
      <w:r w:rsidDel="00000000" w:rsidR="00000000" w:rsidRPr="00000000">
        <w:rPr>
          <w:rtl w:val="0"/>
        </w:rPr>
        <w:t xml:space="preserve">(Knapp, 2012) </w:t>
      </w:r>
    </w:p>
    <w:p w:rsidR="00000000" w:rsidDel="00000000" w:rsidP="00000000" w:rsidRDefault="00000000" w:rsidRPr="00000000" w14:paraId="00000028">
      <w:pPr>
        <w:ind w:left="0" w:firstLine="0"/>
        <w:rPr/>
      </w:pPr>
      <w:r w:rsidDel="00000000" w:rsidR="00000000" w:rsidRPr="00000000">
        <w:rPr>
          <w:rtl w:val="0"/>
        </w:rPr>
        <w:t xml:space="preserve">With this baseline established, Knapp (2012) goes on to explore broader themes relating to these objects’ stories, such as transcultural entanglements and hybridisation. Ultimately, Knapp’s (2012) use of object biographies informs the analysis of contact between different cultures, enhancing interpretations to be more nuanced and considerate of the ideas in these transcultural interactions.</w:t>
      </w:r>
      <w:r w:rsidDel="00000000" w:rsidR="00000000" w:rsidRPr="00000000">
        <w:rPr>
          <w:rtl w:val="0"/>
        </w:rPr>
      </w:r>
    </w:p>
    <w:p w:rsidR="00000000" w:rsidDel="00000000" w:rsidP="00000000" w:rsidRDefault="00000000" w:rsidRPr="00000000" w14:paraId="00000029">
      <w:pPr>
        <w:pStyle w:val="Heading2"/>
        <w:ind w:firstLine="708.6614173228347"/>
        <w:rPr/>
      </w:pPr>
      <w:bookmarkStart w:colFirst="0" w:colLast="0" w:name="_pb1b6pviw7ri" w:id="10"/>
      <w:bookmarkEnd w:id="10"/>
      <w:r w:rsidDel="00000000" w:rsidR="00000000" w:rsidRPr="00000000">
        <w:rPr>
          <w:rtl w:val="0"/>
        </w:rPr>
        <w:t xml:space="preserve">Culture Contact Conclusion.</w:t>
      </w:r>
    </w:p>
    <w:p w:rsidR="00000000" w:rsidDel="00000000" w:rsidP="00000000" w:rsidRDefault="00000000" w:rsidRPr="00000000" w14:paraId="0000002A">
      <w:pPr>
        <w:ind w:firstLine="708.6614173228347"/>
        <w:rPr/>
      </w:pPr>
      <w:r w:rsidDel="00000000" w:rsidR="00000000" w:rsidRPr="00000000">
        <w:rPr>
          <w:rtl w:val="0"/>
        </w:rPr>
        <w:t xml:space="preserve">These three studies all deal with similar ideas, even beyond a focus on the Bronze Age Aegean. They are each seeking to gain a greater insight and nuanced understanding of the ideas and perceptions surrounding foreign objects. Or in other words, each study is seeking to explore the connection between cultural contact and objects. For this purpose, the three utilized object biographies to varying extents, and through this analysis discovered that increased insight and nuance surrounding the transcultural entanglements which they sought after. However, these same studies also share a focus on the material world, which is also explored through their use of this analytical tool.</w:t>
      </w:r>
    </w:p>
    <w:p w:rsidR="00000000" w:rsidDel="00000000" w:rsidP="00000000" w:rsidRDefault="00000000" w:rsidRPr="00000000" w14:paraId="0000002B">
      <w:pPr>
        <w:pStyle w:val="Heading1"/>
        <w:jc w:val="center"/>
        <w:rPr/>
      </w:pPr>
      <w:bookmarkStart w:colFirst="0" w:colLast="0" w:name="_jprmpvecxgvv" w:id="11"/>
      <w:bookmarkEnd w:id="11"/>
      <w:r w:rsidDel="00000000" w:rsidR="00000000" w:rsidRPr="00000000">
        <w:rPr>
          <w:rtl w:val="0"/>
        </w:rPr>
        <w:t xml:space="preserve">Material world</w:t>
      </w:r>
    </w:p>
    <w:p w:rsidR="00000000" w:rsidDel="00000000" w:rsidP="00000000" w:rsidRDefault="00000000" w:rsidRPr="00000000" w14:paraId="0000002C">
      <w:pPr>
        <w:pStyle w:val="Heading2"/>
        <w:rPr/>
      </w:pPr>
      <w:bookmarkStart w:colFirst="0" w:colLast="0" w:name="_ggojjzajwmkw" w:id="12"/>
      <w:bookmarkEnd w:id="12"/>
      <w:r w:rsidDel="00000000" w:rsidR="00000000" w:rsidRPr="00000000">
        <w:rPr>
          <w:rtl w:val="0"/>
        </w:rPr>
        <w:t xml:space="preserve">Case </w:t>
      </w:r>
      <w:r w:rsidDel="00000000" w:rsidR="00000000" w:rsidRPr="00000000">
        <w:rPr>
          <w:rtl w:val="0"/>
        </w:rPr>
        <w:t xml:space="preserve">study 1: Franković’s “Appropriating Foreign Material Culture in the Late Bronze Age Aegean”</w:t>
      </w:r>
      <w:r w:rsidDel="00000000" w:rsidR="00000000" w:rsidRPr="00000000">
        <w:rPr>
          <w:rtl w:val="0"/>
        </w:rPr>
      </w:r>
    </w:p>
    <w:p w:rsidR="00000000" w:rsidDel="00000000" w:rsidP="00000000" w:rsidRDefault="00000000" w:rsidRPr="00000000" w14:paraId="0000002D">
      <w:pPr>
        <w:ind w:firstLine="708.6614173228347"/>
        <w:rPr/>
      </w:pPr>
      <w:r w:rsidDel="00000000" w:rsidR="00000000" w:rsidRPr="00000000">
        <w:rPr>
          <w:rtl w:val="0"/>
        </w:rPr>
        <w:t xml:space="preserve">Franković’s (2018) article delves into the material world and its connections to people effectively through the use of object biographies. Since the article is focused on analyzing the relationship between multicultural objects and the people that they touched, the use of object biographies intrinsically allows for Franković (2018) to engage with these themes on a deeper level. Since object biographies are commonly rooted in the changing of hands and the contexts subsequently gained and lost through this exchange, the theory connects the material world of the krater Franković (2018) studies to the concepts, social elements, and cultural exchanges enabled and affected through it.  Franković (2018) explores the connection between the culture or traits of the material world and the relationships between separate cultures. All in all, Franković (2018) deconstructs the idea of the foreign by studying its effects on material culture and the wide variety of reasons for the presence of foreign elements in the material world. This goal is accomplished, ultimately, through a careful utilization of object biographies, allowing for a shift in focus from people to objects to take pressure off of long-standing preconceptions and open the way for considering the numerous possibilities for foreign elements in the material culture of this part of the ancient world. </w:t>
      </w:r>
      <w:r w:rsidDel="00000000" w:rsidR="00000000" w:rsidRPr="00000000">
        <w:rPr>
          <w:rtl w:val="0"/>
        </w:rPr>
      </w:r>
    </w:p>
    <w:p w:rsidR="00000000" w:rsidDel="00000000" w:rsidP="00000000" w:rsidRDefault="00000000" w:rsidRPr="00000000" w14:paraId="0000002E">
      <w:pPr>
        <w:pStyle w:val="Heading2"/>
        <w:rPr/>
      </w:pPr>
      <w:bookmarkStart w:colFirst="0" w:colLast="0" w:name="_gjr27w6lrrt" w:id="13"/>
      <w:bookmarkEnd w:id="13"/>
      <w:r w:rsidDel="00000000" w:rsidR="00000000" w:rsidRPr="00000000">
        <w:rPr>
          <w:rtl w:val="0"/>
        </w:rPr>
        <w:t xml:space="preserve">Case study 2: Panagiotopoulos’ “Encountering the Foreign”</w:t>
      </w:r>
      <w:r w:rsidDel="00000000" w:rsidR="00000000" w:rsidRPr="00000000">
        <w:rPr>
          <w:rtl w:val="0"/>
        </w:rPr>
      </w:r>
    </w:p>
    <w:p w:rsidR="00000000" w:rsidDel="00000000" w:rsidP="00000000" w:rsidRDefault="00000000" w:rsidRPr="00000000" w14:paraId="0000002F">
      <w:pPr>
        <w:ind w:firstLine="708.6614173228347"/>
        <w:rPr/>
      </w:pPr>
      <w:r w:rsidDel="00000000" w:rsidR="00000000" w:rsidRPr="00000000">
        <w:rPr>
          <w:rtl w:val="0"/>
        </w:rPr>
        <w:t xml:space="preserve">Panagiotopoulos’ (2012) study quickly establishes that in material culture, the concept of foreignness is not the intrusion that it is often painted to be, nor would it have been perceived in such a way in ancient times. The study focuses on the material elements of an object that resulted in its unique treatment that would impact the people it came in contact with (Panagiotopoulos, 2012). Object biography is utilized by focusing on two pivotal moments in a foreign object’s life, and attempts to understand what aspects of the tangible object itself versus its social-cultural treatment (Panagiotopoulos, 2012). For example, the study delves into how the more visibly foreign objects would be of greater note and subsequent prestige than the foreign objects that were not so visibly othered (Panagiotopoulos, 2012). Panagiotopoulos ultimately concludes that, amid all the shifting in the biographies of foreign objects: </w:t>
      </w:r>
    </w:p>
    <w:p w:rsidR="00000000" w:rsidDel="00000000" w:rsidP="00000000" w:rsidRDefault="00000000" w:rsidRPr="00000000" w14:paraId="00000030">
      <w:pPr>
        <w:ind w:left="708.6614173228347" w:firstLine="0"/>
        <w:rPr/>
      </w:pPr>
      <w:r w:rsidDel="00000000" w:rsidR="00000000" w:rsidRPr="00000000">
        <w:rPr>
          <w:rtl w:val="0"/>
        </w:rPr>
        <w:t xml:space="preserve">What remained unaffected, constituting the heart of otherness, was the exotic material. Therefore, I would like to suggest that in this specific cultural context, alterity did not adhere to the design or style but to the physical thingness of an import. </w:t>
      </w:r>
    </w:p>
    <w:p w:rsidR="00000000" w:rsidDel="00000000" w:rsidP="00000000" w:rsidRDefault="00000000" w:rsidRPr="00000000" w14:paraId="00000031">
      <w:pPr>
        <w:ind w:left="708.6614173228347" w:firstLine="0"/>
        <w:jc w:val="right"/>
        <w:rPr/>
      </w:pPr>
      <w:r w:rsidDel="00000000" w:rsidR="00000000" w:rsidRPr="00000000">
        <w:rPr>
          <w:rtl w:val="0"/>
        </w:rPr>
        <w:t xml:space="preserve">(2012)</w:t>
      </w:r>
    </w:p>
    <w:p w:rsidR="00000000" w:rsidDel="00000000" w:rsidP="00000000" w:rsidRDefault="00000000" w:rsidRPr="00000000" w14:paraId="00000032">
      <w:pPr>
        <w:ind w:left="0" w:firstLine="0"/>
        <w:rPr/>
      </w:pPr>
      <w:r w:rsidDel="00000000" w:rsidR="00000000" w:rsidRPr="00000000">
        <w:rPr>
          <w:rtl w:val="0"/>
        </w:rPr>
        <w:t xml:space="preserve">In short, Panagiotopoulos (2012) is able to determine what material elements of an object gave it its perceptual prestige and influence through narrowing the analytical focus to critical points in an object’s lifetime. </w:t>
      </w:r>
      <w:r w:rsidDel="00000000" w:rsidR="00000000" w:rsidRPr="00000000">
        <w:rPr>
          <w:rtl w:val="0"/>
        </w:rPr>
      </w:r>
    </w:p>
    <w:p w:rsidR="00000000" w:rsidDel="00000000" w:rsidP="00000000" w:rsidRDefault="00000000" w:rsidRPr="00000000" w14:paraId="00000033">
      <w:pPr>
        <w:pStyle w:val="Heading2"/>
        <w:rPr/>
      </w:pPr>
      <w:bookmarkStart w:colFirst="0" w:colLast="0" w:name="_xd7gpc6ic8db" w:id="14"/>
      <w:bookmarkEnd w:id="14"/>
      <w:r w:rsidDel="00000000" w:rsidR="00000000" w:rsidRPr="00000000">
        <w:rPr>
          <w:rtl w:val="0"/>
        </w:rPr>
        <w:t xml:space="preserve">Case study 3: Knapp’s “Matter of Fact”</w:t>
      </w:r>
      <w:r w:rsidDel="00000000" w:rsidR="00000000" w:rsidRPr="00000000">
        <w:rPr>
          <w:rtl w:val="0"/>
        </w:rPr>
      </w:r>
    </w:p>
    <w:p w:rsidR="00000000" w:rsidDel="00000000" w:rsidP="00000000" w:rsidRDefault="00000000" w:rsidRPr="00000000" w14:paraId="00000034">
      <w:pPr>
        <w:ind w:firstLine="708.6614173228347"/>
        <w:rPr/>
      </w:pPr>
      <w:r w:rsidDel="00000000" w:rsidR="00000000" w:rsidRPr="00000000">
        <w:rPr>
          <w:rtl w:val="0"/>
        </w:rPr>
        <w:t xml:space="preserve">Knapp’s (2012) study, with a similar focus on the characteristics of objects as the previous studies, utilizes object biography to track the changes made to the material world and its culture. Knapp (2012) finds that the material culture on Cyprus in the Late Bronze Age demonstrates elements of many foreign material cultures, and subsequently that this connection extends to broader social and cultural elements as well. One of the fundamental ideas that Knapp (2012) explores is that the material world is constantly changing, an idea that reflects the perspectives of object biography. Knapp (2012) finds hybrid cultural relationships to objects when other conventions experienced a break, contradicting the preconceptions that material culture is opposed or resistant to foreign-sourced influence. The changes and shifts in the meaning associated with the material world is a commonplace part of the objects and their biographies that Knapp (2012) analyzes. Through the use of object biography, Knapp (2012) is able to lean into the idea that objects and their relationships to people are never static, and through this garner a more complete perception of the material world and its perceptions in the ancient world. </w:t>
      </w:r>
      <w:r w:rsidDel="00000000" w:rsidR="00000000" w:rsidRPr="00000000">
        <w:rPr>
          <w:rtl w:val="0"/>
        </w:rPr>
      </w:r>
    </w:p>
    <w:p w:rsidR="00000000" w:rsidDel="00000000" w:rsidP="00000000" w:rsidRDefault="00000000" w:rsidRPr="00000000" w14:paraId="00000035">
      <w:pPr>
        <w:pStyle w:val="Heading2"/>
        <w:ind w:firstLine="708.6614173228347"/>
        <w:rPr/>
      </w:pPr>
      <w:bookmarkStart w:colFirst="0" w:colLast="0" w:name="_yilu9b75ebfy" w:id="15"/>
      <w:bookmarkEnd w:id="15"/>
      <w:r w:rsidDel="00000000" w:rsidR="00000000" w:rsidRPr="00000000">
        <w:rPr>
          <w:rtl w:val="0"/>
        </w:rPr>
        <w:t xml:space="preserve">Material World Conclusion</w:t>
      </w:r>
    </w:p>
    <w:p w:rsidR="00000000" w:rsidDel="00000000" w:rsidP="00000000" w:rsidRDefault="00000000" w:rsidRPr="00000000" w14:paraId="00000036">
      <w:pPr>
        <w:ind w:firstLine="708.6614173228347"/>
        <w:rPr/>
      </w:pPr>
      <w:r w:rsidDel="00000000" w:rsidR="00000000" w:rsidRPr="00000000">
        <w:rPr>
          <w:rtl w:val="0"/>
        </w:rPr>
        <w:t xml:space="preserve">The usage of object biographies in these three studies enhances the scholars’ understanding of the material world and the nuances within it, as well as its interactions with other pivotal themes. Though some utilize the theory more explicitly and integrally to their analyses, each employ it intentionally and effectively, resulting in a greater nuanced understanding of the material cultures they are engaging with. Object biographies are intrinsically connected to the material world, rooted in the material as they are. However, applying a perspective that centers the object allows for an increased engagement with the exact material elements that transfer importance and meaning from physical characteristics alone to the social world. </w:t>
      </w:r>
    </w:p>
    <w:p w:rsidR="00000000" w:rsidDel="00000000" w:rsidP="00000000" w:rsidRDefault="00000000" w:rsidRPr="00000000" w14:paraId="00000037">
      <w:pPr>
        <w:pStyle w:val="Heading1"/>
        <w:jc w:val="center"/>
        <w:rPr/>
      </w:pPr>
      <w:bookmarkStart w:colFirst="0" w:colLast="0" w:name="_3kxb3xa2e88u" w:id="16"/>
      <w:bookmarkEnd w:id="16"/>
      <w:r w:rsidDel="00000000" w:rsidR="00000000" w:rsidRPr="00000000">
        <w:rPr>
          <w:rtl w:val="0"/>
        </w:rPr>
        <w:t xml:space="preserve">Social world</w:t>
      </w:r>
    </w:p>
    <w:p w:rsidR="00000000" w:rsidDel="00000000" w:rsidP="00000000" w:rsidRDefault="00000000" w:rsidRPr="00000000" w14:paraId="00000038">
      <w:pPr>
        <w:pStyle w:val="Heading2"/>
        <w:rPr/>
      </w:pPr>
      <w:bookmarkStart w:colFirst="0" w:colLast="0" w:name="_88yknfx8mwbr" w:id="17"/>
      <w:bookmarkEnd w:id="17"/>
      <w:r w:rsidDel="00000000" w:rsidR="00000000" w:rsidRPr="00000000">
        <w:rPr>
          <w:rtl w:val="0"/>
        </w:rPr>
        <w:t xml:space="preserve">Case </w:t>
      </w:r>
      <w:r w:rsidDel="00000000" w:rsidR="00000000" w:rsidRPr="00000000">
        <w:rPr>
          <w:rtl w:val="0"/>
        </w:rPr>
        <w:t xml:space="preserve">study 1: Franković’s “Appropriating Foreign Material Culture in the Late Bronze Age Aegean”</w:t>
      </w:r>
      <w:r w:rsidDel="00000000" w:rsidR="00000000" w:rsidRPr="00000000">
        <w:rPr>
          <w:rtl w:val="0"/>
        </w:rPr>
      </w:r>
    </w:p>
    <w:p w:rsidR="00000000" w:rsidDel="00000000" w:rsidP="00000000" w:rsidRDefault="00000000" w:rsidRPr="00000000" w14:paraId="00000039">
      <w:pPr>
        <w:ind w:firstLine="708.6614173228347"/>
        <w:rPr/>
      </w:pPr>
      <w:r w:rsidDel="00000000" w:rsidR="00000000" w:rsidRPr="00000000">
        <w:rPr>
          <w:rtl w:val="0"/>
        </w:rPr>
        <w:t xml:space="preserve">It is difficult to separate the study of the social world from the study of culture. With the usage of object biographies, the lines blur even with the material world. Franković’s (2018) article primarily deals with the relationship between objects and cultural contact, but the social world is an integral part of that study. The analysis is based in the commonplace interpretation of foreign objects being indicative of high social value, instead delving into the objects’ biographies rather than limiting study of this phenomenon to the way they were received into the new culture (Franković, 2018). Franković (2018) touches on the concepts of incorporation and transformation, two ideas that are considered to be more difficult to trace social practices rather than the more concrete material nature. Incorporation deals with the object’s use, something that shifts depending on cultural context, and transformation delves into even more esoteric concepts like the meanings and traditions, or in other words, the social practices that end up being attached to the object (Franković, 2018). Much of Franković’s (2018) study engages with the idea of social practices and how they are unveiled and understood via the objects and the biographies associated with them. Notably, not all of the foreign objects that Franković (2018) examines seem to have been understood by the culture’s elite, and therefore the easy equation of foreign to social status cannot be supported simply by virtue of their foreign nature. In short, an object’s biography that involves an eventual elevation to a symbol of high social status within its lifetime contains the construction of high social status as a concept within those cultural contexts. </w:t>
      </w:r>
      <w:r w:rsidDel="00000000" w:rsidR="00000000" w:rsidRPr="00000000">
        <w:rPr>
          <w:rtl w:val="0"/>
        </w:rPr>
      </w:r>
    </w:p>
    <w:p w:rsidR="00000000" w:rsidDel="00000000" w:rsidP="00000000" w:rsidRDefault="00000000" w:rsidRPr="00000000" w14:paraId="0000003A">
      <w:pPr>
        <w:pStyle w:val="Heading2"/>
        <w:rPr/>
      </w:pPr>
      <w:bookmarkStart w:colFirst="0" w:colLast="0" w:name="_716imhvrnljt" w:id="18"/>
      <w:bookmarkEnd w:id="18"/>
      <w:r w:rsidDel="00000000" w:rsidR="00000000" w:rsidRPr="00000000">
        <w:rPr>
          <w:rtl w:val="0"/>
        </w:rPr>
        <w:t xml:space="preserve">Case study 2: Panagiotopoulos’ “Encountering the Foreign”</w:t>
      </w:r>
      <w:r w:rsidDel="00000000" w:rsidR="00000000" w:rsidRPr="00000000">
        <w:rPr>
          <w:rtl w:val="0"/>
        </w:rPr>
      </w:r>
    </w:p>
    <w:p w:rsidR="00000000" w:rsidDel="00000000" w:rsidP="00000000" w:rsidRDefault="00000000" w:rsidRPr="00000000" w14:paraId="0000003B">
      <w:pPr>
        <w:ind w:firstLine="708.6614173228347"/>
        <w:rPr/>
      </w:pPr>
      <w:r w:rsidDel="00000000" w:rsidR="00000000" w:rsidRPr="00000000">
        <w:rPr>
          <w:rtl w:val="0"/>
        </w:rPr>
        <w:t xml:space="preserve">Panagiotopoulos’ (2012) study focuses on the impact of foreign objects upon social roles and the elite, done so through the careful application of object biographies. As has been established in previous sections, this study emphasizes two moments in an object’s biography: its entry into a new culture, and the second life it finds there. Panagiotopoulos (2012) at one point calls upon the conclusions of the social sciences to inform the analysis of these objects’ lifetimes as they intersect with society: </w:t>
      </w:r>
    </w:p>
    <w:p w:rsidR="00000000" w:rsidDel="00000000" w:rsidP="00000000" w:rsidRDefault="00000000" w:rsidRPr="00000000" w14:paraId="0000003C">
      <w:pPr>
        <w:ind w:left="708.6614173228347" w:firstLine="0"/>
        <w:rPr/>
      </w:pPr>
      <w:r w:rsidDel="00000000" w:rsidR="00000000" w:rsidRPr="00000000">
        <w:rPr>
          <w:rtl w:val="0"/>
        </w:rPr>
        <w:t xml:space="preserve">The underlying assumption that, at some fundamental level, there must have been ideal-typical groups whose identity was internally undifferentiated and homogeneous, is highly problematic. Recent research in quite different fields of social sciences has shown however that identity is not a static, but rather a dynamic value, a life-long project of coming to terms with constantly changing situations. </w:t>
      </w:r>
    </w:p>
    <w:p w:rsidR="00000000" w:rsidDel="00000000" w:rsidP="00000000" w:rsidRDefault="00000000" w:rsidRPr="00000000" w14:paraId="0000003D">
      <w:pPr>
        <w:ind w:left="708.6614173228347" w:firstLine="0"/>
        <w:jc w:val="right"/>
        <w:rPr/>
      </w:pPr>
      <w:r w:rsidDel="00000000" w:rsidR="00000000" w:rsidRPr="00000000">
        <w:rPr>
          <w:rtl w:val="0"/>
        </w:rPr>
        <w:t xml:space="preserve">(Panagiotopoulos, 2012)</w:t>
      </w:r>
    </w:p>
    <w:p w:rsidR="00000000" w:rsidDel="00000000" w:rsidP="00000000" w:rsidRDefault="00000000" w:rsidRPr="00000000" w14:paraId="0000003E">
      <w:pPr>
        <w:ind w:firstLine="0"/>
        <w:rPr/>
      </w:pPr>
      <w:r w:rsidDel="00000000" w:rsidR="00000000" w:rsidRPr="00000000">
        <w:rPr>
          <w:rtl w:val="0"/>
        </w:rPr>
        <w:t xml:space="preserve">Panagiotopoulos (2012) also studies the hypothetical progress of domestication of an object into social roles, seemingly coming about through an integration of the object with local social practices, which would have occurred almost immediately (Panagiotopoulos, 2012). The study effectively engages with object biographies to unlock a greater understanding of social practices and hierarchies by identifying the treatment of objects at pivotal moments, such as the moment of their introduction to a foreign culture. </w:t>
      </w:r>
      <w:r w:rsidDel="00000000" w:rsidR="00000000" w:rsidRPr="00000000">
        <w:rPr>
          <w:rtl w:val="0"/>
        </w:rPr>
      </w:r>
    </w:p>
    <w:p w:rsidR="00000000" w:rsidDel="00000000" w:rsidP="00000000" w:rsidRDefault="00000000" w:rsidRPr="00000000" w14:paraId="0000003F">
      <w:pPr>
        <w:pStyle w:val="Heading2"/>
        <w:rPr/>
      </w:pPr>
      <w:bookmarkStart w:colFirst="0" w:colLast="0" w:name="_nvjzy65jsaez" w:id="19"/>
      <w:bookmarkEnd w:id="19"/>
      <w:r w:rsidDel="00000000" w:rsidR="00000000" w:rsidRPr="00000000">
        <w:rPr>
          <w:rtl w:val="0"/>
        </w:rPr>
        <w:t xml:space="preserve">Case study 3: Knapp’s “Matter of Fact”</w:t>
      </w:r>
      <w:r w:rsidDel="00000000" w:rsidR="00000000" w:rsidRPr="00000000">
        <w:rPr>
          <w:rtl w:val="0"/>
        </w:rPr>
      </w:r>
    </w:p>
    <w:p w:rsidR="00000000" w:rsidDel="00000000" w:rsidP="00000000" w:rsidRDefault="00000000" w:rsidRPr="00000000" w14:paraId="00000040">
      <w:pPr>
        <w:ind w:firstLine="708.6614173228347"/>
        <w:rPr/>
      </w:pPr>
      <w:r w:rsidDel="00000000" w:rsidR="00000000" w:rsidRPr="00000000">
        <w:rPr>
          <w:rtl w:val="0"/>
        </w:rPr>
        <w:t xml:space="preserve">Given the similarities in aims between Knapp’s study and those previously analyzed, the relationship between the employment of object biographies and the exploration of the social world takes a similar shape within it. Knapp (2012) focuses on how foreign objects affected elite social roles on Late Bronze Age Cyprus, and as such, the relationship between objects’ lifetimes and the social world. The main argument of the chapter is that the new social roles were formed through material connections to cross-cultural interactions, with a particular emphasis on how objects were adapted to the mainstream social setting (Knapp, 2012). As object biographies are connected with their perception, a notable part of a given object’s biography is a circumstance when an object is associated with social status (Knapp, 2012). Knapp (2012) establishes the transcultural contexts and material characteristics that enable an object to have such a notable effect on the social world, and the range of effects it may have under different circumstances, such as objects that carry a “sub-elite” context, understood in part through the lens of an object’s lifetime (Knapp, 2012). The alterations brought upon the objects themselves and the journeys that they underwent are demonstrated to have distinct impacts upon social contexts that would be more difficult to perceive without undergoing analysis that places the object in the role of the actor rather than the thing acted upon. Again, this central focus on the object itself informs an impact larger than itself, this time in a social context.</w:t>
      </w:r>
      <w:r w:rsidDel="00000000" w:rsidR="00000000" w:rsidRPr="00000000">
        <w:rPr>
          <w:rtl w:val="0"/>
        </w:rPr>
      </w:r>
    </w:p>
    <w:p w:rsidR="00000000" w:rsidDel="00000000" w:rsidP="00000000" w:rsidRDefault="00000000" w:rsidRPr="00000000" w14:paraId="00000041">
      <w:pPr>
        <w:pStyle w:val="Heading2"/>
        <w:ind w:firstLine="708.6614173228347"/>
        <w:rPr/>
      </w:pPr>
      <w:bookmarkStart w:colFirst="0" w:colLast="0" w:name="_vushtr8i6tds" w:id="20"/>
      <w:bookmarkEnd w:id="20"/>
      <w:r w:rsidDel="00000000" w:rsidR="00000000" w:rsidRPr="00000000">
        <w:rPr>
          <w:rtl w:val="0"/>
        </w:rPr>
        <w:t xml:space="preserve">Social World Conclusion</w:t>
      </w:r>
    </w:p>
    <w:p w:rsidR="00000000" w:rsidDel="00000000" w:rsidP="00000000" w:rsidRDefault="00000000" w:rsidRPr="00000000" w14:paraId="00000042">
      <w:pPr>
        <w:ind w:firstLine="708.6614173228347"/>
        <w:rPr/>
      </w:pPr>
      <w:r w:rsidDel="00000000" w:rsidR="00000000" w:rsidRPr="00000000">
        <w:rPr>
          <w:rtl w:val="0"/>
        </w:rPr>
        <w:t xml:space="preserve">Franković (2018), Panagiotopoulos (2012), and Knapp’s (2012) respective studies each utilize object biographies to more deeply engage with the social world of the Bronze Age Aegean and Near East. By isolating key moments in various objects’ lives, they are able to better contextualize the treatment of the objects within the social norms of the time. Ultimately, these three studies stand as effective examples of the utility of object biographies in gaining a more thorough understanding of the ancient social world. </w:t>
      </w:r>
    </w:p>
    <w:p w:rsidR="00000000" w:rsidDel="00000000" w:rsidP="00000000" w:rsidRDefault="00000000" w:rsidRPr="00000000" w14:paraId="00000043">
      <w:pPr>
        <w:pStyle w:val="Heading1"/>
        <w:jc w:val="center"/>
        <w:rPr/>
      </w:pPr>
      <w:bookmarkStart w:colFirst="0" w:colLast="0" w:name="_2d7p7t9p080z" w:id="21"/>
      <w:bookmarkEnd w:id="21"/>
      <w:r w:rsidDel="00000000" w:rsidR="00000000" w:rsidRPr="00000000">
        <w:rPr>
          <w:rtl w:val="0"/>
        </w:rPr>
        <w:t xml:space="preserve">Conclusion</w:t>
      </w:r>
    </w:p>
    <w:p w:rsidR="00000000" w:rsidDel="00000000" w:rsidP="00000000" w:rsidRDefault="00000000" w:rsidRPr="00000000" w14:paraId="00000044">
      <w:pPr>
        <w:ind w:firstLine="708.6614173228347"/>
        <w:rPr/>
      </w:pPr>
      <w:r w:rsidDel="00000000" w:rsidR="00000000" w:rsidRPr="00000000">
        <w:rPr>
          <w:rtl w:val="0"/>
        </w:rPr>
        <w:t xml:space="preserve">Theoretically informed analyses are pivotal to gaining a nuanced understanding of the people of the Bronze Age East Mediterranean. Through the analysis of studies by Franković (2018), Panagiotopoulos (2012), and Knapp (2012), object biographies in particular have been demonstrated to be incredibly beneficial in analyzing culture contact, the material world, and the social world not only individually, but also in how they intersect with one another. All three of the studies demonstrate an interaction with the ideas summarized by Drazin (2021). Despite variations in how deeply and explicitly each study interacts with the concept of the object biography, each scholar takes what is necessary for the purposes of their own study, to the great effect of unlocking deeper nuances surrounding the people of the Bronze Age East Mediterranean that have not previously been popularly considered. Object biographies are an essential and beneficial tool in analysis of the entanglements between not only people, but between transcultural contact, material culture, and the hierarchies of the ancient social world. </w:t>
      </w:r>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keepNext w:val="0"/>
        <w:keepLines w:val="0"/>
        <w:spacing w:after="360" w:line="360" w:lineRule="auto"/>
        <w:ind w:left="0" w:firstLine="0"/>
        <w:jc w:val="left"/>
        <w:rPr>
          <w:b w:val="1"/>
          <w:sz w:val="36"/>
          <w:szCs w:val="36"/>
          <w:highlight w:val="white"/>
        </w:rPr>
      </w:pPr>
      <w:bookmarkStart w:colFirst="0" w:colLast="0" w:name="_ap3td98axfg6" w:id="22"/>
      <w:bookmarkEnd w:id="22"/>
      <w:r w:rsidDel="00000000" w:rsidR="00000000" w:rsidRPr="00000000">
        <w:rPr>
          <w:b w:val="1"/>
          <w:sz w:val="36"/>
          <w:szCs w:val="36"/>
          <w:highlight w:val="white"/>
          <w:rtl w:val="0"/>
        </w:rPr>
        <w:t xml:space="preserve">Reference list</w:t>
      </w:r>
    </w:p>
    <w:p w:rsidR="00000000" w:rsidDel="00000000" w:rsidP="00000000" w:rsidRDefault="00000000" w:rsidRPr="00000000" w14:paraId="00000046">
      <w:pPr>
        <w:spacing w:after="240" w:line="360" w:lineRule="auto"/>
        <w:rPr>
          <w:highlight w:val="white"/>
        </w:rPr>
      </w:pPr>
      <w:r w:rsidDel="00000000" w:rsidR="00000000" w:rsidRPr="00000000">
        <w:rPr>
          <w:highlight w:val="white"/>
          <w:rtl w:val="0"/>
        </w:rPr>
        <w:t xml:space="preserve">Drazin, A. (2021). ‘The Object Biography’. In: T. Carroll, A. Walford and S. Walton, eds., </w:t>
      </w:r>
      <w:r w:rsidDel="00000000" w:rsidR="00000000" w:rsidRPr="00000000">
        <w:rPr>
          <w:i w:val="1"/>
          <w:highlight w:val="white"/>
          <w:rtl w:val="0"/>
        </w:rPr>
        <w:t xml:space="preserve">Lineages and Advancements in Material Culture Studies; Perspectives from UCL Anthropology</w:t>
      </w:r>
      <w:r w:rsidDel="00000000" w:rsidR="00000000" w:rsidRPr="00000000">
        <w:rPr>
          <w:highlight w:val="white"/>
          <w:rtl w:val="0"/>
        </w:rPr>
        <w:t xml:space="preserve">. New York, NY: Routledge, pp.61–74.</w:t>
      </w:r>
    </w:p>
    <w:p w:rsidR="00000000" w:rsidDel="00000000" w:rsidP="00000000" w:rsidRDefault="00000000" w:rsidRPr="00000000" w14:paraId="00000047">
      <w:pPr>
        <w:spacing w:after="240" w:line="360" w:lineRule="auto"/>
        <w:rPr>
          <w:highlight w:val="white"/>
        </w:rPr>
      </w:pPr>
      <w:r w:rsidDel="00000000" w:rsidR="00000000" w:rsidRPr="00000000">
        <w:rPr>
          <w:highlight w:val="white"/>
          <w:rtl w:val="0"/>
        </w:rPr>
        <w:t xml:space="preserve">Franković, F. (2018). ‘Something Old, Something New and Something Borrowed – Appropriating Foreign Material Culture in the Late Bronze Age Aegean’. </w:t>
      </w:r>
      <w:r w:rsidDel="00000000" w:rsidR="00000000" w:rsidRPr="00000000">
        <w:rPr>
          <w:i w:val="1"/>
          <w:highlight w:val="white"/>
          <w:rtl w:val="0"/>
        </w:rPr>
        <w:t xml:space="preserve">Studia Hercynia</w:t>
      </w:r>
      <w:r w:rsidDel="00000000" w:rsidR="00000000" w:rsidRPr="00000000">
        <w:rPr>
          <w:highlight w:val="white"/>
          <w:rtl w:val="0"/>
        </w:rPr>
        <w:t xml:space="preserve">, [online] 22(1), pp.7–30. Available at: https://www.ceeol.com/search/article-detail?id=734774 [Accessed 21 Nov. 2023].</w:t>
      </w:r>
    </w:p>
    <w:p w:rsidR="00000000" w:rsidDel="00000000" w:rsidP="00000000" w:rsidRDefault="00000000" w:rsidRPr="00000000" w14:paraId="00000048">
      <w:pPr>
        <w:spacing w:after="240" w:line="360" w:lineRule="auto"/>
        <w:rPr>
          <w:highlight w:val="white"/>
        </w:rPr>
      </w:pPr>
      <w:r w:rsidDel="00000000" w:rsidR="00000000" w:rsidRPr="00000000">
        <w:rPr>
          <w:highlight w:val="white"/>
          <w:rtl w:val="0"/>
        </w:rPr>
        <w:t xml:space="preserve">Knapp, A.B. (2012). ‘Matter of fact: Transcultural Contacts in the Late Bronze Age Eastern Mediterranean’. In: J. Maran and P.W. Stockhammer, eds., </w:t>
      </w:r>
      <w:r w:rsidDel="00000000" w:rsidR="00000000" w:rsidRPr="00000000">
        <w:rPr>
          <w:i w:val="1"/>
          <w:highlight w:val="white"/>
          <w:rtl w:val="0"/>
        </w:rPr>
        <w:t xml:space="preserve">Materiality and Social Practice: Transformative Capacities of Intercultural Encounters</w:t>
      </w:r>
      <w:r w:rsidDel="00000000" w:rsidR="00000000" w:rsidRPr="00000000">
        <w:rPr>
          <w:highlight w:val="white"/>
          <w:rtl w:val="0"/>
        </w:rPr>
        <w:t xml:space="preserve">. Oxford, UK: Oxbow Books, pp.32–50.</w:t>
      </w:r>
    </w:p>
    <w:p w:rsidR="00000000" w:rsidDel="00000000" w:rsidP="00000000" w:rsidRDefault="00000000" w:rsidRPr="00000000" w14:paraId="00000049">
      <w:pPr>
        <w:spacing w:after="240" w:line="360" w:lineRule="auto"/>
        <w:rPr/>
      </w:pPr>
      <w:r w:rsidDel="00000000" w:rsidR="00000000" w:rsidRPr="00000000">
        <w:rPr>
          <w:highlight w:val="white"/>
          <w:rtl w:val="0"/>
        </w:rPr>
        <w:t xml:space="preserve">Panagiotopoulos, D. (2012). ‘Encountering the foreign. (De-)constructing Alterity in the Archaeologies of the Bronze Age Mediterranean’. In: J. Maran and P.W. Stockhammer, eds., </w:t>
      </w:r>
      <w:r w:rsidDel="00000000" w:rsidR="00000000" w:rsidRPr="00000000">
        <w:rPr>
          <w:i w:val="1"/>
          <w:highlight w:val="white"/>
          <w:rtl w:val="0"/>
        </w:rPr>
        <w:t xml:space="preserve">Materiality and Social Practice: Transformative Capacities of Intercultural Encounters</w:t>
      </w:r>
      <w:r w:rsidDel="00000000" w:rsidR="00000000" w:rsidRPr="00000000">
        <w:rPr>
          <w:highlight w:val="white"/>
          <w:rtl w:val="0"/>
        </w:rPr>
        <w:t xml:space="preserve">. Oxford, UK: Oxbow Books, pp.51–60.</w:t>
      </w:r>
      <w:r w:rsidDel="00000000" w:rsidR="00000000" w:rsidRPr="00000000">
        <w:rPr>
          <w:rtl w:val="0"/>
        </w:rPr>
      </w:r>
    </w:p>
    <w:sectPr>
      <w:headerReference r:id="rId6" w:type="default"/>
      <w:headerReference r:id="rId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Running head: TITLE OF YOUR PAPER</w:t>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tabs>
        <w:tab w:val="right" w:leader="none" w:pos="9360"/>
      </w:tabs>
      <w:spacing w:before="0" w:lineRule="auto"/>
      <w:rPr/>
    </w:pPr>
    <w:r w:rsidDel="00000000" w:rsidR="00000000" w:rsidRPr="00000000">
      <w:rPr>
        <w:rtl w:val="0"/>
      </w:rPr>
      <w:tab/>
      <w:t xml:space="preserve">Object Biography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center"/>
    </w:pPr>
    <w:rPr/>
  </w:style>
  <w:style w:type="paragraph" w:styleId="Heading2">
    <w:name w:val="heading 2"/>
    <w:basedOn w:val="Normal"/>
    <w:next w:val="Normal"/>
    <w:pPr>
      <w:keepNext w:val="1"/>
      <w:keepLines w:val="1"/>
      <w:ind w:firstLine="708.6614173228347"/>
    </w:pPr>
    <w:rPr>
      <w:i w:val="1"/>
    </w:rPr>
  </w:style>
  <w:style w:type="paragraph" w:styleId="Heading3">
    <w:name w:val="heading 3"/>
    <w:basedOn w:val="Normal"/>
    <w:next w:val="Normal"/>
    <w:pPr>
      <w:keepNext w:val="1"/>
      <w:keepLines w:val="1"/>
      <w:pageBreakBefore w:val="0"/>
    </w:pPr>
    <w:rPr>
      <w:b w:val="1"/>
      <w:i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b w:val="1"/>
    </w:rPr>
  </w:style>
  <w:style w:type="paragraph" w:styleId="Subtitle">
    <w:name w:val="Subtitle"/>
    <w:basedOn w:val="Normal"/>
    <w:next w:val="Normal"/>
    <w:pPr>
      <w:keepNext w:val="1"/>
      <w:keepLines w:val="1"/>
      <w:pageBreakBefore w:val="0"/>
      <w:jc w:val="center"/>
    </w:pPr>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