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9018DF" w14:textId="77777777" w:rsidR="00E540E0" w:rsidRDefault="005F7FDA">
      <w:pPr>
        <w:rPr>
          <w:rFonts w:ascii="Times New Roman" w:hAnsi="Times New Roman" w:cs="Times New Roman"/>
        </w:rPr>
      </w:pPr>
      <w:r>
        <w:rPr>
          <w:rFonts w:ascii="Times New Roman" w:hAnsi="Times New Roman" w:cs="Times New Roman"/>
        </w:rPr>
        <w:t xml:space="preserve">Q. Was individual or communal identity the most important consideration when commemorating the dead? </w:t>
      </w:r>
    </w:p>
    <w:p w14:paraId="08170B51" w14:textId="77777777" w:rsidR="00DD4DB5" w:rsidRDefault="00DD4DB5">
      <w:pPr>
        <w:rPr>
          <w:rFonts w:ascii="Times New Roman" w:hAnsi="Times New Roman" w:cs="Times New Roman"/>
        </w:rPr>
      </w:pPr>
    </w:p>
    <w:p w14:paraId="7719CFE7" w14:textId="77777777" w:rsidR="00DD4DB5" w:rsidRDefault="00DD4DB5">
      <w:pPr>
        <w:rPr>
          <w:rFonts w:ascii="Times New Roman" w:hAnsi="Times New Roman" w:cs="Times New Roman"/>
        </w:rPr>
      </w:pPr>
    </w:p>
    <w:p w14:paraId="3449DAF0" w14:textId="77777777" w:rsidR="005F7FDA" w:rsidRDefault="005F7FDA">
      <w:pPr>
        <w:rPr>
          <w:rFonts w:ascii="Times New Roman" w:hAnsi="Times New Roman" w:cs="Times New Roman"/>
        </w:rPr>
      </w:pPr>
    </w:p>
    <w:p w14:paraId="12577078" w14:textId="33F5A9DC" w:rsidR="00824D7F" w:rsidRDefault="00DD4DB5">
      <w:pPr>
        <w:rPr>
          <w:rFonts w:ascii="Times New Roman" w:hAnsi="Times New Roman" w:cs="Times New Roman"/>
        </w:rPr>
      </w:pPr>
      <w:r>
        <w:rPr>
          <w:rFonts w:ascii="Times New Roman" w:hAnsi="Times New Roman" w:cs="Times New Roman"/>
        </w:rPr>
        <w:t>In this essay I will evaluat</w:t>
      </w:r>
      <w:r w:rsidR="00BE5982">
        <w:rPr>
          <w:rFonts w:ascii="Times New Roman" w:hAnsi="Times New Roman" w:cs="Times New Roman"/>
        </w:rPr>
        <w:t>e</w:t>
      </w:r>
      <w:r>
        <w:rPr>
          <w:rFonts w:ascii="Times New Roman" w:hAnsi="Times New Roman" w:cs="Times New Roman"/>
        </w:rPr>
        <w:t xml:space="preserve"> the importance of individual and communal identity </w:t>
      </w:r>
      <w:r w:rsidR="00824D7F">
        <w:rPr>
          <w:rFonts w:ascii="Times New Roman" w:hAnsi="Times New Roman" w:cs="Times New Roman"/>
        </w:rPr>
        <w:t xml:space="preserve">towards </w:t>
      </w:r>
      <w:r>
        <w:rPr>
          <w:rFonts w:ascii="Times New Roman" w:hAnsi="Times New Roman" w:cs="Times New Roman"/>
        </w:rPr>
        <w:t xml:space="preserve">medieval commemoration of the dead. </w:t>
      </w:r>
      <w:r w:rsidR="00824D7F">
        <w:rPr>
          <w:rFonts w:ascii="Times New Roman" w:hAnsi="Times New Roman" w:cs="Times New Roman"/>
        </w:rPr>
        <w:t xml:space="preserve">I will discuss factors such as medieval burial practices and the </w:t>
      </w:r>
      <w:r w:rsidR="005946C1">
        <w:rPr>
          <w:rFonts w:ascii="Times New Roman" w:hAnsi="Times New Roman" w:cs="Times New Roman"/>
        </w:rPr>
        <w:t>role that medieval interpretations of the afterlife</w:t>
      </w:r>
      <w:r w:rsidR="00824D7F">
        <w:rPr>
          <w:rFonts w:ascii="Times New Roman" w:hAnsi="Times New Roman" w:cs="Times New Roman"/>
        </w:rPr>
        <w:t xml:space="preserve"> had in this study. In this essay I will argue that the role of individuality was not an important consideration when commemorating the dead, but instead that the role of communal identity was much more significant.</w:t>
      </w:r>
    </w:p>
    <w:p w14:paraId="3AEB3BC3" w14:textId="3B696FE5" w:rsidR="00E64F23" w:rsidRDefault="00824D7F">
      <w:pPr>
        <w:rPr>
          <w:rFonts w:ascii="Times New Roman" w:hAnsi="Times New Roman" w:cs="Times New Roman"/>
        </w:rPr>
      </w:pPr>
      <w:r>
        <w:rPr>
          <w:rFonts w:ascii="Times New Roman" w:hAnsi="Times New Roman" w:cs="Times New Roman"/>
        </w:rPr>
        <w:tab/>
      </w:r>
      <w:r w:rsidR="000A77C8">
        <w:rPr>
          <w:rFonts w:ascii="Times New Roman" w:hAnsi="Times New Roman" w:cs="Times New Roman"/>
        </w:rPr>
        <w:t>To begin, I will discuss</w:t>
      </w:r>
      <w:r w:rsidR="005C2DFD">
        <w:rPr>
          <w:rFonts w:ascii="Times New Roman" w:hAnsi="Times New Roman" w:cs="Times New Roman"/>
        </w:rPr>
        <w:t xml:space="preserve"> the role of</w:t>
      </w:r>
      <w:r w:rsidR="000A77C8">
        <w:rPr>
          <w:rFonts w:ascii="Times New Roman" w:hAnsi="Times New Roman" w:cs="Times New Roman"/>
        </w:rPr>
        <w:t xml:space="preserve"> burial practice</w:t>
      </w:r>
      <w:r w:rsidR="00B17870">
        <w:rPr>
          <w:rFonts w:ascii="Times New Roman" w:hAnsi="Times New Roman" w:cs="Times New Roman"/>
        </w:rPr>
        <w:t>s</w:t>
      </w:r>
      <w:r w:rsidR="005C2DFD">
        <w:rPr>
          <w:rFonts w:ascii="Times New Roman" w:hAnsi="Times New Roman" w:cs="Times New Roman"/>
        </w:rPr>
        <w:t>. Arguably, this is one of the few cases in which individuality was the more important consideration when commemorating the dead. Chantry chapels, for example, were private commemorative chapels erected only for the family of the deceased, and not the wider community</w:t>
      </w:r>
      <w:r w:rsidR="00B17870">
        <w:rPr>
          <w:rFonts w:ascii="Times New Roman" w:hAnsi="Times New Roman" w:cs="Times New Roman"/>
        </w:rPr>
        <w:t>, thus preserving the identity of the individual</w:t>
      </w:r>
      <w:r w:rsidR="00AD4F1D">
        <w:rPr>
          <w:rFonts w:ascii="Times New Roman" w:hAnsi="Times New Roman" w:cs="Times New Roman"/>
        </w:rPr>
        <w:t xml:space="preserve"> to an extent</w:t>
      </w:r>
      <w:r w:rsidR="005C2DFD">
        <w:rPr>
          <w:rFonts w:ascii="Times New Roman" w:hAnsi="Times New Roman" w:cs="Times New Roman"/>
        </w:rPr>
        <w:t xml:space="preserve">. Additionally, tombs of the rich often conveyed a sense of identity through the decoration or embellishment upon them. Effigies of the deceased, particularly in the cases of </w:t>
      </w:r>
      <w:proofErr w:type="spellStart"/>
      <w:r w:rsidR="005C2DFD">
        <w:rPr>
          <w:rFonts w:ascii="Times New Roman" w:hAnsi="Times New Roman" w:cs="Times New Roman"/>
        </w:rPr>
        <w:t>transi</w:t>
      </w:r>
      <w:proofErr w:type="spellEnd"/>
      <w:r w:rsidR="005C2DFD">
        <w:rPr>
          <w:rFonts w:ascii="Times New Roman" w:hAnsi="Times New Roman" w:cs="Times New Roman"/>
        </w:rPr>
        <w:t xml:space="preserve"> tombs, are one of the more obvious ways in which an individual</w:t>
      </w:r>
      <w:r w:rsidR="006D47C3">
        <w:rPr>
          <w:rFonts w:ascii="Times New Roman" w:hAnsi="Times New Roman" w:cs="Times New Roman"/>
        </w:rPr>
        <w:t>’s identity</w:t>
      </w:r>
      <w:r w:rsidR="005C2DFD">
        <w:rPr>
          <w:rFonts w:ascii="Times New Roman" w:hAnsi="Times New Roman" w:cs="Times New Roman"/>
        </w:rPr>
        <w:t xml:space="preserve"> would be commemorated (Stephen </w:t>
      </w:r>
      <w:proofErr w:type="spellStart"/>
      <w:r w:rsidR="005C2DFD">
        <w:rPr>
          <w:rFonts w:ascii="Times New Roman" w:hAnsi="Times New Roman" w:cs="Times New Roman"/>
        </w:rPr>
        <w:t>Perkinson</w:t>
      </w:r>
      <w:proofErr w:type="spellEnd"/>
      <w:r w:rsidR="005C2DFD">
        <w:rPr>
          <w:rFonts w:ascii="Times New Roman" w:hAnsi="Times New Roman" w:cs="Times New Roman"/>
        </w:rPr>
        <w:t xml:space="preserve">). </w:t>
      </w:r>
    </w:p>
    <w:p w14:paraId="5EE03754" w14:textId="0383151A" w:rsidR="00B047DF" w:rsidRDefault="00E64F23">
      <w:pPr>
        <w:rPr>
          <w:rFonts w:ascii="Times New Roman" w:hAnsi="Times New Roman" w:cs="Times New Roman"/>
        </w:rPr>
      </w:pPr>
      <w:r>
        <w:rPr>
          <w:rFonts w:ascii="Times New Roman" w:hAnsi="Times New Roman" w:cs="Times New Roman"/>
        </w:rPr>
        <w:tab/>
        <w:t xml:space="preserve">Depictions of death in art works such as the </w:t>
      </w:r>
      <w:proofErr w:type="spellStart"/>
      <w:r>
        <w:rPr>
          <w:rFonts w:ascii="Times New Roman" w:hAnsi="Times New Roman" w:cs="Times New Roman"/>
          <w:i/>
        </w:rPr>
        <w:t>Danse</w:t>
      </w:r>
      <w:proofErr w:type="spellEnd"/>
      <w:r>
        <w:rPr>
          <w:rFonts w:ascii="Times New Roman" w:hAnsi="Times New Roman" w:cs="Times New Roman"/>
          <w:i/>
        </w:rPr>
        <w:t xml:space="preserve"> Macabre </w:t>
      </w:r>
      <w:r>
        <w:rPr>
          <w:rFonts w:ascii="Times New Roman" w:hAnsi="Times New Roman" w:cs="Times New Roman"/>
        </w:rPr>
        <w:t xml:space="preserve">and the </w:t>
      </w:r>
      <w:r>
        <w:rPr>
          <w:rFonts w:ascii="Times New Roman" w:hAnsi="Times New Roman" w:cs="Times New Roman"/>
          <w:i/>
        </w:rPr>
        <w:t>Three Living and the Three Dead</w:t>
      </w:r>
      <w:r>
        <w:rPr>
          <w:rFonts w:ascii="Times New Roman" w:hAnsi="Times New Roman" w:cs="Times New Roman"/>
        </w:rPr>
        <w:t xml:space="preserve"> are also important to consider in this study, as they arguably had elements of both individual and communal identity. For example, in terms of individual identity, depictions of the </w:t>
      </w:r>
      <w:proofErr w:type="spellStart"/>
      <w:r>
        <w:rPr>
          <w:rFonts w:ascii="Times New Roman" w:hAnsi="Times New Roman" w:cs="Times New Roman"/>
          <w:i/>
        </w:rPr>
        <w:t>Danse</w:t>
      </w:r>
      <w:proofErr w:type="spellEnd"/>
      <w:r>
        <w:rPr>
          <w:rFonts w:ascii="Times New Roman" w:hAnsi="Times New Roman" w:cs="Times New Roman"/>
          <w:i/>
        </w:rPr>
        <w:t xml:space="preserve"> Macabre</w:t>
      </w:r>
      <w:r>
        <w:rPr>
          <w:rFonts w:ascii="Times New Roman" w:hAnsi="Times New Roman" w:cs="Times New Roman"/>
        </w:rPr>
        <w:t xml:space="preserve"> represent figures from every echelon of society.</w:t>
      </w:r>
      <w:r w:rsidR="000A0542">
        <w:rPr>
          <w:rFonts w:ascii="Times New Roman" w:hAnsi="Times New Roman" w:cs="Times New Roman"/>
        </w:rPr>
        <w:t xml:space="preserve"> </w:t>
      </w:r>
      <w:r w:rsidR="00B047DF">
        <w:rPr>
          <w:rFonts w:ascii="Times New Roman" w:hAnsi="Times New Roman" w:cs="Times New Roman"/>
        </w:rPr>
        <w:t xml:space="preserve">The Pope usually leads the procession, followed by individuals whose statuses gradually </w:t>
      </w:r>
      <w:r w:rsidR="0082155D">
        <w:rPr>
          <w:rFonts w:ascii="Times New Roman" w:hAnsi="Times New Roman" w:cs="Times New Roman"/>
        </w:rPr>
        <w:t>lessen</w:t>
      </w:r>
      <w:r w:rsidR="00B047DF">
        <w:rPr>
          <w:rFonts w:ascii="Times New Roman" w:hAnsi="Times New Roman" w:cs="Times New Roman"/>
        </w:rPr>
        <w:t>, until the final individual is represented as a beggar, or sometimes even a child</w:t>
      </w:r>
      <w:r w:rsidR="006726A5">
        <w:rPr>
          <w:rFonts w:ascii="Times New Roman" w:hAnsi="Times New Roman" w:cs="Times New Roman"/>
        </w:rPr>
        <w:t xml:space="preserve">. Particularly in the </w:t>
      </w:r>
      <w:proofErr w:type="spellStart"/>
      <w:r w:rsidR="006726A5" w:rsidRPr="006726A5">
        <w:rPr>
          <w:rFonts w:ascii="Times New Roman" w:hAnsi="Times New Roman" w:cs="Times New Roman"/>
          <w:i/>
        </w:rPr>
        <w:t>The</w:t>
      </w:r>
      <w:proofErr w:type="spellEnd"/>
      <w:r w:rsidR="006726A5" w:rsidRPr="006726A5">
        <w:rPr>
          <w:rFonts w:ascii="Times New Roman" w:hAnsi="Times New Roman" w:cs="Times New Roman"/>
          <w:i/>
        </w:rPr>
        <w:t xml:space="preserve"> Empire of Death, On All States of Human Life</w:t>
      </w:r>
      <w:r w:rsidR="006726A5">
        <w:rPr>
          <w:rFonts w:ascii="Times New Roman" w:hAnsi="Times New Roman" w:cs="Times New Roman"/>
        </w:rPr>
        <w:t xml:space="preserve">, a manuscript depicting the </w:t>
      </w:r>
      <w:proofErr w:type="spellStart"/>
      <w:r w:rsidR="006726A5">
        <w:rPr>
          <w:rFonts w:ascii="Times New Roman" w:hAnsi="Times New Roman" w:cs="Times New Roman"/>
          <w:i/>
        </w:rPr>
        <w:t>Danse</w:t>
      </w:r>
      <w:proofErr w:type="spellEnd"/>
      <w:r w:rsidR="006726A5">
        <w:rPr>
          <w:rFonts w:ascii="Times New Roman" w:hAnsi="Times New Roman" w:cs="Times New Roman"/>
          <w:i/>
        </w:rPr>
        <w:t xml:space="preserve"> Macabre</w:t>
      </w:r>
      <w:r w:rsidR="006726A5">
        <w:rPr>
          <w:rFonts w:ascii="Times New Roman" w:hAnsi="Times New Roman" w:cs="Times New Roman"/>
        </w:rPr>
        <w:t>, individual identity is represented through</w:t>
      </w:r>
      <w:r w:rsidR="00744B5F">
        <w:rPr>
          <w:rFonts w:ascii="Times New Roman" w:hAnsi="Times New Roman" w:cs="Times New Roman"/>
        </w:rPr>
        <w:t xml:space="preserve"> each figure segregated from the wider crowd </w:t>
      </w:r>
      <w:r w:rsidR="000E3573">
        <w:rPr>
          <w:rFonts w:ascii="Times New Roman" w:hAnsi="Times New Roman" w:cs="Times New Roman"/>
        </w:rPr>
        <w:t xml:space="preserve">and </w:t>
      </w:r>
      <w:r w:rsidR="00744B5F">
        <w:rPr>
          <w:rFonts w:ascii="Times New Roman" w:hAnsi="Times New Roman" w:cs="Times New Roman"/>
        </w:rPr>
        <w:t>in their own panel</w:t>
      </w:r>
      <w:r w:rsidR="001F16A0">
        <w:rPr>
          <w:rFonts w:ascii="Times New Roman" w:hAnsi="Times New Roman" w:cs="Times New Roman"/>
        </w:rPr>
        <w:t xml:space="preserve"> as a clear class division</w:t>
      </w:r>
      <w:r w:rsidR="00BB244F">
        <w:rPr>
          <w:rFonts w:ascii="Times New Roman" w:hAnsi="Times New Roman" w:cs="Times New Roman"/>
        </w:rPr>
        <w:t xml:space="preserve"> (The Empire of Death)</w:t>
      </w:r>
      <w:r w:rsidR="000E3573">
        <w:rPr>
          <w:rFonts w:ascii="Times New Roman" w:hAnsi="Times New Roman" w:cs="Times New Roman"/>
        </w:rPr>
        <w:t>.</w:t>
      </w:r>
      <w:r w:rsidR="0019658E">
        <w:rPr>
          <w:rFonts w:ascii="Times New Roman" w:hAnsi="Times New Roman" w:cs="Times New Roman"/>
        </w:rPr>
        <w:t xml:space="preserve"> Each panel and figure </w:t>
      </w:r>
      <w:r w:rsidR="001F16A0">
        <w:rPr>
          <w:rFonts w:ascii="Times New Roman" w:hAnsi="Times New Roman" w:cs="Times New Roman"/>
        </w:rPr>
        <w:t>are</w:t>
      </w:r>
      <w:r w:rsidR="0019658E">
        <w:rPr>
          <w:rFonts w:ascii="Times New Roman" w:hAnsi="Times New Roman" w:cs="Times New Roman"/>
        </w:rPr>
        <w:t xml:space="preserve"> labelled, providing further detail </w:t>
      </w:r>
      <w:r w:rsidR="00766838">
        <w:rPr>
          <w:rFonts w:ascii="Times New Roman" w:hAnsi="Times New Roman" w:cs="Times New Roman"/>
        </w:rPr>
        <w:t xml:space="preserve">of </w:t>
      </w:r>
      <w:proofErr w:type="gramStart"/>
      <w:r w:rsidR="00766838">
        <w:rPr>
          <w:rFonts w:ascii="Times New Roman" w:hAnsi="Times New Roman" w:cs="Times New Roman"/>
        </w:rPr>
        <w:t>each ind</w:t>
      </w:r>
      <w:r w:rsidR="00052D28">
        <w:rPr>
          <w:rFonts w:ascii="Times New Roman" w:hAnsi="Times New Roman" w:cs="Times New Roman"/>
        </w:rPr>
        <w:t>ividual</w:t>
      </w:r>
      <w:proofErr w:type="gramEnd"/>
      <w:r w:rsidR="00052D28">
        <w:rPr>
          <w:rFonts w:ascii="Times New Roman" w:hAnsi="Times New Roman" w:cs="Times New Roman"/>
        </w:rPr>
        <w:t>.</w:t>
      </w:r>
      <w:r w:rsidR="001F16A0">
        <w:rPr>
          <w:rFonts w:ascii="Times New Roman" w:hAnsi="Times New Roman" w:cs="Times New Roman"/>
        </w:rPr>
        <w:t xml:space="preserve"> </w:t>
      </w:r>
      <w:r w:rsidR="00BB66D9">
        <w:rPr>
          <w:rFonts w:ascii="Times New Roman" w:hAnsi="Times New Roman" w:cs="Times New Roman"/>
        </w:rPr>
        <w:t xml:space="preserve">As such, we can suggest that the role of individual identity was an important consideration in </w:t>
      </w:r>
      <w:r w:rsidR="0030571D">
        <w:rPr>
          <w:rFonts w:ascii="Times New Roman" w:hAnsi="Times New Roman" w:cs="Times New Roman"/>
        </w:rPr>
        <w:t>medieval depictions of death</w:t>
      </w:r>
      <w:r w:rsidR="001F5939">
        <w:rPr>
          <w:rFonts w:ascii="Times New Roman" w:hAnsi="Times New Roman" w:cs="Times New Roman"/>
        </w:rPr>
        <w:t xml:space="preserve"> to an extent</w:t>
      </w:r>
      <w:r w:rsidR="0030571D">
        <w:rPr>
          <w:rFonts w:ascii="Times New Roman" w:hAnsi="Times New Roman" w:cs="Times New Roman"/>
        </w:rPr>
        <w:t>.</w:t>
      </w:r>
    </w:p>
    <w:p w14:paraId="1DF195C7" w14:textId="4F5ED010" w:rsidR="001F16A0" w:rsidRDefault="001F16A0">
      <w:pPr>
        <w:rPr>
          <w:rFonts w:ascii="Times New Roman" w:hAnsi="Times New Roman" w:cs="Times New Roman"/>
        </w:rPr>
      </w:pPr>
      <w:r>
        <w:rPr>
          <w:rFonts w:ascii="Times New Roman" w:hAnsi="Times New Roman" w:cs="Times New Roman"/>
        </w:rPr>
        <w:tab/>
        <w:t xml:space="preserve">However, </w:t>
      </w:r>
      <w:r w:rsidR="007C0B49">
        <w:rPr>
          <w:rFonts w:ascii="Times New Roman" w:hAnsi="Times New Roman" w:cs="Times New Roman"/>
        </w:rPr>
        <w:t xml:space="preserve">more importantly, one can argue that these medieval depictions of death in art also assert the idea that everyone, regardless of status, gender or age, will die. The inclusion of figures such as the baby in the </w:t>
      </w:r>
      <w:proofErr w:type="spellStart"/>
      <w:r w:rsidR="007C0B49">
        <w:rPr>
          <w:rFonts w:ascii="Times New Roman" w:hAnsi="Times New Roman" w:cs="Times New Roman"/>
          <w:i/>
        </w:rPr>
        <w:t>Danse</w:t>
      </w:r>
      <w:proofErr w:type="spellEnd"/>
      <w:r w:rsidR="007C0B49">
        <w:rPr>
          <w:rFonts w:ascii="Times New Roman" w:hAnsi="Times New Roman" w:cs="Times New Roman"/>
          <w:i/>
        </w:rPr>
        <w:t xml:space="preserve"> Macabre </w:t>
      </w:r>
      <w:r w:rsidR="007C0B49">
        <w:rPr>
          <w:rFonts w:ascii="Times New Roman" w:hAnsi="Times New Roman" w:cs="Times New Roman"/>
        </w:rPr>
        <w:t xml:space="preserve">certainly reiterates this point. </w:t>
      </w:r>
      <w:r w:rsidR="00C11BE9">
        <w:rPr>
          <w:rFonts w:ascii="Times New Roman" w:hAnsi="Times New Roman" w:cs="Times New Roman"/>
        </w:rPr>
        <w:t xml:space="preserve">In the </w:t>
      </w:r>
      <w:proofErr w:type="spellStart"/>
      <w:r w:rsidR="00C11BE9" w:rsidRPr="00C11BE9">
        <w:rPr>
          <w:rFonts w:ascii="Times New Roman" w:hAnsi="Times New Roman" w:cs="Times New Roman"/>
          <w:i/>
        </w:rPr>
        <w:t>Totentanz</w:t>
      </w:r>
      <w:proofErr w:type="spellEnd"/>
      <w:r w:rsidR="00C11BE9" w:rsidRPr="00C11BE9">
        <w:rPr>
          <w:rFonts w:ascii="Times New Roman" w:hAnsi="Times New Roman" w:cs="Times New Roman"/>
          <w:i/>
        </w:rPr>
        <w:t xml:space="preserve"> Book of 1470</w:t>
      </w:r>
      <w:r w:rsidR="00C11BE9">
        <w:rPr>
          <w:rFonts w:ascii="Times New Roman" w:hAnsi="Times New Roman" w:cs="Times New Roman"/>
        </w:rPr>
        <w:t xml:space="preserve">, Death warns </w:t>
      </w:r>
      <w:proofErr w:type="gramStart"/>
      <w:r w:rsidR="00C11BE9">
        <w:rPr>
          <w:rFonts w:ascii="Times New Roman" w:hAnsi="Times New Roman" w:cs="Times New Roman"/>
        </w:rPr>
        <w:t>each individual</w:t>
      </w:r>
      <w:proofErr w:type="gramEnd"/>
      <w:r w:rsidR="00C11BE9">
        <w:rPr>
          <w:rFonts w:ascii="Times New Roman" w:hAnsi="Times New Roman" w:cs="Times New Roman"/>
        </w:rPr>
        <w:t xml:space="preserve"> of their encroaching demise. To the Emperor figure, for example, Death exclaims that “sceptre and crown are worthless here”, </w:t>
      </w:r>
      <w:r w:rsidR="00E6667F">
        <w:rPr>
          <w:rFonts w:ascii="Times New Roman" w:hAnsi="Times New Roman" w:cs="Times New Roman"/>
        </w:rPr>
        <w:t xml:space="preserve">furthering the idea that death does not distinguish between the social classes. As such, one can argue that depictions of death such as the </w:t>
      </w:r>
      <w:proofErr w:type="spellStart"/>
      <w:r w:rsidR="00E6667F">
        <w:rPr>
          <w:rFonts w:ascii="Times New Roman" w:hAnsi="Times New Roman" w:cs="Times New Roman"/>
          <w:i/>
        </w:rPr>
        <w:t>Danse</w:t>
      </w:r>
      <w:proofErr w:type="spellEnd"/>
      <w:r w:rsidR="00E6667F">
        <w:rPr>
          <w:rFonts w:ascii="Times New Roman" w:hAnsi="Times New Roman" w:cs="Times New Roman"/>
          <w:i/>
        </w:rPr>
        <w:t xml:space="preserve"> Macabre</w:t>
      </w:r>
      <w:r w:rsidR="00E6667F">
        <w:rPr>
          <w:rFonts w:ascii="Times New Roman" w:hAnsi="Times New Roman" w:cs="Times New Roman"/>
        </w:rPr>
        <w:t xml:space="preserve"> </w:t>
      </w:r>
      <w:r w:rsidR="003A7B36">
        <w:rPr>
          <w:rFonts w:ascii="Times New Roman" w:hAnsi="Times New Roman" w:cs="Times New Roman"/>
        </w:rPr>
        <w:t xml:space="preserve">stress the importance of communal identity in commemorating the dead. </w:t>
      </w:r>
    </w:p>
    <w:p w14:paraId="6DA955C5" w14:textId="0B6BC4CF" w:rsidR="00D62530" w:rsidRDefault="00B66531" w:rsidP="00C75CFC">
      <w:pPr>
        <w:ind w:firstLine="720"/>
        <w:rPr>
          <w:rFonts w:ascii="Times New Roman" w:hAnsi="Times New Roman" w:cs="Times New Roman"/>
        </w:rPr>
      </w:pPr>
      <w:r>
        <w:rPr>
          <w:rFonts w:ascii="Times New Roman" w:hAnsi="Times New Roman" w:cs="Times New Roman"/>
        </w:rPr>
        <w:t xml:space="preserve"> I shall </w:t>
      </w:r>
      <w:r w:rsidR="0007012D">
        <w:rPr>
          <w:rFonts w:ascii="Times New Roman" w:hAnsi="Times New Roman" w:cs="Times New Roman"/>
        </w:rPr>
        <w:t xml:space="preserve">now </w:t>
      </w:r>
      <w:r>
        <w:rPr>
          <w:rFonts w:ascii="Times New Roman" w:hAnsi="Times New Roman" w:cs="Times New Roman"/>
        </w:rPr>
        <w:t xml:space="preserve">discuss medieval ideas of </w:t>
      </w:r>
      <w:r w:rsidR="00D62530">
        <w:rPr>
          <w:rFonts w:ascii="Times New Roman" w:hAnsi="Times New Roman" w:cs="Times New Roman"/>
        </w:rPr>
        <w:t>the afterlife</w:t>
      </w:r>
      <w:r>
        <w:rPr>
          <w:rFonts w:ascii="Times New Roman" w:hAnsi="Times New Roman" w:cs="Times New Roman"/>
        </w:rPr>
        <w:t xml:space="preserve">. </w:t>
      </w:r>
      <w:r w:rsidR="00E24505">
        <w:rPr>
          <w:rFonts w:ascii="Times New Roman" w:hAnsi="Times New Roman" w:cs="Times New Roman"/>
        </w:rPr>
        <w:t xml:space="preserve">To begin, I will offer </w:t>
      </w:r>
      <w:r w:rsidR="008B63CD">
        <w:rPr>
          <w:rFonts w:ascii="Times New Roman" w:hAnsi="Times New Roman" w:cs="Times New Roman"/>
        </w:rPr>
        <w:t>the</w:t>
      </w:r>
      <w:r w:rsidR="00E24505">
        <w:rPr>
          <w:rFonts w:ascii="Times New Roman" w:hAnsi="Times New Roman" w:cs="Times New Roman"/>
        </w:rPr>
        <w:t xml:space="preserve"> argument that </w:t>
      </w:r>
      <w:r w:rsidR="00FD4CCC">
        <w:rPr>
          <w:rFonts w:ascii="Times New Roman" w:hAnsi="Times New Roman" w:cs="Times New Roman"/>
        </w:rPr>
        <w:t>identity and individuality</w:t>
      </w:r>
      <w:r w:rsidR="00E24505">
        <w:rPr>
          <w:rFonts w:ascii="Times New Roman" w:hAnsi="Times New Roman" w:cs="Times New Roman"/>
        </w:rPr>
        <w:t xml:space="preserve"> w</w:t>
      </w:r>
      <w:r w:rsidR="00FD4CCC">
        <w:rPr>
          <w:rFonts w:ascii="Times New Roman" w:hAnsi="Times New Roman" w:cs="Times New Roman"/>
        </w:rPr>
        <w:t>ere</w:t>
      </w:r>
      <w:r w:rsidR="00E24505">
        <w:rPr>
          <w:rFonts w:ascii="Times New Roman" w:hAnsi="Times New Roman" w:cs="Times New Roman"/>
        </w:rPr>
        <w:t xml:space="preserve"> essential in the afterlife. </w:t>
      </w:r>
      <w:r w:rsidR="000A3FFA">
        <w:rPr>
          <w:rFonts w:ascii="Times New Roman" w:hAnsi="Times New Roman" w:cs="Times New Roman"/>
        </w:rPr>
        <w:t xml:space="preserve">This school of thought derives from theologians such as John of Damascus, whom argued that we cannot consider it </w:t>
      </w:r>
      <w:r w:rsidR="00701016">
        <w:rPr>
          <w:rFonts w:ascii="Times New Roman" w:hAnsi="Times New Roman" w:cs="Times New Roman"/>
        </w:rPr>
        <w:t xml:space="preserve">to be </w:t>
      </w:r>
      <w:r w:rsidR="000A3FFA">
        <w:rPr>
          <w:rFonts w:ascii="Times New Roman" w:hAnsi="Times New Roman" w:cs="Times New Roman"/>
        </w:rPr>
        <w:t xml:space="preserve">the ‘Resurrection’ unless our bodies </w:t>
      </w:r>
      <w:r w:rsidR="00482401">
        <w:rPr>
          <w:rFonts w:ascii="Times New Roman" w:hAnsi="Times New Roman" w:cs="Times New Roman"/>
        </w:rPr>
        <w:t>at Judgement Day</w:t>
      </w:r>
      <w:r w:rsidR="000A3FFA">
        <w:rPr>
          <w:rFonts w:ascii="Times New Roman" w:hAnsi="Times New Roman" w:cs="Times New Roman"/>
        </w:rPr>
        <w:t xml:space="preserve"> take on the same form as it had in life, </w:t>
      </w:r>
      <w:r w:rsidR="00701016">
        <w:rPr>
          <w:rFonts w:ascii="Times New Roman" w:hAnsi="Times New Roman" w:cs="Times New Roman"/>
        </w:rPr>
        <w:t>and that</w:t>
      </w:r>
      <w:r w:rsidR="000A3FFA">
        <w:rPr>
          <w:rFonts w:ascii="Times New Roman" w:hAnsi="Times New Roman" w:cs="Times New Roman"/>
        </w:rPr>
        <w:t xml:space="preserve"> the “same human rises again” (John of Damascus). </w:t>
      </w:r>
      <w:r w:rsidR="00701016">
        <w:rPr>
          <w:rFonts w:ascii="Times New Roman" w:hAnsi="Times New Roman" w:cs="Times New Roman"/>
        </w:rPr>
        <w:t>Additionally, the scholar Bonaventure argued that we must retain a sense of our identity in the afterlife, or else we will not be</w:t>
      </w:r>
      <w:r w:rsidR="005E20C1">
        <w:rPr>
          <w:rFonts w:ascii="Times New Roman" w:hAnsi="Times New Roman" w:cs="Times New Roman"/>
        </w:rPr>
        <w:t xml:space="preserve"> wholly</w:t>
      </w:r>
      <w:r w:rsidR="00701016">
        <w:rPr>
          <w:rFonts w:ascii="Times New Roman" w:hAnsi="Times New Roman" w:cs="Times New Roman"/>
        </w:rPr>
        <w:t xml:space="preserve"> present there. To consolidate his argument, Bonaventure uses the example of the Virgin Mary</w:t>
      </w:r>
      <w:r w:rsidR="00D66362">
        <w:rPr>
          <w:rFonts w:ascii="Times New Roman" w:hAnsi="Times New Roman" w:cs="Times New Roman"/>
        </w:rPr>
        <w:t xml:space="preserve">, and suggests that </w:t>
      </w:r>
      <w:r w:rsidR="00723400">
        <w:rPr>
          <w:rFonts w:ascii="Times New Roman" w:hAnsi="Times New Roman" w:cs="Times New Roman"/>
        </w:rPr>
        <w:t>her contentment in Heaven</w:t>
      </w:r>
      <w:r w:rsidR="00C75CFC">
        <w:rPr>
          <w:rFonts w:ascii="Times New Roman" w:hAnsi="Times New Roman" w:cs="Times New Roman"/>
        </w:rPr>
        <w:t xml:space="preserve"> “</w:t>
      </w:r>
      <w:r w:rsidR="00D66362" w:rsidRPr="00D66362">
        <w:rPr>
          <w:rFonts w:ascii="Times New Roman" w:hAnsi="Times New Roman" w:cs="Times New Roman"/>
        </w:rPr>
        <w:t>would not be complete unless she was there personally</w:t>
      </w:r>
      <w:r w:rsidR="00C75CFC">
        <w:rPr>
          <w:rFonts w:ascii="Times New Roman" w:hAnsi="Times New Roman" w:cs="Times New Roman"/>
        </w:rPr>
        <w:t>”, indicating the importance of individual identity in the afterlife (Bonaventure).</w:t>
      </w:r>
      <w:bookmarkStart w:id="0" w:name="_GoBack"/>
      <w:bookmarkEnd w:id="0"/>
    </w:p>
    <w:p w14:paraId="72762B40" w14:textId="1283A865" w:rsidR="00D33914" w:rsidRDefault="00D62530" w:rsidP="00AF20C9">
      <w:pPr>
        <w:ind w:firstLine="720"/>
        <w:rPr>
          <w:rFonts w:ascii="Times New Roman" w:hAnsi="Times New Roman" w:cs="Times New Roman"/>
        </w:rPr>
      </w:pPr>
      <w:r>
        <w:rPr>
          <w:rFonts w:ascii="Times New Roman" w:hAnsi="Times New Roman" w:cs="Times New Roman"/>
        </w:rPr>
        <w:lastRenderedPageBreak/>
        <w:t xml:space="preserve">However, other </w:t>
      </w:r>
      <w:r w:rsidR="005946C1">
        <w:rPr>
          <w:rFonts w:ascii="Times New Roman" w:hAnsi="Times New Roman" w:cs="Times New Roman"/>
        </w:rPr>
        <w:t>medieval depictions of the afterlife</w:t>
      </w:r>
      <w:r w:rsidR="00AB26F3">
        <w:rPr>
          <w:rFonts w:ascii="Times New Roman" w:hAnsi="Times New Roman" w:cs="Times New Roman"/>
        </w:rPr>
        <w:t xml:space="preserve">, such as </w:t>
      </w:r>
      <w:proofErr w:type="spellStart"/>
      <w:r w:rsidR="00AB26F3">
        <w:rPr>
          <w:rFonts w:ascii="Times New Roman" w:hAnsi="Times New Roman" w:cs="Times New Roman"/>
        </w:rPr>
        <w:t>Tundale’s</w:t>
      </w:r>
      <w:proofErr w:type="spellEnd"/>
      <w:r w:rsidR="00AB26F3">
        <w:rPr>
          <w:rFonts w:ascii="Times New Roman" w:hAnsi="Times New Roman" w:cs="Times New Roman"/>
        </w:rPr>
        <w:t xml:space="preserve"> </w:t>
      </w:r>
      <w:r w:rsidR="00AB26F3" w:rsidRPr="00AB26F3">
        <w:rPr>
          <w:rFonts w:ascii="Times New Roman" w:hAnsi="Times New Roman" w:cs="Times New Roman"/>
          <w:i/>
        </w:rPr>
        <w:t>Vision</w:t>
      </w:r>
      <w:r w:rsidR="006A7583">
        <w:rPr>
          <w:rFonts w:ascii="Times New Roman" w:hAnsi="Times New Roman" w:cs="Times New Roman"/>
          <w:i/>
        </w:rPr>
        <w:t xml:space="preserve"> </w:t>
      </w:r>
      <w:r w:rsidR="006A7583">
        <w:rPr>
          <w:rFonts w:ascii="Times New Roman" w:hAnsi="Times New Roman" w:cs="Times New Roman"/>
        </w:rPr>
        <w:t>presents the dead as a community</w:t>
      </w:r>
      <w:r w:rsidR="0051078B">
        <w:rPr>
          <w:rFonts w:ascii="Times New Roman" w:hAnsi="Times New Roman" w:cs="Times New Roman"/>
        </w:rPr>
        <w:t xml:space="preserve">, the concept of individuality and identity non-essential to the commemoration of the dead. </w:t>
      </w:r>
      <w:r w:rsidR="0043128C">
        <w:rPr>
          <w:rFonts w:ascii="Times New Roman" w:hAnsi="Times New Roman" w:cs="Times New Roman"/>
        </w:rPr>
        <w:t xml:space="preserve">In </w:t>
      </w:r>
      <w:proofErr w:type="spellStart"/>
      <w:r w:rsidR="0043128C">
        <w:rPr>
          <w:rFonts w:ascii="Times New Roman" w:hAnsi="Times New Roman" w:cs="Times New Roman"/>
        </w:rPr>
        <w:t>Tundale’s</w:t>
      </w:r>
      <w:proofErr w:type="spellEnd"/>
      <w:r w:rsidR="0043128C">
        <w:rPr>
          <w:rFonts w:ascii="Times New Roman" w:hAnsi="Times New Roman" w:cs="Times New Roman"/>
        </w:rPr>
        <w:t xml:space="preserve"> vision of </w:t>
      </w:r>
      <w:r w:rsidR="0043128C">
        <w:rPr>
          <w:rFonts w:ascii="Times New Roman" w:hAnsi="Times New Roman" w:cs="Times New Roman"/>
          <w:i/>
        </w:rPr>
        <w:t xml:space="preserve">The Punishment of </w:t>
      </w:r>
      <w:r w:rsidR="00731784">
        <w:rPr>
          <w:rFonts w:ascii="Times New Roman" w:hAnsi="Times New Roman" w:cs="Times New Roman"/>
          <w:i/>
        </w:rPr>
        <w:t>Gluttons and Fornicators</w:t>
      </w:r>
      <w:r w:rsidR="00731784">
        <w:rPr>
          <w:rFonts w:ascii="Times New Roman" w:hAnsi="Times New Roman" w:cs="Times New Roman"/>
        </w:rPr>
        <w:t xml:space="preserve">, </w:t>
      </w:r>
      <w:proofErr w:type="spellStart"/>
      <w:r w:rsidR="00CD58B4">
        <w:rPr>
          <w:rFonts w:ascii="Times New Roman" w:hAnsi="Times New Roman" w:cs="Times New Roman"/>
        </w:rPr>
        <w:t>Tundale</w:t>
      </w:r>
      <w:proofErr w:type="spellEnd"/>
      <w:r w:rsidR="00CD58B4">
        <w:rPr>
          <w:rFonts w:ascii="Times New Roman" w:hAnsi="Times New Roman" w:cs="Times New Roman"/>
        </w:rPr>
        <w:t xml:space="preserve"> </w:t>
      </w:r>
      <w:proofErr w:type="gramStart"/>
      <w:r w:rsidR="00CD58B4">
        <w:rPr>
          <w:rFonts w:ascii="Times New Roman" w:hAnsi="Times New Roman" w:cs="Times New Roman"/>
        </w:rPr>
        <w:t>makes reference</w:t>
      </w:r>
      <w:proofErr w:type="gramEnd"/>
      <w:r w:rsidR="00CD58B4">
        <w:rPr>
          <w:rFonts w:ascii="Times New Roman" w:hAnsi="Times New Roman" w:cs="Times New Roman"/>
        </w:rPr>
        <w:t xml:space="preserve"> only to a group of indistinguishable souls, whom are being </w:t>
      </w:r>
      <w:r w:rsidR="00BB244F">
        <w:rPr>
          <w:rFonts w:ascii="Times New Roman" w:hAnsi="Times New Roman" w:cs="Times New Roman"/>
        </w:rPr>
        <w:t xml:space="preserve">tortured </w:t>
      </w:r>
      <w:r w:rsidR="000E21C7">
        <w:rPr>
          <w:rFonts w:ascii="Times New Roman" w:hAnsi="Times New Roman" w:cs="Times New Roman"/>
        </w:rPr>
        <w:t xml:space="preserve">by demons </w:t>
      </w:r>
      <w:r w:rsidR="00BB244F">
        <w:rPr>
          <w:rFonts w:ascii="Times New Roman" w:hAnsi="Times New Roman" w:cs="Times New Roman"/>
        </w:rPr>
        <w:t>in a multitude of ways (</w:t>
      </w:r>
      <w:proofErr w:type="spellStart"/>
      <w:r w:rsidR="00BB244F">
        <w:rPr>
          <w:rFonts w:ascii="Times New Roman" w:hAnsi="Times New Roman" w:cs="Times New Roman"/>
        </w:rPr>
        <w:t>Tundale</w:t>
      </w:r>
      <w:proofErr w:type="spellEnd"/>
      <w:r w:rsidR="00BB244F">
        <w:rPr>
          <w:rFonts w:ascii="Times New Roman" w:hAnsi="Times New Roman" w:cs="Times New Roman"/>
        </w:rPr>
        <w:t>).</w:t>
      </w:r>
      <w:r w:rsidR="000E21C7">
        <w:rPr>
          <w:rFonts w:ascii="Times New Roman" w:hAnsi="Times New Roman" w:cs="Times New Roman"/>
        </w:rPr>
        <w:t xml:space="preserve"> As such, we can gather from this that certain medieval depictions of Hell considered the dead to be one communal identity, as is made evident through the grouping together of indistinguishable</w:t>
      </w:r>
      <w:r w:rsidR="00181BB1">
        <w:rPr>
          <w:rFonts w:ascii="Times New Roman" w:hAnsi="Times New Roman" w:cs="Times New Roman"/>
        </w:rPr>
        <w:t xml:space="preserve"> souls</w:t>
      </w:r>
      <w:r w:rsidR="000E21C7">
        <w:rPr>
          <w:rFonts w:ascii="Times New Roman" w:hAnsi="Times New Roman" w:cs="Times New Roman"/>
        </w:rPr>
        <w:t>. This differs greatly to medieval ideas of the Elect, whom are usually distinguishable in depictions of Purgatory and Judgement Day.</w:t>
      </w:r>
      <w:r w:rsidR="008B68AC">
        <w:rPr>
          <w:rFonts w:ascii="Times New Roman" w:hAnsi="Times New Roman" w:cs="Times New Roman"/>
        </w:rPr>
        <w:t xml:space="preserve"> </w:t>
      </w:r>
      <w:r w:rsidR="00AF20C9">
        <w:rPr>
          <w:rFonts w:ascii="Times New Roman" w:hAnsi="Times New Roman" w:cs="Times New Roman"/>
        </w:rPr>
        <w:t xml:space="preserve">Therefore, we can argue that, </w:t>
      </w:r>
      <w:proofErr w:type="gramStart"/>
      <w:r w:rsidR="00AF20C9">
        <w:rPr>
          <w:rFonts w:ascii="Times New Roman" w:hAnsi="Times New Roman" w:cs="Times New Roman"/>
        </w:rPr>
        <w:t>with the exception of</w:t>
      </w:r>
      <w:proofErr w:type="gramEnd"/>
      <w:r w:rsidR="00AF20C9">
        <w:rPr>
          <w:rFonts w:ascii="Times New Roman" w:hAnsi="Times New Roman" w:cs="Times New Roman"/>
        </w:rPr>
        <w:t xml:space="preserve"> the saintly Elect, the majority of souls would be grouped together as a communal identity to </w:t>
      </w:r>
      <w:r w:rsidR="008B68AC">
        <w:rPr>
          <w:rFonts w:ascii="Times New Roman" w:hAnsi="Times New Roman" w:cs="Times New Roman"/>
        </w:rPr>
        <w:t xml:space="preserve">remain in Purgatory </w:t>
      </w:r>
      <w:r w:rsidR="00AF20C9">
        <w:rPr>
          <w:rFonts w:ascii="Times New Roman" w:hAnsi="Times New Roman" w:cs="Times New Roman"/>
        </w:rPr>
        <w:t xml:space="preserve">until redemption, </w:t>
      </w:r>
      <w:r w:rsidR="008B68AC">
        <w:rPr>
          <w:rFonts w:ascii="Times New Roman" w:hAnsi="Times New Roman" w:cs="Times New Roman"/>
        </w:rPr>
        <w:t>or in Hell.</w:t>
      </w:r>
    </w:p>
    <w:p w14:paraId="18DE4632" w14:textId="10C094D8" w:rsidR="000E21C7" w:rsidRDefault="00D33914" w:rsidP="000E21C7">
      <w:pPr>
        <w:ind w:firstLine="720"/>
        <w:rPr>
          <w:rFonts w:ascii="Times New Roman" w:hAnsi="Times New Roman" w:cs="Times New Roman"/>
        </w:rPr>
      </w:pPr>
      <w:r>
        <w:rPr>
          <w:rFonts w:ascii="Times New Roman" w:hAnsi="Times New Roman" w:cs="Times New Roman"/>
        </w:rPr>
        <w:t>The reliquaries of saints are also significant factors to include in this study.</w:t>
      </w:r>
      <w:r w:rsidR="00014E6B">
        <w:rPr>
          <w:rFonts w:ascii="Times New Roman" w:hAnsi="Times New Roman" w:cs="Times New Roman"/>
        </w:rPr>
        <w:t xml:space="preserve"> On one han</w:t>
      </w:r>
      <w:r w:rsidR="00EF3366">
        <w:rPr>
          <w:rFonts w:ascii="Times New Roman" w:hAnsi="Times New Roman" w:cs="Times New Roman"/>
        </w:rPr>
        <w:t xml:space="preserve">d, </w:t>
      </w:r>
      <w:r w:rsidR="0001680E">
        <w:rPr>
          <w:rFonts w:ascii="Times New Roman" w:hAnsi="Times New Roman" w:cs="Times New Roman"/>
        </w:rPr>
        <w:t>the caskets</w:t>
      </w:r>
      <w:r w:rsidR="00777D9A">
        <w:rPr>
          <w:rFonts w:ascii="Times New Roman" w:hAnsi="Times New Roman" w:cs="Times New Roman"/>
        </w:rPr>
        <w:t xml:space="preserve"> that include the </w:t>
      </w:r>
      <w:r w:rsidR="00EF3366">
        <w:rPr>
          <w:rFonts w:ascii="Times New Roman" w:hAnsi="Times New Roman" w:cs="Times New Roman"/>
        </w:rPr>
        <w:t>reliquaries</w:t>
      </w:r>
      <w:r w:rsidR="00777D9A">
        <w:rPr>
          <w:rFonts w:ascii="Times New Roman" w:hAnsi="Times New Roman" w:cs="Times New Roman"/>
        </w:rPr>
        <w:t xml:space="preserve"> of saints</w:t>
      </w:r>
      <w:r w:rsidR="00EF3366">
        <w:rPr>
          <w:rFonts w:ascii="Times New Roman" w:hAnsi="Times New Roman" w:cs="Times New Roman"/>
        </w:rPr>
        <w:t xml:space="preserve"> often included an explicit reference</w:t>
      </w:r>
      <w:r w:rsidR="000E0FDE">
        <w:rPr>
          <w:rFonts w:ascii="Times New Roman" w:hAnsi="Times New Roman" w:cs="Times New Roman"/>
        </w:rPr>
        <w:t xml:space="preserve"> to the </w:t>
      </w:r>
      <w:r w:rsidR="00777D9A">
        <w:rPr>
          <w:rFonts w:ascii="Times New Roman" w:hAnsi="Times New Roman" w:cs="Times New Roman"/>
        </w:rPr>
        <w:t xml:space="preserve">vita or appearance </w:t>
      </w:r>
      <w:r w:rsidR="000E0FDE">
        <w:rPr>
          <w:rFonts w:ascii="Times New Roman" w:hAnsi="Times New Roman" w:cs="Times New Roman"/>
        </w:rPr>
        <w:t xml:space="preserve">of the saint, in order to be distinguishable from other relics. </w:t>
      </w:r>
      <w:r w:rsidR="00400548">
        <w:rPr>
          <w:rFonts w:ascii="Times New Roman" w:hAnsi="Times New Roman" w:cs="Times New Roman"/>
        </w:rPr>
        <w:t>The casket in which contains fragmentary remains of St Thomas Becket</w:t>
      </w:r>
      <w:r w:rsidR="002861B0">
        <w:rPr>
          <w:rFonts w:ascii="Times New Roman" w:hAnsi="Times New Roman" w:cs="Times New Roman"/>
        </w:rPr>
        <w:t>, for example, is decorated with the depiction of St Thomas’s martyrdom</w:t>
      </w:r>
      <w:r w:rsidR="00EF0CC7">
        <w:rPr>
          <w:rFonts w:ascii="Times New Roman" w:hAnsi="Times New Roman" w:cs="Times New Roman"/>
        </w:rPr>
        <w:t xml:space="preserve"> (Metropolitan Museum of Art). </w:t>
      </w:r>
      <w:r w:rsidR="00234481">
        <w:rPr>
          <w:rFonts w:ascii="Times New Roman" w:hAnsi="Times New Roman" w:cs="Times New Roman"/>
        </w:rPr>
        <w:t xml:space="preserve">As such, it could be argued that through relics such as this, the identity of the individual is essential to that </w:t>
      </w:r>
      <w:proofErr w:type="gramStart"/>
      <w:r w:rsidR="00234481">
        <w:rPr>
          <w:rFonts w:ascii="Times New Roman" w:hAnsi="Times New Roman" w:cs="Times New Roman"/>
        </w:rPr>
        <w:t>particular saint’s</w:t>
      </w:r>
      <w:proofErr w:type="gramEnd"/>
      <w:r w:rsidR="00234481">
        <w:rPr>
          <w:rFonts w:ascii="Times New Roman" w:hAnsi="Times New Roman" w:cs="Times New Roman"/>
        </w:rPr>
        <w:t xml:space="preserve"> commemoration. </w:t>
      </w:r>
      <w:r w:rsidR="00C36829">
        <w:rPr>
          <w:rFonts w:ascii="Times New Roman" w:hAnsi="Times New Roman" w:cs="Times New Roman"/>
        </w:rPr>
        <w:t xml:space="preserve">However, on the other hand, one could argue that saintly relics could be considered essential to communal identity. </w:t>
      </w:r>
      <w:r w:rsidR="006E6E26">
        <w:rPr>
          <w:rFonts w:ascii="Times New Roman" w:hAnsi="Times New Roman" w:cs="Times New Roman"/>
        </w:rPr>
        <w:t xml:space="preserve">Historians such as Joseph </w:t>
      </w:r>
      <w:proofErr w:type="spellStart"/>
      <w:r w:rsidR="006E6E26">
        <w:rPr>
          <w:rFonts w:ascii="Times New Roman" w:hAnsi="Times New Roman" w:cs="Times New Roman"/>
        </w:rPr>
        <w:t>Shatzmiller</w:t>
      </w:r>
      <w:proofErr w:type="spellEnd"/>
      <w:r w:rsidR="006E6E26">
        <w:rPr>
          <w:rFonts w:ascii="Times New Roman" w:hAnsi="Times New Roman" w:cs="Times New Roman"/>
        </w:rPr>
        <w:t xml:space="preserve"> argue the case that reliquaries should be considered as a form of “cultural tourism”, and that they are beneficial to communities due to the power that they possess</w:t>
      </w:r>
      <w:r w:rsidR="005908A7">
        <w:rPr>
          <w:rFonts w:ascii="Times New Roman" w:hAnsi="Times New Roman" w:cs="Times New Roman"/>
        </w:rPr>
        <w:t xml:space="preserve"> (</w:t>
      </w:r>
      <w:proofErr w:type="spellStart"/>
      <w:r w:rsidR="005908A7">
        <w:rPr>
          <w:rFonts w:ascii="Times New Roman" w:hAnsi="Times New Roman" w:cs="Times New Roman"/>
        </w:rPr>
        <w:t>Shatzmiller</w:t>
      </w:r>
      <w:proofErr w:type="spellEnd"/>
      <w:r w:rsidR="005908A7">
        <w:rPr>
          <w:rFonts w:ascii="Times New Roman" w:hAnsi="Times New Roman" w:cs="Times New Roman"/>
        </w:rPr>
        <w:t xml:space="preserve">). Therefore, one could potentially argue that reliquaries are </w:t>
      </w:r>
      <w:r w:rsidR="00C80585">
        <w:rPr>
          <w:rFonts w:ascii="Times New Roman" w:hAnsi="Times New Roman" w:cs="Times New Roman"/>
        </w:rPr>
        <w:t xml:space="preserve">of the benefit to the wider community, and that a sense of communal identity is more important in the commemoration of the dead. </w:t>
      </w:r>
    </w:p>
    <w:p w14:paraId="13704E30" w14:textId="2294A2AF" w:rsidR="00B806F4" w:rsidRDefault="005C74C2" w:rsidP="000E21C7">
      <w:pPr>
        <w:ind w:firstLine="720"/>
        <w:rPr>
          <w:rFonts w:ascii="Times New Roman" w:hAnsi="Times New Roman" w:cs="Times New Roman"/>
        </w:rPr>
      </w:pPr>
      <w:r>
        <w:rPr>
          <w:rFonts w:ascii="Times New Roman" w:hAnsi="Times New Roman" w:cs="Times New Roman"/>
        </w:rPr>
        <w:t xml:space="preserve">I shall now discuss the role of medieval </w:t>
      </w:r>
      <w:proofErr w:type="spellStart"/>
      <w:r>
        <w:rPr>
          <w:rFonts w:ascii="Times New Roman" w:hAnsi="Times New Roman" w:cs="Times New Roman"/>
        </w:rPr>
        <w:t>bede</w:t>
      </w:r>
      <w:proofErr w:type="spellEnd"/>
      <w:r>
        <w:rPr>
          <w:rFonts w:ascii="Times New Roman" w:hAnsi="Times New Roman" w:cs="Times New Roman"/>
        </w:rPr>
        <w:t xml:space="preserve">-rolls and wills in the commemoration of the dead. </w:t>
      </w:r>
      <w:r w:rsidR="002F7067">
        <w:rPr>
          <w:rFonts w:ascii="Times New Roman" w:hAnsi="Times New Roman" w:cs="Times New Roman"/>
        </w:rPr>
        <w:t xml:space="preserve">This, in my opinion, is one of the most significant ways in which a sense of communal identity can be achieved. </w:t>
      </w:r>
      <w:r w:rsidR="00DC17FE">
        <w:rPr>
          <w:rFonts w:ascii="Times New Roman" w:hAnsi="Times New Roman" w:cs="Times New Roman"/>
        </w:rPr>
        <w:t xml:space="preserve">Although medieval wills certainly offer insight into the lives of the individual, particularly of one’s funerary wishes and of the relationships that </w:t>
      </w:r>
      <w:r w:rsidR="00A43583">
        <w:rPr>
          <w:rFonts w:ascii="Times New Roman" w:hAnsi="Times New Roman" w:cs="Times New Roman"/>
        </w:rPr>
        <w:t xml:space="preserve">the </w:t>
      </w:r>
      <w:r w:rsidR="00DC17FE">
        <w:rPr>
          <w:rFonts w:ascii="Times New Roman" w:hAnsi="Times New Roman" w:cs="Times New Roman"/>
        </w:rPr>
        <w:t>individual had in their lifetime, I believe that wills also had the potential to convey a sense of communal identity. The will of Henry Percy, fourth Earl of Northumberland, for example, is just one way in which the will of the nobility benefitted the wider community on a grand scale, through the provision of charity</w:t>
      </w:r>
      <w:r w:rsidR="003155FF">
        <w:rPr>
          <w:rFonts w:ascii="Times New Roman" w:hAnsi="Times New Roman" w:cs="Times New Roman"/>
        </w:rPr>
        <w:t xml:space="preserve"> (Henry Percy)</w:t>
      </w:r>
      <w:r w:rsidR="00DC17FE">
        <w:rPr>
          <w:rFonts w:ascii="Times New Roman" w:hAnsi="Times New Roman" w:cs="Times New Roman"/>
        </w:rPr>
        <w:t xml:space="preserve">. Additionally, wills such as that of </w:t>
      </w:r>
      <w:r w:rsidR="00122EFD">
        <w:rPr>
          <w:rFonts w:ascii="Times New Roman" w:hAnsi="Times New Roman" w:cs="Times New Roman"/>
        </w:rPr>
        <w:t xml:space="preserve">John </w:t>
      </w:r>
      <w:proofErr w:type="spellStart"/>
      <w:r w:rsidR="00122EFD">
        <w:rPr>
          <w:rFonts w:ascii="Times New Roman" w:hAnsi="Times New Roman" w:cs="Times New Roman"/>
        </w:rPr>
        <w:t>Baret</w:t>
      </w:r>
      <w:proofErr w:type="spellEnd"/>
      <w:r w:rsidR="00122EFD">
        <w:rPr>
          <w:rFonts w:ascii="Times New Roman" w:hAnsi="Times New Roman" w:cs="Times New Roman"/>
        </w:rPr>
        <w:t xml:space="preserve"> of Bury, </w:t>
      </w:r>
      <w:r w:rsidR="00CC2DCF">
        <w:rPr>
          <w:rFonts w:ascii="Times New Roman" w:hAnsi="Times New Roman" w:cs="Times New Roman"/>
        </w:rPr>
        <w:t>whose</w:t>
      </w:r>
      <w:r w:rsidR="00122EFD">
        <w:rPr>
          <w:rFonts w:ascii="Times New Roman" w:hAnsi="Times New Roman" w:cs="Times New Roman"/>
        </w:rPr>
        <w:t xml:space="preserve"> provisions </w:t>
      </w:r>
      <w:r w:rsidR="003155FF">
        <w:rPr>
          <w:rFonts w:ascii="Times New Roman" w:hAnsi="Times New Roman" w:cs="Times New Roman"/>
        </w:rPr>
        <w:t>of</w:t>
      </w:r>
      <w:r w:rsidR="00122EFD">
        <w:rPr>
          <w:rFonts w:ascii="Times New Roman" w:hAnsi="Times New Roman" w:cs="Times New Roman"/>
        </w:rPr>
        <w:t xml:space="preserve"> a penny to “each poor man and woman in attendance” of his funeral benefitted the wider community</w:t>
      </w:r>
      <w:r w:rsidR="003155FF">
        <w:rPr>
          <w:rFonts w:ascii="Times New Roman" w:hAnsi="Times New Roman" w:cs="Times New Roman"/>
        </w:rPr>
        <w:t xml:space="preserve"> (John </w:t>
      </w:r>
      <w:proofErr w:type="spellStart"/>
      <w:r w:rsidR="003155FF">
        <w:rPr>
          <w:rFonts w:ascii="Times New Roman" w:hAnsi="Times New Roman" w:cs="Times New Roman"/>
        </w:rPr>
        <w:t>Baret</w:t>
      </w:r>
      <w:proofErr w:type="spellEnd"/>
      <w:r w:rsidR="003155FF">
        <w:rPr>
          <w:rFonts w:ascii="Times New Roman" w:hAnsi="Times New Roman" w:cs="Times New Roman"/>
        </w:rPr>
        <w:t>)</w:t>
      </w:r>
      <w:r w:rsidR="00122EFD">
        <w:rPr>
          <w:rFonts w:ascii="Times New Roman" w:hAnsi="Times New Roman" w:cs="Times New Roman"/>
        </w:rPr>
        <w:t xml:space="preserve">. </w:t>
      </w:r>
      <w:r w:rsidR="003155FF">
        <w:rPr>
          <w:rFonts w:ascii="Times New Roman" w:hAnsi="Times New Roman" w:cs="Times New Roman"/>
        </w:rPr>
        <w:t xml:space="preserve">Therefore, one can argue that although medieval wills initially seem to be devices that convey a sense of personal identity, they also play a part in the wider community through provisions made for the poor. </w:t>
      </w:r>
    </w:p>
    <w:p w14:paraId="0A0257D4" w14:textId="03674B3D" w:rsidR="00DD4DB5" w:rsidRDefault="0051191F" w:rsidP="009441FF">
      <w:pPr>
        <w:ind w:firstLine="720"/>
        <w:rPr>
          <w:rFonts w:ascii="Times New Roman" w:hAnsi="Times New Roman" w:cs="Times New Roman"/>
        </w:rPr>
      </w:pPr>
      <w:r>
        <w:rPr>
          <w:rFonts w:ascii="Times New Roman" w:hAnsi="Times New Roman" w:cs="Times New Roman"/>
        </w:rPr>
        <w:t xml:space="preserve">We must also remember a significant detail to this study of medieval memorialisation of the dead. </w:t>
      </w:r>
      <w:r w:rsidR="00181831">
        <w:rPr>
          <w:rFonts w:ascii="Times New Roman" w:hAnsi="Times New Roman" w:cs="Times New Roman"/>
        </w:rPr>
        <w:t>The poor, as the lowest echelon of medieval society, and the lowest rung of the feudal ladder, were arguably not well commemorated as compared to the wealthier classes. Arguably, the rich were commemorated as individuals through expensive and elaborate tombs</w:t>
      </w:r>
      <w:r w:rsidR="005858EE">
        <w:rPr>
          <w:rFonts w:ascii="Times New Roman" w:hAnsi="Times New Roman" w:cs="Times New Roman"/>
        </w:rPr>
        <w:t xml:space="preserve"> (as well as other commemorative devices), whereas the poor were represented as a community. Mass burial grounds following the aftermath of plagues, as well as economic factors such as crop failures, which heavily impacted the medieval peasantry, is arguably one of the most significant ways in which we can argue that the poor were commemorated as a community, rather than as individuals. </w:t>
      </w:r>
      <w:r w:rsidR="00C77D57">
        <w:rPr>
          <w:rFonts w:ascii="Times New Roman" w:hAnsi="Times New Roman" w:cs="Times New Roman"/>
        </w:rPr>
        <w:t xml:space="preserve">The comparison of </w:t>
      </w:r>
      <w:proofErr w:type="spellStart"/>
      <w:r w:rsidR="00C77D57">
        <w:rPr>
          <w:rFonts w:ascii="Times New Roman" w:hAnsi="Times New Roman" w:cs="Times New Roman"/>
        </w:rPr>
        <w:t>bede</w:t>
      </w:r>
      <w:proofErr w:type="spellEnd"/>
      <w:r w:rsidR="00C77D57">
        <w:rPr>
          <w:rFonts w:ascii="Times New Roman" w:hAnsi="Times New Roman" w:cs="Times New Roman"/>
        </w:rPr>
        <w:t xml:space="preserve">-rolls to the “social map of the community”, consolidates this argument in that the poorer classes were commemorated as a collective identity, rather than as individuals (Eamon Duffy). </w:t>
      </w:r>
    </w:p>
    <w:p w14:paraId="16F01E0F" w14:textId="22FBCC20" w:rsidR="00DD4DB5" w:rsidRPr="005F7FDA" w:rsidRDefault="00DD4DB5" w:rsidP="009441FF">
      <w:pPr>
        <w:ind w:firstLine="720"/>
        <w:rPr>
          <w:rFonts w:ascii="Times New Roman" w:hAnsi="Times New Roman" w:cs="Times New Roman"/>
        </w:rPr>
      </w:pPr>
      <w:r>
        <w:rPr>
          <w:rFonts w:ascii="Times New Roman" w:hAnsi="Times New Roman" w:cs="Times New Roman"/>
        </w:rPr>
        <w:t xml:space="preserve">To conclude, </w:t>
      </w:r>
      <w:r w:rsidR="009441FF">
        <w:rPr>
          <w:rFonts w:ascii="Times New Roman" w:hAnsi="Times New Roman" w:cs="Times New Roman"/>
        </w:rPr>
        <w:t>there exists much substantiated and convincing evidence towards the argument that communal identity was the most important consideration when commemorating the dead. Although identity and individualism w</w:t>
      </w:r>
      <w:r w:rsidR="005C2DFD">
        <w:rPr>
          <w:rFonts w:ascii="Times New Roman" w:hAnsi="Times New Roman" w:cs="Times New Roman"/>
        </w:rPr>
        <w:t>ere</w:t>
      </w:r>
      <w:r w:rsidR="009441FF">
        <w:rPr>
          <w:rFonts w:ascii="Times New Roman" w:hAnsi="Times New Roman" w:cs="Times New Roman"/>
        </w:rPr>
        <w:t xml:space="preserve"> certainly important to things such as the Resurrection</w:t>
      </w:r>
      <w:r w:rsidR="005C2DFD">
        <w:rPr>
          <w:rFonts w:ascii="Times New Roman" w:hAnsi="Times New Roman" w:cs="Times New Roman"/>
        </w:rPr>
        <w:t xml:space="preserve"> and medieval burial practices</w:t>
      </w:r>
      <w:r w:rsidR="009441FF">
        <w:rPr>
          <w:rFonts w:ascii="Times New Roman" w:hAnsi="Times New Roman" w:cs="Times New Roman"/>
        </w:rPr>
        <w:t xml:space="preserve">, </w:t>
      </w:r>
      <w:proofErr w:type="gramStart"/>
      <w:r w:rsidR="009441FF">
        <w:rPr>
          <w:rFonts w:ascii="Times New Roman" w:hAnsi="Times New Roman" w:cs="Times New Roman"/>
        </w:rPr>
        <w:t>on the whole</w:t>
      </w:r>
      <w:proofErr w:type="gramEnd"/>
      <w:r w:rsidR="009441FF">
        <w:rPr>
          <w:rFonts w:ascii="Times New Roman" w:hAnsi="Times New Roman" w:cs="Times New Roman"/>
        </w:rPr>
        <w:t xml:space="preserve"> I would argue that the role of communal identity to medieval memorialisation was far more significant.</w:t>
      </w:r>
    </w:p>
    <w:sectPr w:rsidR="00DD4DB5" w:rsidRPr="005F7F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FDA"/>
    <w:rsid w:val="00014E6B"/>
    <w:rsid w:val="0001680E"/>
    <w:rsid w:val="00052D28"/>
    <w:rsid w:val="000570B4"/>
    <w:rsid w:val="0007012D"/>
    <w:rsid w:val="000A0542"/>
    <w:rsid w:val="000A3FFA"/>
    <w:rsid w:val="000A77C8"/>
    <w:rsid w:val="000E0FDE"/>
    <w:rsid w:val="000E21C7"/>
    <w:rsid w:val="000E3573"/>
    <w:rsid w:val="00122EFD"/>
    <w:rsid w:val="00181831"/>
    <w:rsid w:val="00181BB1"/>
    <w:rsid w:val="0019658E"/>
    <w:rsid w:val="001B0DEB"/>
    <w:rsid w:val="001F16A0"/>
    <w:rsid w:val="001F5939"/>
    <w:rsid w:val="00234481"/>
    <w:rsid w:val="002861B0"/>
    <w:rsid w:val="002B01E3"/>
    <w:rsid w:val="002F7067"/>
    <w:rsid w:val="0030571D"/>
    <w:rsid w:val="003155FF"/>
    <w:rsid w:val="003A7B36"/>
    <w:rsid w:val="003B408C"/>
    <w:rsid w:val="00400548"/>
    <w:rsid w:val="0043128C"/>
    <w:rsid w:val="00482401"/>
    <w:rsid w:val="0048561C"/>
    <w:rsid w:val="0051078B"/>
    <w:rsid w:val="0051191F"/>
    <w:rsid w:val="005858EE"/>
    <w:rsid w:val="005908A7"/>
    <w:rsid w:val="005946C1"/>
    <w:rsid w:val="005C2DFD"/>
    <w:rsid w:val="005C74C2"/>
    <w:rsid w:val="005E20C1"/>
    <w:rsid w:val="005F7FDA"/>
    <w:rsid w:val="006726A5"/>
    <w:rsid w:val="0069510D"/>
    <w:rsid w:val="006A7583"/>
    <w:rsid w:val="006D47C3"/>
    <w:rsid w:val="006E6E26"/>
    <w:rsid w:val="00701016"/>
    <w:rsid w:val="00723400"/>
    <w:rsid w:val="00731784"/>
    <w:rsid w:val="00744B5F"/>
    <w:rsid w:val="00766838"/>
    <w:rsid w:val="00777D9A"/>
    <w:rsid w:val="007C0B49"/>
    <w:rsid w:val="0082155D"/>
    <w:rsid w:val="00824D7F"/>
    <w:rsid w:val="00866758"/>
    <w:rsid w:val="008B63CD"/>
    <w:rsid w:val="008B68AC"/>
    <w:rsid w:val="00933A89"/>
    <w:rsid w:val="009441FF"/>
    <w:rsid w:val="009642E8"/>
    <w:rsid w:val="009C2043"/>
    <w:rsid w:val="00A43583"/>
    <w:rsid w:val="00AB26F3"/>
    <w:rsid w:val="00AD4F1D"/>
    <w:rsid w:val="00AF20C9"/>
    <w:rsid w:val="00B047DF"/>
    <w:rsid w:val="00B17870"/>
    <w:rsid w:val="00B66531"/>
    <w:rsid w:val="00B806F4"/>
    <w:rsid w:val="00BB244F"/>
    <w:rsid w:val="00BB66D9"/>
    <w:rsid w:val="00BE5982"/>
    <w:rsid w:val="00C11BE9"/>
    <w:rsid w:val="00C36829"/>
    <w:rsid w:val="00C75CFC"/>
    <w:rsid w:val="00C77D57"/>
    <w:rsid w:val="00C80585"/>
    <w:rsid w:val="00CC2DCF"/>
    <w:rsid w:val="00CD58B4"/>
    <w:rsid w:val="00D33914"/>
    <w:rsid w:val="00D62530"/>
    <w:rsid w:val="00D66362"/>
    <w:rsid w:val="00D767B5"/>
    <w:rsid w:val="00DC17FE"/>
    <w:rsid w:val="00DC678F"/>
    <w:rsid w:val="00DD4DB5"/>
    <w:rsid w:val="00E24505"/>
    <w:rsid w:val="00E540E0"/>
    <w:rsid w:val="00E64F23"/>
    <w:rsid w:val="00E6667F"/>
    <w:rsid w:val="00EF0CC7"/>
    <w:rsid w:val="00EF3366"/>
    <w:rsid w:val="00FB34BA"/>
    <w:rsid w:val="00FD4C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23363"/>
  <w15:chartTrackingRefBased/>
  <w15:docId w15:val="{B77378AD-A2A1-4867-B2D3-FB33D5F13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2</Pages>
  <Words>1236</Words>
  <Characters>7051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Kemp</dc:creator>
  <cp:keywords/>
  <dc:description/>
  <cp:lastModifiedBy>Joshua Kemp</cp:lastModifiedBy>
  <cp:revision>90</cp:revision>
  <dcterms:created xsi:type="dcterms:W3CDTF">2019-01-31T18:31:00Z</dcterms:created>
  <dcterms:modified xsi:type="dcterms:W3CDTF">2019-02-01T11:34:00Z</dcterms:modified>
</cp:coreProperties>
</file>