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3496F" w14:textId="77777777" w:rsidR="00392CCF" w:rsidRDefault="008E1718" w:rsidP="00FB18B8">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 Roxana-Maria Burlacu </w:t>
      </w:r>
    </w:p>
    <w:p w14:paraId="4F74E27E" w14:textId="6559812C" w:rsidR="008E1718" w:rsidRDefault="00392CCF" w:rsidP="00FB18B8">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r w:rsidR="008E1718">
        <w:rPr>
          <w:rFonts w:ascii="Times New Roman" w:hAnsi="Times New Roman" w:cs="Times New Roman"/>
          <w:sz w:val="24"/>
          <w:szCs w:val="24"/>
        </w:rPr>
        <w:t>01430</w:t>
      </w:r>
      <w:r>
        <w:rPr>
          <w:rFonts w:ascii="Times New Roman" w:hAnsi="Times New Roman" w:cs="Times New Roman"/>
          <w:sz w:val="24"/>
          <w:szCs w:val="24"/>
        </w:rPr>
        <w:t>2</w:t>
      </w:r>
    </w:p>
    <w:p w14:paraId="35BD4EF9" w14:textId="6D3EDB1B" w:rsidR="00392CCF" w:rsidRDefault="00392CCF" w:rsidP="00FB18B8">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Module : </w:t>
      </w:r>
      <w:r w:rsidR="00EE7E4A">
        <w:rPr>
          <w:rFonts w:ascii="Times New Roman" w:hAnsi="Times New Roman" w:cs="Times New Roman"/>
          <w:sz w:val="24"/>
          <w:szCs w:val="24"/>
        </w:rPr>
        <w:t>Tort Law (</w:t>
      </w:r>
      <w:r w:rsidR="00E97A2B">
        <w:rPr>
          <w:rFonts w:ascii="Times New Roman" w:hAnsi="Times New Roman" w:cs="Times New Roman"/>
          <w:sz w:val="24"/>
          <w:szCs w:val="24"/>
        </w:rPr>
        <w:t>BMLW5008</w:t>
      </w:r>
      <w:r w:rsidR="00321975">
        <w:rPr>
          <w:rFonts w:ascii="Times New Roman" w:hAnsi="Times New Roman" w:cs="Times New Roman"/>
          <w:sz w:val="24"/>
          <w:szCs w:val="24"/>
        </w:rPr>
        <w:t>)</w:t>
      </w:r>
    </w:p>
    <w:p w14:paraId="773D9781" w14:textId="10EA364A" w:rsidR="008E1718" w:rsidRDefault="008E1718" w:rsidP="00FB18B8">
      <w:pPr>
        <w:spacing w:line="480" w:lineRule="auto"/>
        <w:jc w:val="center"/>
        <w:rPr>
          <w:rFonts w:ascii="Times New Roman" w:hAnsi="Times New Roman" w:cs="Times New Roman"/>
          <w:sz w:val="24"/>
          <w:szCs w:val="24"/>
        </w:rPr>
      </w:pPr>
    </w:p>
    <w:p w14:paraId="04316344" w14:textId="77777777" w:rsidR="008E1718" w:rsidRDefault="008E1718" w:rsidP="00FB18B8">
      <w:pPr>
        <w:spacing w:line="480" w:lineRule="auto"/>
        <w:jc w:val="center"/>
        <w:rPr>
          <w:rFonts w:ascii="Times New Roman" w:hAnsi="Times New Roman" w:cs="Times New Roman"/>
          <w:sz w:val="24"/>
          <w:szCs w:val="24"/>
        </w:rPr>
      </w:pPr>
    </w:p>
    <w:p w14:paraId="311ACF46" w14:textId="05740873" w:rsidR="00FB18B8" w:rsidRDefault="00FB18B8" w:rsidP="00FB18B8">
      <w:pPr>
        <w:spacing w:line="480" w:lineRule="auto"/>
        <w:jc w:val="center"/>
        <w:rPr>
          <w:rFonts w:ascii="Times New Roman" w:hAnsi="Times New Roman" w:cs="Times New Roman"/>
          <w:sz w:val="24"/>
          <w:szCs w:val="24"/>
        </w:rPr>
      </w:pPr>
      <w:r>
        <w:rPr>
          <w:rFonts w:ascii="Times New Roman" w:hAnsi="Times New Roman" w:cs="Times New Roman"/>
          <w:sz w:val="24"/>
          <w:szCs w:val="24"/>
        </w:rPr>
        <w:t>Standard of Care</w:t>
      </w:r>
    </w:p>
    <w:p w14:paraId="6C8E7151" w14:textId="77777777" w:rsidR="00FB18B8" w:rsidRPr="00FB18B8" w:rsidRDefault="00FB18B8" w:rsidP="00FB18B8">
      <w:pPr>
        <w:spacing w:line="480" w:lineRule="auto"/>
        <w:ind w:firstLine="720"/>
        <w:rPr>
          <w:rFonts w:ascii="Times New Roman" w:hAnsi="Times New Roman" w:cs="Times New Roman"/>
          <w:sz w:val="24"/>
          <w:szCs w:val="24"/>
        </w:rPr>
      </w:pPr>
      <w:r w:rsidRPr="00FB18B8">
        <w:rPr>
          <w:rFonts w:ascii="Times New Roman" w:hAnsi="Times New Roman" w:cs="Times New Roman"/>
          <w:sz w:val="24"/>
          <w:szCs w:val="24"/>
        </w:rPr>
        <w:t xml:space="preserve">A defendant is said to be negligent when his actions fall bellow the standard of care required in a particular situation to protect others from any unreasonable risk or harm. The standard of care is determined on the defendant’s position while carrying out the specific circumstance (Slesser, n.d). Therefore, for one to fall below the standard of care, they have to breach the duty of care by not protecting others from unreasonable risk. In this case, breach of care is defined as the failing to meet the applicable standard of care resulting to harming others. The duty of care is a concept that has been decided on by several cases. Particularly, the case of Donoghue v. Stevenson (1932), Lord Atkin identified elements of negligent as owing duty of care to a neighbor (individuals that are proximate to the defendant), breach of the care, foreseeability and proximate cause (Evans-Jones &amp; Scott, 2018). Additionally, the case of Anns v. Merton (LBC) (1978) expounded the liability under Donoghue by bringing two considerations for a two-part test. Particularly, the court must consider whether a duty of care by assessing whethere tehre was sufficient procximity between the defendant and plaintiff. Further, the court should consider any situation that out to be considered which negates, reduces or limits the duty of care. As a result, the issue of the standard of care arises to help in establishing whether the defendant was in any circumstance that might negate the duty or breach of duty of care. In </w:t>
      </w:r>
      <w:r w:rsidRPr="00FB18B8">
        <w:rPr>
          <w:rFonts w:ascii="Times New Roman" w:hAnsi="Times New Roman" w:cs="Times New Roman"/>
          <w:sz w:val="24"/>
          <w:szCs w:val="24"/>
        </w:rPr>
        <w:lastRenderedPageBreak/>
        <w:t>addition, the three-test part in Caparo v. Dickman (1990), the courts are required to analyze three issues before recognizing the duty of care and include’</w:t>
      </w:r>
    </w:p>
    <w:p w14:paraId="2F9E15CE" w14:textId="77777777" w:rsidR="00FB18B8" w:rsidRPr="00FB18B8" w:rsidRDefault="00FB18B8" w:rsidP="00FB18B8">
      <w:pPr>
        <w:pStyle w:val="ListParagraph"/>
        <w:numPr>
          <w:ilvl w:val="0"/>
          <w:numId w:val="1"/>
        </w:numPr>
        <w:spacing w:line="480" w:lineRule="auto"/>
        <w:rPr>
          <w:rFonts w:ascii="Times New Roman" w:hAnsi="Times New Roman" w:cs="Times New Roman"/>
          <w:sz w:val="24"/>
          <w:szCs w:val="24"/>
        </w:rPr>
      </w:pPr>
      <w:r w:rsidRPr="00FB18B8">
        <w:rPr>
          <w:rFonts w:ascii="Times New Roman" w:hAnsi="Times New Roman" w:cs="Times New Roman"/>
          <w:sz w:val="24"/>
          <w:szCs w:val="24"/>
        </w:rPr>
        <w:t>“The risk and damage to the plaintiff should be reasonably foreseeable;</w:t>
      </w:r>
    </w:p>
    <w:p w14:paraId="5EB75088" w14:textId="77777777" w:rsidR="00FB18B8" w:rsidRPr="00FB18B8" w:rsidRDefault="00FB18B8" w:rsidP="00FB18B8">
      <w:pPr>
        <w:pStyle w:val="ListParagraph"/>
        <w:numPr>
          <w:ilvl w:val="0"/>
          <w:numId w:val="1"/>
        </w:numPr>
        <w:spacing w:line="480" w:lineRule="auto"/>
        <w:rPr>
          <w:rFonts w:ascii="Times New Roman" w:hAnsi="Times New Roman" w:cs="Times New Roman"/>
          <w:sz w:val="24"/>
          <w:szCs w:val="24"/>
        </w:rPr>
      </w:pPr>
      <w:r w:rsidRPr="00FB18B8">
        <w:rPr>
          <w:rFonts w:ascii="Times New Roman" w:hAnsi="Times New Roman" w:cs="Times New Roman"/>
          <w:sz w:val="24"/>
          <w:szCs w:val="24"/>
        </w:rPr>
        <w:t xml:space="preserve">There has to be sufficient proximity between the parties; and </w:t>
      </w:r>
    </w:p>
    <w:p w14:paraId="3999634C" w14:textId="77777777" w:rsidR="00FB18B8" w:rsidRPr="00FB18B8" w:rsidRDefault="00FB18B8" w:rsidP="00FB18B8">
      <w:pPr>
        <w:pStyle w:val="ListParagraph"/>
        <w:numPr>
          <w:ilvl w:val="0"/>
          <w:numId w:val="1"/>
        </w:numPr>
        <w:spacing w:line="480" w:lineRule="auto"/>
        <w:rPr>
          <w:rFonts w:ascii="Times New Roman" w:hAnsi="Times New Roman" w:cs="Times New Roman"/>
          <w:sz w:val="24"/>
          <w:szCs w:val="24"/>
        </w:rPr>
      </w:pPr>
      <w:r w:rsidRPr="00FB18B8">
        <w:rPr>
          <w:rFonts w:ascii="Times New Roman" w:hAnsi="Times New Roman" w:cs="Times New Roman"/>
          <w:sz w:val="24"/>
          <w:szCs w:val="24"/>
        </w:rPr>
        <w:t>It must be fair, just and reasonable that the law should impose a duty of care.”</w:t>
      </w:r>
    </w:p>
    <w:p w14:paraId="4C83380B" w14:textId="77777777" w:rsidR="00FB18B8" w:rsidRPr="00FB18B8" w:rsidRDefault="00FB18B8" w:rsidP="00FB18B8">
      <w:pPr>
        <w:spacing w:line="480" w:lineRule="auto"/>
        <w:ind w:firstLine="720"/>
        <w:rPr>
          <w:rFonts w:ascii="Times New Roman" w:hAnsi="Times New Roman" w:cs="Times New Roman"/>
          <w:sz w:val="24"/>
          <w:szCs w:val="24"/>
        </w:rPr>
      </w:pPr>
      <w:r w:rsidRPr="00FB18B8">
        <w:rPr>
          <w:rFonts w:ascii="Times New Roman" w:hAnsi="Times New Roman" w:cs="Times New Roman"/>
          <w:sz w:val="24"/>
          <w:szCs w:val="24"/>
        </w:rPr>
        <w:t>Therefore, the courts should not only focus on the liability of the defendant for their negligence but whether they were negligent in fact in the first place. The analysis of the elements of duty of care through the three-test part helps the court to establish whether the defendant’s action fell below the standard of care as expected in the particular situation in protecting others from unreasonable risk of harm (Katsivela, 2017). In this case, the court’s judgment should not be influenced by what ought to have been done during the incident but the knowledge of the risk by the defendant. In the case of Roe v. Minister of Health [1954] 2 QB 66, the court held that the defendants did not breach the duty of care owed to the plaintiff has they became aware of the risk after the incident. In this case, the plaintiffs got paralyzed after being treated with anesthetic that had been contaminated by disinfectant where it was stored. The contamination occurred after the disinfectant transpired to the ampoules through minute cracks that were not identified before or detectable by the human eye. The risk became apparent after the incident and thus the defendants were not held liable for breach of duty of care as their actions did not fall below the standard of care (Mullis &amp; Oliphant, 2011). Further, this was the case in Mansfield v. Weetabix (1997) EWCA Civ 1352 Court of Appeal, whereby the court held that the defendant was not in breach of duty of care as he was not aware of his condition when he crashed into the shop owned by the Plaintiff. Leggatt LJ stated as follows;</w:t>
      </w:r>
    </w:p>
    <w:p w14:paraId="6109EB3D" w14:textId="77777777" w:rsidR="00FB18B8" w:rsidRPr="00FB18B8" w:rsidRDefault="00FB18B8" w:rsidP="00FB18B8">
      <w:pPr>
        <w:spacing w:line="480" w:lineRule="auto"/>
        <w:ind w:left="720"/>
        <w:rPr>
          <w:rFonts w:ascii="Times New Roman" w:hAnsi="Times New Roman" w:cs="Times New Roman"/>
          <w:i/>
          <w:sz w:val="24"/>
          <w:szCs w:val="24"/>
        </w:rPr>
      </w:pPr>
      <w:r w:rsidRPr="00FB18B8">
        <w:rPr>
          <w:rFonts w:ascii="Times New Roman" w:hAnsi="Times New Roman" w:cs="Times New Roman"/>
          <w:i/>
          <w:sz w:val="24"/>
          <w:szCs w:val="24"/>
        </w:rPr>
        <w:lastRenderedPageBreak/>
        <w:t xml:space="preserve">"In my judgment the standard of care that Mr. Tarleton was obliged to show in these circumstances was that which is to be expected of a reasonably competent driver unaware that he is or may be suffering from a condition that impairs his ability to drive. To apply an objective standard in a way that did not take account of Mr. Tarleton’s condition would be to impose strict liability. But that is not the law” </w:t>
      </w:r>
      <w:r w:rsidRPr="00FB18B8">
        <w:rPr>
          <w:rFonts w:ascii="Times New Roman" w:hAnsi="Times New Roman" w:cs="Times New Roman"/>
          <w:sz w:val="24"/>
          <w:szCs w:val="24"/>
        </w:rPr>
        <w:t>(Mullis &amp; Oliphant, 2011)</w:t>
      </w:r>
      <w:r w:rsidRPr="00FB18B8">
        <w:rPr>
          <w:rFonts w:ascii="Times New Roman" w:hAnsi="Times New Roman" w:cs="Times New Roman"/>
          <w:i/>
          <w:sz w:val="24"/>
          <w:szCs w:val="24"/>
        </w:rPr>
        <w:t>.</w:t>
      </w:r>
    </w:p>
    <w:p w14:paraId="54927CEB" w14:textId="77777777" w:rsidR="00FB18B8" w:rsidRPr="00FB18B8" w:rsidRDefault="00FB18B8" w:rsidP="00FB18B8">
      <w:pPr>
        <w:spacing w:line="480" w:lineRule="auto"/>
        <w:ind w:firstLine="720"/>
        <w:rPr>
          <w:rFonts w:ascii="Times New Roman" w:hAnsi="Times New Roman" w:cs="Times New Roman"/>
          <w:sz w:val="24"/>
          <w:szCs w:val="24"/>
        </w:rPr>
      </w:pPr>
      <w:r w:rsidRPr="00FB18B8">
        <w:rPr>
          <w:rFonts w:ascii="Times New Roman" w:hAnsi="Times New Roman" w:cs="Times New Roman"/>
          <w:sz w:val="24"/>
          <w:szCs w:val="24"/>
        </w:rPr>
        <w:t xml:space="preserve">Further, the standard of care has to be established based on the likelihood of the harm occurring as well as its seriousness. An individual might breach the duty of care but his actions do not fall below the standard of care. In the case of Bolton v. Stone (1951) it was decided that if a risk of harm is unlikely to occurs but occurs from the actions of the person, it is unlikely that it will be a breach of duty. For example, in the case of Bolam v. Friern Hospital Management Committee [1957] 1 WLR 583, the House of Lords developed the Bolam test whereby they stated </w:t>
      </w:r>
      <w:r w:rsidRPr="00FB18B8">
        <w:rPr>
          <w:rFonts w:ascii="Times New Roman" w:hAnsi="Times New Roman" w:cs="Times New Roman"/>
          <w:i/>
          <w:sz w:val="24"/>
          <w:szCs w:val="24"/>
        </w:rPr>
        <w:t xml:space="preserve">“a medical professional is not guilty of negligence if he acted accordance with a practice accepted a proper by a responsible body of medical men skilled in that particular art… Putting it the other way round, a man is not negligent, if he is acting in accordance with such a practice, merely because there is a body of opinion who would take a contrary view </w:t>
      </w:r>
      <w:r w:rsidRPr="00FB18B8">
        <w:rPr>
          <w:rFonts w:ascii="Times New Roman" w:hAnsi="Times New Roman" w:cs="Times New Roman"/>
          <w:sz w:val="24"/>
          <w:szCs w:val="24"/>
        </w:rPr>
        <w:t>(Von Batten, 2017)</w:t>
      </w:r>
      <w:r w:rsidRPr="00FB18B8">
        <w:rPr>
          <w:rFonts w:ascii="Times New Roman" w:hAnsi="Times New Roman" w:cs="Times New Roman"/>
          <w:i/>
          <w:sz w:val="24"/>
          <w:szCs w:val="24"/>
        </w:rPr>
        <w:t>.”</w:t>
      </w:r>
      <w:r w:rsidRPr="00FB18B8">
        <w:rPr>
          <w:rFonts w:ascii="Times New Roman" w:hAnsi="Times New Roman" w:cs="Times New Roman"/>
          <w:sz w:val="24"/>
          <w:szCs w:val="24"/>
        </w:rPr>
        <w:t xml:space="preserve"> In this case, the Defendant did not use relaxant drugs while treating the Plaintiff with electro convulsive therapy for his mental illness. As a consequence, he suffered a serious fractured. There was no conclusive opinion on whether relaxant drugs should be provided in such a case as there is a small risk of death if they are given and a small risk of fractures if not administered. In this instance, the chances of a patient suffering from fractures if the relaxant drugs are not administered are minimal and thus the defendant was not in breach of the duty of care. Additionally, the seriousness of harm to the plaintiff needs to be identified while deciding on the breach of duty by the defendant. In the case of Paris v. Stapney LBC (1951), the court found that </w:t>
      </w:r>
      <w:r w:rsidRPr="00FB18B8">
        <w:rPr>
          <w:rFonts w:ascii="Times New Roman" w:hAnsi="Times New Roman" w:cs="Times New Roman"/>
          <w:sz w:val="24"/>
          <w:szCs w:val="24"/>
        </w:rPr>
        <w:lastRenderedPageBreak/>
        <w:t>the defendant needs to take measures to protect others when there is a likelihood that the Plaintiff will receive serious injuries. In the case, the Plaintiff had only one good eye as he was blind on the other. As he was working on the vehicle of his employer, he injured his good eye. The House of Lords held that the employer’s actions of not providing the employee with googles or protective garments, fell below the standard of care based on the seriousness of harm on the plaintiff’s good eye as the harm was far greater than for employees that had two good and functioning eyes.</w:t>
      </w:r>
    </w:p>
    <w:p w14:paraId="12CF2395" w14:textId="77777777" w:rsidR="00FB18B8" w:rsidRPr="00FB18B8" w:rsidRDefault="00FB18B8" w:rsidP="00FB18B8">
      <w:pPr>
        <w:spacing w:line="480" w:lineRule="auto"/>
        <w:ind w:firstLine="720"/>
        <w:rPr>
          <w:rFonts w:ascii="Times New Roman" w:hAnsi="Times New Roman" w:cs="Times New Roman"/>
          <w:sz w:val="24"/>
          <w:szCs w:val="24"/>
        </w:rPr>
      </w:pPr>
      <w:r w:rsidRPr="00FB18B8">
        <w:rPr>
          <w:rFonts w:ascii="Times New Roman" w:hAnsi="Times New Roman" w:cs="Times New Roman"/>
          <w:sz w:val="24"/>
          <w:szCs w:val="24"/>
        </w:rPr>
        <w:t>The flexibility and practicality of the standard of care can be established through the serious of harm to another based on foreseeability rather than knowledge of the risk. The defendants must take all precautions to avoid harming others when an harm is foreseeable. In this case, if the plaintiff is injured based on the negligence of the defendant to take measures to avoid a foreseeable harm, the defendant’s action falls below the standard of care. For example, in Haley v. London Electricity Board (1965) AC 778, the defendant was held liable for breach of duty by not taking precautions to protect all individuals that might be affected by their actions. In this case, the plaintiff was a blind man that had tripped on the punner that was left at a trench to protect pedestrians from falling into it. The blind man fell and hit his head resulting to his deafness. According to the defendant, he had taken reasonable steps to protect pedestrians walking on that pavement and did not foresee a blind man walking without aid down the street. However, the court indicated that, it was reasonable for a blind person to walk down the street without any aid and thus needed appropriate protection from any risk of harm.</w:t>
      </w:r>
    </w:p>
    <w:p w14:paraId="2F94C74C" w14:textId="77777777" w:rsidR="00FB18B8" w:rsidRPr="00FB18B8" w:rsidRDefault="00FB18B8" w:rsidP="00FB18B8">
      <w:pPr>
        <w:spacing w:line="480" w:lineRule="auto"/>
        <w:ind w:firstLine="720"/>
        <w:rPr>
          <w:rFonts w:ascii="Times New Roman" w:hAnsi="Times New Roman" w:cs="Times New Roman"/>
          <w:sz w:val="24"/>
          <w:szCs w:val="24"/>
        </w:rPr>
      </w:pPr>
      <w:r w:rsidRPr="00FB18B8">
        <w:rPr>
          <w:rFonts w:ascii="Times New Roman" w:hAnsi="Times New Roman" w:cs="Times New Roman"/>
          <w:sz w:val="24"/>
          <w:szCs w:val="24"/>
        </w:rPr>
        <w:t xml:space="preserve">Standard of care is also determined based on the skills and judgments of the defendant. In that, that court needs to assess the duty of care or standard of care based on the acts of an ordinary reasonable person that holds themselves to such skills or judgments. Particularly, individuals are treated to have the skills or knowledge or judgment of an ordinary reasonable </w:t>
      </w:r>
      <w:r w:rsidRPr="00FB18B8">
        <w:rPr>
          <w:rFonts w:ascii="Times New Roman" w:hAnsi="Times New Roman" w:cs="Times New Roman"/>
          <w:sz w:val="24"/>
          <w:szCs w:val="24"/>
        </w:rPr>
        <w:lastRenderedPageBreak/>
        <w:t xml:space="preserve">person of same characteristics. For example, learner drivers are held liable based on the skills and expertise of a qualified and experienced driver. In the case of Nettleship v. Weston [1971] 3 WLR 370 Court of Appeal, as a learner driver, the defendant was involved in an accident that resulted to injuries to the plaintiff. The defendant was taking lessons from a friend who had checked her insurance to ensure that she was covered for passengers before accepting to teach her. While driving through a bend, the plaintiff requested the defendant to straighten the wheel but due to panic she failed to do so leading to the accident. The defendant claimed that the standard of care should be lowered as she was a learner driver and the plaintiff had voluntarily agreed to teach her. Therefore, the defendant used the defence of </w:t>
      </w:r>
      <w:r w:rsidRPr="00FB18B8">
        <w:rPr>
          <w:rFonts w:ascii="Times New Roman" w:hAnsi="Times New Roman" w:cs="Times New Roman"/>
          <w:i/>
          <w:sz w:val="24"/>
          <w:szCs w:val="24"/>
        </w:rPr>
        <w:t>volenti non fit injuria</w:t>
      </w:r>
      <w:r w:rsidRPr="00FB18B8">
        <w:rPr>
          <w:rFonts w:ascii="Times New Roman" w:hAnsi="Times New Roman" w:cs="Times New Roman"/>
          <w:sz w:val="24"/>
          <w:szCs w:val="24"/>
        </w:rPr>
        <w:t xml:space="preserve"> to show that the plaintiff had assumed the risk of harm voluntary as he knew she was a learner driver. According to the court, a learner driver should be held liable based on the skills and experience of a reasonable qualified and competent driver. Additionally, the plaintiff did not assume the risk of harm voluntarily as he checked the insurance cover before agreeing to teach the defendant and did not wave his compensation rights. Additionally, in the case of Willsher v. Essex Area Health Authority [1988] 1 AC 1074 in the house of Lords, the defendant who was a junior doctor was held liable for breach duty after he gave a premature baby too much oxygen. The decision was based on the skills and judgment of an ordinary reasonable doctor. In this case, the junior doctor had the same standard of care of an experienced and qualified doctor and it could not be lowered based the defendant being an inexperienced physician. Furthermore, the duty of care of professionals or person with particular skills is based on their practices, standards and procedures (Cooke et al., 2017). In the case of Whitehouse v. Jordan [1981] 1 All ER 267, the House of Lords held that the standard of care of the doctor was not below that of a reasonable doctor in such a situation. The defendant was a senior hospital registrar that was involved in supervising delivery of a high-risk pregnancy. After a long labor period of almost 22 hours, the doctor </w:t>
      </w:r>
      <w:r w:rsidRPr="00FB18B8">
        <w:rPr>
          <w:rFonts w:ascii="Times New Roman" w:hAnsi="Times New Roman" w:cs="Times New Roman"/>
          <w:sz w:val="24"/>
          <w:szCs w:val="24"/>
        </w:rPr>
        <w:lastRenderedPageBreak/>
        <w:t>advised the use of forceps to help in the delivery resulting to the brain damage to the baby. However, in some circumstance the court might hold the defendant liable for breach of duty if the opinions of the reasonable person do not make logic. In the case of Balitho v. City &amp; Hackney Health Authority [1997] 3 WLR 1151, the defendant had failed to intubate a baby that was admitted to the hospital experiencing breathing difficulties. The reason of lack on intubation was that his bleep was not functioning due to low battery and thus could not attend to the child. Another doctor was called in court to give his opinion on the situation and he indicated that he could not intubate the child if he was in the position of the defendant. Using the Bolam test, the trial court held that the defendant did not breach the duty of care (Von Batten, 2017). However, the House Lords on appeal held that the defendant breached the duty of care as he or the other doctor did not provide enough evidence or reasons on why they could not intubate the child. In this case, the standard of care could not be lowered or removed based on the opinion of an ordinary reasonable person of similar skills or judgment.</w:t>
      </w:r>
    </w:p>
    <w:p w14:paraId="79AE82FA" w14:textId="77777777" w:rsidR="00FB18B8" w:rsidRPr="00FB18B8" w:rsidRDefault="00FB18B8" w:rsidP="00FB18B8">
      <w:pPr>
        <w:spacing w:line="480" w:lineRule="auto"/>
        <w:ind w:firstLine="720"/>
        <w:rPr>
          <w:rFonts w:ascii="Times New Roman" w:hAnsi="Times New Roman" w:cs="Times New Roman"/>
          <w:sz w:val="24"/>
          <w:szCs w:val="24"/>
        </w:rPr>
      </w:pPr>
      <w:r w:rsidRPr="00FB18B8">
        <w:rPr>
          <w:rFonts w:ascii="Times New Roman" w:hAnsi="Times New Roman" w:cs="Times New Roman"/>
          <w:sz w:val="24"/>
          <w:szCs w:val="24"/>
        </w:rPr>
        <w:t xml:space="preserve">Moreover, the court considers the burden that the defendant has to use to eliminate the risk of harm to protect others while lowering or increasing the standard of care. The Compensation Act 2006 and the Social Action Responsibility and case laws require the defendant to take reasonable steps to remove certain risks and not all the dangers. In the case of Watt v. Hertfordshire [1954] 1 WLR 835, the court held that the defendant had taken precautions to save the life of the woman that was trapped underneath a lorry and due to the emergency of the situation could not take precautions to protect everyone. Therefore, he did not breach the duty of care to the claimant was seriously hurt when the jack fell on his leg. In the case of Latimer v. AEC [1953] AC 643, the House Lords held that the defendant was not in breach of duty as he had taken precautions to minimize and protect the risk of harm to others and he could </w:t>
      </w:r>
      <w:r w:rsidRPr="00FB18B8">
        <w:rPr>
          <w:rFonts w:ascii="Times New Roman" w:hAnsi="Times New Roman" w:cs="Times New Roman"/>
          <w:sz w:val="24"/>
          <w:szCs w:val="24"/>
        </w:rPr>
        <w:lastRenderedPageBreak/>
        <w:t>not close the factor to take extra measures. Taking such actions of closing the factory to eliminate the risk was extreme and expensive.</w:t>
      </w:r>
    </w:p>
    <w:p w14:paraId="36E39EE4" w14:textId="77777777" w:rsidR="00FB18B8" w:rsidRPr="00FB18B8" w:rsidRDefault="00FB18B8" w:rsidP="00FB18B8">
      <w:pPr>
        <w:spacing w:line="480" w:lineRule="auto"/>
        <w:ind w:firstLine="720"/>
        <w:rPr>
          <w:rFonts w:ascii="Times New Roman" w:hAnsi="Times New Roman" w:cs="Times New Roman"/>
          <w:sz w:val="24"/>
          <w:szCs w:val="24"/>
        </w:rPr>
      </w:pPr>
      <w:r w:rsidRPr="00FB18B8">
        <w:rPr>
          <w:rFonts w:ascii="Times New Roman" w:hAnsi="Times New Roman" w:cs="Times New Roman"/>
          <w:sz w:val="24"/>
          <w:szCs w:val="24"/>
        </w:rPr>
        <w:t>The standard of care for professionals is higher than that for the ordinary or layperson. The standard of care is established in the cases of Bolam v. Friern Hospital and Montgomery v Lanarkshire Health (Brown, 2021). In the former case the standard of care is based on the skills and care of a reasonable similar professional while on the latter the test should be based on the practice application, relevance of industry opinion and “acceptable range” for liability assessment in that particular professional based on the expert evidence (Cooke et al., 2017). Therefore, professionals have the duty to warn the plaintiff if any and use of skills and care to protect their clients. For example, the Montgomery case showed that professionals such as medical experts need to take reasonable care to provide adequate and sufficient information to help the patient make informed decision on the services. Further, the court will also lower or increase the standard of care in stances of particular activities. If the defendant is involved in risky activities like certain sports like “horseplay,” the standard of care will be analyzed on a case basis as was held in the case of Wooldridge v. Summer (Nolan, 2013). In the case of Blake v Galloway, the Court of Appeal held that the test of duty of care for certain activities like horseplay should involve “a very high degree of careless,” and indicated that the players owed each other reasonable care for protection. Therefore, any injury cause by “very high degree of carelessness” results to breach of duty. In some circumstances, the court will also look at the defendant’s actions if they benefit the society or of goodness as was in the case of Watt v. Hertfordshire [1954] 1 WLR 835 where the court held that the conduct of the defendant was to save a life and thus outweighed the responsibility of taking precautions to protect the defendant.</w:t>
      </w:r>
    </w:p>
    <w:p w14:paraId="55536439" w14:textId="77777777" w:rsidR="00FB18B8" w:rsidRPr="00FB18B8" w:rsidRDefault="00FB18B8" w:rsidP="00FB18B8">
      <w:pPr>
        <w:spacing w:line="480" w:lineRule="auto"/>
        <w:ind w:firstLine="720"/>
        <w:rPr>
          <w:rFonts w:ascii="Times New Roman" w:hAnsi="Times New Roman" w:cs="Times New Roman"/>
          <w:sz w:val="24"/>
          <w:szCs w:val="24"/>
        </w:rPr>
      </w:pPr>
      <w:r w:rsidRPr="00FB18B8">
        <w:rPr>
          <w:rFonts w:ascii="Times New Roman" w:hAnsi="Times New Roman" w:cs="Times New Roman"/>
          <w:sz w:val="24"/>
          <w:szCs w:val="24"/>
        </w:rPr>
        <w:t xml:space="preserve">Through the analysis of the different scenarios and case laws, it is clear that the standard of care is flexible and fair for both the claimants and the defendants. It considers of the particular </w:t>
      </w:r>
      <w:r w:rsidRPr="00FB18B8">
        <w:rPr>
          <w:rFonts w:ascii="Times New Roman" w:hAnsi="Times New Roman" w:cs="Times New Roman"/>
          <w:sz w:val="24"/>
          <w:szCs w:val="24"/>
        </w:rPr>
        <w:lastRenderedPageBreak/>
        <w:t>circumstance to ensure that no party is punished for the mistake that they could not avoid in different situations. Therefore, the standard of care cannot be used to benefit or punish a party unfairly.</w:t>
      </w:r>
    </w:p>
    <w:p w14:paraId="7B38BEE9" w14:textId="77777777" w:rsidR="00FB18B8" w:rsidRPr="00FB18B8" w:rsidRDefault="00FB18B8" w:rsidP="00FB18B8">
      <w:pPr>
        <w:spacing w:line="480" w:lineRule="auto"/>
        <w:ind w:firstLine="720"/>
        <w:rPr>
          <w:rFonts w:ascii="Times New Roman" w:hAnsi="Times New Roman" w:cs="Times New Roman"/>
          <w:sz w:val="24"/>
          <w:szCs w:val="24"/>
        </w:rPr>
      </w:pPr>
      <w:r w:rsidRPr="00FB18B8">
        <w:rPr>
          <w:rFonts w:ascii="Times New Roman" w:hAnsi="Times New Roman" w:cs="Times New Roman"/>
          <w:sz w:val="24"/>
          <w:szCs w:val="24"/>
        </w:rPr>
        <w:br w:type="page"/>
      </w:r>
    </w:p>
    <w:p w14:paraId="4B00F98A" w14:textId="77777777" w:rsidR="00FB18B8" w:rsidRPr="00FB18B8" w:rsidRDefault="00FB18B8" w:rsidP="00FB18B8">
      <w:pPr>
        <w:spacing w:line="480" w:lineRule="auto"/>
        <w:jc w:val="center"/>
        <w:rPr>
          <w:rFonts w:ascii="Times New Roman" w:hAnsi="Times New Roman" w:cs="Times New Roman"/>
          <w:sz w:val="24"/>
          <w:szCs w:val="24"/>
        </w:rPr>
      </w:pPr>
      <w:r w:rsidRPr="00FB18B8">
        <w:rPr>
          <w:rFonts w:ascii="Times New Roman" w:hAnsi="Times New Roman" w:cs="Times New Roman"/>
          <w:sz w:val="24"/>
          <w:szCs w:val="24"/>
        </w:rPr>
        <w:lastRenderedPageBreak/>
        <w:t>References</w:t>
      </w:r>
    </w:p>
    <w:p w14:paraId="7F71F793" w14:textId="77777777" w:rsidR="00FB18B8" w:rsidRPr="00FB18B8" w:rsidRDefault="00FB18B8" w:rsidP="00FB18B8">
      <w:pPr>
        <w:spacing w:line="480" w:lineRule="auto"/>
        <w:ind w:left="720" w:hanging="720"/>
        <w:rPr>
          <w:rFonts w:ascii="Times New Roman" w:hAnsi="Times New Roman" w:cs="Times New Roman"/>
          <w:sz w:val="24"/>
          <w:szCs w:val="24"/>
        </w:rPr>
      </w:pPr>
      <w:r w:rsidRPr="00FB18B8">
        <w:rPr>
          <w:rFonts w:ascii="Times New Roman" w:hAnsi="Times New Roman" w:cs="Times New Roman"/>
          <w:sz w:val="24"/>
          <w:szCs w:val="24"/>
        </w:rPr>
        <w:t>Brown, J. (2021). Obligations, consent and contracts in Scots law: re-analysing the basis of medical malpractice liability in light of Montgomery v Lanarkshire Health Board. </w:t>
      </w:r>
      <w:r w:rsidRPr="00FB18B8">
        <w:rPr>
          <w:rFonts w:ascii="Times New Roman" w:hAnsi="Times New Roman" w:cs="Times New Roman"/>
          <w:i/>
          <w:iCs/>
          <w:sz w:val="24"/>
          <w:szCs w:val="24"/>
        </w:rPr>
        <w:t>Legal Studies</w:t>
      </w:r>
      <w:r w:rsidRPr="00FB18B8">
        <w:rPr>
          <w:rFonts w:ascii="Times New Roman" w:hAnsi="Times New Roman" w:cs="Times New Roman"/>
          <w:sz w:val="24"/>
          <w:szCs w:val="24"/>
        </w:rPr>
        <w:t>, </w:t>
      </w:r>
      <w:r w:rsidRPr="00FB18B8">
        <w:rPr>
          <w:rFonts w:ascii="Times New Roman" w:hAnsi="Times New Roman" w:cs="Times New Roman"/>
          <w:i/>
          <w:iCs/>
          <w:sz w:val="24"/>
          <w:szCs w:val="24"/>
        </w:rPr>
        <w:t>41</w:t>
      </w:r>
      <w:r w:rsidRPr="00FB18B8">
        <w:rPr>
          <w:rFonts w:ascii="Times New Roman" w:hAnsi="Times New Roman" w:cs="Times New Roman"/>
          <w:sz w:val="24"/>
          <w:szCs w:val="24"/>
        </w:rPr>
        <w:t>(1), 156-176.</w:t>
      </w:r>
    </w:p>
    <w:p w14:paraId="5233B771" w14:textId="77777777" w:rsidR="00FB18B8" w:rsidRPr="00FB18B8" w:rsidRDefault="00FB18B8" w:rsidP="00FB18B8">
      <w:pPr>
        <w:spacing w:line="480" w:lineRule="auto"/>
        <w:ind w:left="720" w:hanging="720"/>
        <w:rPr>
          <w:rFonts w:ascii="Times New Roman" w:hAnsi="Times New Roman" w:cs="Times New Roman"/>
          <w:sz w:val="24"/>
          <w:szCs w:val="24"/>
        </w:rPr>
      </w:pPr>
      <w:r w:rsidRPr="00FB18B8">
        <w:rPr>
          <w:rFonts w:ascii="Times New Roman" w:hAnsi="Times New Roman" w:cs="Times New Roman"/>
          <w:sz w:val="24"/>
          <w:szCs w:val="24"/>
        </w:rPr>
        <w:t>Cooke, B. K., Worsham, E., &amp; Reisfield, G. M. (2017). The elusive standard of care. </w:t>
      </w:r>
      <w:r w:rsidRPr="00FB18B8">
        <w:rPr>
          <w:rFonts w:ascii="Times New Roman" w:hAnsi="Times New Roman" w:cs="Times New Roman"/>
          <w:i/>
          <w:iCs/>
          <w:sz w:val="24"/>
          <w:szCs w:val="24"/>
        </w:rPr>
        <w:t>J Am Acad Psychiatry Law</w:t>
      </w:r>
      <w:r w:rsidRPr="00FB18B8">
        <w:rPr>
          <w:rFonts w:ascii="Times New Roman" w:hAnsi="Times New Roman" w:cs="Times New Roman"/>
          <w:sz w:val="24"/>
          <w:szCs w:val="24"/>
        </w:rPr>
        <w:t>, </w:t>
      </w:r>
      <w:r w:rsidRPr="00FB18B8">
        <w:rPr>
          <w:rFonts w:ascii="Times New Roman" w:hAnsi="Times New Roman" w:cs="Times New Roman"/>
          <w:i/>
          <w:iCs/>
          <w:sz w:val="24"/>
          <w:szCs w:val="24"/>
        </w:rPr>
        <w:t>45</w:t>
      </w:r>
      <w:r w:rsidRPr="00FB18B8">
        <w:rPr>
          <w:rFonts w:ascii="Times New Roman" w:hAnsi="Times New Roman" w:cs="Times New Roman"/>
          <w:sz w:val="24"/>
          <w:szCs w:val="24"/>
        </w:rPr>
        <w:t>(3), 358-364.</w:t>
      </w:r>
    </w:p>
    <w:p w14:paraId="25113967" w14:textId="77777777" w:rsidR="00FB18B8" w:rsidRPr="00FB18B8" w:rsidRDefault="00FB18B8" w:rsidP="00FB18B8">
      <w:pPr>
        <w:spacing w:line="480" w:lineRule="auto"/>
        <w:ind w:left="720" w:hanging="720"/>
        <w:rPr>
          <w:rFonts w:ascii="Times New Roman" w:hAnsi="Times New Roman" w:cs="Times New Roman"/>
          <w:sz w:val="24"/>
          <w:szCs w:val="24"/>
        </w:rPr>
      </w:pPr>
      <w:r w:rsidRPr="00FB18B8">
        <w:rPr>
          <w:rFonts w:ascii="Times New Roman" w:hAnsi="Times New Roman" w:cs="Times New Roman"/>
          <w:sz w:val="24"/>
          <w:szCs w:val="24"/>
        </w:rPr>
        <w:t>Katsivela, M. (2017). The Breach of the Standard of Care [Common Law Tort of Negligence] and the Concept of Fault in Personal Extracontractual Liability (Civil Law) in Canada: A Comparative Study. </w:t>
      </w:r>
      <w:r w:rsidRPr="00FB18B8">
        <w:rPr>
          <w:rFonts w:ascii="Times New Roman" w:hAnsi="Times New Roman" w:cs="Times New Roman"/>
          <w:i/>
          <w:iCs/>
          <w:sz w:val="24"/>
          <w:szCs w:val="24"/>
        </w:rPr>
        <w:t>The Canadian Bar Review</w:t>
      </w:r>
      <w:r w:rsidRPr="00FB18B8">
        <w:rPr>
          <w:rFonts w:ascii="Times New Roman" w:hAnsi="Times New Roman" w:cs="Times New Roman"/>
          <w:sz w:val="24"/>
          <w:szCs w:val="24"/>
        </w:rPr>
        <w:t>, </w:t>
      </w:r>
      <w:r w:rsidRPr="00FB18B8">
        <w:rPr>
          <w:rFonts w:ascii="Times New Roman" w:hAnsi="Times New Roman" w:cs="Times New Roman"/>
          <w:i/>
          <w:iCs/>
          <w:sz w:val="24"/>
          <w:szCs w:val="24"/>
        </w:rPr>
        <w:t>95</w:t>
      </w:r>
      <w:r w:rsidRPr="00FB18B8">
        <w:rPr>
          <w:rFonts w:ascii="Times New Roman" w:hAnsi="Times New Roman" w:cs="Times New Roman"/>
          <w:sz w:val="24"/>
          <w:szCs w:val="24"/>
        </w:rPr>
        <w:t>, 2019-06.</w:t>
      </w:r>
    </w:p>
    <w:p w14:paraId="20D3E59C" w14:textId="77777777" w:rsidR="00FB18B8" w:rsidRPr="00FB18B8" w:rsidRDefault="00FB18B8" w:rsidP="00FB18B8">
      <w:pPr>
        <w:spacing w:line="480" w:lineRule="auto"/>
        <w:ind w:left="720" w:hanging="720"/>
        <w:rPr>
          <w:rFonts w:ascii="Times New Roman" w:hAnsi="Times New Roman" w:cs="Times New Roman"/>
          <w:sz w:val="24"/>
          <w:szCs w:val="24"/>
        </w:rPr>
      </w:pPr>
      <w:r w:rsidRPr="00FB18B8">
        <w:rPr>
          <w:rFonts w:ascii="Times New Roman" w:hAnsi="Times New Roman" w:cs="Times New Roman"/>
          <w:sz w:val="24"/>
          <w:szCs w:val="24"/>
        </w:rPr>
        <w:t>Mullis, A., &amp; Oliphant, K. (2011). </w:t>
      </w:r>
      <w:r w:rsidRPr="00FB18B8">
        <w:rPr>
          <w:rFonts w:ascii="Times New Roman" w:hAnsi="Times New Roman" w:cs="Times New Roman"/>
          <w:i/>
          <w:iCs/>
          <w:sz w:val="24"/>
          <w:szCs w:val="24"/>
        </w:rPr>
        <w:t>Torts</w:t>
      </w:r>
      <w:r w:rsidRPr="00FB18B8">
        <w:rPr>
          <w:rFonts w:ascii="Times New Roman" w:hAnsi="Times New Roman" w:cs="Times New Roman"/>
          <w:sz w:val="24"/>
          <w:szCs w:val="24"/>
        </w:rPr>
        <w:t>. Macmillan International Higher Education.</w:t>
      </w:r>
    </w:p>
    <w:p w14:paraId="7C1C4631" w14:textId="77777777" w:rsidR="00FB18B8" w:rsidRPr="00FB18B8" w:rsidRDefault="00FB18B8" w:rsidP="00FB18B8">
      <w:pPr>
        <w:spacing w:line="480" w:lineRule="auto"/>
        <w:ind w:left="720" w:hanging="720"/>
        <w:rPr>
          <w:rFonts w:ascii="Times New Roman" w:hAnsi="Times New Roman" w:cs="Times New Roman"/>
          <w:sz w:val="24"/>
          <w:szCs w:val="24"/>
        </w:rPr>
      </w:pPr>
      <w:r w:rsidRPr="00FB18B8">
        <w:rPr>
          <w:rFonts w:ascii="Times New Roman" w:hAnsi="Times New Roman" w:cs="Times New Roman"/>
          <w:sz w:val="24"/>
          <w:szCs w:val="24"/>
        </w:rPr>
        <w:t>Nolan, D. (2013). Varying the standard of care in negligence. </w:t>
      </w:r>
      <w:r w:rsidRPr="00FB18B8">
        <w:rPr>
          <w:rFonts w:ascii="Times New Roman" w:hAnsi="Times New Roman" w:cs="Times New Roman"/>
          <w:i/>
          <w:iCs/>
          <w:sz w:val="24"/>
          <w:szCs w:val="24"/>
        </w:rPr>
        <w:t>The Cambridge Law Journal</w:t>
      </w:r>
      <w:r w:rsidRPr="00FB18B8">
        <w:rPr>
          <w:rFonts w:ascii="Times New Roman" w:hAnsi="Times New Roman" w:cs="Times New Roman"/>
          <w:sz w:val="24"/>
          <w:szCs w:val="24"/>
        </w:rPr>
        <w:t>, </w:t>
      </w:r>
      <w:r w:rsidRPr="00FB18B8">
        <w:rPr>
          <w:rFonts w:ascii="Times New Roman" w:hAnsi="Times New Roman" w:cs="Times New Roman"/>
          <w:i/>
          <w:iCs/>
          <w:sz w:val="24"/>
          <w:szCs w:val="24"/>
        </w:rPr>
        <w:t>72</w:t>
      </w:r>
      <w:r w:rsidRPr="00FB18B8">
        <w:rPr>
          <w:rFonts w:ascii="Times New Roman" w:hAnsi="Times New Roman" w:cs="Times New Roman"/>
          <w:sz w:val="24"/>
          <w:szCs w:val="24"/>
        </w:rPr>
        <w:t>(3), 651-688.</w:t>
      </w:r>
    </w:p>
    <w:p w14:paraId="63BDD2AA" w14:textId="77777777" w:rsidR="00FB18B8" w:rsidRPr="00FB18B8" w:rsidRDefault="00FB18B8" w:rsidP="00FB18B8">
      <w:pPr>
        <w:spacing w:line="480" w:lineRule="auto"/>
        <w:ind w:left="720" w:hanging="720"/>
        <w:rPr>
          <w:rFonts w:ascii="Times New Roman" w:hAnsi="Times New Roman" w:cs="Times New Roman"/>
          <w:sz w:val="24"/>
          <w:szCs w:val="24"/>
        </w:rPr>
      </w:pPr>
      <w:r w:rsidRPr="00FB18B8">
        <w:rPr>
          <w:rFonts w:ascii="Times New Roman" w:hAnsi="Times New Roman" w:cs="Times New Roman"/>
          <w:sz w:val="24"/>
          <w:szCs w:val="24"/>
        </w:rPr>
        <w:t>Slesser, L. J. Breach of duty: failure to take reasonable care?.</w:t>
      </w:r>
    </w:p>
    <w:p w14:paraId="0447B02F" w14:textId="77777777" w:rsidR="00FB18B8" w:rsidRPr="00FB18B8" w:rsidRDefault="00FB18B8" w:rsidP="00FB18B8">
      <w:pPr>
        <w:spacing w:line="480" w:lineRule="auto"/>
        <w:ind w:left="720" w:hanging="720"/>
        <w:rPr>
          <w:rFonts w:ascii="Times New Roman" w:hAnsi="Times New Roman" w:cs="Times New Roman"/>
          <w:sz w:val="24"/>
          <w:szCs w:val="24"/>
        </w:rPr>
      </w:pPr>
      <w:r w:rsidRPr="00FB18B8">
        <w:rPr>
          <w:rFonts w:ascii="Times New Roman" w:hAnsi="Times New Roman" w:cs="Times New Roman"/>
          <w:sz w:val="24"/>
          <w:szCs w:val="24"/>
        </w:rPr>
        <w:t>Von Batten, K. (2017). The History and Philosophy of Law in Health Care and its Effect on Standard of Care in the United States and the United Kingdom. </w:t>
      </w:r>
      <w:r w:rsidRPr="00FB18B8">
        <w:rPr>
          <w:rFonts w:ascii="Times New Roman" w:hAnsi="Times New Roman" w:cs="Times New Roman"/>
          <w:i/>
          <w:iCs/>
          <w:sz w:val="24"/>
          <w:szCs w:val="24"/>
        </w:rPr>
        <w:t>Available at SSRN 3289394</w:t>
      </w:r>
      <w:r w:rsidRPr="00FB18B8">
        <w:rPr>
          <w:rFonts w:ascii="Times New Roman" w:hAnsi="Times New Roman" w:cs="Times New Roman"/>
          <w:sz w:val="24"/>
          <w:szCs w:val="24"/>
        </w:rPr>
        <w:t>.</w:t>
      </w:r>
    </w:p>
    <w:sectPr w:rsidR="00FB18B8" w:rsidRPr="00FB18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D3701"/>
    <w:multiLevelType w:val="hybridMultilevel"/>
    <w:tmpl w:val="CC50B6E0"/>
    <w:lvl w:ilvl="0" w:tplc="B0C030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1tjQ1MTIxMzG2MDFX0lEKTi0uzszPAykwrAUATp0yfywAAAA="/>
  </w:docVars>
  <w:rsids>
    <w:rsidRoot w:val="00FB18B8"/>
    <w:rsid w:val="00321975"/>
    <w:rsid w:val="00392CCF"/>
    <w:rsid w:val="008E1718"/>
    <w:rsid w:val="00E968D6"/>
    <w:rsid w:val="00E97A2B"/>
    <w:rsid w:val="00EE7E4A"/>
    <w:rsid w:val="00FB1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6D3E2"/>
  <w15:chartTrackingRefBased/>
  <w15:docId w15:val="{71FE457D-5D87-4D40-B493-01DADD3B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8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2352</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roxana burlacu</cp:lastModifiedBy>
  <cp:revision>2</cp:revision>
  <dcterms:created xsi:type="dcterms:W3CDTF">2021-10-25T12:36:00Z</dcterms:created>
  <dcterms:modified xsi:type="dcterms:W3CDTF">2021-10-25T12:36:00Z</dcterms:modified>
</cp:coreProperties>
</file>