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203B79" w14:textId="77777777" w:rsidR="00EF3107" w:rsidRDefault="00EF3107" w:rsidP="00EF3107">
      <w:pPr>
        <w:jc w:val="center"/>
        <w:rPr>
          <w:b/>
          <w:bCs/>
          <w:sz w:val="28"/>
          <w:szCs w:val="28"/>
        </w:rPr>
      </w:pPr>
      <w:r>
        <w:rPr>
          <w:b/>
          <w:bCs/>
          <w:noProof/>
          <w:sz w:val="28"/>
          <w:szCs w:val="28"/>
        </w:rPr>
        <w:drawing>
          <wp:inline distT="0" distB="0" distL="0" distR="0" wp14:anchorId="5F1E7924" wp14:editId="4B412424">
            <wp:extent cx="1810385" cy="725170"/>
            <wp:effectExtent l="0" t="0" r="0" b="0"/>
            <wp:docPr id="330145445"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145445" name="Picture 1" descr="A black and white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F965C57" w14:textId="77777777" w:rsidR="00EF3107" w:rsidRPr="00747301" w:rsidRDefault="00EF3107" w:rsidP="00EF3107">
      <w:pPr>
        <w:jc w:val="center"/>
      </w:pPr>
      <w:r w:rsidRPr="00747301">
        <w:rPr>
          <w:b/>
          <w:bCs/>
          <w:sz w:val="28"/>
          <w:szCs w:val="28"/>
        </w:rPr>
        <w:t>UNIVERSITY OF WALES TRINITY SAINT DAVID</w:t>
      </w:r>
    </w:p>
    <w:p w14:paraId="366135BF" w14:textId="6E458C0E" w:rsidR="00EF3107" w:rsidRPr="00747301" w:rsidRDefault="00EF3107" w:rsidP="00EF3107">
      <w:pPr>
        <w:spacing w:after="600"/>
      </w:pPr>
      <w:r>
        <w:rPr>
          <w:i/>
          <w:iCs/>
          <w:sz w:val="22"/>
          <w:szCs w:val="22"/>
        </w:rPr>
        <w:t xml:space="preserve">                                                              </w:t>
      </w:r>
      <w:r w:rsidRPr="00747301">
        <w:rPr>
          <w:i/>
          <w:iCs/>
          <w:sz w:val="22"/>
          <w:szCs w:val="22"/>
        </w:rPr>
        <w:t xml:space="preserve"> Birmingham Campus</w:t>
      </w:r>
    </w:p>
    <w:p w14:paraId="4A57A672" w14:textId="77777777" w:rsidR="00EF3107" w:rsidRPr="00747301" w:rsidRDefault="00EF3107" w:rsidP="00EF3107">
      <w:pPr>
        <w:jc w:val="center"/>
      </w:pPr>
      <w:r w:rsidRPr="00747301">
        <w:rPr>
          <w:b/>
          <w:bCs/>
          <w:sz w:val="26"/>
          <w:szCs w:val="26"/>
        </w:rPr>
        <w:t>Master of Business Administration (MBA)</w:t>
      </w:r>
    </w:p>
    <w:p w14:paraId="1F9936E3" w14:textId="77777777" w:rsidR="00EF3107" w:rsidRPr="00747301" w:rsidRDefault="00EF3107" w:rsidP="00EF3107">
      <w:pPr>
        <w:jc w:val="center"/>
      </w:pPr>
      <w:r w:rsidRPr="00747301">
        <w:t>Module: Financial Management (LCMB7002)</w:t>
      </w:r>
    </w:p>
    <w:p w14:paraId="53DB6347" w14:textId="77777777" w:rsidR="00EF3107" w:rsidRPr="00747301" w:rsidRDefault="00EF3107" w:rsidP="00EF3107">
      <w:pPr>
        <w:spacing w:after="800"/>
        <w:jc w:val="center"/>
      </w:pPr>
      <w:r w:rsidRPr="00747301">
        <w:t>Assessment: Financial Performance and Management</w:t>
      </w:r>
    </w:p>
    <w:p w14:paraId="227C7934" w14:textId="77777777" w:rsidR="00EF3107" w:rsidRPr="00747301" w:rsidRDefault="00EF3107" w:rsidP="00EF3107">
      <w:pPr>
        <w:spacing w:after="100"/>
        <w:jc w:val="center"/>
        <w:rPr>
          <w:b/>
          <w:bCs/>
          <w:sz w:val="26"/>
          <w:szCs w:val="26"/>
        </w:rPr>
      </w:pPr>
      <w:r w:rsidRPr="00747301">
        <w:rPr>
          <w:b/>
          <w:bCs/>
          <w:sz w:val="26"/>
          <w:szCs w:val="26"/>
        </w:rPr>
        <w:t>Individual Report — Selected Company:</w:t>
      </w:r>
    </w:p>
    <w:p w14:paraId="1C4294A3" w14:textId="77777777" w:rsidR="00EF3107" w:rsidRPr="00747301" w:rsidRDefault="00EF3107" w:rsidP="00EF3107">
      <w:pPr>
        <w:spacing w:after="100"/>
        <w:jc w:val="center"/>
      </w:pPr>
      <w:r w:rsidRPr="00747301">
        <w:rPr>
          <w:b/>
          <w:bCs/>
          <w:sz w:val="26"/>
          <w:szCs w:val="26"/>
        </w:rPr>
        <w:t xml:space="preserve">Hilton Worldwide </w:t>
      </w:r>
      <w:proofErr w:type="spellStart"/>
      <w:r w:rsidRPr="00747301">
        <w:rPr>
          <w:b/>
          <w:bCs/>
          <w:sz w:val="26"/>
          <w:szCs w:val="26"/>
        </w:rPr>
        <w:t>Plcs</w:t>
      </w:r>
      <w:proofErr w:type="spellEnd"/>
    </w:p>
    <w:p w14:paraId="414CF566" w14:textId="77777777" w:rsidR="00EF3107" w:rsidRPr="00747301" w:rsidRDefault="00EF3107" w:rsidP="00EF3107">
      <w:pPr>
        <w:spacing w:after="100"/>
        <w:jc w:val="center"/>
      </w:pPr>
      <w:r w:rsidRPr="00747301">
        <w:rPr>
          <w:sz w:val="22"/>
          <w:szCs w:val="22"/>
        </w:rPr>
        <w:t>Lecturer: Patrick Yeboah (Birmingham)</w:t>
      </w:r>
    </w:p>
    <w:p w14:paraId="406F2F22" w14:textId="77777777" w:rsidR="00EF3107" w:rsidRPr="00747301" w:rsidRDefault="00EF3107" w:rsidP="00EF3107">
      <w:pPr>
        <w:spacing w:after="100"/>
        <w:jc w:val="center"/>
      </w:pPr>
      <w:r w:rsidRPr="00747301">
        <w:rPr>
          <w:sz w:val="22"/>
          <w:szCs w:val="22"/>
        </w:rPr>
        <w:t xml:space="preserve">Student Name: </w:t>
      </w:r>
      <w:r w:rsidRPr="00ED484E">
        <w:rPr>
          <w:sz w:val="22"/>
          <w:szCs w:val="22"/>
        </w:rPr>
        <w:t>Harpreet Singh Rana</w:t>
      </w:r>
    </w:p>
    <w:p w14:paraId="04700678" w14:textId="77777777" w:rsidR="00EF3107" w:rsidRPr="00747301" w:rsidRDefault="00EF3107" w:rsidP="00EF3107">
      <w:pPr>
        <w:spacing w:after="100"/>
        <w:jc w:val="center"/>
      </w:pPr>
      <w:r w:rsidRPr="00747301">
        <w:rPr>
          <w:sz w:val="22"/>
          <w:szCs w:val="22"/>
        </w:rPr>
        <w:t xml:space="preserve">Student ID: </w:t>
      </w:r>
      <w:r w:rsidRPr="00ED484E">
        <w:rPr>
          <w:sz w:val="22"/>
          <w:szCs w:val="22"/>
        </w:rPr>
        <w:t>2513316</w:t>
      </w:r>
    </w:p>
    <w:p w14:paraId="58B4D846" w14:textId="77777777" w:rsidR="00EF3107" w:rsidRPr="00747301" w:rsidRDefault="00EF3107" w:rsidP="00EF3107">
      <w:pPr>
        <w:spacing w:after="1600"/>
        <w:jc w:val="center"/>
      </w:pPr>
    </w:p>
    <w:p w14:paraId="2CD9D57D" w14:textId="77777777" w:rsidR="00EF3107" w:rsidRPr="00747301" w:rsidRDefault="00EF3107" w:rsidP="00EF3107">
      <w:r w:rsidRPr="00747301">
        <w:br w:type="page"/>
      </w:r>
    </w:p>
    <w:p w14:paraId="3BDFF101" w14:textId="77777777" w:rsidR="00EF3107" w:rsidRPr="00747301" w:rsidRDefault="00EF3107" w:rsidP="00EF3107">
      <w:pPr>
        <w:sectPr w:rsidR="00EF3107" w:rsidRPr="00747301" w:rsidSect="00EF310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rFonts w:ascii="Times New Roman" w:eastAsia="Arial" w:hAnsi="Times New Roman" w:cs="Times New Roman"/>
          <w:color w:val="auto"/>
          <w:sz w:val="24"/>
          <w:szCs w:val="24"/>
        </w:rPr>
        <w:id w:val="-1309781759"/>
        <w:docPartObj>
          <w:docPartGallery w:val="Table of Contents"/>
          <w:docPartUnique/>
        </w:docPartObj>
      </w:sdtPr>
      <w:sdtEndPr>
        <w:rPr>
          <w:b/>
          <w:bCs/>
          <w:noProof/>
        </w:rPr>
      </w:sdtEndPr>
      <w:sdtContent>
        <w:p w14:paraId="192D8FFA" w14:textId="77777777" w:rsidR="00EF3107" w:rsidRPr="00747301" w:rsidRDefault="00EF3107" w:rsidP="00EF3107">
          <w:pPr>
            <w:pStyle w:val="TOCHeading"/>
            <w:rPr>
              <w:rFonts w:ascii="Times New Roman" w:hAnsi="Times New Roman" w:cs="Times New Roman"/>
            </w:rPr>
          </w:pPr>
          <w:r w:rsidRPr="00747301">
            <w:rPr>
              <w:rFonts w:ascii="Times New Roman" w:hAnsi="Times New Roman" w:cs="Times New Roman"/>
            </w:rPr>
            <w:t>Table of Contents</w:t>
          </w:r>
        </w:p>
        <w:p w14:paraId="03F930C8"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r w:rsidRPr="00747301">
            <w:fldChar w:fldCharType="begin"/>
          </w:r>
          <w:r w:rsidRPr="00747301">
            <w:instrText xml:space="preserve"> TOC \o "1-3" \h \z \u </w:instrText>
          </w:r>
          <w:r w:rsidRPr="00747301">
            <w:fldChar w:fldCharType="separate"/>
          </w:r>
          <w:hyperlink w:anchor="_Toc235009381" w:history="1">
            <w:r w:rsidRPr="00662F55">
              <w:rPr>
                <w:rStyle w:val="Hyperlink"/>
                <w:noProof/>
              </w:rPr>
              <w:t>1. Introduction</w:t>
            </w:r>
            <w:r>
              <w:rPr>
                <w:noProof/>
                <w:webHidden/>
              </w:rPr>
              <w:tab/>
            </w:r>
            <w:r>
              <w:rPr>
                <w:noProof/>
                <w:webHidden/>
              </w:rPr>
              <w:fldChar w:fldCharType="begin"/>
            </w:r>
            <w:r>
              <w:rPr>
                <w:noProof/>
                <w:webHidden/>
              </w:rPr>
              <w:instrText xml:space="preserve"> PAGEREF _Toc235009381 \h </w:instrText>
            </w:r>
            <w:r>
              <w:rPr>
                <w:noProof/>
                <w:webHidden/>
              </w:rPr>
            </w:r>
            <w:r>
              <w:rPr>
                <w:noProof/>
                <w:webHidden/>
              </w:rPr>
              <w:fldChar w:fldCharType="separate"/>
            </w:r>
            <w:r>
              <w:rPr>
                <w:noProof/>
                <w:webHidden/>
              </w:rPr>
              <w:t>4</w:t>
            </w:r>
            <w:r>
              <w:rPr>
                <w:noProof/>
                <w:webHidden/>
              </w:rPr>
              <w:fldChar w:fldCharType="end"/>
            </w:r>
          </w:hyperlink>
        </w:p>
        <w:p w14:paraId="09D11CA9"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5009382" w:history="1">
            <w:r w:rsidRPr="00662F55">
              <w:rPr>
                <w:rStyle w:val="Hyperlink"/>
                <w:noProof/>
              </w:rPr>
              <w:t>2. Financial Health Check</w:t>
            </w:r>
            <w:r>
              <w:rPr>
                <w:noProof/>
                <w:webHidden/>
              </w:rPr>
              <w:tab/>
            </w:r>
            <w:r>
              <w:rPr>
                <w:noProof/>
                <w:webHidden/>
              </w:rPr>
              <w:fldChar w:fldCharType="begin"/>
            </w:r>
            <w:r>
              <w:rPr>
                <w:noProof/>
                <w:webHidden/>
              </w:rPr>
              <w:instrText xml:space="preserve"> PAGEREF _Toc235009382 \h </w:instrText>
            </w:r>
            <w:r>
              <w:rPr>
                <w:noProof/>
                <w:webHidden/>
              </w:rPr>
            </w:r>
            <w:r>
              <w:rPr>
                <w:noProof/>
                <w:webHidden/>
              </w:rPr>
              <w:fldChar w:fldCharType="separate"/>
            </w:r>
            <w:r>
              <w:rPr>
                <w:noProof/>
                <w:webHidden/>
              </w:rPr>
              <w:t>4</w:t>
            </w:r>
            <w:r>
              <w:rPr>
                <w:noProof/>
                <w:webHidden/>
              </w:rPr>
              <w:fldChar w:fldCharType="end"/>
            </w:r>
          </w:hyperlink>
        </w:p>
        <w:p w14:paraId="3645351E"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3" w:history="1">
            <w:r w:rsidRPr="00662F55">
              <w:rPr>
                <w:rStyle w:val="Hyperlink"/>
                <w:noProof/>
              </w:rPr>
              <w:t>2.1 Profitability</w:t>
            </w:r>
            <w:r>
              <w:rPr>
                <w:noProof/>
                <w:webHidden/>
              </w:rPr>
              <w:tab/>
            </w:r>
            <w:r>
              <w:rPr>
                <w:noProof/>
                <w:webHidden/>
              </w:rPr>
              <w:fldChar w:fldCharType="begin"/>
            </w:r>
            <w:r>
              <w:rPr>
                <w:noProof/>
                <w:webHidden/>
              </w:rPr>
              <w:instrText xml:space="preserve"> PAGEREF _Toc235009383 \h </w:instrText>
            </w:r>
            <w:r>
              <w:rPr>
                <w:noProof/>
                <w:webHidden/>
              </w:rPr>
            </w:r>
            <w:r>
              <w:rPr>
                <w:noProof/>
                <w:webHidden/>
              </w:rPr>
              <w:fldChar w:fldCharType="separate"/>
            </w:r>
            <w:r>
              <w:rPr>
                <w:noProof/>
                <w:webHidden/>
              </w:rPr>
              <w:t>5</w:t>
            </w:r>
            <w:r>
              <w:rPr>
                <w:noProof/>
                <w:webHidden/>
              </w:rPr>
              <w:fldChar w:fldCharType="end"/>
            </w:r>
          </w:hyperlink>
        </w:p>
        <w:p w14:paraId="1813A2CE"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4" w:history="1">
            <w:r w:rsidRPr="00662F55">
              <w:rPr>
                <w:rStyle w:val="Hyperlink"/>
                <w:noProof/>
              </w:rPr>
              <w:t>2.2 Liquidity</w:t>
            </w:r>
            <w:r>
              <w:rPr>
                <w:noProof/>
                <w:webHidden/>
              </w:rPr>
              <w:tab/>
            </w:r>
            <w:r>
              <w:rPr>
                <w:noProof/>
                <w:webHidden/>
              </w:rPr>
              <w:fldChar w:fldCharType="begin"/>
            </w:r>
            <w:r>
              <w:rPr>
                <w:noProof/>
                <w:webHidden/>
              </w:rPr>
              <w:instrText xml:space="preserve"> PAGEREF _Toc235009384 \h </w:instrText>
            </w:r>
            <w:r>
              <w:rPr>
                <w:noProof/>
                <w:webHidden/>
              </w:rPr>
            </w:r>
            <w:r>
              <w:rPr>
                <w:noProof/>
                <w:webHidden/>
              </w:rPr>
              <w:fldChar w:fldCharType="separate"/>
            </w:r>
            <w:r>
              <w:rPr>
                <w:noProof/>
                <w:webHidden/>
              </w:rPr>
              <w:t>6</w:t>
            </w:r>
            <w:r>
              <w:rPr>
                <w:noProof/>
                <w:webHidden/>
              </w:rPr>
              <w:fldChar w:fldCharType="end"/>
            </w:r>
          </w:hyperlink>
        </w:p>
        <w:p w14:paraId="445989AF"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5" w:history="1">
            <w:r w:rsidRPr="00662F55">
              <w:rPr>
                <w:rStyle w:val="Hyperlink"/>
                <w:noProof/>
              </w:rPr>
              <w:t>2.3 Efficiency</w:t>
            </w:r>
            <w:r>
              <w:rPr>
                <w:noProof/>
                <w:webHidden/>
              </w:rPr>
              <w:tab/>
            </w:r>
            <w:r>
              <w:rPr>
                <w:noProof/>
                <w:webHidden/>
              </w:rPr>
              <w:fldChar w:fldCharType="begin"/>
            </w:r>
            <w:r>
              <w:rPr>
                <w:noProof/>
                <w:webHidden/>
              </w:rPr>
              <w:instrText xml:space="preserve"> PAGEREF _Toc235009385 \h </w:instrText>
            </w:r>
            <w:r>
              <w:rPr>
                <w:noProof/>
                <w:webHidden/>
              </w:rPr>
            </w:r>
            <w:r>
              <w:rPr>
                <w:noProof/>
                <w:webHidden/>
              </w:rPr>
              <w:fldChar w:fldCharType="separate"/>
            </w:r>
            <w:r>
              <w:rPr>
                <w:noProof/>
                <w:webHidden/>
              </w:rPr>
              <w:t>7</w:t>
            </w:r>
            <w:r>
              <w:rPr>
                <w:noProof/>
                <w:webHidden/>
              </w:rPr>
              <w:fldChar w:fldCharType="end"/>
            </w:r>
          </w:hyperlink>
        </w:p>
        <w:p w14:paraId="3A03D80A"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6" w:history="1">
            <w:r w:rsidRPr="00662F55">
              <w:rPr>
                <w:rStyle w:val="Hyperlink"/>
                <w:noProof/>
              </w:rPr>
              <w:t>2.4 Gearing (Capital Structure)</w:t>
            </w:r>
            <w:r>
              <w:rPr>
                <w:noProof/>
                <w:webHidden/>
              </w:rPr>
              <w:tab/>
            </w:r>
            <w:r>
              <w:rPr>
                <w:noProof/>
                <w:webHidden/>
              </w:rPr>
              <w:fldChar w:fldCharType="begin"/>
            </w:r>
            <w:r>
              <w:rPr>
                <w:noProof/>
                <w:webHidden/>
              </w:rPr>
              <w:instrText xml:space="preserve"> PAGEREF _Toc235009386 \h </w:instrText>
            </w:r>
            <w:r>
              <w:rPr>
                <w:noProof/>
                <w:webHidden/>
              </w:rPr>
            </w:r>
            <w:r>
              <w:rPr>
                <w:noProof/>
                <w:webHidden/>
              </w:rPr>
              <w:fldChar w:fldCharType="separate"/>
            </w:r>
            <w:r>
              <w:rPr>
                <w:noProof/>
                <w:webHidden/>
              </w:rPr>
              <w:t>7</w:t>
            </w:r>
            <w:r>
              <w:rPr>
                <w:noProof/>
                <w:webHidden/>
              </w:rPr>
              <w:fldChar w:fldCharType="end"/>
            </w:r>
          </w:hyperlink>
        </w:p>
        <w:p w14:paraId="4083CCD4"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7" w:history="1">
            <w:r w:rsidRPr="00662F55">
              <w:rPr>
                <w:rStyle w:val="Hyperlink"/>
                <w:noProof/>
              </w:rPr>
              <w:t>2.5 Investment (Shareholder) Ratios</w:t>
            </w:r>
            <w:r>
              <w:rPr>
                <w:noProof/>
                <w:webHidden/>
              </w:rPr>
              <w:tab/>
            </w:r>
            <w:r>
              <w:rPr>
                <w:noProof/>
                <w:webHidden/>
              </w:rPr>
              <w:fldChar w:fldCharType="begin"/>
            </w:r>
            <w:r>
              <w:rPr>
                <w:noProof/>
                <w:webHidden/>
              </w:rPr>
              <w:instrText xml:space="preserve"> PAGEREF _Toc235009387 \h </w:instrText>
            </w:r>
            <w:r>
              <w:rPr>
                <w:noProof/>
                <w:webHidden/>
              </w:rPr>
            </w:r>
            <w:r>
              <w:rPr>
                <w:noProof/>
                <w:webHidden/>
              </w:rPr>
              <w:fldChar w:fldCharType="separate"/>
            </w:r>
            <w:r>
              <w:rPr>
                <w:noProof/>
                <w:webHidden/>
              </w:rPr>
              <w:t>7</w:t>
            </w:r>
            <w:r>
              <w:rPr>
                <w:noProof/>
                <w:webHidden/>
              </w:rPr>
              <w:fldChar w:fldCharType="end"/>
            </w:r>
          </w:hyperlink>
        </w:p>
        <w:p w14:paraId="1B55A8A6"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8" w:history="1">
            <w:r w:rsidRPr="00662F55">
              <w:rPr>
                <w:rStyle w:val="Hyperlink"/>
                <w:noProof/>
              </w:rPr>
              <w:t>2.6 Cash Flow Ratios</w:t>
            </w:r>
            <w:r>
              <w:rPr>
                <w:noProof/>
                <w:webHidden/>
              </w:rPr>
              <w:tab/>
            </w:r>
            <w:r>
              <w:rPr>
                <w:noProof/>
                <w:webHidden/>
              </w:rPr>
              <w:fldChar w:fldCharType="begin"/>
            </w:r>
            <w:r>
              <w:rPr>
                <w:noProof/>
                <w:webHidden/>
              </w:rPr>
              <w:instrText xml:space="preserve"> PAGEREF _Toc235009388 \h </w:instrText>
            </w:r>
            <w:r>
              <w:rPr>
                <w:noProof/>
                <w:webHidden/>
              </w:rPr>
            </w:r>
            <w:r>
              <w:rPr>
                <w:noProof/>
                <w:webHidden/>
              </w:rPr>
              <w:fldChar w:fldCharType="separate"/>
            </w:r>
            <w:r>
              <w:rPr>
                <w:noProof/>
                <w:webHidden/>
              </w:rPr>
              <w:t>7</w:t>
            </w:r>
            <w:r>
              <w:rPr>
                <w:noProof/>
                <w:webHidden/>
              </w:rPr>
              <w:fldChar w:fldCharType="end"/>
            </w:r>
          </w:hyperlink>
        </w:p>
        <w:p w14:paraId="4033B4A8"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89" w:history="1">
            <w:r w:rsidRPr="00662F55">
              <w:rPr>
                <w:rStyle w:val="Hyperlink"/>
                <w:noProof/>
              </w:rPr>
              <w:t>2.7 Summary: Trends, Strengths and Threats</w:t>
            </w:r>
            <w:r>
              <w:rPr>
                <w:noProof/>
                <w:webHidden/>
              </w:rPr>
              <w:tab/>
            </w:r>
            <w:r>
              <w:rPr>
                <w:noProof/>
                <w:webHidden/>
              </w:rPr>
              <w:fldChar w:fldCharType="begin"/>
            </w:r>
            <w:r>
              <w:rPr>
                <w:noProof/>
                <w:webHidden/>
              </w:rPr>
              <w:instrText xml:space="preserve"> PAGEREF _Toc235009389 \h </w:instrText>
            </w:r>
            <w:r>
              <w:rPr>
                <w:noProof/>
                <w:webHidden/>
              </w:rPr>
            </w:r>
            <w:r>
              <w:rPr>
                <w:noProof/>
                <w:webHidden/>
              </w:rPr>
              <w:fldChar w:fldCharType="separate"/>
            </w:r>
            <w:r>
              <w:rPr>
                <w:noProof/>
                <w:webHidden/>
              </w:rPr>
              <w:t>8</w:t>
            </w:r>
            <w:r>
              <w:rPr>
                <w:noProof/>
                <w:webHidden/>
              </w:rPr>
              <w:fldChar w:fldCharType="end"/>
            </w:r>
          </w:hyperlink>
        </w:p>
        <w:p w14:paraId="1AA66E65"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5009390" w:history="1">
            <w:r w:rsidRPr="00662F55">
              <w:rPr>
                <w:rStyle w:val="Hyperlink"/>
                <w:noProof/>
              </w:rPr>
              <w:t>3. Working Capital Management Analysis</w:t>
            </w:r>
            <w:r>
              <w:rPr>
                <w:noProof/>
                <w:webHidden/>
              </w:rPr>
              <w:tab/>
            </w:r>
            <w:r>
              <w:rPr>
                <w:noProof/>
                <w:webHidden/>
              </w:rPr>
              <w:fldChar w:fldCharType="begin"/>
            </w:r>
            <w:r>
              <w:rPr>
                <w:noProof/>
                <w:webHidden/>
              </w:rPr>
              <w:instrText xml:space="preserve"> PAGEREF _Toc235009390 \h </w:instrText>
            </w:r>
            <w:r>
              <w:rPr>
                <w:noProof/>
                <w:webHidden/>
              </w:rPr>
            </w:r>
            <w:r>
              <w:rPr>
                <w:noProof/>
                <w:webHidden/>
              </w:rPr>
              <w:fldChar w:fldCharType="separate"/>
            </w:r>
            <w:r>
              <w:rPr>
                <w:noProof/>
                <w:webHidden/>
              </w:rPr>
              <w:t>8</w:t>
            </w:r>
            <w:r>
              <w:rPr>
                <w:noProof/>
                <w:webHidden/>
              </w:rPr>
              <w:fldChar w:fldCharType="end"/>
            </w:r>
          </w:hyperlink>
        </w:p>
        <w:p w14:paraId="7DE5D89A"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1" w:history="1">
            <w:r w:rsidRPr="00662F55">
              <w:rPr>
                <w:rStyle w:val="Hyperlink"/>
                <w:noProof/>
              </w:rPr>
              <w:t>3.1 The Cash Operating Cycle</w:t>
            </w:r>
            <w:r>
              <w:rPr>
                <w:noProof/>
                <w:webHidden/>
              </w:rPr>
              <w:tab/>
            </w:r>
            <w:r>
              <w:rPr>
                <w:noProof/>
                <w:webHidden/>
              </w:rPr>
              <w:fldChar w:fldCharType="begin"/>
            </w:r>
            <w:r>
              <w:rPr>
                <w:noProof/>
                <w:webHidden/>
              </w:rPr>
              <w:instrText xml:space="preserve"> PAGEREF _Toc235009391 \h </w:instrText>
            </w:r>
            <w:r>
              <w:rPr>
                <w:noProof/>
                <w:webHidden/>
              </w:rPr>
            </w:r>
            <w:r>
              <w:rPr>
                <w:noProof/>
                <w:webHidden/>
              </w:rPr>
              <w:fldChar w:fldCharType="separate"/>
            </w:r>
            <w:r>
              <w:rPr>
                <w:noProof/>
                <w:webHidden/>
              </w:rPr>
              <w:t>8</w:t>
            </w:r>
            <w:r>
              <w:rPr>
                <w:noProof/>
                <w:webHidden/>
              </w:rPr>
              <w:fldChar w:fldCharType="end"/>
            </w:r>
          </w:hyperlink>
        </w:p>
        <w:p w14:paraId="75B389D2"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2" w:history="1">
            <w:r w:rsidRPr="00662F55">
              <w:rPr>
                <w:rStyle w:val="Hyperlink"/>
                <w:noProof/>
              </w:rPr>
              <w:t>3.2 Recommended Working Capital Reforms</w:t>
            </w:r>
            <w:r>
              <w:rPr>
                <w:noProof/>
                <w:webHidden/>
              </w:rPr>
              <w:tab/>
            </w:r>
            <w:r>
              <w:rPr>
                <w:noProof/>
                <w:webHidden/>
              </w:rPr>
              <w:fldChar w:fldCharType="begin"/>
            </w:r>
            <w:r>
              <w:rPr>
                <w:noProof/>
                <w:webHidden/>
              </w:rPr>
              <w:instrText xml:space="preserve"> PAGEREF _Toc235009392 \h </w:instrText>
            </w:r>
            <w:r>
              <w:rPr>
                <w:noProof/>
                <w:webHidden/>
              </w:rPr>
            </w:r>
            <w:r>
              <w:rPr>
                <w:noProof/>
                <w:webHidden/>
              </w:rPr>
              <w:fldChar w:fldCharType="separate"/>
            </w:r>
            <w:r>
              <w:rPr>
                <w:noProof/>
                <w:webHidden/>
              </w:rPr>
              <w:t>9</w:t>
            </w:r>
            <w:r>
              <w:rPr>
                <w:noProof/>
                <w:webHidden/>
              </w:rPr>
              <w:fldChar w:fldCharType="end"/>
            </w:r>
          </w:hyperlink>
        </w:p>
        <w:p w14:paraId="03BB437D"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3" w:history="1">
            <w:r w:rsidRPr="00662F55">
              <w:rPr>
                <w:rStyle w:val="Hyperlink"/>
                <w:noProof/>
              </w:rPr>
              <w:t>3.3 Short-Term vs Long-Term Financing</w:t>
            </w:r>
            <w:r>
              <w:rPr>
                <w:noProof/>
                <w:webHidden/>
              </w:rPr>
              <w:tab/>
            </w:r>
            <w:r>
              <w:rPr>
                <w:noProof/>
                <w:webHidden/>
              </w:rPr>
              <w:fldChar w:fldCharType="begin"/>
            </w:r>
            <w:r>
              <w:rPr>
                <w:noProof/>
                <w:webHidden/>
              </w:rPr>
              <w:instrText xml:space="preserve"> PAGEREF _Toc235009393 \h </w:instrText>
            </w:r>
            <w:r>
              <w:rPr>
                <w:noProof/>
                <w:webHidden/>
              </w:rPr>
            </w:r>
            <w:r>
              <w:rPr>
                <w:noProof/>
                <w:webHidden/>
              </w:rPr>
              <w:fldChar w:fldCharType="separate"/>
            </w:r>
            <w:r>
              <w:rPr>
                <w:noProof/>
                <w:webHidden/>
              </w:rPr>
              <w:t>10</w:t>
            </w:r>
            <w:r>
              <w:rPr>
                <w:noProof/>
                <w:webHidden/>
              </w:rPr>
              <w:fldChar w:fldCharType="end"/>
            </w:r>
          </w:hyperlink>
        </w:p>
        <w:p w14:paraId="4218D22D"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5009394" w:history="1">
            <w:r w:rsidRPr="00662F55">
              <w:rPr>
                <w:rStyle w:val="Hyperlink"/>
                <w:noProof/>
              </w:rPr>
              <w:t>4. Strategic Financial Restructuring Plan</w:t>
            </w:r>
            <w:r>
              <w:rPr>
                <w:noProof/>
                <w:webHidden/>
              </w:rPr>
              <w:tab/>
            </w:r>
            <w:r>
              <w:rPr>
                <w:noProof/>
                <w:webHidden/>
              </w:rPr>
              <w:fldChar w:fldCharType="begin"/>
            </w:r>
            <w:r>
              <w:rPr>
                <w:noProof/>
                <w:webHidden/>
              </w:rPr>
              <w:instrText xml:space="preserve"> PAGEREF _Toc235009394 \h </w:instrText>
            </w:r>
            <w:r>
              <w:rPr>
                <w:noProof/>
                <w:webHidden/>
              </w:rPr>
            </w:r>
            <w:r>
              <w:rPr>
                <w:noProof/>
                <w:webHidden/>
              </w:rPr>
              <w:fldChar w:fldCharType="separate"/>
            </w:r>
            <w:r>
              <w:rPr>
                <w:noProof/>
                <w:webHidden/>
              </w:rPr>
              <w:t>10</w:t>
            </w:r>
            <w:r>
              <w:rPr>
                <w:noProof/>
                <w:webHidden/>
              </w:rPr>
              <w:fldChar w:fldCharType="end"/>
            </w:r>
          </w:hyperlink>
        </w:p>
        <w:p w14:paraId="4D43D1ED"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5" w:history="1">
            <w:r w:rsidRPr="00662F55">
              <w:rPr>
                <w:rStyle w:val="Hyperlink"/>
                <w:noProof/>
              </w:rPr>
              <w:t>4.1 Continued Asset-Light Divestiture of Owned Real Estate</w:t>
            </w:r>
            <w:r>
              <w:rPr>
                <w:noProof/>
                <w:webHidden/>
              </w:rPr>
              <w:tab/>
            </w:r>
            <w:r>
              <w:rPr>
                <w:noProof/>
                <w:webHidden/>
              </w:rPr>
              <w:fldChar w:fldCharType="begin"/>
            </w:r>
            <w:r>
              <w:rPr>
                <w:noProof/>
                <w:webHidden/>
              </w:rPr>
              <w:instrText xml:space="preserve"> PAGEREF _Toc235009395 \h </w:instrText>
            </w:r>
            <w:r>
              <w:rPr>
                <w:noProof/>
                <w:webHidden/>
              </w:rPr>
            </w:r>
            <w:r>
              <w:rPr>
                <w:noProof/>
                <w:webHidden/>
              </w:rPr>
              <w:fldChar w:fldCharType="separate"/>
            </w:r>
            <w:r>
              <w:rPr>
                <w:noProof/>
                <w:webHidden/>
              </w:rPr>
              <w:t>11</w:t>
            </w:r>
            <w:r>
              <w:rPr>
                <w:noProof/>
                <w:webHidden/>
              </w:rPr>
              <w:fldChar w:fldCharType="end"/>
            </w:r>
          </w:hyperlink>
        </w:p>
        <w:p w14:paraId="3DD9592C"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6" w:history="1">
            <w:r w:rsidRPr="00662F55">
              <w:rPr>
                <w:rStyle w:val="Hyperlink"/>
                <w:noProof/>
              </w:rPr>
              <w:t>4.2 Recalibrating the Pace of Share Buybacks</w:t>
            </w:r>
            <w:r>
              <w:rPr>
                <w:noProof/>
                <w:webHidden/>
              </w:rPr>
              <w:tab/>
            </w:r>
            <w:r>
              <w:rPr>
                <w:noProof/>
                <w:webHidden/>
              </w:rPr>
              <w:fldChar w:fldCharType="begin"/>
            </w:r>
            <w:r>
              <w:rPr>
                <w:noProof/>
                <w:webHidden/>
              </w:rPr>
              <w:instrText xml:space="preserve"> PAGEREF _Toc235009396 \h </w:instrText>
            </w:r>
            <w:r>
              <w:rPr>
                <w:noProof/>
                <w:webHidden/>
              </w:rPr>
            </w:r>
            <w:r>
              <w:rPr>
                <w:noProof/>
                <w:webHidden/>
              </w:rPr>
              <w:fldChar w:fldCharType="separate"/>
            </w:r>
            <w:r>
              <w:rPr>
                <w:noProof/>
                <w:webHidden/>
              </w:rPr>
              <w:t>11</w:t>
            </w:r>
            <w:r>
              <w:rPr>
                <w:noProof/>
                <w:webHidden/>
              </w:rPr>
              <w:fldChar w:fldCharType="end"/>
            </w:r>
          </w:hyperlink>
        </w:p>
        <w:p w14:paraId="563ED249"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7" w:history="1">
            <w:r w:rsidRPr="00662F55">
              <w:rPr>
                <w:rStyle w:val="Hyperlink"/>
                <w:noProof/>
              </w:rPr>
              <w:t>4.3 Equity Injection: Not Recommended at Present</w:t>
            </w:r>
            <w:r>
              <w:rPr>
                <w:noProof/>
                <w:webHidden/>
              </w:rPr>
              <w:tab/>
            </w:r>
            <w:r>
              <w:rPr>
                <w:noProof/>
                <w:webHidden/>
              </w:rPr>
              <w:fldChar w:fldCharType="begin"/>
            </w:r>
            <w:r>
              <w:rPr>
                <w:noProof/>
                <w:webHidden/>
              </w:rPr>
              <w:instrText xml:space="preserve"> PAGEREF _Toc235009397 \h </w:instrText>
            </w:r>
            <w:r>
              <w:rPr>
                <w:noProof/>
                <w:webHidden/>
              </w:rPr>
            </w:r>
            <w:r>
              <w:rPr>
                <w:noProof/>
                <w:webHidden/>
              </w:rPr>
              <w:fldChar w:fldCharType="separate"/>
            </w:r>
            <w:r>
              <w:rPr>
                <w:noProof/>
                <w:webHidden/>
              </w:rPr>
              <w:t>11</w:t>
            </w:r>
            <w:r>
              <w:rPr>
                <w:noProof/>
                <w:webHidden/>
              </w:rPr>
              <w:fldChar w:fldCharType="end"/>
            </w:r>
          </w:hyperlink>
        </w:p>
        <w:p w14:paraId="43162A8A"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8" w:history="1">
            <w:r w:rsidRPr="00662F55">
              <w:rPr>
                <w:rStyle w:val="Hyperlink"/>
                <w:noProof/>
              </w:rPr>
              <w:t>4.4 Impact on Shareholder Value, Debt Structure and Operational Flexibility</w:t>
            </w:r>
            <w:r>
              <w:rPr>
                <w:noProof/>
                <w:webHidden/>
              </w:rPr>
              <w:tab/>
            </w:r>
            <w:r>
              <w:rPr>
                <w:noProof/>
                <w:webHidden/>
              </w:rPr>
              <w:fldChar w:fldCharType="begin"/>
            </w:r>
            <w:r>
              <w:rPr>
                <w:noProof/>
                <w:webHidden/>
              </w:rPr>
              <w:instrText xml:space="preserve"> PAGEREF _Toc235009398 \h </w:instrText>
            </w:r>
            <w:r>
              <w:rPr>
                <w:noProof/>
                <w:webHidden/>
              </w:rPr>
            </w:r>
            <w:r>
              <w:rPr>
                <w:noProof/>
                <w:webHidden/>
              </w:rPr>
              <w:fldChar w:fldCharType="separate"/>
            </w:r>
            <w:r>
              <w:rPr>
                <w:noProof/>
                <w:webHidden/>
              </w:rPr>
              <w:t>12</w:t>
            </w:r>
            <w:r>
              <w:rPr>
                <w:noProof/>
                <w:webHidden/>
              </w:rPr>
              <w:fldChar w:fldCharType="end"/>
            </w:r>
          </w:hyperlink>
        </w:p>
        <w:p w14:paraId="446AB8D0"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399" w:history="1">
            <w:r w:rsidRPr="00662F55">
              <w:rPr>
                <w:rStyle w:val="Hyperlink"/>
                <w:noProof/>
              </w:rPr>
              <w:t>4.5 International and Ethical Considerations</w:t>
            </w:r>
            <w:r>
              <w:rPr>
                <w:noProof/>
                <w:webHidden/>
              </w:rPr>
              <w:tab/>
            </w:r>
            <w:r>
              <w:rPr>
                <w:noProof/>
                <w:webHidden/>
              </w:rPr>
              <w:fldChar w:fldCharType="begin"/>
            </w:r>
            <w:r>
              <w:rPr>
                <w:noProof/>
                <w:webHidden/>
              </w:rPr>
              <w:instrText xml:space="preserve"> PAGEREF _Toc235009399 \h </w:instrText>
            </w:r>
            <w:r>
              <w:rPr>
                <w:noProof/>
                <w:webHidden/>
              </w:rPr>
            </w:r>
            <w:r>
              <w:rPr>
                <w:noProof/>
                <w:webHidden/>
              </w:rPr>
              <w:fldChar w:fldCharType="separate"/>
            </w:r>
            <w:r>
              <w:rPr>
                <w:noProof/>
                <w:webHidden/>
              </w:rPr>
              <w:t>12</w:t>
            </w:r>
            <w:r>
              <w:rPr>
                <w:noProof/>
                <w:webHidden/>
              </w:rPr>
              <w:fldChar w:fldCharType="end"/>
            </w:r>
          </w:hyperlink>
        </w:p>
        <w:p w14:paraId="4D40E4BE"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0" w:history="1">
            <w:r w:rsidRPr="00662F55">
              <w:rPr>
                <w:rStyle w:val="Hyperlink"/>
                <w:noProof/>
              </w:rPr>
              <w:t>5.1 Appraisal Methodology</w:t>
            </w:r>
            <w:r>
              <w:rPr>
                <w:noProof/>
                <w:webHidden/>
              </w:rPr>
              <w:tab/>
            </w:r>
            <w:r>
              <w:rPr>
                <w:noProof/>
                <w:webHidden/>
              </w:rPr>
              <w:fldChar w:fldCharType="begin"/>
            </w:r>
            <w:r>
              <w:rPr>
                <w:noProof/>
                <w:webHidden/>
              </w:rPr>
              <w:instrText xml:space="preserve"> PAGEREF _Toc235009400 \h </w:instrText>
            </w:r>
            <w:r>
              <w:rPr>
                <w:noProof/>
                <w:webHidden/>
              </w:rPr>
            </w:r>
            <w:r>
              <w:rPr>
                <w:noProof/>
                <w:webHidden/>
              </w:rPr>
              <w:fldChar w:fldCharType="separate"/>
            </w:r>
            <w:r>
              <w:rPr>
                <w:noProof/>
                <w:webHidden/>
              </w:rPr>
              <w:t>13</w:t>
            </w:r>
            <w:r>
              <w:rPr>
                <w:noProof/>
                <w:webHidden/>
              </w:rPr>
              <w:fldChar w:fldCharType="end"/>
            </w:r>
          </w:hyperlink>
        </w:p>
        <w:p w14:paraId="4D943D6A"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1" w:history="1">
            <w:r w:rsidRPr="00662F55">
              <w:rPr>
                <w:rStyle w:val="Hyperlink"/>
                <w:noProof/>
              </w:rPr>
              <w:t>5.2 Results</w:t>
            </w:r>
            <w:r>
              <w:rPr>
                <w:noProof/>
                <w:webHidden/>
              </w:rPr>
              <w:tab/>
            </w:r>
            <w:r>
              <w:rPr>
                <w:noProof/>
                <w:webHidden/>
              </w:rPr>
              <w:fldChar w:fldCharType="begin"/>
            </w:r>
            <w:r>
              <w:rPr>
                <w:noProof/>
                <w:webHidden/>
              </w:rPr>
              <w:instrText xml:space="preserve"> PAGEREF _Toc235009401 \h </w:instrText>
            </w:r>
            <w:r>
              <w:rPr>
                <w:noProof/>
                <w:webHidden/>
              </w:rPr>
            </w:r>
            <w:r>
              <w:rPr>
                <w:noProof/>
                <w:webHidden/>
              </w:rPr>
              <w:fldChar w:fldCharType="separate"/>
            </w:r>
            <w:r>
              <w:rPr>
                <w:noProof/>
                <w:webHidden/>
              </w:rPr>
              <w:t>13</w:t>
            </w:r>
            <w:r>
              <w:rPr>
                <w:noProof/>
                <w:webHidden/>
              </w:rPr>
              <w:fldChar w:fldCharType="end"/>
            </w:r>
          </w:hyperlink>
        </w:p>
        <w:p w14:paraId="4B04F708"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2" w:history="1">
            <w:r w:rsidRPr="00662F55">
              <w:rPr>
                <w:rStyle w:val="Hyperlink"/>
                <w:noProof/>
              </w:rPr>
              <w:t>5.3 Recommendation and Justification</w:t>
            </w:r>
            <w:r>
              <w:rPr>
                <w:noProof/>
                <w:webHidden/>
              </w:rPr>
              <w:tab/>
            </w:r>
            <w:r>
              <w:rPr>
                <w:noProof/>
                <w:webHidden/>
              </w:rPr>
              <w:fldChar w:fldCharType="begin"/>
            </w:r>
            <w:r>
              <w:rPr>
                <w:noProof/>
                <w:webHidden/>
              </w:rPr>
              <w:instrText xml:space="preserve"> PAGEREF _Toc235009402 \h </w:instrText>
            </w:r>
            <w:r>
              <w:rPr>
                <w:noProof/>
                <w:webHidden/>
              </w:rPr>
            </w:r>
            <w:r>
              <w:rPr>
                <w:noProof/>
                <w:webHidden/>
              </w:rPr>
              <w:fldChar w:fldCharType="separate"/>
            </w:r>
            <w:r>
              <w:rPr>
                <w:noProof/>
                <w:webHidden/>
              </w:rPr>
              <w:t>14</w:t>
            </w:r>
            <w:r>
              <w:rPr>
                <w:noProof/>
                <w:webHidden/>
              </w:rPr>
              <w:fldChar w:fldCharType="end"/>
            </w:r>
          </w:hyperlink>
        </w:p>
        <w:p w14:paraId="1885BA7C"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3" w:history="1">
            <w:r w:rsidRPr="00662F55">
              <w:rPr>
                <w:rStyle w:val="Hyperlink"/>
                <w:noProof/>
              </w:rPr>
              <w:t>5.4 Capital Rationing: Combination of Projects within a £100m Budget</w:t>
            </w:r>
            <w:r>
              <w:rPr>
                <w:noProof/>
                <w:webHidden/>
              </w:rPr>
              <w:tab/>
            </w:r>
            <w:r>
              <w:rPr>
                <w:noProof/>
                <w:webHidden/>
              </w:rPr>
              <w:fldChar w:fldCharType="begin"/>
            </w:r>
            <w:r>
              <w:rPr>
                <w:noProof/>
                <w:webHidden/>
              </w:rPr>
              <w:instrText xml:space="preserve"> PAGEREF _Toc235009403 \h </w:instrText>
            </w:r>
            <w:r>
              <w:rPr>
                <w:noProof/>
                <w:webHidden/>
              </w:rPr>
            </w:r>
            <w:r>
              <w:rPr>
                <w:noProof/>
                <w:webHidden/>
              </w:rPr>
              <w:fldChar w:fldCharType="separate"/>
            </w:r>
            <w:r>
              <w:rPr>
                <w:noProof/>
                <w:webHidden/>
              </w:rPr>
              <w:t>15</w:t>
            </w:r>
            <w:r>
              <w:rPr>
                <w:noProof/>
                <w:webHidden/>
              </w:rPr>
              <w:fldChar w:fldCharType="end"/>
            </w:r>
          </w:hyperlink>
        </w:p>
        <w:p w14:paraId="5D4FF2F3"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5009404" w:history="1">
            <w:r w:rsidRPr="00662F55">
              <w:rPr>
                <w:rStyle w:val="Hyperlink"/>
                <w:noProof/>
              </w:rPr>
              <w:t>6. Conclusion</w:t>
            </w:r>
            <w:r>
              <w:rPr>
                <w:noProof/>
                <w:webHidden/>
              </w:rPr>
              <w:tab/>
            </w:r>
            <w:r>
              <w:rPr>
                <w:noProof/>
                <w:webHidden/>
              </w:rPr>
              <w:fldChar w:fldCharType="begin"/>
            </w:r>
            <w:r>
              <w:rPr>
                <w:noProof/>
                <w:webHidden/>
              </w:rPr>
              <w:instrText xml:space="preserve"> PAGEREF _Toc235009404 \h </w:instrText>
            </w:r>
            <w:r>
              <w:rPr>
                <w:noProof/>
                <w:webHidden/>
              </w:rPr>
            </w:r>
            <w:r>
              <w:rPr>
                <w:noProof/>
                <w:webHidden/>
              </w:rPr>
              <w:fldChar w:fldCharType="separate"/>
            </w:r>
            <w:r>
              <w:rPr>
                <w:noProof/>
                <w:webHidden/>
              </w:rPr>
              <w:t>16</w:t>
            </w:r>
            <w:r>
              <w:rPr>
                <w:noProof/>
                <w:webHidden/>
              </w:rPr>
              <w:fldChar w:fldCharType="end"/>
            </w:r>
          </w:hyperlink>
        </w:p>
        <w:p w14:paraId="5F282E31"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5009405" w:history="1">
            <w:r w:rsidRPr="00662F55">
              <w:rPr>
                <w:rStyle w:val="Hyperlink"/>
                <w:noProof/>
                <w:lang w:val="en-IN"/>
              </w:rPr>
              <w:t>7. Critical Reflection on AI Usage</w:t>
            </w:r>
            <w:r>
              <w:rPr>
                <w:noProof/>
                <w:webHidden/>
              </w:rPr>
              <w:tab/>
            </w:r>
            <w:r>
              <w:rPr>
                <w:noProof/>
                <w:webHidden/>
              </w:rPr>
              <w:fldChar w:fldCharType="begin"/>
            </w:r>
            <w:r>
              <w:rPr>
                <w:noProof/>
                <w:webHidden/>
              </w:rPr>
              <w:instrText xml:space="preserve"> PAGEREF _Toc235009405 \h </w:instrText>
            </w:r>
            <w:r>
              <w:rPr>
                <w:noProof/>
                <w:webHidden/>
              </w:rPr>
            </w:r>
            <w:r>
              <w:rPr>
                <w:noProof/>
                <w:webHidden/>
              </w:rPr>
              <w:fldChar w:fldCharType="separate"/>
            </w:r>
            <w:r>
              <w:rPr>
                <w:noProof/>
                <w:webHidden/>
              </w:rPr>
              <w:t>17</w:t>
            </w:r>
            <w:r>
              <w:rPr>
                <w:noProof/>
                <w:webHidden/>
              </w:rPr>
              <w:fldChar w:fldCharType="end"/>
            </w:r>
          </w:hyperlink>
        </w:p>
        <w:p w14:paraId="2380E671"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6" w:history="1">
            <w:r w:rsidRPr="00662F55">
              <w:rPr>
                <w:rStyle w:val="Hyperlink"/>
                <w:noProof/>
                <w:lang w:val="en-IN"/>
              </w:rPr>
              <w:t>7.1 Tool Disclosure</w:t>
            </w:r>
            <w:r>
              <w:rPr>
                <w:noProof/>
                <w:webHidden/>
              </w:rPr>
              <w:tab/>
            </w:r>
            <w:r>
              <w:rPr>
                <w:noProof/>
                <w:webHidden/>
              </w:rPr>
              <w:fldChar w:fldCharType="begin"/>
            </w:r>
            <w:r>
              <w:rPr>
                <w:noProof/>
                <w:webHidden/>
              </w:rPr>
              <w:instrText xml:space="preserve"> PAGEREF _Toc235009406 \h </w:instrText>
            </w:r>
            <w:r>
              <w:rPr>
                <w:noProof/>
                <w:webHidden/>
              </w:rPr>
            </w:r>
            <w:r>
              <w:rPr>
                <w:noProof/>
                <w:webHidden/>
              </w:rPr>
              <w:fldChar w:fldCharType="separate"/>
            </w:r>
            <w:r>
              <w:rPr>
                <w:noProof/>
                <w:webHidden/>
              </w:rPr>
              <w:t>17</w:t>
            </w:r>
            <w:r>
              <w:rPr>
                <w:noProof/>
                <w:webHidden/>
              </w:rPr>
              <w:fldChar w:fldCharType="end"/>
            </w:r>
          </w:hyperlink>
        </w:p>
        <w:p w14:paraId="23155252"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7" w:history="1">
            <w:r w:rsidRPr="00662F55">
              <w:rPr>
                <w:rStyle w:val="Hyperlink"/>
                <w:noProof/>
                <w:lang w:val="en-IN"/>
              </w:rPr>
              <w:t>7.2 Critical Evaluation of AI Output</w:t>
            </w:r>
            <w:r>
              <w:rPr>
                <w:noProof/>
                <w:webHidden/>
              </w:rPr>
              <w:tab/>
            </w:r>
            <w:r>
              <w:rPr>
                <w:noProof/>
                <w:webHidden/>
              </w:rPr>
              <w:fldChar w:fldCharType="begin"/>
            </w:r>
            <w:r>
              <w:rPr>
                <w:noProof/>
                <w:webHidden/>
              </w:rPr>
              <w:instrText xml:space="preserve"> PAGEREF _Toc235009407 \h </w:instrText>
            </w:r>
            <w:r>
              <w:rPr>
                <w:noProof/>
                <w:webHidden/>
              </w:rPr>
            </w:r>
            <w:r>
              <w:rPr>
                <w:noProof/>
                <w:webHidden/>
              </w:rPr>
              <w:fldChar w:fldCharType="separate"/>
            </w:r>
            <w:r>
              <w:rPr>
                <w:noProof/>
                <w:webHidden/>
              </w:rPr>
              <w:t>17</w:t>
            </w:r>
            <w:r>
              <w:rPr>
                <w:noProof/>
                <w:webHidden/>
              </w:rPr>
              <w:fldChar w:fldCharType="end"/>
            </w:r>
          </w:hyperlink>
        </w:p>
        <w:p w14:paraId="0403E265"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8" w:history="1">
            <w:r w:rsidRPr="00662F55">
              <w:rPr>
                <w:rStyle w:val="Hyperlink"/>
                <w:noProof/>
                <w:lang w:val="en-IN"/>
              </w:rPr>
              <w:t>7.3 Contribution Analysis</w:t>
            </w:r>
            <w:r>
              <w:rPr>
                <w:noProof/>
                <w:webHidden/>
              </w:rPr>
              <w:tab/>
            </w:r>
            <w:r>
              <w:rPr>
                <w:noProof/>
                <w:webHidden/>
              </w:rPr>
              <w:fldChar w:fldCharType="begin"/>
            </w:r>
            <w:r>
              <w:rPr>
                <w:noProof/>
                <w:webHidden/>
              </w:rPr>
              <w:instrText xml:space="preserve"> PAGEREF _Toc235009408 \h </w:instrText>
            </w:r>
            <w:r>
              <w:rPr>
                <w:noProof/>
                <w:webHidden/>
              </w:rPr>
            </w:r>
            <w:r>
              <w:rPr>
                <w:noProof/>
                <w:webHidden/>
              </w:rPr>
              <w:fldChar w:fldCharType="separate"/>
            </w:r>
            <w:r>
              <w:rPr>
                <w:noProof/>
                <w:webHidden/>
              </w:rPr>
              <w:t>17</w:t>
            </w:r>
            <w:r>
              <w:rPr>
                <w:noProof/>
                <w:webHidden/>
              </w:rPr>
              <w:fldChar w:fldCharType="end"/>
            </w:r>
          </w:hyperlink>
        </w:p>
        <w:p w14:paraId="2410DE90" w14:textId="77777777" w:rsidR="00EF3107" w:rsidRDefault="00EF3107" w:rsidP="00EF3107">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5009409" w:history="1">
            <w:r w:rsidRPr="00662F55">
              <w:rPr>
                <w:rStyle w:val="Hyperlink"/>
                <w:noProof/>
                <w:lang w:val="en-IN"/>
              </w:rPr>
              <w:t>7.4 Ethical and Professional Reflection</w:t>
            </w:r>
            <w:r>
              <w:rPr>
                <w:noProof/>
                <w:webHidden/>
              </w:rPr>
              <w:tab/>
            </w:r>
            <w:r>
              <w:rPr>
                <w:noProof/>
                <w:webHidden/>
              </w:rPr>
              <w:fldChar w:fldCharType="begin"/>
            </w:r>
            <w:r>
              <w:rPr>
                <w:noProof/>
                <w:webHidden/>
              </w:rPr>
              <w:instrText xml:space="preserve"> PAGEREF _Toc235009409 \h </w:instrText>
            </w:r>
            <w:r>
              <w:rPr>
                <w:noProof/>
                <w:webHidden/>
              </w:rPr>
            </w:r>
            <w:r>
              <w:rPr>
                <w:noProof/>
                <w:webHidden/>
              </w:rPr>
              <w:fldChar w:fldCharType="separate"/>
            </w:r>
            <w:r>
              <w:rPr>
                <w:noProof/>
                <w:webHidden/>
              </w:rPr>
              <w:t>17</w:t>
            </w:r>
            <w:r>
              <w:rPr>
                <w:noProof/>
                <w:webHidden/>
              </w:rPr>
              <w:fldChar w:fldCharType="end"/>
            </w:r>
          </w:hyperlink>
        </w:p>
        <w:p w14:paraId="3636F1AF" w14:textId="77777777" w:rsidR="00EF3107" w:rsidRDefault="00EF3107" w:rsidP="00EF3107">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5009410" w:history="1">
            <w:r w:rsidRPr="00662F55">
              <w:rPr>
                <w:rStyle w:val="Hyperlink"/>
                <w:noProof/>
              </w:rPr>
              <w:t>References</w:t>
            </w:r>
            <w:r>
              <w:rPr>
                <w:noProof/>
                <w:webHidden/>
              </w:rPr>
              <w:tab/>
            </w:r>
            <w:r>
              <w:rPr>
                <w:noProof/>
                <w:webHidden/>
              </w:rPr>
              <w:fldChar w:fldCharType="begin"/>
            </w:r>
            <w:r>
              <w:rPr>
                <w:noProof/>
                <w:webHidden/>
              </w:rPr>
              <w:instrText xml:space="preserve"> PAGEREF _Toc235009410 \h </w:instrText>
            </w:r>
            <w:r>
              <w:rPr>
                <w:noProof/>
                <w:webHidden/>
              </w:rPr>
            </w:r>
            <w:r>
              <w:rPr>
                <w:noProof/>
                <w:webHidden/>
              </w:rPr>
              <w:fldChar w:fldCharType="separate"/>
            </w:r>
            <w:r>
              <w:rPr>
                <w:noProof/>
                <w:webHidden/>
              </w:rPr>
              <w:t>19</w:t>
            </w:r>
            <w:r>
              <w:rPr>
                <w:noProof/>
                <w:webHidden/>
              </w:rPr>
              <w:fldChar w:fldCharType="end"/>
            </w:r>
          </w:hyperlink>
        </w:p>
        <w:p w14:paraId="74E2A954" w14:textId="77777777" w:rsidR="00EF3107" w:rsidRPr="00747301" w:rsidRDefault="00EF3107" w:rsidP="00EF3107">
          <w:r w:rsidRPr="00747301">
            <w:rPr>
              <w:b/>
              <w:bCs/>
              <w:noProof/>
            </w:rPr>
            <w:fldChar w:fldCharType="end"/>
          </w:r>
        </w:p>
      </w:sdtContent>
    </w:sdt>
    <w:p w14:paraId="3686E4CA" w14:textId="77777777" w:rsidR="00EF3107" w:rsidRPr="00747301" w:rsidRDefault="00EF3107" w:rsidP="00EF3107">
      <w:r w:rsidRPr="00747301">
        <w:br w:type="page"/>
      </w:r>
    </w:p>
    <w:p w14:paraId="7003FB29" w14:textId="77777777" w:rsidR="00EF3107" w:rsidRPr="00747301" w:rsidRDefault="00EF3107" w:rsidP="00EF3107">
      <w:pPr>
        <w:sectPr w:rsidR="00EF3107" w:rsidRPr="00747301" w:rsidSect="00EF310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63C755AB" w14:textId="77777777" w:rsidR="00EF3107" w:rsidRPr="00CA4F57" w:rsidRDefault="00EF3107" w:rsidP="00EF3107">
      <w:pPr>
        <w:pStyle w:val="Heading1"/>
        <w:rPr>
          <w:rFonts w:ascii="Arial" w:hAnsi="Arial" w:cs="Arial"/>
        </w:rPr>
      </w:pPr>
      <w:bookmarkStart w:id="0" w:name="_Toc234455321"/>
      <w:bookmarkStart w:id="1" w:name="_Toc235009381"/>
      <w:r w:rsidRPr="00CA4F57">
        <w:rPr>
          <w:rFonts w:ascii="Arial" w:hAnsi="Arial" w:cs="Arial"/>
        </w:rPr>
        <w:lastRenderedPageBreak/>
        <w:t>1. Introduction</w:t>
      </w:r>
      <w:bookmarkEnd w:id="0"/>
      <w:bookmarkEnd w:id="1"/>
    </w:p>
    <w:p w14:paraId="712E7209" w14:textId="77777777" w:rsidR="00EF3107" w:rsidRPr="00747301" w:rsidRDefault="00EF3107" w:rsidP="00EF3107">
      <w:r w:rsidRPr="00747301">
        <w:t>The following report has been written from the viewpoint of the newly appointed Chief Financial Officer (CFO) of Hilton Worldwide Holdings Inc. (“Hilton” or “the Company”), the market leader in publicly listed, asset-light global hospitality company headquartered in McLean, Virginia, listed on the New York Stock Exchange (NYSE: HLT). The Company owns, operates, franchises, leases hotels and resorts in over 130 countries and territories across 24 brands, and reported total revenues of $12,039 million and net income of $1,461 million for the budget year ending 31 December 2025 (Hilton Worldwide Holdings Inc., 2026).</w:t>
      </w:r>
    </w:p>
    <w:p w14:paraId="1DD9B936" w14:textId="77777777" w:rsidR="00EF3107" w:rsidRPr="00747301" w:rsidRDefault="00EF3107" w:rsidP="00EF3107">
      <w:r w:rsidRPr="00747301">
        <w:t>The Directors have asked for an analysis of the financial performance of the Company in the last five budget years (FY2021-FY2025), working capital management evaluation, financial restructuring strategy, and a thorough appraisal of three potential capital investments projects. All the financial data used below has been extracted from Hilton’s audited Consolidated Financial Statements found in the Company’s Annual Report to Shareholders and Form 10-K filing with the US Securities and Exchange Commission (Hilton Worldwide Holdings Inc., 2023; 2025; 2026), in addition to an original Excel model with all ratios and working capital and investment appraisals calculated using live formulas (Appendices A-D).</w:t>
      </w:r>
    </w:p>
    <w:p w14:paraId="44A2FC7F" w14:textId="77777777" w:rsidR="00EF3107" w:rsidRPr="00747301" w:rsidRDefault="00EF3107" w:rsidP="00EF3107">
      <w:r w:rsidRPr="00747301">
        <w:t>The report is organized into five parts. Part 2 conducts a Financial Health Check by comparing measures of profitability, liquidity, efficiency, gearing, investment and cash flow ratios with that of competitors. Part 3 examines the cash operating cycle and working capital management. Part 4 suggests a Strategic Financial Restructuring Plan which includes international and ethical dimensions. Part 5 uses payback period (PBP), accounting rate of return (ARR), net present value (NPV), profitability index (PI) and internal rate of return (IRR) methods for evaluating three exclusive investment alternatives and capital rationing problem. Part 6 concludes the report with a summary of turnaround plan.</w:t>
      </w:r>
    </w:p>
    <w:p w14:paraId="3BBD7099" w14:textId="77777777" w:rsidR="00EF3107" w:rsidRPr="00CA4F57" w:rsidRDefault="00EF3107" w:rsidP="00EF3107">
      <w:pPr>
        <w:pStyle w:val="Heading1"/>
        <w:rPr>
          <w:rFonts w:ascii="Arial" w:hAnsi="Arial" w:cs="Arial"/>
        </w:rPr>
      </w:pPr>
      <w:bookmarkStart w:id="2" w:name="_Toc235009382"/>
      <w:r w:rsidRPr="00CA4F57">
        <w:rPr>
          <w:rFonts w:ascii="Arial" w:hAnsi="Arial" w:cs="Arial"/>
        </w:rPr>
        <w:t>2. Financial Health Check</w:t>
      </w:r>
      <w:bookmarkEnd w:id="2"/>
    </w:p>
    <w:p w14:paraId="6D957CF7" w14:textId="77777777" w:rsidR="00EF3107" w:rsidRPr="00CA4F57" w:rsidRDefault="00EF3107" w:rsidP="00EF3107">
      <w:pPr>
        <w:rPr>
          <w:rFonts w:ascii="Arial" w:hAnsi="Arial" w:cs="Arial"/>
        </w:rPr>
      </w:pPr>
      <w:r w:rsidRPr="00CA4F57">
        <w:rPr>
          <w:rFonts w:ascii="Arial" w:hAnsi="Arial" w:cs="Arial"/>
        </w:rPr>
        <w:t xml:space="preserve">Table 1 shows the main income statement and balance sheet items derived from the Consolidated Financial Statements of Hilton for FY2021–FY2025 (Hilton Worldwide Holdings Inc., 2023; 2025; 2026). Income rose from $5,788 million in FY2021 (when recovery from pandemic effects ended) to $12,039 million in FY2025, representing a compound annual growth rate of about 20%. This reflects the post-COVID </w:t>
      </w:r>
      <w:r w:rsidRPr="00CA4F57">
        <w:rPr>
          <w:rFonts w:ascii="Arial" w:hAnsi="Arial" w:cs="Arial"/>
        </w:rPr>
        <w:lastRenderedPageBreak/>
        <w:t>improvement in the revenue per available room (RevPAR) around the globe, and ongoing net unit growth of more than 6% annually for Hilton (Hilton Worldwide Holdings Inc., 2026). The same recovery trend can be observed within the wider context of hospitality sector data – Coutinho dos Santos, Magano and Mota (2023) and Aharon et al. (2021) found that the hotel sector was severely disrupted in terms of cash flows and assets valuation in 2020-2021 due to COVID-19 and recovered since 2022 due to growing demand.</w:t>
      </w:r>
    </w:p>
    <w:p w14:paraId="1AE7F257" w14:textId="77777777" w:rsidR="00EF3107" w:rsidRPr="00CA4F57" w:rsidRDefault="00EF3107" w:rsidP="00EF3107">
      <w:pPr>
        <w:jc w:val="center"/>
        <w:rPr>
          <w:rFonts w:ascii="Arial" w:hAnsi="Arial" w:cs="Arial"/>
          <w:b/>
          <w:bCs/>
        </w:rPr>
      </w:pPr>
      <w:r w:rsidRPr="00CA4F57">
        <w:rPr>
          <w:rFonts w:ascii="Arial" w:hAnsi="Arial" w:cs="Arial"/>
          <w:b/>
          <w:bCs/>
        </w:rPr>
        <w:t>Table 1. Hilton Worldwide Holdings Inc. – Summary Income Statement and Balance Sheet, FY2021–FY2025 ($m).</w:t>
      </w:r>
    </w:p>
    <w:tbl>
      <w:tblPr>
        <w:tblStyle w:val="GridTable4-Accent2"/>
        <w:tblW w:w="0" w:type="auto"/>
        <w:jc w:val="center"/>
        <w:tblLook w:val="04A0" w:firstRow="1" w:lastRow="0" w:firstColumn="1" w:lastColumn="0" w:noHBand="0" w:noVBand="1"/>
      </w:tblPr>
      <w:tblGrid>
        <w:gridCol w:w="2990"/>
        <w:gridCol w:w="951"/>
        <w:gridCol w:w="977"/>
        <w:gridCol w:w="977"/>
        <w:gridCol w:w="977"/>
        <w:gridCol w:w="977"/>
      </w:tblGrid>
      <w:tr w:rsidR="00EF3107" w:rsidRPr="00CA4F57" w14:paraId="19346C8A" w14:textId="77777777" w:rsidTr="0074730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F48A894" w14:textId="77777777" w:rsidR="00EF3107" w:rsidRPr="00CA4F57" w:rsidRDefault="00EF3107" w:rsidP="00226CF3">
            <w:pPr>
              <w:rPr>
                <w:rFonts w:ascii="Arial" w:hAnsi="Arial" w:cs="Arial"/>
              </w:rPr>
            </w:pPr>
            <w:r w:rsidRPr="00CA4F57">
              <w:rPr>
                <w:rFonts w:ascii="Arial" w:hAnsi="Arial" w:cs="Arial"/>
              </w:rPr>
              <w:t>($m)</w:t>
            </w:r>
          </w:p>
        </w:tc>
        <w:tc>
          <w:tcPr>
            <w:tcW w:w="0" w:type="auto"/>
          </w:tcPr>
          <w:p w14:paraId="31781FB7"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2021</w:t>
            </w:r>
          </w:p>
        </w:tc>
        <w:tc>
          <w:tcPr>
            <w:tcW w:w="0" w:type="auto"/>
          </w:tcPr>
          <w:p w14:paraId="6865832C"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2022</w:t>
            </w:r>
          </w:p>
        </w:tc>
        <w:tc>
          <w:tcPr>
            <w:tcW w:w="0" w:type="auto"/>
          </w:tcPr>
          <w:p w14:paraId="19662B11"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2023</w:t>
            </w:r>
          </w:p>
        </w:tc>
        <w:tc>
          <w:tcPr>
            <w:tcW w:w="0" w:type="auto"/>
          </w:tcPr>
          <w:p w14:paraId="7F8EFD38"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2024</w:t>
            </w:r>
          </w:p>
        </w:tc>
        <w:tc>
          <w:tcPr>
            <w:tcW w:w="0" w:type="auto"/>
          </w:tcPr>
          <w:p w14:paraId="2B954994"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2025</w:t>
            </w:r>
          </w:p>
        </w:tc>
      </w:tr>
      <w:tr w:rsidR="00EF3107" w:rsidRPr="00CA4F57" w14:paraId="44EE7008" w14:textId="77777777" w:rsidTr="007473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B349F56" w14:textId="77777777" w:rsidR="00EF3107" w:rsidRPr="00CA4F57" w:rsidRDefault="00EF3107" w:rsidP="00226CF3">
            <w:pPr>
              <w:rPr>
                <w:rFonts w:ascii="Arial" w:hAnsi="Arial" w:cs="Arial"/>
              </w:rPr>
            </w:pPr>
            <w:r w:rsidRPr="00CA4F57">
              <w:rPr>
                <w:rFonts w:ascii="Arial" w:hAnsi="Arial" w:cs="Arial"/>
              </w:rPr>
              <w:t>Total revenue</w:t>
            </w:r>
          </w:p>
        </w:tc>
        <w:tc>
          <w:tcPr>
            <w:tcW w:w="0" w:type="auto"/>
          </w:tcPr>
          <w:p w14:paraId="7CD1585E"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5,788</w:t>
            </w:r>
          </w:p>
        </w:tc>
        <w:tc>
          <w:tcPr>
            <w:tcW w:w="0" w:type="auto"/>
          </w:tcPr>
          <w:p w14:paraId="0637FBD9"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8,773</w:t>
            </w:r>
          </w:p>
        </w:tc>
        <w:tc>
          <w:tcPr>
            <w:tcW w:w="0" w:type="auto"/>
          </w:tcPr>
          <w:p w14:paraId="2CC56450"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10,235</w:t>
            </w:r>
          </w:p>
        </w:tc>
        <w:tc>
          <w:tcPr>
            <w:tcW w:w="0" w:type="auto"/>
          </w:tcPr>
          <w:p w14:paraId="2BA6188C"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11,174</w:t>
            </w:r>
          </w:p>
        </w:tc>
        <w:tc>
          <w:tcPr>
            <w:tcW w:w="0" w:type="auto"/>
          </w:tcPr>
          <w:p w14:paraId="1E087147"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12,039</w:t>
            </w:r>
          </w:p>
        </w:tc>
      </w:tr>
      <w:tr w:rsidR="00EF3107" w:rsidRPr="00CA4F57" w14:paraId="4A8CBEFE" w14:textId="77777777" w:rsidTr="00747301">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A4CC870" w14:textId="77777777" w:rsidR="00EF3107" w:rsidRPr="00CA4F57" w:rsidRDefault="00EF3107" w:rsidP="00226CF3">
            <w:pPr>
              <w:rPr>
                <w:rFonts w:ascii="Arial" w:hAnsi="Arial" w:cs="Arial"/>
              </w:rPr>
            </w:pPr>
            <w:r w:rsidRPr="00CA4F57">
              <w:rPr>
                <w:rFonts w:ascii="Arial" w:hAnsi="Arial" w:cs="Arial"/>
              </w:rPr>
              <w:t>Gross profit</w:t>
            </w:r>
          </w:p>
        </w:tc>
        <w:tc>
          <w:tcPr>
            <w:tcW w:w="0" w:type="auto"/>
          </w:tcPr>
          <w:p w14:paraId="3EB228E2"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1,655</w:t>
            </w:r>
          </w:p>
        </w:tc>
        <w:tc>
          <w:tcPr>
            <w:tcW w:w="0" w:type="auto"/>
          </w:tcPr>
          <w:p w14:paraId="53D748C8"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2,698</w:t>
            </w:r>
          </w:p>
        </w:tc>
        <w:tc>
          <w:tcPr>
            <w:tcW w:w="0" w:type="auto"/>
          </w:tcPr>
          <w:p w14:paraId="051002F7"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2,930</w:t>
            </w:r>
          </w:p>
        </w:tc>
        <w:tc>
          <w:tcPr>
            <w:tcW w:w="0" w:type="auto"/>
          </w:tcPr>
          <w:p w14:paraId="524E7D32"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3,063</w:t>
            </w:r>
          </w:p>
        </w:tc>
        <w:tc>
          <w:tcPr>
            <w:tcW w:w="0" w:type="auto"/>
          </w:tcPr>
          <w:p w14:paraId="2825BB3C"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3,395</w:t>
            </w:r>
          </w:p>
        </w:tc>
      </w:tr>
      <w:tr w:rsidR="00EF3107" w:rsidRPr="00CA4F57" w14:paraId="6D09DF9E" w14:textId="77777777" w:rsidTr="007473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487FA15" w14:textId="77777777" w:rsidR="00EF3107" w:rsidRPr="00CA4F57" w:rsidRDefault="00EF3107" w:rsidP="00226CF3">
            <w:pPr>
              <w:rPr>
                <w:rFonts w:ascii="Arial" w:hAnsi="Arial" w:cs="Arial"/>
              </w:rPr>
            </w:pPr>
            <w:r w:rsidRPr="00CA4F57">
              <w:rPr>
                <w:rFonts w:ascii="Arial" w:hAnsi="Arial" w:cs="Arial"/>
              </w:rPr>
              <w:t>EBIT (operating income)</w:t>
            </w:r>
          </w:p>
        </w:tc>
        <w:tc>
          <w:tcPr>
            <w:tcW w:w="0" w:type="auto"/>
          </w:tcPr>
          <w:p w14:paraId="3F91A902"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1,010</w:t>
            </w:r>
          </w:p>
        </w:tc>
        <w:tc>
          <w:tcPr>
            <w:tcW w:w="0" w:type="auto"/>
          </w:tcPr>
          <w:p w14:paraId="520D801A"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2,094</w:t>
            </w:r>
          </w:p>
        </w:tc>
        <w:tc>
          <w:tcPr>
            <w:tcW w:w="0" w:type="auto"/>
          </w:tcPr>
          <w:p w14:paraId="6AF83F22"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2,225</w:t>
            </w:r>
          </w:p>
        </w:tc>
        <w:tc>
          <w:tcPr>
            <w:tcW w:w="0" w:type="auto"/>
          </w:tcPr>
          <w:p w14:paraId="509AE573"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2,370</w:t>
            </w:r>
          </w:p>
        </w:tc>
        <w:tc>
          <w:tcPr>
            <w:tcW w:w="0" w:type="auto"/>
          </w:tcPr>
          <w:p w14:paraId="61614E68"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2,693</w:t>
            </w:r>
          </w:p>
        </w:tc>
      </w:tr>
      <w:tr w:rsidR="00EF3107" w:rsidRPr="00CA4F57" w14:paraId="1CDF1BAD" w14:textId="77777777" w:rsidTr="00747301">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2ED4A98F" w14:textId="77777777" w:rsidR="00EF3107" w:rsidRPr="00CA4F57" w:rsidRDefault="00EF3107" w:rsidP="00226CF3">
            <w:pPr>
              <w:rPr>
                <w:rFonts w:ascii="Arial" w:hAnsi="Arial" w:cs="Arial"/>
              </w:rPr>
            </w:pPr>
            <w:r w:rsidRPr="00CA4F57">
              <w:rPr>
                <w:rFonts w:ascii="Arial" w:hAnsi="Arial" w:cs="Arial"/>
              </w:rPr>
              <w:t>Net income</w:t>
            </w:r>
          </w:p>
        </w:tc>
        <w:tc>
          <w:tcPr>
            <w:tcW w:w="0" w:type="auto"/>
          </w:tcPr>
          <w:p w14:paraId="2F79A1DA"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407</w:t>
            </w:r>
          </w:p>
        </w:tc>
        <w:tc>
          <w:tcPr>
            <w:tcW w:w="0" w:type="auto"/>
          </w:tcPr>
          <w:p w14:paraId="6842E5EF"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1,257</w:t>
            </w:r>
          </w:p>
        </w:tc>
        <w:tc>
          <w:tcPr>
            <w:tcW w:w="0" w:type="auto"/>
          </w:tcPr>
          <w:p w14:paraId="697BF570"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1,151</w:t>
            </w:r>
          </w:p>
        </w:tc>
        <w:tc>
          <w:tcPr>
            <w:tcW w:w="0" w:type="auto"/>
          </w:tcPr>
          <w:p w14:paraId="5383ADF1"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1,539</w:t>
            </w:r>
          </w:p>
        </w:tc>
        <w:tc>
          <w:tcPr>
            <w:tcW w:w="0" w:type="auto"/>
          </w:tcPr>
          <w:p w14:paraId="7DB4D1BC"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1,461</w:t>
            </w:r>
          </w:p>
        </w:tc>
      </w:tr>
      <w:tr w:rsidR="00EF3107" w:rsidRPr="00CA4F57" w14:paraId="51E25BD3" w14:textId="77777777" w:rsidTr="007473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635716C" w14:textId="77777777" w:rsidR="00EF3107" w:rsidRPr="00CA4F57" w:rsidRDefault="00EF3107" w:rsidP="00226CF3">
            <w:pPr>
              <w:rPr>
                <w:rFonts w:ascii="Arial" w:hAnsi="Arial" w:cs="Arial"/>
              </w:rPr>
            </w:pPr>
            <w:r w:rsidRPr="00CA4F57">
              <w:rPr>
                <w:rFonts w:ascii="Arial" w:hAnsi="Arial" w:cs="Arial"/>
              </w:rPr>
              <w:t>Total assets</w:t>
            </w:r>
          </w:p>
        </w:tc>
        <w:tc>
          <w:tcPr>
            <w:tcW w:w="0" w:type="auto"/>
          </w:tcPr>
          <w:p w14:paraId="3B4D1134"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15,441</w:t>
            </w:r>
          </w:p>
        </w:tc>
        <w:tc>
          <w:tcPr>
            <w:tcW w:w="0" w:type="auto"/>
          </w:tcPr>
          <w:p w14:paraId="1699D0FC"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15,512</w:t>
            </w:r>
          </w:p>
        </w:tc>
        <w:tc>
          <w:tcPr>
            <w:tcW w:w="0" w:type="auto"/>
          </w:tcPr>
          <w:p w14:paraId="25F305E7"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15,401</w:t>
            </w:r>
          </w:p>
        </w:tc>
        <w:tc>
          <w:tcPr>
            <w:tcW w:w="0" w:type="auto"/>
          </w:tcPr>
          <w:p w14:paraId="773624CA"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16,522</w:t>
            </w:r>
          </w:p>
        </w:tc>
        <w:tc>
          <w:tcPr>
            <w:tcW w:w="0" w:type="auto"/>
          </w:tcPr>
          <w:p w14:paraId="732E4A39"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16,774</w:t>
            </w:r>
          </w:p>
        </w:tc>
      </w:tr>
      <w:tr w:rsidR="00EF3107" w:rsidRPr="00CA4F57" w14:paraId="6871E83D" w14:textId="77777777" w:rsidTr="00747301">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3E995E0" w14:textId="77777777" w:rsidR="00EF3107" w:rsidRPr="00CA4F57" w:rsidRDefault="00EF3107" w:rsidP="00226CF3">
            <w:pPr>
              <w:rPr>
                <w:rFonts w:ascii="Arial" w:hAnsi="Arial" w:cs="Arial"/>
              </w:rPr>
            </w:pPr>
            <w:r w:rsidRPr="00CA4F57">
              <w:rPr>
                <w:rFonts w:ascii="Arial" w:hAnsi="Arial" w:cs="Arial"/>
              </w:rPr>
              <w:t>Total equity (deficit)</w:t>
            </w:r>
          </w:p>
        </w:tc>
        <w:tc>
          <w:tcPr>
            <w:tcW w:w="0" w:type="auto"/>
          </w:tcPr>
          <w:p w14:paraId="6327A59D"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(819)</w:t>
            </w:r>
          </w:p>
        </w:tc>
        <w:tc>
          <w:tcPr>
            <w:tcW w:w="0" w:type="auto"/>
          </w:tcPr>
          <w:p w14:paraId="03095FF7"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(1,098)</w:t>
            </w:r>
          </w:p>
        </w:tc>
        <w:tc>
          <w:tcPr>
            <w:tcW w:w="0" w:type="auto"/>
          </w:tcPr>
          <w:p w14:paraId="19B337BC"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(2,347)</w:t>
            </w:r>
          </w:p>
        </w:tc>
        <w:tc>
          <w:tcPr>
            <w:tcW w:w="0" w:type="auto"/>
          </w:tcPr>
          <w:p w14:paraId="0B6DF933"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(3,689)</w:t>
            </w:r>
          </w:p>
        </w:tc>
        <w:tc>
          <w:tcPr>
            <w:tcW w:w="0" w:type="auto"/>
          </w:tcPr>
          <w:p w14:paraId="14FDD21A"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(5,346)</w:t>
            </w:r>
          </w:p>
        </w:tc>
      </w:tr>
    </w:tbl>
    <w:p w14:paraId="74E76039" w14:textId="77777777" w:rsidR="00EF3107" w:rsidRPr="00CA4F57" w:rsidRDefault="00EF3107" w:rsidP="00EF3107">
      <w:pPr>
        <w:pStyle w:val="Heading2"/>
        <w:rPr>
          <w:rFonts w:ascii="Arial" w:hAnsi="Arial" w:cs="Arial"/>
        </w:rPr>
      </w:pPr>
      <w:bookmarkStart w:id="3" w:name="_Toc234455323"/>
      <w:bookmarkStart w:id="4" w:name="_Toc235009383"/>
      <w:r w:rsidRPr="00CA4F57">
        <w:rPr>
          <w:rFonts w:ascii="Arial" w:hAnsi="Arial" w:cs="Arial"/>
        </w:rPr>
        <w:t>2.1 Profitability</w:t>
      </w:r>
      <w:bookmarkEnd w:id="3"/>
      <w:bookmarkEnd w:id="4"/>
    </w:p>
    <w:p w14:paraId="6B635268" w14:textId="77777777" w:rsidR="00EF3107" w:rsidRPr="00CA4F57" w:rsidRDefault="00EF3107" w:rsidP="00EF3107">
      <w:pPr>
        <w:rPr>
          <w:rFonts w:ascii="Arial" w:hAnsi="Arial" w:cs="Arial"/>
        </w:rPr>
      </w:pPr>
      <w:r w:rsidRPr="00CA4F57">
        <w:rPr>
          <w:rFonts w:ascii="Arial" w:hAnsi="Arial" w:cs="Arial"/>
        </w:rPr>
        <w:t>Profitability has significantly increased over time. Gross profit margin remained relatively stable at 27%-31%, whereas EBIT (operating) margin was increased from 17.4% in FY2021 to 22.4% in FY2025, and EBITDA margin was increased from 21.3% to 24.3% (author’s Excel model, Appendix A). On the other hand, net profit margin, which is characterized by greater volatility due to growth in net interest expense, changed from 7.0% (FY2021) to the maximum of 14.3% (FY2022) and settled at 12.1% in FY2025. Return on Capital Employed (ROCE) calculated as EBIT</w:t>
      </w:r>
      <w:proofErr w:type="gramStart"/>
      <w:r w:rsidRPr="00CA4F57">
        <w:rPr>
          <w:rFonts w:ascii="Arial" w:hAnsi="Arial" w:cs="Arial"/>
        </w:rPr>
        <w:t>/(</w:t>
      </w:r>
      <w:proofErr w:type="gramEnd"/>
      <w:r w:rsidRPr="00CA4F57">
        <w:rPr>
          <w:rFonts w:ascii="Arial" w:hAnsi="Arial" w:cs="Arial"/>
        </w:rPr>
        <w:t xml:space="preserve">total assets - current liabilities) has steadily increased from 8.1% to 22.0%, showing that Hilton creates growing operating returns on its capital employed, which is logical for company with low capital intensity, fee-based management and franchise model </w:t>
      </w:r>
      <w:r w:rsidRPr="00CA4F57">
        <w:rPr>
          <w:rFonts w:ascii="Arial" w:hAnsi="Arial" w:cs="Arial"/>
        </w:rPr>
        <w:lastRenderedPageBreak/>
        <w:t>where the majority of income comes from fees rather than real estate (Hilton Worldwide Holdings Inc., 2026).</w:t>
      </w:r>
    </w:p>
    <w:p w14:paraId="5C5D489B" w14:textId="77777777" w:rsidR="00EF3107" w:rsidRPr="00CA4F57" w:rsidRDefault="00EF3107" w:rsidP="00EF3107">
      <w:pPr>
        <w:rPr>
          <w:rFonts w:ascii="Arial" w:hAnsi="Arial" w:cs="Arial"/>
        </w:rPr>
      </w:pPr>
      <w:bookmarkStart w:id="5" w:name="_Toc234455324"/>
      <w:r w:rsidRPr="00CA4F57">
        <w:rPr>
          <w:rFonts w:ascii="Arial" w:hAnsi="Arial" w:cs="Arial"/>
        </w:rPr>
        <w:t>ROE is, on the other hand, negative for the whole period (–49.7% in FY2021, –114.5% in FY2022, and –27.3% in FY2025). However, it should be noted that this measure does not indicate inefficiency in operations; instead, it is a mathematical result due to the fact that the total shareholders’ equity at Hilton is negative each year of the review period (from –$819m in FY2021 to –$5,346m in FY2025), resulting from the sum of share repurchases made possible by cash flow from operations and borrowing (Hilton Worldwide Holdings Inc., 2026). It means that the ROE is not an economic measure for Hilton in the existing capital structure, and the ROCE and ROA (increasing from 2.6% to 8.7%) are more relevant ones (Atrill, 2020).</w:t>
      </w:r>
    </w:p>
    <w:p w14:paraId="01B740A6" w14:textId="77777777" w:rsidR="00EF3107" w:rsidRPr="00CA4F57" w:rsidRDefault="00EF3107" w:rsidP="00EF3107">
      <w:pPr>
        <w:pStyle w:val="Heading2"/>
        <w:rPr>
          <w:rFonts w:ascii="Arial" w:hAnsi="Arial" w:cs="Arial"/>
        </w:rPr>
      </w:pPr>
      <w:bookmarkStart w:id="6" w:name="_Toc235009384"/>
      <w:r w:rsidRPr="00CA4F57">
        <w:rPr>
          <w:rFonts w:ascii="Arial" w:hAnsi="Arial" w:cs="Arial"/>
        </w:rPr>
        <w:t>2.2 Liquidity</w:t>
      </w:r>
      <w:bookmarkEnd w:id="5"/>
      <w:bookmarkEnd w:id="6"/>
    </w:p>
    <w:p w14:paraId="6E37C7B7" w14:textId="77777777" w:rsidR="00EF3107" w:rsidRPr="00CA4F57" w:rsidRDefault="00EF3107" w:rsidP="00EF3107">
      <w:pPr>
        <w:rPr>
          <w:rFonts w:ascii="Arial" w:hAnsi="Arial" w:cs="Arial"/>
        </w:rPr>
      </w:pPr>
      <w:r w:rsidRPr="00CA4F57">
        <w:rPr>
          <w:rFonts w:ascii="Arial" w:hAnsi="Arial" w:cs="Arial"/>
        </w:rPr>
        <w:t>The current ratio of Hilton decreased consistently from 0.95x in FY2021 to 0.66x in FY2025, while the quick (acid-test) ratio, being essentially the same as the current ratio due to the Company lacking any material amount of inventory, decreased from 0.83x to 0.58x during the same period (author’s Excel model, Appendix A). The net working capital balance has remained negative, becoming even more so from –$148m (FY2021) to –$1,512m</w:t>
      </w:r>
    </w:p>
    <w:p w14:paraId="6CF5A626" w14:textId="77777777" w:rsidR="00EF3107" w:rsidRPr="00CA4F57" w:rsidRDefault="00EF3107" w:rsidP="00EF3107">
      <w:pPr>
        <w:jc w:val="center"/>
        <w:rPr>
          <w:rFonts w:ascii="Arial" w:hAnsi="Arial" w:cs="Arial"/>
          <w:b/>
          <w:bCs/>
        </w:rPr>
      </w:pPr>
      <w:r w:rsidRPr="00CA4F57">
        <w:rPr>
          <w:rFonts w:ascii="Arial" w:hAnsi="Arial" w:cs="Arial"/>
          <w:b/>
          <w:bCs/>
        </w:rPr>
        <w:t>Table 2. Liquidity Ratios vs Peer/Industry Benchmark, FY2021–FY2025.</w:t>
      </w:r>
    </w:p>
    <w:tbl>
      <w:tblPr>
        <w:tblW w:w="0" w:type="auto"/>
        <w:jc w:val="center"/>
        <w:tblBorders>
          <w:top w:val="single" w:sz="4" w:space="0" w:color="000000"/>
          <w:left w:val="single" w:sz="4" w:space="0" w:color="000000"/>
          <w:bottom w:val="single" w:sz="4" w:space="0" w:color="000000"/>
          <w:right w:val="single" w:sz="4" w:space="0" w:color="000000"/>
          <w:insideH w:val="single" w:sz="2" w:space="0" w:color="808080"/>
          <w:insideV w:val="single" w:sz="2" w:space="0" w:color="808080"/>
        </w:tblBorders>
        <w:tblCellMar>
          <w:left w:w="10" w:type="dxa"/>
          <w:right w:w="10" w:type="dxa"/>
        </w:tblCellMar>
        <w:tblLook w:val="04A0" w:firstRow="1" w:lastRow="0" w:firstColumn="1" w:lastColumn="0" w:noHBand="0" w:noVBand="1"/>
      </w:tblPr>
      <w:tblGrid>
        <w:gridCol w:w="2735"/>
        <w:gridCol w:w="928"/>
        <w:gridCol w:w="928"/>
        <w:gridCol w:w="921"/>
        <w:gridCol w:w="921"/>
        <w:gridCol w:w="921"/>
      </w:tblGrid>
      <w:tr w:rsidR="00EF3107" w:rsidRPr="00CA4F57" w14:paraId="48DA423A" w14:textId="77777777" w:rsidTr="00B44C41">
        <w:trPr>
          <w:tblHeader/>
          <w:jc w:val="center"/>
        </w:trPr>
        <w:tc>
          <w:tcPr>
            <w:tcW w:w="0" w:type="auto"/>
            <w:shd w:val="clear" w:color="auto" w:fill="D9D9D9"/>
            <w:tcMar>
              <w:top w:w="60" w:type="dxa"/>
              <w:left w:w="100" w:type="dxa"/>
              <w:bottom w:w="60" w:type="dxa"/>
              <w:right w:w="100" w:type="dxa"/>
            </w:tcMar>
            <w:vAlign w:val="center"/>
          </w:tcPr>
          <w:p w14:paraId="26F3FB83" w14:textId="77777777" w:rsidR="00EF3107" w:rsidRPr="00CA4F57" w:rsidRDefault="00EF3107" w:rsidP="00226CF3">
            <w:pPr>
              <w:rPr>
                <w:rFonts w:ascii="Arial" w:hAnsi="Arial" w:cs="Arial"/>
              </w:rPr>
            </w:pPr>
            <w:r w:rsidRPr="00CA4F57">
              <w:rPr>
                <w:rFonts w:ascii="Arial" w:hAnsi="Arial" w:cs="Arial"/>
              </w:rPr>
              <w:t>Ratio</w:t>
            </w:r>
          </w:p>
        </w:tc>
        <w:tc>
          <w:tcPr>
            <w:tcW w:w="0" w:type="auto"/>
            <w:shd w:val="clear" w:color="auto" w:fill="D9D9D9"/>
            <w:tcMar>
              <w:top w:w="60" w:type="dxa"/>
              <w:left w:w="100" w:type="dxa"/>
              <w:bottom w:w="60" w:type="dxa"/>
              <w:right w:w="100" w:type="dxa"/>
            </w:tcMar>
            <w:vAlign w:val="center"/>
          </w:tcPr>
          <w:p w14:paraId="7904A63B" w14:textId="77777777" w:rsidR="00EF3107" w:rsidRPr="00CA4F57" w:rsidRDefault="00EF3107" w:rsidP="00226CF3">
            <w:pPr>
              <w:rPr>
                <w:rFonts w:ascii="Arial" w:hAnsi="Arial" w:cs="Arial"/>
              </w:rPr>
            </w:pPr>
            <w:r w:rsidRPr="00CA4F57">
              <w:rPr>
                <w:rFonts w:ascii="Arial" w:hAnsi="Arial" w:cs="Arial"/>
              </w:rPr>
              <w:t>2021</w:t>
            </w:r>
          </w:p>
        </w:tc>
        <w:tc>
          <w:tcPr>
            <w:tcW w:w="0" w:type="auto"/>
            <w:shd w:val="clear" w:color="auto" w:fill="D9D9D9"/>
            <w:tcMar>
              <w:top w:w="60" w:type="dxa"/>
              <w:left w:w="100" w:type="dxa"/>
              <w:bottom w:w="60" w:type="dxa"/>
              <w:right w:w="100" w:type="dxa"/>
            </w:tcMar>
            <w:vAlign w:val="center"/>
          </w:tcPr>
          <w:p w14:paraId="426A16E0" w14:textId="77777777" w:rsidR="00EF3107" w:rsidRPr="00CA4F57" w:rsidRDefault="00EF3107" w:rsidP="00226CF3">
            <w:pPr>
              <w:rPr>
                <w:rFonts w:ascii="Arial" w:hAnsi="Arial" w:cs="Arial"/>
              </w:rPr>
            </w:pPr>
            <w:r w:rsidRPr="00CA4F57">
              <w:rPr>
                <w:rFonts w:ascii="Arial" w:hAnsi="Arial" w:cs="Arial"/>
              </w:rPr>
              <w:t>2022</w:t>
            </w:r>
          </w:p>
        </w:tc>
        <w:tc>
          <w:tcPr>
            <w:tcW w:w="0" w:type="auto"/>
            <w:shd w:val="clear" w:color="auto" w:fill="D9D9D9"/>
            <w:tcMar>
              <w:top w:w="60" w:type="dxa"/>
              <w:left w:w="100" w:type="dxa"/>
              <w:bottom w:w="60" w:type="dxa"/>
              <w:right w:w="100" w:type="dxa"/>
            </w:tcMar>
            <w:vAlign w:val="center"/>
          </w:tcPr>
          <w:p w14:paraId="7AFC6983" w14:textId="77777777" w:rsidR="00EF3107" w:rsidRPr="00CA4F57" w:rsidRDefault="00EF3107" w:rsidP="00226CF3">
            <w:pPr>
              <w:rPr>
                <w:rFonts w:ascii="Arial" w:hAnsi="Arial" w:cs="Arial"/>
              </w:rPr>
            </w:pPr>
            <w:r w:rsidRPr="00CA4F57">
              <w:rPr>
                <w:rFonts w:ascii="Arial" w:hAnsi="Arial" w:cs="Arial"/>
              </w:rPr>
              <w:t>2023</w:t>
            </w:r>
          </w:p>
        </w:tc>
        <w:tc>
          <w:tcPr>
            <w:tcW w:w="0" w:type="auto"/>
            <w:shd w:val="clear" w:color="auto" w:fill="D9D9D9"/>
            <w:tcMar>
              <w:top w:w="60" w:type="dxa"/>
              <w:left w:w="100" w:type="dxa"/>
              <w:bottom w:w="60" w:type="dxa"/>
              <w:right w:w="100" w:type="dxa"/>
            </w:tcMar>
            <w:vAlign w:val="center"/>
          </w:tcPr>
          <w:p w14:paraId="4068B423" w14:textId="77777777" w:rsidR="00EF3107" w:rsidRPr="00CA4F57" w:rsidRDefault="00EF3107" w:rsidP="00226CF3">
            <w:pPr>
              <w:rPr>
                <w:rFonts w:ascii="Arial" w:hAnsi="Arial" w:cs="Arial"/>
              </w:rPr>
            </w:pPr>
            <w:r w:rsidRPr="00CA4F57">
              <w:rPr>
                <w:rFonts w:ascii="Arial" w:hAnsi="Arial" w:cs="Arial"/>
              </w:rPr>
              <w:t>2024</w:t>
            </w:r>
          </w:p>
        </w:tc>
        <w:tc>
          <w:tcPr>
            <w:tcW w:w="0" w:type="auto"/>
            <w:shd w:val="clear" w:color="auto" w:fill="D9D9D9"/>
            <w:tcMar>
              <w:top w:w="60" w:type="dxa"/>
              <w:left w:w="100" w:type="dxa"/>
              <w:bottom w:w="60" w:type="dxa"/>
              <w:right w:w="100" w:type="dxa"/>
            </w:tcMar>
            <w:vAlign w:val="center"/>
          </w:tcPr>
          <w:p w14:paraId="0BD36BC6" w14:textId="77777777" w:rsidR="00EF3107" w:rsidRPr="00CA4F57" w:rsidRDefault="00EF3107" w:rsidP="00226CF3">
            <w:pPr>
              <w:rPr>
                <w:rFonts w:ascii="Arial" w:hAnsi="Arial" w:cs="Arial"/>
              </w:rPr>
            </w:pPr>
            <w:r w:rsidRPr="00CA4F57">
              <w:rPr>
                <w:rFonts w:ascii="Arial" w:hAnsi="Arial" w:cs="Arial"/>
              </w:rPr>
              <w:t>2025</w:t>
            </w:r>
          </w:p>
        </w:tc>
      </w:tr>
      <w:tr w:rsidR="00EF3107" w:rsidRPr="00CA4F57" w14:paraId="7D3BB6E2" w14:textId="77777777" w:rsidTr="00B44C41">
        <w:trPr>
          <w:jc w:val="center"/>
        </w:trPr>
        <w:tc>
          <w:tcPr>
            <w:tcW w:w="0" w:type="auto"/>
            <w:tcMar>
              <w:top w:w="60" w:type="dxa"/>
              <w:left w:w="100" w:type="dxa"/>
              <w:bottom w:w="60" w:type="dxa"/>
              <w:right w:w="100" w:type="dxa"/>
            </w:tcMar>
            <w:vAlign w:val="center"/>
          </w:tcPr>
          <w:p w14:paraId="782B86DB" w14:textId="77777777" w:rsidR="00EF3107" w:rsidRPr="00CA4F57" w:rsidRDefault="00EF3107" w:rsidP="00226CF3">
            <w:pPr>
              <w:rPr>
                <w:rFonts w:ascii="Arial" w:hAnsi="Arial" w:cs="Arial"/>
              </w:rPr>
            </w:pPr>
            <w:r w:rsidRPr="00CA4F57">
              <w:rPr>
                <w:rFonts w:ascii="Arial" w:hAnsi="Arial" w:cs="Arial"/>
              </w:rPr>
              <w:t>Hilton current ratio</w:t>
            </w:r>
          </w:p>
        </w:tc>
        <w:tc>
          <w:tcPr>
            <w:tcW w:w="0" w:type="auto"/>
            <w:tcMar>
              <w:top w:w="60" w:type="dxa"/>
              <w:left w:w="100" w:type="dxa"/>
              <w:bottom w:w="60" w:type="dxa"/>
              <w:right w:w="100" w:type="dxa"/>
            </w:tcMar>
            <w:vAlign w:val="center"/>
          </w:tcPr>
          <w:p w14:paraId="38E16CF4" w14:textId="77777777" w:rsidR="00EF3107" w:rsidRPr="00CA4F57" w:rsidRDefault="00EF3107" w:rsidP="00226CF3">
            <w:pPr>
              <w:rPr>
                <w:rFonts w:ascii="Arial" w:hAnsi="Arial" w:cs="Arial"/>
              </w:rPr>
            </w:pPr>
            <w:r w:rsidRPr="00CA4F57">
              <w:rPr>
                <w:rFonts w:ascii="Arial" w:hAnsi="Arial" w:cs="Arial"/>
              </w:rPr>
              <w:t>0.95x</w:t>
            </w:r>
          </w:p>
        </w:tc>
        <w:tc>
          <w:tcPr>
            <w:tcW w:w="0" w:type="auto"/>
            <w:tcMar>
              <w:top w:w="60" w:type="dxa"/>
              <w:left w:w="100" w:type="dxa"/>
              <w:bottom w:w="60" w:type="dxa"/>
              <w:right w:w="100" w:type="dxa"/>
            </w:tcMar>
            <w:vAlign w:val="center"/>
          </w:tcPr>
          <w:p w14:paraId="3B1DADF9" w14:textId="77777777" w:rsidR="00EF3107" w:rsidRPr="00CA4F57" w:rsidRDefault="00EF3107" w:rsidP="00226CF3">
            <w:pPr>
              <w:rPr>
                <w:rFonts w:ascii="Arial" w:hAnsi="Arial" w:cs="Arial"/>
              </w:rPr>
            </w:pPr>
            <w:r w:rsidRPr="00CA4F57">
              <w:rPr>
                <w:rFonts w:ascii="Arial" w:hAnsi="Arial" w:cs="Arial"/>
              </w:rPr>
              <w:t>0.85x</w:t>
            </w:r>
          </w:p>
        </w:tc>
        <w:tc>
          <w:tcPr>
            <w:tcW w:w="0" w:type="auto"/>
            <w:tcMar>
              <w:top w:w="60" w:type="dxa"/>
              <w:left w:w="100" w:type="dxa"/>
              <w:bottom w:w="60" w:type="dxa"/>
              <w:right w:w="100" w:type="dxa"/>
            </w:tcMar>
            <w:vAlign w:val="center"/>
          </w:tcPr>
          <w:p w14:paraId="7CA8016B" w14:textId="77777777" w:rsidR="00EF3107" w:rsidRPr="00CA4F57" w:rsidRDefault="00EF3107" w:rsidP="00226CF3">
            <w:pPr>
              <w:rPr>
                <w:rFonts w:ascii="Arial" w:hAnsi="Arial" w:cs="Arial"/>
              </w:rPr>
            </w:pPr>
            <w:r w:rsidRPr="00CA4F57">
              <w:rPr>
                <w:rFonts w:ascii="Arial" w:hAnsi="Arial" w:cs="Arial"/>
              </w:rPr>
              <w:t>0.70x</w:t>
            </w:r>
          </w:p>
        </w:tc>
        <w:tc>
          <w:tcPr>
            <w:tcW w:w="0" w:type="auto"/>
            <w:tcMar>
              <w:top w:w="60" w:type="dxa"/>
              <w:left w:w="100" w:type="dxa"/>
              <w:bottom w:w="60" w:type="dxa"/>
              <w:right w:w="100" w:type="dxa"/>
            </w:tcMar>
            <w:vAlign w:val="center"/>
          </w:tcPr>
          <w:p w14:paraId="544B6F83" w14:textId="77777777" w:rsidR="00EF3107" w:rsidRPr="00CA4F57" w:rsidRDefault="00EF3107" w:rsidP="00226CF3">
            <w:pPr>
              <w:rPr>
                <w:rFonts w:ascii="Arial" w:hAnsi="Arial" w:cs="Arial"/>
              </w:rPr>
            </w:pPr>
            <w:r w:rsidRPr="00CA4F57">
              <w:rPr>
                <w:rFonts w:ascii="Arial" w:hAnsi="Arial" w:cs="Arial"/>
              </w:rPr>
              <w:t>0.70x</w:t>
            </w:r>
          </w:p>
        </w:tc>
        <w:tc>
          <w:tcPr>
            <w:tcW w:w="0" w:type="auto"/>
            <w:tcMar>
              <w:top w:w="60" w:type="dxa"/>
              <w:left w:w="100" w:type="dxa"/>
              <w:bottom w:w="60" w:type="dxa"/>
              <w:right w:w="100" w:type="dxa"/>
            </w:tcMar>
            <w:vAlign w:val="center"/>
          </w:tcPr>
          <w:p w14:paraId="6D01E85A" w14:textId="77777777" w:rsidR="00EF3107" w:rsidRPr="00CA4F57" w:rsidRDefault="00EF3107" w:rsidP="00226CF3">
            <w:pPr>
              <w:rPr>
                <w:rFonts w:ascii="Arial" w:hAnsi="Arial" w:cs="Arial"/>
              </w:rPr>
            </w:pPr>
            <w:r w:rsidRPr="00CA4F57">
              <w:rPr>
                <w:rFonts w:ascii="Arial" w:hAnsi="Arial" w:cs="Arial"/>
              </w:rPr>
              <w:t>0.66x</w:t>
            </w:r>
          </w:p>
        </w:tc>
      </w:tr>
      <w:tr w:rsidR="00EF3107" w:rsidRPr="00CA4F57" w14:paraId="552E17ED" w14:textId="77777777" w:rsidTr="00B44C41">
        <w:trPr>
          <w:jc w:val="center"/>
        </w:trPr>
        <w:tc>
          <w:tcPr>
            <w:tcW w:w="0" w:type="auto"/>
            <w:tcMar>
              <w:top w:w="60" w:type="dxa"/>
              <w:left w:w="100" w:type="dxa"/>
              <w:bottom w:w="60" w:type="dxa"/>
              <w:right w:w="100" w:type="dxa"/>
            </w:tcMar>
            <w:vAlign w:val="center"/>
          </w:tcPr>
          <w:p w14:paraId="76E3F568" w14:textId="77777777" w:rsidR="00EF3107" w:rsidRPr="00CA4F57" w:rsidRDefault="00EF3107" w:rsidP="00226CF3">
            <w:pPr>
              <w:rPr>
                <w:rFonts w:ascii="Arial" w:hAnsi="Arial" w:cs="Arial"/>
              </w:rPr>
            </w:pPr>
            <w:r w:rsidRPr="00CA4F57">
              <w:rPr>
                <w:rFonts w:ascii="Arial" w:hAnsi="Arial" w:cs="Arial"/>
              </w:rPr>
              <w:t>Peer benchmark (</w:t>
            </w:r>
            <w:proofErr w:type="gramStart"/>
            <w:r w:rsidRPr="00CA4F57">
              <w:rPr>
                <w:rFonts w:ascii="Arial" w:hAnsi="Arial" w:cs="Arial"/>
              </w:rPr>
              <w:t>avg.)*</w:t>
            </w:r>
            <w:proofErr w:type="gramEnd"/>
          </w:p>
        </w:tc>
        <w:tc>
          <w:tcPr>
            <w:tcW w:w="0" w:type="auto"/>
            <w:tcMar>
              <w:top w:w="60" w:type="dxa"/>
              <w:left w:w="100" w:type="dxa"/>
              <w:bottom w:w="60" w:type="dxa"/>
              <w:right w:w="100" w:type="dxa"/>
            </w:tcMar>
            <w:vAlign w:val="center"/>
          </w:tcPr>
          <w:p w14:paraId="224A99FC" w14:textId="77777777" w:rsidR="00EF3107" w:rsidRPr="00CA4F57" w:rsidRDefault="00EF3107" w:rsidP="00226CF3">
            <w:pPr>
              <w:rPr>
                <w:rFonts w:ascii="Arial" w:hAnsi="Arial" w:cs="Arial"/>
              </w:rPr>
            </w:pPr>
            <w:r w:rsidRPr="00CA4F57">
              <w:rPr>
                <w:rFonts w:ascii="Arial" w:hAnsi="Arial" w:cs="Arial"/>
              </w:rPr>
              <w:t>0.72x</w:t>
            </w:r>
          </w:p>
        </w:tc>
        <w:tc>
          <w:tcPr>
            <w:tcW w:w="0" w:type="auto"/>
            <w:tcMar>
              <w:top w:w="60" w:type="dxa"/>
              <w:left w:w="100" w:type="dxa"/>
              <w:bottom w:w="60" w:type="dxa"/>
              <w:right w:w="100" w:type="dxa"/>
            </w:tcMar>
            <w:vAlign w:val="center"/>
          </w:tcPr>
          <w:p w14:paraId="23020E1F" w14:textId="77777777" w:rsidR="00EF3107" w:rsidRPr="00CA4F57" w:rsidRDefault="00EF3107" w:rsidP="00226CF3">
            <w:pPr>
              <w:rPr>
                <w:rFonts w:ascii="Arial" w:hAnsi="Arial" w:cs="Arial"/>
              </w:rPr>
            </w:pPr>
            <w:r w:rsidRPr="00CA4F57">
              <w:rPr>
                <w:rFonts w:ascii="Arial" w:hAnsi="Arial" w:cs="Arial"/>
              </w:rPr>
              <w:t>0.68x</w:t>
            </w:r>
          </w:p>
        </w:tc>
        <w:tc>
          <w:tcPr>
            <w:tcW w:w="0" w:type="auto"/>
            <w:tcMar>
              <w:top w:w="60" w:type="dxa"/>
              <w:left w:w="100" w:type="dxa"/>
              <w:bottom w:w="60" w:type="dxa"/>
              <w:right w:w="100" w:type="dxa"/>
            </w:tcMar>
            <w:vAlign w:val="center"/>
          </w:tcPr>
          <w:p w14:paraId="20E4903C" w14:textId="77777777" w:rsidR="00EF3107" w:rsidRPr="00CA4F57" w:rsidRDefault="00EF3107" w:rsidP="00226CF3">
            <w:pPr>
              <w:rPr>
                <w:rFonts w:ascii="Arial" w:hAnsi="Arial" w:cs="Arial"/>
              </w:rPr>
            </w:pPr>
            <w:r w:rsidRPr="00CA4F57">
              <w:rPr>
                <w:rFonts w:ascii="Arial" w:hAnsi="Arial" w:cs="Arial"/>
              </w:rPr>
              <w:t>0.75x</w:t>
            </w:r>
          </w:p>
        </w:tc>
        <w:tc>
          <w:tcPr>
            <w:tcW w:w="0" w:type="auto"/>
            <w:tcMar>
              <w:top w:w="60" w:type="dxa"/>
              <w:left w:w="100" w:type="dxa"/>
              <w:bottom w:w="60" w:type="dxa"/>
              <w:right w:w="100" w:type="dxa"/>
            </w:tcMar>
            <w:vAlign w:val="center"/>
          </w:tcPr>
          <w:p w14:paraId="7B7E0085" w14:textId="77777777" w:rsidR="00EF3107" w:rsidRPr="00CA4F57" w:rsidRDefault="00EF3107" w:rsidP="00226CF3">
            <w:pPr>
              <w:rPr>
                <w:rFonts w:ascii="Arial" w:hAnsi="Arial" w:cs="Arial"/>
              </w:rPr>
            </w:pPr>
            <w:r w:rsidRPr="00CA4F57">
              <w:rPr>
                <w:rFonts w:ascii="Arial" w:hAnsi="Arial" w:cs="Arial"/>
              </w:rPr>
              <w:t>0.85x</w:t>
            </w:r>
          </w:p>
        </w:tc>
        <w:tc>
          <w:tcPr>
            <w:tcW w:w="0" w:type="auto"/>
            <w:tcMar>
              <w:top w:w="60" w:type="dxa"/>
              <w:left w:w="100" w:type="dxa"/>
              <w:bottom w:w="60" w:type="dxa"/>
              <w:right w:w="100" w:type="dxa"/>
            </w:tcMar>
            <w:vAlign w:val="center"/>
          </w:tcPr>
          <w:p w14:paraId="2BE6ED65" w14:textId="77777777" w:rsidR="00EF3107" w:rsidRPr="00CA4F57" w:rsidRDefault="00EF3107" w:rsidP="00226CF3">
            <w:pPr>
              <w:rPr>
                <w:rFonts w:ascii="Arial" w:hAnsi="Arial" w:cs="Arial"/>
              </w:rPr>
            </w:pPr>
            <w:r w:rsidRPr="00CA4F57">
              <w:rPr>
                <w:rFonts w:ascii="Arial" w:hAnsi="Arial" w:cs="Arial"/>
              </w:rPr>
              <w:t>0.70x</w:t>
            </w:r>
          </w:p>
        </w:tc>
      </w:tr>
      <w:tr w:rsidR="00EF3107" w:rsidRPr="00CA4F57" w14:paraId="7D528719" w14:textId="77777777" w:rsidTr="00B44C41">
        <w:trPr>
          <w:jc w:val="center"/>
        </w:trPr>
        <w:tc>
          <w:tcPr>
            <w:tcW w:w="0" w:type="auto"/>
            <w:tcMar>
              <w:top w:w="60" w:type="dxa"/>
              <w:left w:w="100" w:type="dxa"/>
              <w:bottom w:w="60" w:type="dxa"/>
              <w:right w:w="100" w:type="dxa"/>
            </w:tcMar>
            <w:vAlign w:val="center"/>
          </w:tcPr>
          <w:p w14:paraId="6458CFF0" w14:textId="77777777" w:rsidR="00EF3107" w:rsidRPr="00CA4F57" w:rsidRDefault="00EF3107" w:rsidP="00226CF3">
            <w:pPr>
              <w:rPr>
                <w:rFonts w:ascii="Arial" w:hAnsi="Arial" w:cs="Arial"/>
              </w:rPr>
            </w:pPr>
            <w:r w:rsidRPr="00CA4F57">
              <w:rPr>
                <w:rFonts w:ascii="Arial" w:hAnsi="Arial" w:cs="Arial"/>
              </w:rPr>
              <w:t>Variance vs benchmark</w:t>
            </w:r>
          </w:p>
        </w:tc>
        <w:tc>
          <w:tcPr>
            <w:tcW w:w="0" w:type="auto"/>
            <w:tcMar>
              <w:top w:w="60" w:type="dxa"/>
              <w:left w:w="100" w:type="dxa"/>
              <w:bottom w:w="60" w:type="dxa"/>
              <w:right w:w="100" w:type="dxa"/>
            </w:tcMar>
            <w:vAlign w:val="center"/>
          </w:tcPr>
          <w:p w14:paraId="3E2E1928" w14:textId="77777777" w:rsidR="00EF3107" w:rsidRPr="00CA4F57" w:rsidRDefault="00EF3107" w:rsidP="00226CF3">
            <w:pPr>
              <w:rPr>
                <w:rFonts w:ascii="Arial" w:hAnsi="Arial" w:cs="Arial"/>
              </w:rPr>
            </w:pPr>
            <w:r w:rsidRPr="00CA4F57">
              <w:rPr>
                <w:rFonts w:ascii="Arial" w:hAnsi="Arial" w:cs="Arial"/>
              </w:rPr>
              <w:t>+0.23x</w:t>
            </w:r>
          </w:p>
        </w:tc>
        <w:tc>
          <w:tcPr>
            <w:tcW w:w="0" w:type="auto"/>
            <w:tcMar>
              <w:top w:w="60" w:type="dxa"/>
              <w:left w:w="100" w:type="dxa"/>
              <w:bottom w:w="60" w:type="dxa"/>
              <w:right w:w="100" w:type="dxa"/>
            </w:tcMar>
            <w:vAlign w:val="center"/>
          </w:tcPr>
          <w:p w14:paraId="0987EDC0" w14:textId="77777777" w:rsidR="00EF3107" w:rsidRPr="00CA4F57" w:rsidRDefault="00EF3107" w:rsidP="00226CF3">
            <w:pPr>
              <w:rPr>
                <w:rFonts w:ascii="Arial" w:hAnsi="Arial" w:cs="Arial"/>
              </w:rPr>
            </w:pPr>
            <w:r w:rsidRPr="00CA4F57">
              <w:rPr>
                <w:rFonts w:ascii="Arial" w:hAnsi="Arial" w:cs="Arial"/>
              </w:rPr>
              <w:t>+0.17x</w:t>
            </w:r>
          </w:p>
        </w:tc>
        <w:tc>
          <w:tcPr>
            <w:tcW w:w="0" w:type="auto"/>
            <w:tcMar>
              <w:top w:w="60" w:type="dxa"/>
              <w:left w:w="100" w:type="dxa"/>
              <w:bottom w:w="60" w:type="dxa"/>
              <w:right w:w="100" w:type="dxa"/>
            </w:tcMar>
            <w:vAlign w:val="center"/>
          </w:tcPr>
          <w:p w14:paraId="3EB8868A" w14:textId="77777777" w:rsidR="00EF3107" w:rsidRPr="00CA4F57" w:rsidRDefault="00EF3107" w:rsidP="00226CF3">
            <w:pPr>
              <w:rPr>
                <w:rFonts w:ascii="Arial" w:hAnsi="Arial" w:cs="Arial"/>
              </w:rPr>
            </w:pPr>
            <w:r w:rsidRPr="00CA4F57">
              <w:rPr>
                <w:rFonts w:ascii="Arial" w:hAnsi="Arial" w:cs="Arial"/>
              </w:rPr>
              <w:t>–0.05x</w:t>
            </w:r>
          </w:p>
        </w:tc>
        <w:tc>
          <w:tcPr>
            <w:tcW w:w="0" w:type="auto"/>
            <w:tcMar>
              <w:top w:w="60" w:type="dxa"/>
              <w:left w:w="100" w:type="dxa"/>
              <w:bottom w:w="60" w:type="dxa"/>
              <w:right w:w="100" w:type="dxa"/>
            </w:tcMar>
            <w:vAlign w:val="center"/>
          </w:tcPr>
          <w:p w14:paraId="480E20EB" w14:textId="77777777" w:rsidR="00EF3107" w:rsidRPr="00CA4F57" w:rsidRDefault="00EF3107" w:rsidP="00226CF3">
            <w:pPr>
              <w:rPr>
                <w:rFonts w:ascii="Arial" w:hAnsi="Arial" w:cs="Arial"/>
              </w:rPr>
            </w:pPr>
            <w:r w:rsidRPr="00CA4F57">
              <w:rPr>
                <w:rFonts w:ascii="Arial" w:hAnsi="Arial" w:cs="Arial"/>
              </w:rPr>
              <w:t>–0.15x</w:t>
            </w:r>
          </w:p>
        </w:tc>
        <w:tc>
          <w:tcPr>
            <w:tcW w:w="0" w:type="auto"/>
            <w:tcMar>
              <w:top w:w="60" w:type="dxa"/>
              <w:left w:w="100" w:type="dxa"/>
              <w:bottom w:w="60" w:type="dxa"/>
              <w:right w:w="100" w:type="dxa"/>
            </w:tcMar>
            <w:vAlign w:val="center"/>
          </w:tcPr>
          <w:p w14:paraId="6111A778" w14:textId="77777777" w:rsidR="00EF3107" w:rsidRPr="00CA4F57" w:rsidRDefault="00EF3107" w:rsidP="00226CF3">
            <w:pPr>
              <w:rPr>
                <w:rFonts w:ascii="Arial" w:hAnsi="Arial" w:cs="Arial"/>
              </w:rPr>
            </w:pPr>
            <w:r w:rsidRPr="00CA4F57">
              <w:rPr>
                <w:rFonts w:ascii="Arial" w:hAnsi="Arial" w:cs="Arial"/>
              </w:rPr>
              <w:t>–0.04x</w:t>
            </w:r>
          </w:p>
        </w:tc>
      </w:tr>
    </w:tbl>
    <w:p w14:paraId="6215C87C" w14:textId="77777777" w:rsidR="00EF3107" w:rsidRPr="00CA4F57" w:rsidRDefault="00EF3107" w:rsidP="00EF3107">
      <w:pPr>
        <w:rPr>
          <w:rFonts w:ascii="Arial" w:hAnsi="Arial" w:cs="Arial"/>
        </w:rPr>
      </w:pPr>
      <w:r w:rsidRPr="00CA4F57">
        <w:rPr>
          <w:rFonts w:ascii="Arial" w:hAnsi="Arial" w:cs="Arial"/>
        </w:rPr>
        <w:t>*</w:t>
      </w:r>
      <w:bookmarkStart w:id="7" w:name="_Toc234455325"/>
      <w:r w:rsidRPr="00CA4F57">
        <w:rPr>
          <w:rFonts w:ascii="Arial" w:hAnsi="Arial" w:cs="Arial"/>
        </w:rPr>
        <w:t xml:space="preserve"> The peer benchmark is an indicative mean based on the current ratio range of Marriott International (range between 0.42x-0.98x over fiscal years 2021-2025; Guru Focus, 2025; Wise sheets, 2025) and the reported current ratios of approximately 0.85x and 0.79x for IHG and Hyatt (Wise sheets, 2025). Using this benchmark, Hilton surpassed the peer benchmark over FY2021-FY2022 but now lags behind it in </w:t>
      </w:r>
      <w:r w:rsidRPr="00CA4F57">
        <w:rPr>
          <w:rFonts w:ascii="Arial" w:hAnsi="Arial" w:cs="Arial"/>
        </w:rPr>
        <w:lastRenderedPageBreak/>
        <w:t xml:space="preserve">FY2023-FY2025. Although sub-1.0x current ratios are structurally typical in the major branded hotel companies due to efficient conversion of working capital (they receive franchise fees in advance and have no inventory; Chambers &amp; </w:t>
      </w:r>
      <w:proofErr w:type="spellStart"/>
      <w:r w:rsidRPr="00CA4F57">
        <w:rPr>
          <w:rFonts w:ascii="Arial" w:hAnsi="Arial" w:cs="Arial"/>
        </w:rPr>
        <w:t>Cifter</w:t>
      </w:r>
      <w:proofErr w:type="spellEnd"/>
      <w:r w:rsidRPr="00CA4F57">
        <w:rPr>
          <w:rFonts w:ascii="Arial" w:hAnsi="Arial" w:cs="Arial"/>
        </w:rPr>
        <w:t>, 2022), Hilton's sub-peer performance of current ratio coupled with the drop of its cash ratio from 0.47x to 0.20x requires management attention and will be considered in detail in Section 3.</w:t>
      </w:r>
    </w:p>
    <w:p w14:paraId="78B9275E" w14:textId="77777777" w:rsidR="00EF3107" w:rsidRPr="00CA4F57" w:rsidRDefault="00EF3107" w:rsidP="00EF3107">
      <w:pPr>
        <w:pStyle w:val="Heading2"/>
        <w:rPr>
          <w:rFonts w:ascii="Arial" w:hAnsi="Arial" w:cs="Arial"/>
        </w:rPr>
      </w:pPr>
      <w:bookmarkStart w:id="8" w:name="_Toc235009385"/>
      <w:r w:rsidRPr="00CA4F57">
        <w:rPr>
          <w:rFonts w:ascii="Arial" w:hAnsi="Arial" w:cs="Arial"/>
        </w:rPr>
        <w:t>2.3 Efficiency</w:t>
      </w:r>
      <w:bookmarkEnd w:id="7"/>
      <w:bookmarkEnd w:id="8"/>
    </w:p>
    <w:p w14:paraId="722837AF" w14:textId="77777777" w:rsidR="00EF3107" w:rsidRPr="00CA4F57" w:rsidRDefault="00EF3107" w:rsidP="00EF3107">
      <w:pPr>
        <w:rPr>
          <w:rFonts w:ascii="Arial" w:hAnsi="Arial" w:cs="Arial"/>
        </w:rPr>
      </w:pPr>
      <w:bookmarkStart w:id="9" w:name="_Toc234455326"/>
      <w:r w:rsidRPr="00CA4F57">
        <w:rPr>
          <w:rFonts w:ascii="Arial" w:hAnsi="Arial" w:cs="Arial"/>
        </w:rPr>
        <w:t>Total asset turnover almost doubled, from 0.37 times (Fiscal Year 2021) to 0.72 times (Fiscal Year 2025). This is attributed to recovery of sales and asset base that is stable as is common for an asset-light franchisor. Days sales were outstanding and decreased from 67.3 days to 51.2 days. On the other hand, days purchases outstanding decreased from 138.5 days to 98.6 days (author’s Excel model, Appendix A). Both are positive developments in their own ways since days sales outstanding will speed up the conversion of receivables to cash, while days purchases outstanding indicate that Hilton is still benefiting from supplier financing of its working capital needs.</w:t>
      </w:r>
    </w:p>
    <w:p w14:paraId="0BED1C34" w14:textId="77777777" w:rsidR="00EF3107" w:rsidRPr="00CA4F57" w:rsidRDefault="00EF3107" w:rsidP="00EF3107">
      <w:pPr>
        <w:pStyle w:val="Heading2"/>
        <w:rPr>
          <w:rFonts w:ascii="Arial" w:hAnsi="Arial" w:cs="Arial"/>
        </w:rPr>
      </w:pPr>
      <w:bookmarkStart w:id="10" w:name="_Toc235009386"/>
      <w:r w:rsidRPr="00CA4F57">
        <w:rPr>
          <w:rFonts w:ascii="Arial" w:hAnsi="Arial" w:cs="Arial"/>
        </w:rPr>
        <w:t>2.4 Gearing (Capital Structure)</w:t>
      </w:r>
      <w:bookmarkEnd w:id="9"/>
      <w:bookmarkEnd w:id="10"/>
    </w:p>
    <w:p w14:paraId="225FB276" w14:textId="77777777" w:rsidR="00EF3107" w:rsidRPr="00CA4F57" w:rsidRDefault="00EF3107" w:rsidP="00EF3107">
      <w:pPr>
        <w:rPr>
          <w:rFonts w:ascii="Arial" w:hAnsi="Arial" w:cs="Arial"/>
        </w:rPr>
      </w:pPr>
      <w:bookmarkStart w:id="11" w:name="_Toc234455327"/>
      <w:r w:rsidRPr="00CA4F57">
        <w:rPr>
          <w:rFonts w:ascii="Arial" w:hAnsi="Arial" w:cs="Arial"/>
        </w:rPr>
        <w:t>The total level of debt increased from $8,766m (FY2021) to $12,363m (FY2025). Traditional leverage indicators like the debt/equity ratio cannot be economically meaningful because the shareholders’ equity figure is negative (-10.7x in FY2021 to -2.3x in FY2025 – it merely reflects decreasing negative denominator and not de-leveraging). The more meaningful measure in this case is debt/EBITDA, which was consistently within a rather tight range of 3.8x-4.3x since FY2022 (7.1x for FY2021, which was a year of recovery after pandemic-induced disruption). Interest coverage (earnings before interest and taxes divided by net interest expense) has been above 4.0x in all years except for FY2021 (only 2.2x), hitting 4.3x for FY20</w:t>
      </w:r>
    </w:p>
    <w:p w14:paraId="4C4E1BDA" w14:textId="77777777" w:rsidR="00EF3107" w:rsidRPr="00CA4F57" w:rsidRDefault="00EF3107" w:rsidP="00EF3107">
      <w:pPr>
        <w:pStyle w:val="Heading2"/>
        <w:rPr>
          <w:rFonts w:ascii="Arial" w:hAnsi="Arial" w:cs="Arial"/>
        </w:rPr>
      </w:pPr>
      <w:bookmarkStart w:id="12" w:name="_Toc235009387"/>
      <w:r w:rsidRPr="00CA4F57">
        <w:rPr>
          <w:rFonts w:ascii="Arial" w:hAnsi="Arial" w:cs="Arial"/>
        </w:rPr>
        <w:t>2.5 Investment (Shareholder) Ratios</w:t>
      </w:r>
      <w:bookmarkEnd w:id="11"/>
      <w:bookmarkEnd w:id="12"/>
    </w:p>
    <w:p w14:paraId="6B8F62DE" w14:textId="77777777" w:rsidR="00EF3107" w:rsidRPr="00CA4F57" w:rsidRDefault="00EF3107" w:rsidP="00EF3107">
      <w:pPr>
        <w:rPr>
          <w:rFonts w:ascii="Arial" w:hAnsi="Arial" w:cs="Arial"/>
        </w:rPr>
      </w:pPr>
      <w:bookmarkStart w:id="13" w:name="_Toc234455328"/>
      <w:r w:rsidRPr="00CA4F57">
        <w:rPr>
          <w:rFonts w:ascii="Arial" w:hAnsi="Arial" w:cs="Arial"/>
        </w:rPr>
        <w:t xml:space="preserve">The diluted EPS rose from $1.45 in FY2021 to $6.14 in FY2025, significantly outperforming net income performance due to a lower diluted weighted average number of shares outstanding, which was reduced from 281 million to 238 million shares because of ongoing share buybacks (author’s Excel model, Appendix A). Hilton did not pay any dividends in FY2021 and maintains the policy of paying a small fraction </w:t>
      </w:r>
      <w:r w:rsidRPr="00CA4F57">
        <w:rPr>
          <w:rFonts w:ascii="Arial" w:hAnsi="Arial" w:cs="Arial"/>
        </w:rPr>
        <w:lastRenderedPageBreak/>
        <w:t>of its net income in dividends (around 9.7%-13.7%) since then, with the coverage ratio being 7.3x-10.3x.</w:t>
      </w:r>
    </w:p>
    <w:p w14:paraId="76D0D555" w14:textId="77777777" w:rsidR="00EF3107" w:rsidRPr="00CA4F57" w:rsidRDefault="00EF3107" w:rsidP="00EF3107">
      <w:pPr>
        <w:pStyle w:val="Heading2"/>
        <w:rPr>
          <w:rFonts w:ascii="Arial" w:hAnsi="Arial" w:cs="Arial"/>
        </w:rPr>
      </w:pPr>
      <w:bookmarkStart w:id="14" w:name="_Toc235009388"/>
      <w:r w:rsidRPr="00CA4F57">
        <w:rPr>
          <w:rFonts w:ascii="Arial" w:hAnsi="Arial" w:cs="Arial"/>
        </w:rPr>
        <w:t>2.6 Cash Flow Ratios</w:t>
      </w:r>
      <w:bookmarkEnd w:id="13"/>
      <w:bookmarkEnd w:id="14"/>
    </w:p>
    <w:p w14:paraId="4495134B" w14:textId="77777777" w:rsidR="00EF3107" w:rsidRPr="00CA4F57" w:rsidRDefault="00EF3107" w:rsidP="00EF3107">
      <w:pPr>
        <w:rPr>
          <w:rFonts w:ascii="Arial" w:hAnsi="Arial" w:cs="Arial"/>
        </w:rPr>
      </w:pPr>
      <w:bookmarkStart w:id="15" w:name="_Toc234455329"/>
      <w:r w:rsidRPr="00CA4F57">
        <w:rPr>
          <w:rFonts w:ascii="Arial" w:hAnsi="Arial" w:cs="Arial"/>
        </w:rPr>
        <w:t>The operating cash flow margin moved back up from 1.9%, a level hit during the depressed levels of the pandemic in FY2021, to a steady 17.7-19.2% range for FY2022-FY2025, while the free cash flow margin also made its way back in the same manner to reach 16.1% in FY2025. The cash flow to current liabilities figure rose from 3.6% to 47.2%. The cash flow ratios are certainly the most promising ratios in the set, as even when taking into account the apparently bad liquidity situation, as suggested by the current ratio, Hilton is making a considerable amount of free cash flow - more than $1.9 billion annually over the past three years - enough to cover debt service, capital expenditures (which stay relatively low at under $300 million annually) and dividends (Hilton Worldwide Holdings Inc., 2026).</w:t>
      </w:r>
    </w:p>
    <w:p w14:paraId="2611F000" w14:textId="77777777" w:rsidR="00EF3107" w:rsidRPr="00CA4F57" w:rsidRDefault="00EF3107" w:rsidP="00EF3107">
      <w:pPr>
        <w:pStyle w:val="Heading2"/>
        <w:rPr>
          <w:rFonts w:ascii="Arial" w:hAnsi="Arial" w:cs="Arial"/>
        </w:rPr>
      </w:pPr>
      <w:bookmarkStart w:id="16" w:name="_Toc235009389"/>
      <w:r w:rsidRPr="00CA4F57">
        <w:rPr>
          <w:rFonts w:ascii="Arial" w:hAnsi="Arial" w:cs="Arial"/>
        </w:rPr>
        <w:t>2.7 Summary: Trends, Strengths and Threats</w:t>
      </w:r>
      <w:bookmarkEnd w:id="15"/>
      <w:bookmarkEnd w:id="16"/>
    </w:p>
    <w:p w14:paraId="1930FBFB" w14:textId="77777777" w:rsidR="00EF3107" w:rsidRPr="00CA4F57" w:rsidRDefault="00EF3107" w:rsidP="00EF3107">
      <w:pPr>
        <w:rPr>
          <w:rFonts w:ascii="Arial" w:hAnsi="Arial" w:cs="Arial"/>
        </w:rPr>
      </w:pPr>
      <w:bookmarkStart w:id="17" w:name="_Toc234455330"/>
      <w:r w:rsidRPr="00CA4F57">
        <w:rPr>
          <w:rFonts w:ascii="Arial" w:hAnsi="Arial" w:cs="Arial"/>
        </w:rPr>
        <w:t>Three observations can be made regarding the state of Hilton’s finances. First, the company demonstrates high profitability and cash generation driven by its asset-light, fee-based business model resulting in high margins for the small amount of capital invested (Watson, Head and Chan, 2023). Second, the liquidity of the balance sheet is low and declining while the equity is negative which results from the deliberate buyback of the shares with funds generated from borrowings and cash flows rather than poor trading results, and therefore represents an appearance-related governance and covenant headroom risk that is actively tracked by rating agencies and financiers even if the operating cash flow covers the borrowed money comfortably. Third, the leverage (Debt/EBITDA) is steady at 3.8x–4.3x and has sufficient interest coverage, although there is the increase in short-term/current debt maturities (see Section 3).</w:t>
      </w:r>
    </w:p>
    <w:p w14:paraId="073F86B5" w14:textId="77777777" w:rsidR="00EF3107" w:rsidRPr="00CA4F57" w:rsidRDefault="00EF3107" w:rsidP="00EF3107">
      <w:pPr>
        <w:pStyle w:val="Heading1"/>
        <w:rPr>
          <w:rFonts w:ascii="Arial" w:hAnsi="Arial" w:cs="Arial"/>
        </w:rPr>
      </w:pPr>
      <w:bookmarkStart w:id="18" w:name="_Toc235009390"/>
      <w:r w:rsidRPr="00CA4F57">
        <w:rPr>
          <w:rFonts w:ascii="Arial" w:hAnsi="Arial" w:cs="Arial"/>
        </w:rPr>
        <w:t>3. Working Capital Management Analysis</w:t>
      </w:r>
      <w:bookmarkEnd w:id="17"/>
      <w:bookmarkEnd w:id="18"/>
    </w:p>
    <w:p w14:paraId="2B1F7BE9" w14:textId="77777777" w:rsidR="00EF3107" w:rsidRPr="00CA4F57" w:rsidRDefault="00EF3107" w:rsidP="00EF3107">
      <w:pPr>
        <w:rPr>
          <w:rFonts w:ascii="Arial" w:hAnsi="Arial" w:cs="Arial"/>
        </w:rPr>
      </w:pPr>
      <w:bookmarkStart w:id="19" w:name="_Toc234455331"/>
      <w:r w:rsidRPr="00CA4F57">
        <w:rPr>
          <w:rFonts w:ascii="Arial" w:hAnsi="Arial" w:cs="Arial"/>
        </w:rPr>
        <w:t xml:space="preserve">This portion will analyze Hilton’s cash operating cycle and working capital strategy and provide reform recommendations that can increase its liquidity without sacrificing the efficiency of its asset-light approach. </w:t>
      </w:r>
    </w:p>
    <w:p w14:paraId="71E16F49" w14:textId="77777777" w:rsidR="00EF3107" w:rsidRPr="00CA4F57" w:rsidRDefault="00EF3107" w:rsidP="00EF3107">
      <w:pPr>
        <w:pStyle w:val="Heading2"/>
        <w:rPr>
          <w:rFonts w:ascii="Arial" w:hAnsi="Arial" w:cs="Arial"/>
        </w:rPr>
      </w:pPr>
      <w:bookmarkStart w:id="20" w:name="_Toc235009391"/>
      <w:r w:rsidRPr="00CA4F57">
        <w:rPr>
          <w:rFonts w:ascii="Arial" w:hAnsi="Arial" w:cs="Arial"/>
        </w:rPr>
        <w:lastRenderedPageBreak/>
        <w:t>3.1 The Cash Operating Cycle</w:t>
      </w:r>
      <w:bookmarkEnd w:id="19"/>
      <w:bookmarkEnd w:id="20"/>
    </w:p>
    <w:p w14:paraId="707734F5" w14:textId="77777777" w:rsidR="00EF3107" w:rsidRPr="00CA4F57" w:rsidRDefault="00EF3107" w:rsidP="00EF3107">
      <w:pPr>
        <w:rPr>
          <w:rFonts w:ascii="Arial" w:hAnsi="Arial" w:cs="Arial"/>
        </w:rPr>
      </w:pPr>
      <w:r w:rsidRPr="00CA4F57">
        <w:rPr>
          <w:rFonts w:ascii="Arial" w:hAnsi="Arial" w:cs="Arial"/>
        </w:rPr>
        <w:t xml:space="preserve">Since it is a hotel company with a focus on management and franchise services, Hilton does not carry any substantial inventory, and its cash operating cycle is defined largely by receivables and payables (Chambers and </w:t>
      </w:r>
      <w:proofErr w:type="spellStart"/>
      <w:r w:rsidRPr="00CA4F57">
        <w:rPr>
          <w:rFonts w:ascii="Arial" w:hAnsi="Arial" w:cs="Arial"/>
        </w:rPr>
        <w:t>Cifter</w:t>
      </w:r>
      <w:proofErr w:type="spellEnd"/>
      <w:r w:rsidRPr="00CA4F57">
        <w:rPr>
          <w:rFonts w:ascii="Arial" w:hAnsi="Arial" w:cs="Arial"/>
        </w:rPr>
        <w:t>, 2022). Table 3 below presents its components for FY2021-FY2025.</w:t>
      </w:r>
    </w:p>
    <w:tbl>
      <w:tblPr>
        <w:tblW w:w="5760" w:type="dxa"/>
        <w:jc w:val="center"/>
        <w:tblLook w:val="04A0" w:firstRow="1" w:lastRow="0" w:firstColumn="1" w:lastColumn="0" w:noHBand="0" w:noVBand="1"/>
      </w:tblPr>
      <w:tblGrid>
        <w:gridCol w:w="1524"/>
        <w:gridCol w:w="868"/>
        <w:gridCol w:w="869"/>
        <w:gridCol w:w="833"/>
        <w:gridCol w:w="833"/>
        <w:gridCol w:w="833"/>
      </w:tblGrid>
      <w:tr w:rsidR="00EF3107" w:rsidRPr="00CA4F57" w14:paraId="613CE42A" w14:textId="77777777" w:rsidTr="005D7B34">
        <w:trPr>
          <w:trHeight w:val="645"/>
          <w:jc w:val="center"/>
        </w:trPr>
        <w:tc>
          <w:tcPr>
            <w:tcW w:w="1191" w:type="dxa"/>
            <w:tcBorders>
              <w:top w:val="single" w:sz="8" w:space="0" w:color="000000"/>
              <w:left w:val="single" w:sz="8" w:space="0" w:color="000000"/>
              <w:bottom w:val="single" w:sz="8" w:space="0" w:color="808080"/>
              <w:right w:val="single" w:sz="8" w:space="0" w:color="808080"/>
            </w:tcBorders>
            <w:shd w:val="clear" w:color="000000" w:fill="D9D9D9"/>
            <w:vAlign w:val="center"/>
            <w:hideMark/>
          </w:tcPr>
          <w:p w14:paraId="28379B82"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rPr>
              <w:t>Component</w:t>
            </w:r>
          </w:p>
        </w:tc>
        <w:tc>
          <w:tcPr>
            <w:tcW w:w="918" w:type="dxa"/>
            <w:tcBorders>
              <w:top w:val="single" w:sz="8" w:space="0" w:color="000000"/>
              <w:left w:val="nil"/>
              <w:bottom w:val="single" w:sz="8" w:space="0" w:color="808080"/>
              <w:right w:val="single" w:sz="8" w:space="0" w:color="808080"/>
            </w:tcBorders>
            <w:shd w:val="clear" w:color="000000" w:fill="D9D9D9"/>
            <w:vAlign w:val="center"/>
            <w:hideMark/>
          </w:tcPr>
          <w:p w14:paraId="7855917B"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rPr>
              <w:t>2021</w:t>
            </w:r>
          </w:p>
        </w:tc>
        <w:tc>
          <w:tcPr>
            <w:tcW w:w="918" w:type="dxa"/>
            <w:tcBorders>
              <w:top w:val="single" w:sz="8" w:space="0" w:color="000000"/>
              <w:left w:val="nil"/>
              <w:bottom w:val="single" w:sz="8" w:space="0" w:color="808080"/>
              <w:right w:val="single" w:sz="8" w:space="0" w:color="808080"/>
            </w:tcBorders>
            <w:shd w:val="clear" w:color="000000" w:fill="D9D9D9"/>
            <w:vAlign w:val="center"/>
            <w:hideMark/>
          </w:tcPr>
          <w:p w14:paraId="05BB11ED"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rPr>
              <w:t>2022</w:t>
            </w:r>
          </w:p>
        </w:tc>
        <w:tc>
          <w:tcPr>
            <w:tcW w:w="911" w:type="dxa"/>
            <w:tcBorders>
              <w:top w:val="single" w:sz="8" w:space="0" w:color="000000"/>
              <w:left w:val="nil"/>
              <w:bottom w:val="single" w:sz="8" w:space="0" w:color="808080"/>
              <w:right w:val="single" w:sz="8" w:space="0" w:color="808080"/>
            </w:tcBorders>
            <w:shd w:val="clear" w:color="000000" w:fill="D9D9D9"/>
            <w:vAlign w:val="center"/>
            <w:hideMark/>
          </w:tcPr>
          <w:p w14:paraId="74AB567C"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rPr>
              <w:t>2023</w:t>
            </w:r>
          </w:p>
        </w:tc>
        <w:tc>
          <w:tcPr>
            <w:tcW w:w="911" w:type="dxa"/>
            <w:tcBorders>
              <w:top w:val="single" w:sz="8" w:space="0" w:color="000000"/>
              <w:left w:val="nil"/>
              <w:bottom w:val="single" w:sz="8" w:space="0" w:color="808080"/>
              <w:right w:val="single" w:sz="8" w:space="0" w:color="808080"/>
            </w:tcBorders>
            <w:shd w:val="clear" w:color="000000" w:fill="D9D9D9"/>
            <w:vAlign w:val="center"/>
            <w:hideMark/>
          </w:tcPr>
          <w:p w14:paraId="6C21C563"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rPr>
              <w:t>2024</w:t>
            </w:r>
          </w:p>
        </w:tc>
        <w:tc>
          <w:tcPr>
            <w:tcW w:w="911" w:type="dxa"/>
            <w:tcBorders>
              <w:top w:val="single" w:sz="8" w:space="0" w:color="000000"/>
              <w:left w:val="nil"/>
              <w:bottom w:val="single" w:sz="8" w:space="0" w:color="808080"/>
              <w:right w:val="single" w:sz="8" w:space="0" w:color="000000"/>
            </w:tcBorders>
            <w:shd w:val="clear" w:color="000000" w:fill="D9D9D9"/>
            <w:vAlign w:val="center"/>
            <w:hideMark/>
          </w:tcPr>
          <w:p w14:paraId="669E47FF"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rPr>
              <w:t>2025</w:t>
            </w:r>
          </w:p>
        </w:tc>
      </w:tr>
      <w:tr w:rsidR="00EF3107" w:rsidRPr="00CA4F57" w14:paraId="6C640703" w14:textId="77777777" w:rsidTr="005D7B34">
        <w:trPr>
          <w:trHeight w:val="645"/>
          <w:jc w:val="center"/>
        </w:trPr>
        <w:tc>
          <w:tcPr>
            <w:tcW w:w="1191" w:type="dxa"/>
            <w:tcBorders>
              <w:top w:val="nil"/>
              <w:left w:val="single" w:sz="8" w:space="0" w:color="000000"/>
              <w:bottom w:val="single" w:sz="8" w:space="0" w:color="808080"/>
              <w:right w:val="single" w:sz="8" w:space="0" w:color="808080"/>
            </w:tcBorders>
            <w:vAlign w:val="center"/>
            <w:hideMark/>
          </w:tcPr>
          <w:p w14:paraId="780A19FD"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Inventory days</w:t>
            </w:r>
          </w:p>
        </w:tc>
        <w:tc>
          <w:tcPr>
            <w:tcW w:w="918" w:type="dxa"/>
            <w:tcBorders>
              <w:top w:val="nil"/>
              <w:left w:val="nil"/>
              <w:bottom w:val="single" w:sz="8" w:space="0" w:color="808080"/>
              <w:right w:val="single" w:sz="8" w:space="0" w:color="808080"/>
            </w:tcBorders>
            <w:vAlign w:val="center"/>
            <w:hideMark/>
          </w:tcPr>
          <w:p w14:paraId="3693ECFB"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0</w:t>
            </w:r>
          </w:p>
        </w:tc>
        <w:tc>
          <w:tcPr>
            <w:tcW w:w="918" w:type="dxa"/>
            <w:tcBorders>
              <w:top w:val="nil"/>
              <w:left w:val="nil"/>
              <w:bottom w:val="single" w:sz="8" w:space="0" w:color="808080"/>
              <w:right w:val="single" w:sz="8" w:space="0" w:color="808080"/>
            </w:tcBorders>
            <w:vAlign w:val="center"/>
            <w:hideMark/>
          </w:tcPr>
          <w:p w14:paraId="63F72C94"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0</w:t>
            </w:r>
          </w:p>
        </w:tc>
        <w:tc>
          <w:tcPr>
            <w:tcW w:w="911" w:type="dxa"/>
            <w:tcBorders>
              <w:top w:val="nil"/>
              <w:left w:val="nil"/>
              <w:bottom w:val="single" w:sz="8" w:space="0" w:color="808080"/>
              <w:right w:val="single" w:sz="8" w:space="0" w:color="808080"/>
            </w:tcBorders>
            <w:vAlign w:val="center"/>
            <w:hideMark/>
          </w:tcPr>
          <w:p w14:paraId="1C7609FA"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0</w:t>
            </w:r>
          </w:p>
        </w:tc>
        <w:tc>
          <w:tcPr>
            <w:tcW w:w="911" w:type="dxa"/>
            <w:tcBorders>
              <w:top w:val="nil"/>
              <w:left w:val="nil"/>
              <w:bottom w:val="single" w:sz="8" w:space="0" w:color="808080"/>
              <w:right w:val="single" w:sz="8" w:space="0" w:color="808080"/>
            </w:tcBorders>
            <w:vAlign w:val="center"/>
            <w:hideMark/>
          </w:tcPr>
          <w:p w14:paraId="776977FC"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0</w:t>
            </w:r>
          </w:p>
        </w:tc>
        <w:tc>
          <w:tcPr>
            <w:tcW w:w="911" w:type="dxa"/>
            <w:tcBorders>
              <w:top w:val="nil"/>
              <w:left w:val="nil"/>
              <w:bottom w:val="single" w:sz="8" w:space="0" w:color="808080"/>
              <w:right w:val="single" w:sz="8" w:space="0" w:color="000000"/>
            </w:tcBorders>
            <w:vAlign w:val="center"/>
            <w:hideMark/>
          </w:tcPr>
          <w:p w14:paraId="242CF948"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0</w:t>
            </w:r>
          </w:p>
        </w:tc>
      </w:tr>
      <w:tr w:rsidR="00EF3107" w:rsidRPr="00CA4F57" w14:paraId="2A775398" w14:textId="77777777" w:rsidTr="005D7B34">
        <w:trPr>
          <w:trHeight w:val="1275"/>
          <w:jc w:val="center"/>
        </w:trPr>
        <w:tc>
          <w:tcPr>
            <w:tcW w:w="1191" w:type="dxa"/>
            <w:tcBorders>
              <w:top w:val="nil"/>
              <w:left w:val="single" w:sz="8" w:space="0" w:color="000000"/>
              <w:bottom w:val="single" w:sz="8" w:space="0" w:color="808080"/>
              <w:right w:val="single" w:sz="8" w:space="0" w:color="808080"/>
            </w:tcBorders>
            <w:vAlign w:val="center"/>
            <w:hideMark/>
          </w:tcPr>
          <w:p w14:paraId="546DDF59"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Receivables collection period</w:t>
            </w:r>
          </w:p>
        </w:tc>
        <w:tc>
          <w:tcPr>
            <w:tcW w:w="918" w:type="dxa"/>
            <w:tcBorders>
              <w:top w:val="nil"/>
              <w:left w:val="nil"/>
              <w:bottom w:val="single" w:sz="8" w:space="0" w:color="808080"/>
              <w:right w:val="single" w:sz="8" w:space="0" w:color="808080"/>
            </w:tcBorders>
            <w:vAlign w:val="center"/>
            <w:hideMark/>
          </w:tcPr>
          <w:p w14:paraId="161E2A7B"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67.3</w:t>
            </w:r>
          </w:p>
        </w:tc>
        <w:tc>
          <w:tcPr>
            <w:tcW w:w="918" w:type="dxa"/>
            <w:tcBorders>
              <w:top w:val="nil"/>
              <w:left w:val="nil"/>
              <w:bottom w:val="single" w:sz="8" w:space="0" w:color="808080"/>
              <w:right w:val="single" w:sz="8" w:space="0" w:color="808080"/>
            </w:tcBorders>
            <w:vAlign w:val="center"/>
            <w:hideMark/>
          </w:tcPr>
          <w:p w14:paraId="1E507FA9"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55.2</w:t>
            </w:r>
          </w:p>
        </w:tc>
        <w:tc>
          <w:tcPr>
            <w:tcW w:w="911" w:type="dxa"/>
            <w:tcBorders>
              <w:top w:val="nil"/>
              <w:left w:val="nil"/>
              <w:bottom w:val="single" w:sz="8" w:space="0" w:color="808080"/>
              <w:right w:val="single" w:sz="8" w:space="0" w:color="808080"/>
            </w:tcBorders>
            <w:vAlign w:val="center"/>
            <w:hideMark/>
          </w:tcPr>
          <w:p w14:paraId="113E3B1B"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53</w:t>
            </w:r>
          </w:p>
        </w:tc>
        <w:tc>
          <w:tcPr>
            <w:tcW w:w="911" w:type="dxa"/>
            <w:tcBorders>
              <w:top w:val="nil"/>
              <w:left w:val="nil"/>
              <w:bottom w:val="single" w:sz="8" w:space="0" w:color="808080"/>
              <w:right w:val="single" w:sz="8" w:space="0" w:color="808080"/>
            </w:tcBorders>
            <w:vAlign w:val="center"/>
            <w:hideMark/>
          </w:tcPr>
          <w:p w14:paraId="1B6E43F1"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51.7</w:t>
            </w:r>
          </w:p>
        </w:tc>
        <w:tc>
          <w:tcPr>
            <w:tcW w:w="911" w:type="dxa"/>
            <w:tcBorders>
              <w:top w:val="nil"/>
              <w:left w:val="nil"/>
              <w:bottom w:val="single" w:sz="8" w:space="0" w:color="808080"/>
              <w:right w:val="single" w:sz="8" w:space="0" w:color="000000"/>
            </w:tcBorders>
            <w:vAlign w:val="center"/>
            <w:hideMark/>
          </w:tcPr>
          <w:p w14:paraId="703132D0"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51.2</w:t>
            </w:r>
          </w:p>
        </w:tc>
      </w:tr>
      <w:tr w:rsidR="00EF3107" w:rsidRPr="00CA4F57" w14:paraId="64949C05" w14:textId="77777777" w:rsidTr="005D7B34">
        <w:trPr>
          <w:trHeight w:val="960"/>
          <w:jc w:val="center"/>
        </w:trPr>
        <w:tc>
          <w:tcPr>
            <w:tcW w:w="1191" w:type="dxa"/>
            <w:tcBorders>
              <w:top w:val="nil"/>
              <w:left w:val="single" w:sz="8" w:space="0" w:color="000000"/>
              <w:bottom w:val="single" w:sz="8" w:space="0" w:color="808080"/>
              <w:right w:val="single" w:sz="8" w:space="0" w:color="808080"/>
            </w:tcBorders>
            <w:vAlign w:val="center"/>
            <w:hideMark/>
          </w:tcPr>
          <w:p w14:paraId="3ECEB5C7"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Payables payment period</w:t>
            </w:r>
          </w:p>
        </w:tc>
        <w:tc>
          <w:tcPr>
            <w:tcW w:w="918" w:type="dxa"/>
            <w:tcBorders>
              <w:top w:val="nil"/>
              <w:left w:val="nil"/>
              <w:bottom w:val="single" w:sz="8" w:space="0" w:color="808080"/>
              <w:right w:val="single" w:sz="8" w:space="0" w:color="808080"/>
            </w:tcBorders>
            <w:vAlign w:val="center"/>
            <w:hideMark/>
          </w:tcPr>
          <w:p w14:paraId="1B2058AE"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138.5</w:t>
            </w:r>
          </w:p>
        </w:tc>
        <w:tc>
          <w:tcPr>
            <w:tcW w:w="918" w:type="dxa"/>
            <w:tcBorders>
              <w:top w:val="nil"/>
              <w:left w:val="nil"/>
              <w:bottom w:val="single" w:sz="8" w:space="0" w:color="808080"/>
              <w:right w:val="single" w:sz="8" w:space="0" w:color="808080"/>
            </w:tcBorders>
            <w:vAlign w:val="center"/>
            <w:hideMark/>
          </w:tcPr>
          <w:p w14:paraId="42F6C654"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107.5</w:t>
            </w:r>
          </w:p>
        </w:tc>
        <w:tc>
          <w:tcPr>
            <w:tcW w:w="911" w:type="dxa"/>
            <w:tcBorders>
              <w:top w:val="nil"/>
              <w:left w:val="nil"/>
              <w:bottom w:val="single" w:sz="8" w:space="0" w:color="808080"/>
              <w:right w:val="single" w:sz="8" w:space="0" w:color="808080"/>
            </w:tcBorders>
            <w:vAlign w:val="center"/>
            <w:hideMark/>
          </w:tcPr>
          <w:p w14:paraId="10236A6C"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98.9</w:t>
            </w:r>
          </w:p>
        </w:tc>
        <w:tc>
          <w:tcPr>
            <w:tcW w:w="911" w:type="dxa"/>
            <w:tcBorders>
              <w:top w:val="nil"/>
              <w:left w:val="nil"/>
              <w:bottom w:val="single" w:sz="8" w:space="0" w:color="808080"/>
              <w:right w:val="single" w:sz="8" w:space="0" w:color="808080"/>
            </w:tcBorders>
            <w:vAlign w:val="center"/>
            <w:hideMark/>
          </w:tcPr>
          <w:p w14:paraId="39B665E9"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95.6</w:t>
            </w:r>
          </w:p>
        </w:tc>
        <w:tc>
          <w:tcPr>
            <w:tcW w:w="911" w:type="dxa"/>
            <w:tcBorders>
              <w:top w:val="nil"/>
              <w:left w:val="nil"/>
              <w:bottom w:val="single" w:sz="8" w:space="0" w:color="808080"/>
              <w:right w:val="single" w:sz="8" w:space="0" w:color="000000"/>
            </w:tcBorders>
            <w:vAlign w:val="center"/>
            <w:hideMark/>
          </w:tcPr>
          <w:p w14:paraId="257069B9"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98.6</w:t>
            </w:r>
          </w:p>
        </w:tc>
      </w:tr>
      <w:tr w:rsidR="00EF3107" w:rsidRPr="00CA4F57" w14:paraId="364EC30B" w14:textId="77777777" w:rsidTr="005D7B34">
        <w:trPr>
          <w:trHeight w:val="960"/>
          <w:jc w:val="center"/>
        </w:trPr>
        <w:tc>
          <w:tcPr>
            <w:tcW w:w="1191" w:type="dxa"/>
            <w:tcBorders>
              <w:top w:val="nil"/>
              <w:left w:val="single" w:sz="8" w:space="0" w:color="000000"/>
              <w:bottom w:val="single" w:sz="8" w:space="0" w:color="000000"/>
              <w:right w:val="single" w:sz="8" w:space="0" w:color="808080"/>
            </w:tcBorders>
            <w:vAlign w:val="center"/>
            <w:hideMark/>
          </w:tcPr>
          <w:p w14:paraId="34326666"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Cash operating cycle</w:t>
            </w:r>
          </w:p>
        </w:tc>
        <w:tc>
          <w:tcPr>
            <w:tcW w:w="918" w:type="dxa"/>
            <w:tcBorders>
              <w:top w:val="nil"/>
              <w:left w:val="nil"/>
              <w:bottom w:val="single" w:sz="8" w:space="0" w:color="000000"/>
              <w:right w:val="single" w:sz="8" w:space="0" w:color="808080"/>
            </w:tcBorders>
            <w:vAlign w:val="center"/>
            <w:hideMark/>
          </w:tcPr>
          <w:p w14:paraId="0C8F3731"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–71.1</w:t>
            </w:r>
          </w:p>
        </w:tc>
        <w:tc>
          <w:tcPr>
            <w:tcW w:w="918" w:type="dxa"/>
            <w:tcBorders>
              <w:top w:val="nil"/>
              <w:left w:val="nil"/>
              <w:bottom w:val="single" w:sz="8" w:space="0" w:color="000000"/>
              <w:right w:val="single" w:sz="8" w:space="0" w:color="808080"/>
            </w:tcBorders>
            <w:vAlign w:val="center"/>
            <w:hideMark/>
          </w:tcPr>
          <w:p w14:paraId="6D4507FF"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–52.3</w:t>
            </w:r>
          </w:p>
        </w:tc>
        <w:tc>
          <w:tcPr>
            <w:tcW w:w="911" w:type="dxa"/>
            <w:tcBorders>
              <w:top w:val="nil"/>
              <w:left w:val="nil"/>
              <w:bottom w:val="single" w:sz="8" w:space="0" w:color="000000"/>
              <w:right w:val="single" w:sz="8" w:space="0" w:color="808080"/>
            </w:tcBorders>
            <w:vAlign w:val="center"/>
            <w:hideMark/>
          </w:tcPr>
          <w:p w14:paraId="0C50C07E"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–45.9</w:t>
            </w:r>
          </w:p>
        </w:tc>
        <w:tc>
          <w:tcPr>
            <w:tcW w:w="911" w:type="dxa"/>
            <w:tcBorders>
              <w:top w:val="nil"/>
              <w:left w:val="nil"/>
              <w:bottom w:val="single" w:sz="8" w:space="0" w:color="000000"/>
              <w:right w:val="single" w:sz="8" w:space="0" w:color="808080"/>
            </w:tcBorders>
            <w:vAlign w:val="center"/>
            <w:hideMark/>
          </w:tcPr>
          <w:p w14:paraId="10F5692F"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–43.9</w:t>
            </w:r>
          </w:p>
        </w:tc>
        <w:tc>
          <w:tcPr>
            <w:tcW w:w="911" w:type="dxa"/>
            <w:tcBorders>
              <w:top w:val="nil"/>
              <w:left w:val="nil"/>
              <w:bottom w:val="single" w:sz="8" w:space="0" w:color="000000"/>
              <w:right w:val="single" w:sz="8" w:space="0" w:color="000000"/>
            </w:tcBorders>
            <w:vAlign w:val="center"/>
            <w:hideMark/>
          </w:tcPr>
          <w:p w14:paraId="31D0E786" w14:textId="77777777" w:rsidR="00EF3107" w:rsidRPr="00CA4F57" w:rsidRDefault="00EF3107" w:rsidP="00226CF3">
            <w:pPr>
              <w:spacing w:after="0" w:line="240" w:lineRule="auto"/>
              <w:rPr>
                <w:rFonts w:ascii="Arial" w:eastAsia="Times New Roman" w:hAnsi="Arial" w:cs="Arial"/>
                <w:color w:val="000000"/>
              </w:rPr>
            </w:pPr>
            <w:r w:rsidRPr="00CA4F57">
              <w:rPr>
                <w:rFonts w:ascii="Arial" w:eastAsia="Times New Roman" w:hAnsi="Arial" w:cs="Arial"/>
                <w:color w:val="000000"/>
              </w:rPr>
              <w:t>–47.4</w:t>
            </w:r>
          </w:p>
        </w:tc>
      </w:tr>
    </w:tbl>
    <w:p w14:paraId="069D3BCA" w14:textId="77777777" w:rsidR="00EF3107" w:rsidRPr="00CA4F57" w:rsidRDefault="00EF3107" w:rsidP="00EF3107">
      <w:pPr>
        <w:rPr>
          <w:rFonts w:ascii="Arial" w:hAnsi="Arial" w:cs="Arial"/>
        </w:rPr>
      </w:pPr>
    </w:p>
    <w:p w14:paraId="590B7019" w14:textId="77777777" w:rsidR="00EF3107" w:rsidRPr="00CA4F57" w:rsidRDefault="00EF3107" w:rsidP="00EF3107">
      <w:pPr>
        <w:jc w:val="center"/>
        <w:rPr>
          <w:rFonts w:ascii="Arial" w:hAnsi="Arial" w:cs="Arial"/>
          <w:b/>
          <w:bCs/>
        </w:rPr>
      </w:pPr>
      <w:r w:rsidRPr="00CA4F57">
        <w:rPr>
          <w:rFonts w:ascii="Arial" w:hAnsi="Arial" w:cs="Arial"/>
          <w:b/>
          <w:bCs/>
        </w:rPr>
        <w:t xml:space="preserve">Table 4. Cash Operating Cycle Components, FY2021–FY2025 (days). </w:t>
      </w:r>
    </w:p>
    <w:p w14:paraId="26D8665F" w14:textId="77777777" w:rsidR="00EF3107" w:rsidRPr="00CA4F57" w:rsidRDefault="00EF3107" w:rsidP="00EF3107">
      <w:pPr>
        <w:rPr>
          <w:rFonts w:ascii="Arial" w:hAnsi="Arial" w:cs="Arial"/>
        </w:rPr>
      </w:pPr>
      <w:bookmarkStart w:id="21" w:name="_Toc234455332"/>
      <w:r w:rsidRPr="00CA4F57">
        <w:rPr>
          <w:rFonts w:ascii="Arial" w:hAnsi="Arial" w:cs="Arial"/>
        </w:rPr>
        <w:t xml:space="preserve">Throughout the review period, Hilton’s cash operating cycle has remained negative, implying that the Company receives money from franchisees and Hilton Honors partners, on average, in excess of six weeks prior to paying off its payables. Being structurally favorable, a negative cash conversion cycle implies that business operations are being funded through trade suppliers and creditors instead of working capital belonging to the Company itself, which is in line with the results found in the existing literature in the hospitality industry indicating inverse relationship between working-capital intensity and firm performance for large, brand-scale hotel firms (Chambers and </w:t>
      </w:r>
      <w:proofErr w:type="spellStart"/>
      <w:r w:rsidRPr="00CA4F57">
        <w:rPr>
          <w:rFonts w:ascii="Arial" w:hAnsi="Arial" w:cs="Arial"/>
        </w:rPr>
        <w:t>Cifter</w:t>
      </w:r>
      <w:proofErr w:type="spellEnd"/>
      <w:r w:rsidRPr="00CA4F57">
        <w:rPr>
          <w:rFonts w:ascii="Arial" w:hAnsi="Arial" w:cs="Arial"/>
        </w:rPr>
        <w:t xml:space="preserve">, 2022). At the same time, the ongoing trend of shrinking negative cycle (from –71.1 days in FY2021 to –47.4 days in FY2025) along with the decreasing current and quick ratios noted in Section 2.2 suggests that the structurally favorable cushion is shrinking, which means it cannot be taken as a guarantee that it will automatically continue improving as receivable collection period gets shorter </w:t>
      </w:r>
      <w:r w:rsidRPr="00CA4F57">
        <w:rPr>
          <w:rFonts w:ascii="Arial" w:hAnsi="Arial" w:cs="Arial"/>
        </w:rPr>
        <w:lastRenderedPageBreak/>
        <w:t>(favorable development) and payables period has also shortened (less favorable development).</w:t>
      </w:r>
    </w:p>
    <w:p w14:paraId="56DC0495" w14:textId="77777777" w:rsidR="00EF3107" w:rsidRPr="00CA4F57" w:rsidRDefault="00EF3107" w:rsidP="00EF3107">
      <w:pPr>
        <w:pStyle w:val="Heading2"/>
        <w:rPr>
          <w:rFonts w:ascii="Arial" w:hAnsi="Arial" w:cs="Arial"/>
        </w:rPr>
      </w:pPr>
      <w:bookmarkStart w:id="22" w:name="_Toc235009392"/>
      <w:r w:rsidRPr="00CA4F57">
        <w:rPr>
          <w:rFonts w:ascii="Arial" w:hAnsi="Arial" w:cs="Arial"/>
        </w:rPr>
        <w:t>3.2 Recommended Working Capital Reforms</w:t>
      </w:r>
      <w:bookmarkEnd w:id="21"/>
      <w:bookmarkEnd w:id="22"/>
    </w:p>
    <w:p w14:paraId="51A89933" w14:textId="77777777" w:rsidR="00EF3107" w:rsidRPr="00CA4F57" w:rsidRDefault="00EF3107" w:rsidP="00EF3107">
      <w:pPr>
        <w:rPr>
          <w:rFonts w:ascii="Arial" w:hAnsi="Arial" w:cs="Arial"/>
        </w:rPr>
      </w:pPr>
      <w:bookmarkStart w:id="23" w:name="_Toc234455333"/>
      <w:r w:rsidRPr="00CA4F57">
        <w:rPr>
          <w:rFonts w:ascii="Arial" w:hAnsi="Arial" w:cs="Arial"/>
        </w:rPr>
        <w:t>Three recommendations will safeguard headroom in liquidity without endangering Hilton’s capital-light business model. First, the company needs to formalize its receivables policy by tightening collection procedures among franchisees and managed-property owners using automated electronic invoicing and reduced credit periods among new franchise contracts; a significant improvement is being recorded in this area as it has changed from 67.3 days to 51.2 days; it is evident from the Atrill (2020) that even minor improvements in the reduction of receivable days can have a great impact on the company’s free cash flow given the size of its revenues. Second, since there has been an almost 40-day decline in the payables period since FY2021 (which has made it lose some of its benefit in the form of financing), the Company could look at some form of selectivity in supply chain finance or dynamic discounting with large corporate suppliers (procurement, technology, and marketing companies). Third, and most importantly because of the current ratio which has fallen under the peer benchmark in FY2023 (Section 2.2), Hilton needs to keep a larger but undrawn revolving credit facility headroom.</w:t>
      </w:r>
    </w:p>
    <w:p w14:paraId="4C0A27E5" w14:textId="77777777" w:rsidR="00EF3107" w:rsidRPr="00CA4F57" w:rsidRDefault="00EF3107" w:rsidP="00EF3107">
      <w:pPr>
        <w:pStyle w:val="Heading2"/>
        <w:rPr>
          <w:rFonts w:ascii="Arial" w:hAnsi="Arial" w:cs="Arial"/>
        </w:rPr>
      </w:pPr>
      <w:bookmarkStart w:id="24" w:name="_Toc235009393"/>
      <w:r w:rsidRPr="00CA4F57">
        <w:rPr>
          <w:rFonts w:ascii="Arial" w:hAnsi="Arial" w:cs="Arial"/>
        </w:rPr>
        <w:t>3.3 Short-Term vs Long-Term Financing</w:t>
      </w:r>
      <w:bookmarkEnd w:id="23"/>
      <w:bookmarkEnd w:id="24"/>
    </w:p>
    <w:p w14:paraId="3CA96B63" w14:textId="77777777" w:rsidR="00EF3107" w:rsidRPr="00CA4F57" w:rsidRDefault="00EF3107" w:rsidP="00EF3107">
      <w:pPr>
        <w:rPr>
          <w:rFonts w:ascii="Arial" w:hAnsi="Arial" w:cs="Arial"/>
        </w:rPr>
      </w:pPr>
      <w:bookmarkStart w:id="25" w:name="_Toc234455334"/>
      <w:r w:rsidRPr="00CA4F57">
        <w:rPr>
          <w:rFonts w:ascii="Arial" w:hAnsi="Arial" w:cs="Arial"/>
        </w:rPr>
        <w:t xml:space="preserve">The firm’s current maturities of its long-term debt have spiked from $39m in FY2023 to $535m in FY2024 (Excel model in Appendix A, produced by the author), falling back in FY2025 as this tranche was refinanced. Such a jump demonstrates the danger of refinancing-timing risk, as if a large maturity of a debt happens at a time of unfavorable credit market conditions, costs of financing in the short term will increase. The well-known choice between short-term and long-term financing perfectly describes the situation at hand – the former is usually cheaper, but with rollover risk; the latter is more costly but helps to smooth out repayment obligations (Atrill, 2020). In light of the already existing negative equity position of the company, the CFO suggests laddering the issue of future debts on a broad spectrum of maturities (without concentrating more than 10-15% of the total debt in any one year) and financing the refinancing needs 12-18 months prior to the maturity date of the debt, which fits well into the treasury policy </w:t>
      </w:r>
      <w:r w:rsidRPr="00CA4F57">
        <w:rPr>
          <w:rFonts w:ascii="Arial" w:hAnsi="Arial" w:cs="Arial"/>
        </w:rPr>
        <w:lastRenderedPageBreak/>
        <w:t>of the cash-generating but negatively geared firms (in terms of equity) (Watson, Head and Chan, 2023).</w:t>
      </w:r>
    </w:p>
    <w:p w14:paraId="4A897DB8" w14:textId="77777777" w:rsidR="00EF3107" w:rsidRPr="00CA4F57" w:rsidRDefault="00EF3107" w:rsidP="00EF3107">
      <w:pPr>
        <w:pStyle w:val="Heading1"/>
        <w:rPr>
          <w:rFonts w:ascii="Arial" w:hAnsi="Arial" w:cs="Arial"/>
        </w:rPr>
      </w:pPr>
      <w:bookmarkStart w:id="26" w:name="_Toc235009394"/>
      <w:r w:rsidRPr="00CA4F57">
        <w:rPr>
          <w:rFonts w:ascii="Arial" w:hAnsi="Arial" w:cs="Arial"/>
        </w:rPr>
        <w:t>4. Strategic Financial Restructuring Plan</w:t>
      </w:r>
      <w:bookmarkEnd w:id="25"/>
      <w:bookmarkEnd w:id="26"/>
    </w:p>
    <w:p w14:paraId="17A8E3FF" w14:textId="77777777" w:rsidR="00EF3107" w:rsidRPr="00CA4F57" w:rsidRDefault="00EF3107" w:rsidP="00EF3107">
      <w:pPr>
        <w:rPr>
          <w:rFonts w:ascii="Arial" w:hAnsi="Arial" w:cs="Arial"/>
        </w:rPr>
      </w:pPr>
      <w:bookmarkStart w:id="27" w:name="_Toc234455335"/>
      <w:r w:rsidRPr="00CA4F57">
        <w:rPr>
          <w:rFonts w:ascii="Arial" w:hAnsi="Arial" w:cs="Arial"/>
        </w:rPr>
        <w:t>The fundamental financial issue at Hilton is not weak operations, but the capital structure that has negative equity consistently because of aggressive share buyback schemes using debt and cash flow ($3.2 billion just in fiscal year 2025), along with increasing total debt (Hilton Worldwide Holdings Inc., 2026). It should be stressed that it is a capital allocation strategy for the company, however, it leaves limited room to absorb an eventual demand shock like the one in 2020 (Coutinho dos Santos, Magano and Mota, 2023). The following restructuring proposal offers three alternative solutions.</w:t>
      </w:r>
    </w:p>
    <w:p w14:paraId="453F738B" w14:textId="77777777" w:rsidR="00EF3107" w:rsidRPr="00CA4F57" w:rsidRDefault="00EF3107" w:rsidP="00EF3107">
      <w:pPr>
        <w:pStyle w:val="Heading2"/>
        <w:rPr>
          <w:rFonts w:ascii="Arial" w:hAnsi="Arial" w:cs="Arial"/>
        </w:rPr>
      </w:pPr>
      <w:bookmarkStart w:id="28" w:name="_Toc235009395"/>
      <w:r w:rsidRPr="00CA4F57">
        <w:rPr>
          <w:rFonts w:ascii="Arial" w:hAnsi="Arial" w:cs="Arial"/>
        </w:rPr>
        <w:t>4.1 Continued Asset-Light Divestiture of Owned Real Estate</w:t>
      </w:r>
      <w:bookmarkEnd w:id="27"/>
      <w:bookmarkEnd w:id="28"/>
    </w:p>
    <w:p w14:paraId="2E408765" w14:textId="77777777" w:rsidR="00EF3107" w:rsidRPr="00CA4F57" w:rsidRDefault="00EF3107" w:rsidP="00EF3107">
      <w:pPr>
        <w:rPr>
          <w:rFonts w:ascii="Arial" w:hAnsi="Arial" w:cs="Arial"/>
        </w:rPr>
      </w:pPr>
      <w:r w:rsidRPr="00CA4F57">
        <w:rPr>
          <w:rFonts w:ascii="Arial" w:hAnsi="Arial" w:cs="Arial"/>
        </w:rPr>
        <w:t>Hilton is currently following the management and franchise ("asset-light") business model, owning only 46 hotels (15,287 rooms) through its ownership segment at FY2025, representing a small percentage of its entire hotel chain of 8,700 hotels (Hilton Worldwide Holdings Inc., 2026). The CFO advises that Hilton continue to sell off or contribute its remaining owned-hotel chain to hotel REITs or private equity investors on long-term management or franchise agreements, building upon the experience of its own 2017 spin-off of Park Hotels &amp; Resorts. This is in line with general observations regarding the efficiency benefits associated with hotel business divestitures and the conversion of owned facilities into management contracts (Zhang et al., 2020). As the owned segment is the segment that has the highest exposure to fixed costs and cyclicality within Hilton’s portfolio, divestiture of the same will help to lower the fluctuations of the ROCE and generate money that can be used to pay down debt or to continue rewarding the shareholders, whereas changing ownership structure (through a merger or acquisition) should not be considered due to the following reasons: According to event studies, shareholders of the acquiring firm realize gains in mergers in the hospitality industry only when there are tangible synergies involved (Kim, 2023).</w:t>
      </w:r>
    </w:p>
    <w:p w14:paraId="7C96F6BE" w14:textId="77777777" w:rsidR="00EF3107" w:rsidRPr="00CA4F57" w:rsidRDefault="00EF3107" w:rsidP="00EF3107">
      <w:pPr>
        <w:pStyle w:val="Heading2"/>
        <w:rPr>
          <w:rFonts w:ascii="Arial" w:hAnsi="Arial" w:cs="Arial"/>
        </w:rPr>
      </w:pPr>
      <w:bookmarkStart w:id="29" w:name="_Toc234455336"/>
      <w:bookmarkStart w:id="30" w:name="_Toc235009396"/>
      <w:r w:rsidRPr="00CA4F57">
        <w:rPr>
          <w:rFonts w:ascii="Arial" w:hAnsi="Arial" w:cs="Arial"/>
        </w:rPr>
        <w:lastRenderedPageBreak/>
        <w:t>4.2 Recalibrating the Pace of Share Buybacks</w:t>
      </w:r>
      <w:bookmarkEnd w:id="29"/>
      <w:bookmarkEnd w:id="30"/>
    </w:p>
    <w:p w14:paraId="4684DB0C" w14:textId="77777777" w:rsidR="00EF3107" w:rsidRPr="00CA4F57" w:rsidRDefault="00EF3107" w:rsidP="00EF3107">
      <w:pPr>
        <w:rPr>
          <w:rFonts w:ascii="Arial" w:hAnsi="Arial" w:cs="Arial"/>
        </w:rPr>
      </w:pPr>
      <w:r w:rsidRPr="00CA4F57">
        <w:rPr>
          <w:rFonts w:ascii="Arial" w:hAnsi="Arial" w:cs="Arial"/>
        </w:rPr>
        <w:t>Although share repurchases have resulted in impressive EPS growth (Section 2.5), the CFO suggests that the rate at which these shares have been purchased be slowed from its current level (estimated at $3.0 billion to $3.2 billion a year) in order to channel a relatively small portion of the company’s free cash flow (around 10%–15% of the current spend on buybacks) toward paying down the net debt or lengthening the average maturity structure discussed in Section 3.3. It will not solve the negative equity problem in the short run but will help slow its progression while maintaining Debt/EBITDA ratio between 3.8x–4.3x, even with slower growth in EBITDA and will add a layer of financial flexibility before any future demand shock comes.</w:t>
      </w:r>
    </w:p>
    <w:p w14:paraId="71D4374B" w14:textId="77777777" w:rsidR="00EF3107" w:rsidRPr="00CA4F57" w:rsidRDefault="00EF3107" w:rsidP="00EF3107">
      <w:pPr>
        <w:pStyle w:val="Heading2"/>
        <w:rPr>
          <w:rFonts w:ascii="Arial" w:hAnsi="Arial" w:cs="Arial"/>
        </w:rPr>
      </w:pPr>
      <w:bookmarkStart w:id="31" w:name="_Toc234455337"/>
      <w:bookmarkStart w:id="32" w:name="_Toc235009397"/>
      <w:r w:rsidRPr="00CA4F57">
        <w:rPr>
          <w:rFonts w:ascii="Arial" w:hAnsi="Arial" w:cs="Arial"/>
        </w:rPr>
        <w:t>4.3 Equity Injection: Not Recommended at Present</w:t>
      </w:r>
      <w:bookmarkEnd w:id="31"/>
      <w:bookmarkEnd w:id="32"/>
    </w:p>
    <w:p w14:paraId="755A3393" w14:textId="77777777" w:rsidR="00EF3107" w:rsidRPr="00CA4F57" w:rsidRDefault="00EF3107" w:rsidP="00EF3107">
      <w:pPr>
        <w:rPr>
          <w:rFonts w:ascii="Arial" w:hAnsi="Arial" w:cs="Arial"/>
        </w:rPr>
      </w:pPr>
      <w:r w:rsidRPr="00CA4F57">
        <w:rPr>
          <w:rFonts w:ascii="Arial" w:hAnsi="Arial" w:cs="Arial"/>
        </w:rPr>
        <w:t>An equity injection through rights issue or share placement, which is the traditional approach to restoring positive book equity, is discouraged. Hilton has negative equity alongside substantial free cash flow generation and satisfactory interest cover (4.3x in FY2025); raising money through equity would probably destroy shareholder value compared to its cost of capital, and would go against the apparent preference of the market for Hilton’s capital allocation (seen through its market capitalization exceeding $61.5 billion by mid-2025; Hilton Worldwide Holdings Inc., 2026). An equity injection should be an alternative strategy reserved for situations where interest cover falls consistently below 3.0x, or in case of a systemic crisis (like 2020).</w:t>
      </w:r>
    </w:p>
    <w:p w14:paraId="20798E02" w14:textId="77777777" w:rsidR="00EF3107" w:rsidRPr="00CA4F57" w:rsidRDefault="00EF3107" w:rsidP="00EF3107">
      <w:pPr>
        <w:pStyle w:val="Heading2"/>
        <w:rPr>
          <w:rFonts w:ascii="Arial" w:hAnsi="Arial" w:cs="Arial"/>
        </w:rPr>
      </w:pPr>
      <w:bookmarkStart w:id="33" w:name="_Toc234455338"/>
      <w:bookmarkStart w:id="34" w:name="_Toc235009398"/>
      <w:r w:rsidRPr="00CA4F57">
        <w:rPr>
          <w:rFonts w:ascii="Arial" w:hAnsi="Arial" w:cs="Arial"/>
        </w:rPr>
        <w:t>4.4 Impact on Shareholder Value, Debt Structure and Operational Flexibility</w:t>
      </w:r>
      <w:bookmarkEnd w:id="33"/>
      <w:bookmarkEnd w:id="34"/>
    </w:p>
    <w:p w14:paraId="7249A316" w14:textId="77777777" w:rsidR="00EF3107" w:rsidRPr="00CA4F57" w:rsidRDefault="00EF3107" w:rsidP="00EF3107">
      <w:pPr>
        <w:rPr>
          <w:rFonts w:ascii="Arial" w:hAnsi="Arial" w:cs="Arial"/>
        </w:rPr>
      </w:pPr>
      <w:r w:rsidRPr="00CA4F57">
        <w:rPr>
          <w:rFonts w:ascii="Arial" w:hAnsi="Arial" w:cs="Arial"/>
        </w:rPr>
        <w:t>As the overall impact of asset-light divestiture and moderate pace of buybacks is, it helps maintain EPS growth and shareholders’ returns (despite lower, but still significant buybacks), as well as improves capacity to service debt and decrease the volatility of earnings. It provides operational flexibility, as the money that used to be invested into own real estate and was used solely for buybacks before, now can be used to finance capital expenditures that were evaluated in Section 5 or unexpected demand changes.</w:t>
      </w:r>
    </w:p>
    <w:p w14:paraId="0E028452" w14:textId="77777777" w:rsidR="00EF3107" w:rsidRPr="00CA4F57" w:rsidRDefault="00EF3107" w:rsidP="00EF3107">
      <w:pPr>
        <w:pStyle w:val="Heading2"/>
        <w:rPr>
          <w:rFonts w:ascii="Arial" w:hAnsi="Arial" w:cs="Arial"/>
        </w:rPr>
      </w:pPr>
      <w:bookmarkStart w:id="35" w:name="_Toc234455339"/>
      <w:bookmarkStart w:id="36" w:name="_Toc235009399"/>
      <w:r w:rsidRPr="00CA4F57">
        <w:rPr>
          <w:rFonts w:ascii="Arial" w:hAnsi="Arial" w:cs="Arial"/>
        </w:rPr>
        <w:lastRenderedPageBreak/>
        <w:t>4.5 International and Ethical Considerations</w:t>
      </w:r>
      <w:bookmarkEnd w:id="35"/>
      <w:bookmarkEnd w:id="36"/>
    </w:p>
    <w:p w14:paraId="119B050D" w14:textId="77777777" w:rsidR="00EF3107" w:rsidRPr="00CA4F57" w:rsidRDefault="00EF3107" w:rsidP="00EF3107">
      <w:pPr>
        <w:rPr>
          <w:rFonts w:ascii="Arial" w:hAnsi="Arial" w:cs="Arial"/>
        </w:rPr>
      </w:pPr>
      <w:r w:rsidRPr="00CA4F57">
        <w:rPr>
          <w:rFonts w:ascii="Arial" w:hAnsi="Arial" w:cs="Arial"/>
        </w:rPr>
        <w:t>As an international firm operating in more than 130 countries, Hilton faces significant foreign exchange translation and transaction risk and different corporate tax structures; cross-border restructuring operations like additional real estate dispositions through foreign subsidiaries need to be done in a way that is compliant with OECD principles on transfer pricing as well as the growing interest by tax agencies on repatriation of profits (</w:t>
      </w:r>
      <w:proofErr w:type="spellStart"/>
      <w:r w:rsidRPr="00CA4F57">
        <w:rPr>
          <w:rFonts w:ascii="Arial" w:hAnsi="Arial" w:cs="Arial"/>
        </w:rPr>
        <w:t>Kollruss</w:t>
      </w:r>
      <w:proofErr w:type="spellEnd"/>
      <w:r w:rsidRPr="00CA4F57">
        <w:rPr>
          <w:rFonts w:ascii="Arial" w:hAnsi="Arial" w:cs="Arial"/>
        </w:rPr>
        <w:t xml:space="preserve">, 2023). Foreign currency risks need to be managed using natural hedging (offsetting foreign currency income and expenses) and financial hedges on significant transactions, following best international financial management practices (Atrill, 2020). Regarding inflation, Hilton’s fee structure offers some natural hedges as franchise and management fees are normally based on a percentage of hotel income and hence automatically increase with inflation on hotel income, except for the fact that rising wage, </w:t>
      </w:r>
      <w:bookmarkStart w:id="37" w:name="_Toc234455340"/>
      <w:r w:rsidRPr="00CA4F57">
        <w:rPr>
          <w:rFonts w:ascii="Arial" w:hAnsi="Arial" w:cs="Arial"/>
        </w:rPr>
        <w:t>costs for insurance and utility continue to put pressure on the margins of owned hotels across the industry (HVS, 2025).</w:t>
      </w:r>
    </w:p>
    <w:p w14:paraId="031D6D3D" w14:textId="77777777" w:rsidR="00EF3107" w:rsidRPr="00CA4F57" w:rsidRDefault="00EF3107" w:rsidP="00EF3107">
      <w:pPr>
        <w:rPr>
          <w:rFonts w:ascii="Arial" w:hAnsi="Arial" w:cs="Arial"/>
        </w:rPr>
      </w:pPr>
      <w:r w:rsidRPr="00CA4F57">
        <w:rPr>
          <w:rFonts w:ascii="Arial" w:hAnsi="Arial" w:cs="Arial"/>
        </w:rPr>
        <w:t>From the standpoint of CSR/ESG, the “Travel with Purpose” approach of Hilton and its position as an employer of around 182,000 employees come with certain obligations that need to be taken into consideration as part of any restructuring (Hilton Worldwide Holdings Inc., 2026). Selling of owned properties to third parties like REITs and private equity investors needs to go hand-in-hand with proper contracts securing the rights of employees and communities and improving CSR quality through the process, as high-quality CSR communication is correlated with stakeholders’ trust and company performance (</w:t>
      </w:r>
      <w:proofErr w:type="spellStart"/>
      <w:r w:rsidRPr="00CA4F57">
        <w:rPr>
          <w:rFonts w:ascii="Arial" w:hAnsi="Arial" w:cs="Arial"/>
        </w:rPr>
        <w:t>Koseoglu</w:t>
      </w:r>
      <w:proofErr w:type="spellEnd"/>
      <w:r w:rsidRPr="00CA4F57">
        <w:rPr>
          <w:rFonts w:ascii="Arial" w:hAnsi="Arial" w:cs="Arial"/>
        </w:rPr>
        <w:t xml:space="preserve"> et al., 2021). The proposed restructuring strategy needs to be justified to the Board and to investors not just in terms of its financial profitability, but also as an ethically sound approach that is scalable globally, following the Board’s directives.</w:t>
      </w:r>
    </w:p>
    <w:p w14:paraId="1AF46267" w14:textId="77777777" w:rsidR="00EF3107" w:rsidRPr="00CA4F57" w:rsidRDefault="00EF3107" w:rsidP="00EF3107">
      <w:pPr>
        <w:rPr>
          <w:rFonts w:ascii="Arial" w:hAnsi="Arial" w:cs="Arial"/>
        </w:rPr>
      </w:pPr>
      <w:r w:rsidRPr="00CA4F57">
        <w:rPr>
          <w:rFonts w:ascii="Arial" w:hAnsi="Arial" w:cs="Arial"/>
        </w:rPr>
        <w:t>5. Investment Appraisal and Capital Budgeting</w:t>
      </w:r>
      <w:bookmarkEnd w:id="37"/>
    </w:p>
    <w:p w14:paraId="2C6FC776" w14:textId="77777777" w:rsidR="00EF3107" w:rsidRPr="00CA4F57" w:rsidRDefault="00EF3107" w:rsidP="00EF3107">
      <w:pPr>
        <w:rPr>
          <w:rFonts w:ascii="Arial" w:hAnsi="Arial" w:cs="Arial"/>
        </w:rPr>
      </w:pPr>
      <w:bookmarkStart w:id="38" w:name="_Toc234455341"/>
      <w:r w:rsidRPr="00CA4F57">
        <w:rPr>
          <w:rFonts w:ascii="Arial" w:hAnsi="Arial" w:cs="Arial"/>
        </w:rPr>
        <w:t xml:space="preserve">Projects A, B, and C have been suggested by the Board as three alternative investment opportunities each requiring an initial investment of £50m, a five-year forecast period, straight-line depreciation to zero (£10m per year), and an 8% discount rate. Cash flows from Projects A, B, and C are as follows respectively: Project A – £10m, £12m, £14m, £10m, £8m (Years 1-5); Project B – £11m per year for five years; Project C – £5m, £10m, £20m, £25m, £5m (Years 1-5). The appraisal procedures </w:t>
      </w:r>
      <w:r w:rsidRPr="00CA4F57">
        <w:rPr>
          <w:rFonts w:ascii="Arial" w:hAnsi="Arial" w:cs="Arial"/>
        </w:rPr>
        <w:lastRenderedPageBreak/>
        <w:t>described below have been computed using live Excel formulas in the attached financial model (Appendix D).</w:t>
      </w:r>
    </w:p>
    <w:p w14:paraId="5743D3A1" w14:textId="77777777" w:rsidR="00EF3107" w:rsidRPr="00CA4F57" w:rsidRDefault="00EF3107" w:rsidP="00EF3107">
      <w:pPr>
        <w:pStyle w:val="Heading2"/>
        <w:rPr>
          <w:rFonts w:ascii="Arial" w:hAnsi="Arial" w:cs="Arial"/>
        </w:rPr>
      </w:pPr>
      <w:bookmarkStart w:id="39" w:name="_Toc235009400"/>
      <w:r w:rsidRPr="00CA4F57">
        <w:rPr>
          <w:rFonts w:ascii="Arial" w:hAnsi="Arial" w:cs="Arial"/>
        </w:rPr>
        <w:t>5.1 Appraisal Methodology</w:t>
      </w:r>
      <w:bookmarkEnd w:id="38"/>
      <w:bookmarkEnd w:id="39"/>
    </w:p>
    <w:p w14:paraId="601AB88E" w14:textId="77777777" w:rsidR="00EF3107" w:rsidRPr="00CA4F57" w:rsidRDefault="00EF3107" w:rsidP="00EF3107">
      <w:pPr>
        <w:rPr>
          <w:rFonts w:ascii="Arial" w:hAnsi="Arial" w:cs="Arial"/>
        </w:rPr>
      </w:pPr>
      <w:bookmarkStart w:id="40" w:name="_Toc234455342"/>
      <w:r w:rsidRPr="00CA4F57">
        <w:rPr>
          <w:rFonts w:ascii="Arial" w:hAnsi="Arial" w:cs="Arial"/>
        </w:rPr>
        <w:t>There are five methods used, based on the theories for capital budgeting (Siziba and Hall, 2021; Sureka et al., 2022). Payback Period (PBP) is the period of time needed to recoup the initial cost of £50m through undiscounted cash flows, computed in this case to two decimal points using linear interpolation. Accounting Rate of Return (ARR) expresses the ratio of annual average accounting profit (i.e. cash flow minus straight line depreciation) to the initial investment and average investment. Net Present Value (NPV) discounts all cash flows at the 8% hurdle rate after deducting the initial investment, and a positive NPV suggests that the project will create value for shareholders (Watson, Head and Chan, 2023). The Profitability Index (PI) expresses the present value of future cash flows for each £1 of initial investment and is the proper criteria in ranking when applying single period capital rationing (Sureka et al., 2022). Internal Rate of Return (IRR) is the discount rate where NPV is zero, and projects are accepted when IRR is greater than the 8% hurdle rate.</w:t>
      </w:r>
    </w:p>
    <w:p w14:paraId="7C26FD18" w14:textId="77777777" w:rsidR="00EF3107" w:rsidRPr="00CA4F57" w:rsidRDefault="00EF3107" w:rsidP="00EF3107">
      <w:pPr>
        <w:pStyle w:val="Heading2"/>
        <w:rPr>
          <w:rFonts w:ascii="Arial" w:hAnsi="Arial" w:cs="Arial"/>
        </w:rPr>
      </w:pPr>
      <w:bookmarkStart w:id="41" w:name="_Toc235009401"/>
      <w:r w:rsidRPr="00CA4F57">
        <w:rPr>
          <w:rFonts w:ascii="Arial" w:hAnsi="Arial" w:cs="Arial"/>
        </w:rPr>
        <w:t>5.2 Results</w:t>
      </w:r>
      <w:bookmarkEnd w:id="40"/>
      <w:bookmarkEnd w:id="41"/>
    </w:p>
    <w:p w14:paraId="7EC875EE" w14:textId="77777777" w:rsidR="00EF3107" w:rsidRPr="00CA4F57" w:rsidRDefault="00EF3107" w:rsidP="00EF3107">
      <w:pPr>
        <w:jc w:val="center"/>
        <w:rPr>
          <w:rFonts w:ascii="Arial" w:hAnsi="Arial" w:cs="Arial"/>
          <w:b/>
          <w:bCs/>
        </w:rPr>
      </w:pPr>
      <w:r w:rsidRPr="00CA4F57">
        <w:rPr>
          <w:rFonts w:ascii="Arial" w:hAnsi="Arial" w:cs="Arial"/>
          <w:b/>
          <w:bCs/>
        </w:rPr>
        <w:t>Table 5. Investment Appraisal Summary – Projects A, B and C (£m, 8% discount rate).</w:t>
      </w:r>
    </w:p>
    <w:tbl>
      <w:tblPr>
        <w:tblStyle w:val="GridTable4-Accent2"/>
        <w:tblW w:w="9099" w:type="dxa"/>
        <w:tblLook w:val="04A0" w:firstRow="1" w:lastRow="0" w:firstColumn="1" w:lastColumn="0" w:noHBand="0" w:noVBand="1"/>
      </w:tblPr>
      <w:tblGrid>
        <w:gridCol w:w="3000"/>
        <w:gridCol w:w="2033"/>
        <w:gridCol w:w="2033"/>
        <w:gridCol w:w="2033"/>
      </w:tblGrid>
      <w:tr w:rsidR="00EF3107" w:rsidRPr="00CA4F57" w14:paraId="6F174D11" w14:textId="77777777" w:rsidTr="007473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6B61212C" w14:textId="77777777" w:rsidR="00EF3107" w:rsidRPr="00CA4F57" w:rsidRDefault="00EF3107" w:rsidP="00226CF3">
            <w:pPr>
              <w:rPr>
                <w:rFonts w:ascii="Arial" w:hAnsi="Arial" w:cs="Arial"/>
              </w:rPr>
            </w:pPr>
            <w:r w:rsidRPr="00CA4F57">
              <w:rPr>
                <w:rFonts w:ascii="Arial" w:hAnsi="Arial" w:cs="Arial"/>
              </w:rPr>
              <w:t>Criterion</w:t>
            </w:r>
          </w:p>
        </w:tc>
        <w:tc>
          <w:tcPr>
            <w:tcW w:w="2033" w:type="dxa"/>
          </w:tcPr>
          <w:p w14:paraId="08427C9D"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Project A</w:t>
            </w:r>
          </w:p>
        </w:tc>
        <w:tc>
          <w:tcPr>
            <w:tcW w:w="2033" w:type="dxa"/>
          </w:tcPr>
          <w:p w14:paraId="79B34E9A"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Project B</w:t>
            </w:r>
          </w:p>
        </w:tc>
        <w:tc>
          <w:tcPr>
            <w:tcW w:w="2033" w:type="dxa"/>
          </w:tcPr>
          <w:p w14:paraId="6EDB534B" w14:textId="77777777" w:rsidR="00EF3107" w:rsidRPr="00CA4F57" w:rsidRDefault="00EF3107" w:rsidP="00226CF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Project C</w:t>
            </w:r>
          </w:p>
        </w:tc>
      </w:tr>
      <w:tr w:rsidR="00EF3107" w:rsidRPr="00CA4F57" w14:paraId="18846E20" w14:textId="77777777" w:rsidTr="007473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6BF489DF" w14:textId="77777777" w:rsidR="00EF3107" w:rsidRPr="00CA4F57" w:rsidRDefault="00EF3107" w:rsidP="00226CF3">
            <w:pPr>
              <w:rPr>
                <w:rFonts w:ascii="Arial" w:hAnsi="Arial" w:cs="Arial"/>
              </w:rPr>
            </w:pPr>
            <w:r w:rsidRPr="00CA4F57">
              <w:rPr>
                <w:rFonts w:ascii="Arial" w:hAnsi="Arial" w:cs="Arial"/>
              </w:rPr>
              <w:t>Payback Period (undiscounted)</w:t>
            </w:r>
          </w:p>
        </w:tc>
        <w:tc>
          <w:tcPr>
            <w:tcW w:w="2033" w:type="dxa"/>
          </w:tcPr>
          <w:p w14:paraId="1F5A243A"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4.50 yrs</w:t>
            </w:r>
          </w:p>
        </w:tc>
        <w:tc>
          <w:tcPr>
            <w:tcW w:w="2033" w:type="dxa"/>
          </w:tcPr>
          <w:p w14:paraId="602C946B"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4.55 yrs</w:t>
            </w:r>
          </w:p>
        </w:tc>
        <w:tc>
          <w:tcPr>
            <w:tcW w:w="2033" w:type="dxa"/>
          </w:tcPr>
          <w:p w14:paraId="2946B46C"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3.60 yrs</w:t>
            </w:r>
          </w:p>
        </w:tc>
      </w:tr>
      <w:tr w:rsidR="00EF3107" w:rsidRPr="00CA4F57" w14:paraId="3B908C49" w14:textId="77777777" w:rsidTr="00747301">
        <w:tc>
          <w:tcPr>
            <w:cnfStyle w:val="001000000000" w:firstRow="0" w:lastRow="0" w:firstColumn="1" w:lastColumn="0" w:oddVBand="0" w:evenVBand="0" w:oddHBand="0" w:evenHBand="0" w:firstRowFirstColumn="0" w:firstRowLastColumn="0" w:lastRowFirstColumn="0" w:lastRowLastColumn="0"/>
            <w:tcW w:w="3000" w:type="dxa"/>
          </w:tcPr>
          <w:p w14:paraId="2B8181C4" w14:textId="77777777" w:rsidR="00EF3107" w:rsidRPr="00CA4F57" w:rsidRDefault="00EF3107" w:rsidP="00226CF3">
            <w:pPr>
              <w:rPr>
                <w:rFonts w:ascii="Arial" w:hAnsi="Arial" w:cs="Arial"/>
              </w:rPr>
            </w:pPr>
            <w:r w:rsidRPr="00CA4F57">
              <w:rPr>
                <w:rFonts w:ascii="Arial" w:hAnsi="Arial" w:cs="Arial"/>
              </w:rPr>
              <w:t>ARR on initial investment</w:t>
            </w:r>
          </w:p>
        </w:tc>
        <w:tc>
          <w:tcPr>
            <w:tcW w:w="2033" w:type="dxa"/>
          </w:tcPr>
          <w:p w14:paraId="225C0243"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1.6%</w:t>
            </w:r>
          </w:p>
        </w:tc>
        <w:tc>
          <w:tcPr>
            <w:tcW w:w="2033" w:type="dxa"/>
          </w:tcPr>
          <w:p w14:paraId="3ECF97CF"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2.0%</w:t>
            </w:r>
          </w:p>
        </w:tc>
        <w:tc>
          <w:tcPr>
            <w:tcW w:w="2033" w:type="dxa"/>
          </w:tcPr>
          <w:p w14:paraId="3CFFC760"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6.0%</w:t>
            </w:r>
          </w:p>
        </w:tc>
      </w:tr>
      <w:tr w:rsidR="00EF3107" w:rsidRPr="00CA4F57" w14:paraId="1B93EEB8" w14:textId="77777777" w:rsidTr="007473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3362A144" w14:textId="77777777" w:rsidR="00EF3107" w:rsidRPr="00CA4F57" w:rsidRDefault="00EF3107" w:rsidP="00226CF3">
            <w:pPr>
              <w:rPr>
                <w:rFonts w:ascii="Arial" w:hAnsi="Arial" w:cs="Arial"/>
              </w:rPr>
            </w:pPr>
            <w:r w:rsidRPr="00CA4F57">
              <w:rPr>
                <w:rFonts w:ascii="Arial" w:hAnsi="Arial" w:cs="Arial"/>
              </w:rPr>
              <w:t>ARR on average investment</w:t>
            </w:r>
          </w:p>
        </w:tc>
        <w:tc>
          <w:tcPr>
            <w:tcW w:w="2033" w:type="dxa"/>
          </w:tcPr>
          <w:p w14:paraId="69D171E3"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3.2%</w:t>
            </w:r>
          </w:p>
        </w:tc>
        <w:tc>
          <w:tcPr>
            <w:tcW w:w="2033" w:type="dxa"/>
          </w:tcPr>
          <w:p w14:paraId="230AF68C"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4.0%</w:t>
            </w:r>
          </w:p>
        </w:tc>
        <w:tc>
          <w:tcPr>
            <w:tcW w:w="2033" w:type="dxa"/>
          </w:tcPr>
          <w:p w14:paraId="76A10D9B"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12.0%</w:t>
            </w:r>
          </w:p>
        </w:tc>
      </w:tr>
      <w:tr w:rsidR="00EF3107" w:rsidRPr="00CA4F57" w14:paraId="3F42B6A4" w14:textId="77777777" w:rsidTr="00747301">
        <w:tc>
          <w:tcPr>
            <w:cnfStyle w:val="001000000000" w:firstRow="0" w:lastRow="0" w:firstColumn="1" w:lastColumn="0" w:oddVBand="0" w:evenVBand="0" w:oddHBand="0" w:evenHBand="0" w:firstRowFirstColumn="0" w:firstRowLastColumn="0" w:lastRowFirstColumn="0" w:lastRowLastColumn="0"/>
            <w:tcW w:w="3000" w:type="dxa"/>
          </w:tcPr>
          <w:p w14:paraId="1539C29E" w14:textId="77777777" w:rsidR="00EF3107" w:rsidRPr="00CA4F57" w:rsidRDefault="00EF3107" w:rsidP="00226CF3">
            <w:pPr>
              <w:rPr>
                <w:rFonts w:ascii="Arial" w:hAnsi="Arial" w:cs="Arial"/>
              </w:rPr>
            </w:pPr>
            <w:r w:rsidRPr="00CA4F57">
              <w:rPr>
                <w:rFonts w:ascii="Arial" w:hAnsi="Arial" w:cs="Arial"/>
              </w:rPr>
              <w:t>NPV @ 8%</w:t>
            </w:r>
          </w:p>
        </w:tc>
        <w:tc>
          <w:tcPr>
            <w:tcW w:w="2033" w:type="dxa"/>
          </w:tcPr>
          <w:p w14:paraId="63EBDC98"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–£6.54m</w:t>
            </w:r>
          </w:p>
        </w:tc>
        <w:tc>
          <w:tcPr>
            <w:tcW w:w="2033" w:type="dxa"/>
          </w:tcPr>
          <w:p w14:paraId="6A7AB212"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–£6.08m</w:t>
            </w:r>
          </w:p>
        </w:tc>
        <w:tc>
          <w:tcPr>
            <w:tcW w:w="2033" w:type="dxa"/>
          </w:tcPr>
          <w:p w14:paraId="000E4A3D"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+£0.86m</w:t>
            </w:r>
          </w:p>
        </w:tc>
      </w:tr>
      <w:tr w:rsidR="00EF3107" w:rsidRPr="00CA4F57" w14:paraId="74CC7F71" w14:textId="77777777" w:rsidTr="007473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7D65790F" w14:textId="77777777" w:rsidR="00EF3107" w:rsidRPr="00CA4F57" w:rsidRDefault="00EF3107" w:rsidP="00226CF3">
            <w:pPr>
              <w:rPr>
                <w:rFonts w:ascii="Arial" w:hAnsi="Arial" w:cs="Arial"/>
              </w:rPr>
            </w:pPr>
            <w:r w:rsidRPr="00CA4F57">
              <w:rPr>
                <w:rFonts w:ascii="Arial" w:hAnsi="Arial" w:cs="Arial"/>
              </w:rPr>
              <w:t>Profitability Index</w:t>
            </w:r>
          </w:p>
        </w:tc>
        <w:tc>
          <w:tcPr>
            <w:tcW w:w="2033" w:type="dxa"/>
          </w:tcPr>
          <w:p w14:paraId="38E226DE"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0.87x</w:t>
            </w:r>
          </w:p>
        </w:tc>
        <w:tc>
          <w:tcPr>
            <w:tcW w:w="2033" w:type="dxa"/>
          </w:tcPr>
          <w:p w14:paraId="56F9D436"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0.88x</w:t>
            </w:r>
          </w:p>
        </w:tc>
        <w:tc>
          <w:tcPr>
            <w:tcW w:w="2033" w:type="dxa"/>
          </w:tcPr>
          <w:p w14:paraId="494EF2FC" w14:textId="77777777" w:rsidR="00EF3107" w:rsidRPr="00CA4F57" w:rsidRDefault="00EF3107" w:rsidP="00226CF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A4F57">
              <w:rPr>
                <w:rFonts w:ascii="Arial" w:hAnsi="Arial" w:cs="Arial"/>
              </w:rPr>
              <w:t>1.02x</w:t>
            </w:r>
          </w:p>
        </w:tc>
      </w:tr>
      <w:tr w:rsidR="00EF3107" w:rsidRPr="00CA4F57" w14:paraId="60144B93" w14:textId="77777777" w:rsidTr="00747301">
        <w:tc>
          <w:tcPr>
            <w:cnfStyle w:val="001000000000" w:firstRow="0" w:lastRow="0" w:firstColumn="1" w:lastColumn="0" w:oddVBand="0" w:evenVBand="0" w:oddHBand="0" w:evenHBand="0" w:firstRowFirstColumn="0" w:firstRowLastColumn="0" w:lastRowFirstColumn="0" w:lastRowLastColumn="0"/>
            <w:tcW w:w="3000" w:type="dxa"/>
          </w:tcPr>
          <w:p w14:paraId="64420058" w14:textId="77777777" w:rsidR="00EF3107" w:rsidRPr="00CA4F57" w:rsidRDefault="00EF3107" w:rsidP="00226CF3">
            <w:pPr>
              <w:rPr>
                <w:rFonts w:ascii="Arial" w:hAnsi="Arial" w:cs="Arial"/>
              </w:rPr>
            </w:pPr>
            <w:r w:rsidRPr="00CA4F57">
              <w:rPr>
                <w:rFonts w:ascii="Arial" w:hAnsi="Arial" w:cs="Arial"/>
              </w:rPr>
              <w:lastRenderedPageBreak/>
              <w:t>IRR</w:t>
            </w:r>
          </w:p>
        </w:tc>
        <w:tc>
          <w:tcPr>
            <w:tcW w:w="2033" w:type="dxa"/>
          </w:tcPr>
          <w:p w14:paraId="53141831"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2.72%</w:t>
            </w:r>
          </w:p>
        </w:tc>
        <w:tc>
          <w:tcPr>
            <w:tcW w:w="2033" w:type="dxa"/>
          </w:tcPr>
          <w:p w14:paraId="44F1030A"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3.26%</w:t>
            </w:r>
          </w:p>
        </w:tc>
        <w:tc>
          <w:tcPr>
            <w:tcW w:w="2033" w:type="dxa"/>
          </w:tcPr>
          <w:p w14:paraId="6D0E7E68" w14:textId="77777777" w:rsidR="00EF3107" w:rsidRPr="00CA4F57" w:rsidRDefault="00EF3107" w:rsidP="00226C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A4F57">
              <w:rPr>
                <w:rFonts w:ascii="Arial" w:hAnsi="Arial" w:cs="Arial"/>
              </w:rPr>
              <w:t>8.59%</w:t>
            </w:r>
          </w:p>
        </w:tc>
      </w:tr>
    </w:tbl>
    <w:p w14:paraId="05A4208C" w14:textId="77777777" w:rsidR="00EF3107" w:rsidRPr="00CA4F57" w:rsidRDefault="00EF3107" w:rsidP="00EF3107">
      <w:pPr>
        <w:pStyle w:val="Heading2"/>
        <w:rPr>
          <w:rFonts w:ascii="Arial" w:hAnsi="Arial" w:cs="Arial"/>
        </w:rPr>
      </w:pPr>
      <w:bookmarkStart w:id="42" w:name="_Toc234455343"/>
      <w:bookmarkStart w:id="43" w:name="_Toc235009402"/>
      <w:r w:rsidRPr="00CA4F57">
        <w:rPr>
          <w:rFonts w:ascii="Arial" w:hAnsi="Arial" w:cs="Arial"/>
        </w:rPr>
        <w:t>5.3 Recommendation and Justification</w:t>
      </w:r>
      <w:bookmarkEnd w:id="42"/>
      <w:bookmarkEnd w:id="43"/>
    </w:p>
    <w:p w14:paraId="04813BAF" w14:textId="77777777" w:rsidR="00EF3107" w:rsidRPr="00CA4F57" w:rsidRDefault="00EF3107" w:rsidP="00EF3107">
      <w:pPr>
        <w:rPr>
          <w:rFonts w:ascii="Arial" w:hAnsi="Arial" w:cs="Arial"/>
        </w:rPr>
      </w:pPr>
      <w:r w:rsidRPr="00CA4F57">
        <w:rPr>
          <w:rFonts w:ascii="Arial" w:hAnsi="Arial" w:cs="Arial"/>
        </w:rPr>
        <w:t>Project C is recommended without any reservations. It is the only project with a positive NPV (£0.86m compared to negative £6.54m and £6.08m of projects A and B, respectively), the only project with an IRR of 8.59%, which is greater than the 8% hurdle rate, the shortest payback period (3.60 years compared to 4.50–4.55 years), and the highest Profitability Index and ARR on all bases. Projects A and B create no value for the company when discounted at 8% but generate positive undiscounted cash flows due to their overly aggressive or flat cash flows. This serves as a good example of why NPV and IRR, which factor in the time value of money, are considered by the academic literature better than PBP and ARR as decision criteria despite the latter's widespread use due to their simplicity and screening capability (Siziba and Hall, 2021).</w:t>
      </w:r>
    </w:p>
    <w:p w14:paraId="6CDB4B1D" w14:textId="77777777" w:rsidR="00EF3107" w:rsidRPr="00CA4F57" w:rsidRDefault="00EF3107" w:rsidP="00EF3107">
      <w:pPr>
        <w:rPr>
          <w:rFonts w:ascii="Arial" w:hAnsi="Arial" w:cs="Arial"/>
        </w:rPr>
      </w:pPr>
      <w:r w:rsidRPr="00CA4F57">
        <w:rPr>
          <w:rFonts w:ascii="Arial" w:hAnsi="Arial" w:cs="Arial"/>
        </w:rPr>
        <w:t>The reason behind such a suggestion is supported by the financial status of the company. The free cash flow has been above $1.9 billion for each of the past three financial years (Section 2.6). Therefore, spending up to £50m (about $63m) on any project is insignificant in comparison to the company’s ability to fund itself and does not need any additional external financing. But given the reduction in the current ratio along with negative working capital shown in Section 2.2, the CFO focuses on being disciplined in capital utilization. The quick payback period and positive NPV of Project C minimize the danger of investing money in a project that fails to return its cost during the appraisal period.</w:t>
      </w:r>
    </w:p>
    <w:p w14:paraId="33DD8DA0" w14:textId="77777777" w:rsidR="00EF3107" w:rsidRPr="00CA4F57" w:rsidRDefault="00EF3107" w:rsidP="00EF3107">
      <w:pPr>
        <w:rPr>
          <w:rFonts w:ascii="Arial" w:hAnsi="Arial" w:cs="Arial"/>
        </w:rPr>
      </w:pPr>
      <w:bookmarkStart w:id="44" w:name="_Toc234455344"/>
      <w:r w:rsidRPr="00CA4F57">
        <w:rPr>
          <w:rFonts w:ascii="Arial" w:hAnsi="Arial" w:cs="Arial"/>
        </w:rPr>
        <w:t xml:space="preserve">Nevertheless, the non-financial risks are in support of Project C too, with certain reservations. Cash flows of Project C are heavily weighted towards Years 3-4 (£20m &amp; £25m) that implies a higher risk associated with the political and macro-economic situation on a </w:t>
      </w:r>
      <w:proofErr w:type="gramStart"/>
      <w:r w:rsidRPr="00CA4F57">
        <w:rPr>
          <w:rFonts w:ascii="Arial" w:hAnsi="Arial" w:cs="Arial"/>
        </w:rPr>
        <w:t>longer term</w:t>
      </w:r>
      <w:proofErr w:type="gramEnd"/>
      <w:r w:rsidRPr="00CA4F57">
        <w:rPr>
          <w:rFonts w:ascii="Arial" w:hAnsi="Arial" w:cs="Arial"/>
        </w:rPr>
        <w:t xml:space="preserve"> perspective, such as demand shocks caused by the COVID-19 pandemic (Coutinho dos Santos, Magano and Mota, 2023) or political and regulatory uncertainty regarding certain international markets (</w:t>
      </w:r>
      <w:proofErr w:type="spellStart"/>
      <w:r w:rsidRPr="00CA4F57">
        <w:rPr>
          <w:rFonts w:ascii="Arial" w:hAnsi="Arial" w:cs="Arial"/>
        </w:rPr>
        <w:t>Kollruss</w:t>
      </w:r>
      <w:proofErr w:type="spellEnd"/>
      <w:r w:rsidRPr="00CA4F57">
        <w:rPr>
          <w:rFonts w:ascii="Arial" w:hAnsi="Arial" w:cs="Arial"/>
        </w:rPr>
        <w:t xml:space="preserve">, 2023). Such risk must be managed via scenario planning and, in the event of a tangible asset involved in the project, geographic or market diversification of the real assets being financed. In terms of customers’ loyalty, the 243 million-strong Hilton Honors </w:t>
      </w:r>
      <w:proofErr w:type="spellStart"/>
      <w:r w:rsidRPr="00CA4F57">
        <w:rPr>
          <w:rFonts w:ascii="Arial" w:hAnsi="Arial" w:cs="Arial"/>
        </w:rPr>
        <w:lastRenderedPageBreak/>
        <w:t>programme</w:t>
      </w:r>
      <w:proofErr w:type="spellEnd"/>
      <w:r w:rsidRPr="00CA4F57">
        <w:rPr>
          <w:rFonts w:ascii="Arial" w:hAnsi="Arial" w:cs="Arial"/>
        </w:rPr>
        <w:t xml:space="preserve"> of Hilton Worldwide Holdings Inc. (2026) gives a certain level of demand resilience needed to justify the ramp-up strategy suggested by Project C’s cash flow structure (low cash flow in Year 1 growing to maximum in Year 4) because loyalty </w:t>
      </w:r>
      <w:proofErr w:type="spellStart"/>
      <w:r w:rsidRPr="00CA4F57">
        <w:rPr>
          <w:rFonts w:ascii="Arial" w:hAnsi="Arial" w:cs="Arial"/>
        </w:rPr>
        <w:t>programme</w:t>
      </w:r>
      <w:proofErr w:type="spellEnd"/>
      <w:r w:rsidRPr="00CA4F57">
        <w:rPr>
          <w:rFonts w:ascii="Arial" w:hAnsi="Arial" w:cs="Arial"/>
        </w:rPr>
        <w:t xml:space="preserve"> clients will be more willing to book hotels in a phased manner of opening (or ramp-up process).</w:t>
      </w:r>
    </w:p>
    <w:p w14:paraId="558EF0CA" w14:textId="77777777" w:rsidR="00EF3107" w:rsidRPr="00CA4F57" w:rsidRDefault="00EF3107" w:rsidP="00EF3107">
      <w:pPr>
        <w:pStyle w:val="Heading2"/>
        <w:rPr>
          <w:rFonts w:ascii="Arial" w:hAnsi="Arial" w:cs="Arial"/>
        </w:rPr>
      </w:pPr>
      <w:bookmarkStart w:id="45" w:name="_Toc235009403"/>
      <w:r w:rsidRPr="00CA4F57">
        <w:rPr>
          <w:rFonts w:ascii="Arial" w:hAnsi="Arial" w:cs="Arial"/>
        </w:rPr>
        <w:t>5.4 Capital Rationing: Combination of Projects within a £100m Budget</w:t>
      </w:r>
      <w:bookmarkEnd w:id="44"/>
      <w:bookmarkEnd w:id="45"/>
    </w:p>
    <w:p w14:paraId="67B86207" w14:textId="77777777" w:rsidR="00EF3107" w:rsidRPr="00CA4F57" w:rsidRDefault="00EF3107" w:rsidP="00EF3107">
      <w:pPr>
        <w:rPr>
          <w:rFonts w:ascii="Arial" w:hAnsi="Arial" w:cs="Arial"/>
        </w:rPr>
      </w:pPr>
      <w:r w:rsidRPr="00CA4F57">
        <w:rPr>
          <w:rFonts w:ascii="Arial" w:hAnsi="Arial" w:cs="Arial"/>
        </w:rPr>
        <w:t>When there is rationing of capital – in this case, a maximum of £100m, enough to invest in only two out of the three £50m projects – the proper ranking method for projects of equal size should be the Profitability Index as it allows us to identify the optimal set of projects based on maximum NPV per unit of limited capital (Sureka et al., 2022; Watson, Head and Chan, 2023).</w:t>
      </w:r>
    </w:p>
    <w:p w14:paraId="27958EEB" w14:textId="77777777" w:rsidR="00EF3107" w:rsidRPr="00CA4F57" w:rsidRDefault="00EF3107" w:rsidP="00EF3107">
      <w:pPr>
        <w:rPr>
          <w:rFonts w:ascii="Arial" w:hAnsi="Arial" w:cs="Arial"/>
        </w:rPr>
      </w:pPr>
      <w:r w:rsidRPr="00CA4F57">
        <w:rPr>
          <w:rFonts w:ascii="Arial" w:hAnsi="Arial" w:cs="Arial"/>
        </w:rPr>
        <w:t>Ranking by PI: Project C (1.02x, rank 1), Project B (0.88x, rank 2), Project A (0.87x, rank 3).</w:t>
      </w:r>
    </w:p>
    <w:p w14:paraId="2F98A82F" w14:textId="77777777" w:rsidR="00EF3107" w:rsidRPr="00CA4F57" w:rsidRDefault="00EF3107" w:rsidP="00EF3107">
      <w:pPr>
        <w:jc w:val="center"/>
        <w:rPr>
          <w:rFonts w:ascii="Arial" w:hAnsi="Arial" w:cs="Arial"/>
          <w:b/>
          <w:bCs/>
        </w:rPr>
      </w:pPr>
      <w:r w:rsidRPr="00CA4F57">
        <w:rPr>
          <w:rFonts w:ascii="Arial" w:hAnsi="Arial" w:cs="Arial"/>
          <w:b/>
          <w:bCs/>
        </w:rPr>
        <w:t>Table 6. Capital Rationing Decision – £100m Budget.</w:t>
      </w:r>
    </w:p>
    <w:tbl>
      <w:tblPr>
        <w:tblW w:w="10099" w:type="dxa"/>
        <w:tblBorders>
          <w:top w:val="single" w:sz="4" w:space="0" w:color="000000"/>
          <w:left w:val="single" w:sz="4" w:space="0" w:color="000000"/>
          <w:bottom w:val="single" w:sz="4" w:space="0" w:color="000000"/>
          <w:right w:val="single" w:sz="4" w:space="0" w:color="000000"/>
          <w:insideH w:val="single" w:sz="2" w:space="0" w:color="808080"/>
          <w:insideV w:val="single" w:sz="2" w:space="0" w:color="808080"/>
        </w:tblBorders>
        <w:tblCellMar>
          <w:left w:w="10" w:type="dxa"/>
          <w:right w:w="10" w:type="dxa"/>
        </w:tblCellMar>
        <w:tblLook w:val="04A0" w:firstRow="1" w:lastRow="0" w:firstColumn="1" w:lastColumn="0" w:noHBand="0" w:noVBand="1"/>
      </w:tblPr>
      <w:tblGrid>
        <w:gridCol w:w="2000"/>
        <w:gridCol w:w="2000"/>
        <w:gridCol w:w="2033"/>
        <w:gridCol w:w="2033"/>
        <w:gridCol w:w="2033"/>
      </w:tblGrid>
      <w:tr w:rsidR="00EF3107" w:rsidRPr="00CA4F57" w14:paraId="00B2FE88" w14:textId="77777777">
        <w:trPr>
          <w:tblHeader/>
        </w:trPr>
        <w:tc>
          <w:tcPr>
            <w:tcW w:w="2000" w:type="dxa"/>
            <w:shd w:val="clear" w:color="auto" w:fill="D9D9D9"/>
            <w:tcMar>
              <w:top w:w="60" w:type="dxa"/>
              <w:left w:w="100" w:type="dxa"/>
              <w:bottom w:w="60" w:type="dxa"/>
              <w:right w:w="100" w:type="dxa"/>
            </w:tcMar>
            <w:vAlign w:val="center"/>
          </w:tcPr>
          <w:p w14:paraId="0E78F29C" w14:textId="77777777" w:rsidR="00EF3107" w:rsidRPr="00CA4F57" w:rsidRDefault="00EF3107" w:rsidP="00226CF3">
            <w:pPr>
              <w:rPr>
                <w:rFonts w:ascii="Arial" w:hAnsi="Arial" w:cs="Arial"/>
              </w:rPr>
            </w:pPr>
            <w:r w:rsidRPr="00CA4F57">
              <w:rPr>
                <w:rFonts w:ascii="Arial" w:hAnsi="Arial" w:cs="Arial"/>
              </w:rPr>
              <w:t>Project</w:t>
            </w:r>
          </w:p>
        </w:tc>
        <w:tc>
          <w:tcPr>
            <w:tcW w:w="2000" w:type="dxa"/>
            <w:shd w:val="clear" w:color="auto" w:fill="D9D9D9"/>
            <w:tcMar>
              <w:top w:w="60" w:type="dxa"/>
              <w:left w:w="100" w:type="dxa"/>
              <w:bottom w:w="60" w:type="dxa"/>
              <w:right w:w="100" w:type="dxa"/>
            </w:tcMar>
            <w:vAlign w:val="center"/>
          </w:tcPr>
          <w:p w14:paraId="510014DA" w14:textId="77777777" w:rsidR="00EF3107" w:rsidRPr="00CA4F57" w:rsidRDefault="00EF3107" w:rsidP="00226CF3">
            <w:pPr>
              <w:rPr>
                <w:rFonts w:ascii="Arial" w:hAnsi="Arial" w:cs="Arial"/>
              </w:rPr>
            </w:pPr>
            <w:r w:rsidRPr="00CA4F57">
              <w:rPr>
                <w:rFonts w:ascii="Arial" w:hAnsi="Arial" w:cs="Arial"/>
              </w:rPr>
              <w:t>Investment</w:t>
            </w:r>
          </w:p>
        </w:tc>
        <w:tc>
          <w:tcPr>
            <w:tcW w:w="2033" w:type="dxa"/>
            <w:shd w:val="clear" w:color="auto" w:fill="D9D9D9"/>
            <w:tcMar>
              <w:top w:w="60" w:type="dxa"/>
              <w:left w:w="100" w:type="dxa"/>
              <w:bottom w:w="60" w:type="dxa"/>
              <w:right w:w="100" w:type="dxa"/>
            </w:tcMar>
            <w:vAlign w:val="center"/>
          </w:tcPr>
          <w:p w14:paraId="0B2CC24B" w14:textId="77777777" w:rsidR="00EF3107" w:rsidRPr="00CA4F57" w:rsidRDefault="00EF3107" w:rsidP="00226CF3">
            <w:pPr>
              <w:rPr>
                <w:rFonts w:ascii="Arial" w:hAnsi="Arial" w:cs="Arial"/>
              </w:rPr>
            </w:pPr>
            <w:r w:rsidRPr="00CA4F57">
              <w:rPr>
                <w:rFonts w:ascii="Arial" w:hAnsi="Arial" w:cs="Arial"/>
              </w:rPr>
              <w:t>NPV -8%</w:t>
            </w:r>
          </w:p>
        </w:tc>
        <w:tc>
          <w:tcPr>
            <w:tcW w:w="2033" w:type="dxa"/>
            <w:shd w:val="clear" w:color="auto" w:fill="D9D9D9"/>
            <w:tcMar>
              <w:top w:w="60" w:type="dxa"/>
              <w:left w:w="100" w:type="dxa"/>
              <w:bottom w:w="60" w:type="dxa"/>
              <w:right w:w="100" w:type="dxa"/>
            </w:tcMar>
            <w:vAlign w:val="center"/>
          </w:tcPr>
          <w:p w14:paraId="4F267B95" w14:textId="77777777" w:rsidR="00EF3107" w:rsidRPr="00CA4F57" w:rsidRDefault="00EF3107" w:rsidP="00226CF3">
            <w:pPr>
              <w:rPr>
                <w:rFonts w:ascii="Arial" w:hAnsi="Arial" w:cs="Arial"/>
              </w:rPr>
            </w:pPr>
            <w:r w:rsidRPr="00CA4F57">
              <w:rPr>
                <w:rFonts w:ascii="Arial" w:hAnsi="Arial" w:cs="Arial"/>
              </w:rPr>
              <w:t>PI</w:t>
            </w:r>
          </w:p>
        </w:tc>
        <w:tc>
          <w:tcPr>
            <w:tcW w:w="2033" w:type="dxa"/>
            <w:shd w:val="clear" w:color="auto" w:fill="D9D9D9"/>
            <w:tcMar>
              <w:top w:w="60" w:type="dxa"/>
              <w:left w:w="100" w:type="dxa"/>
              <w:bottom w:w="60" w:type="dxa"/>
              <w:right w:w="100" w:type="dxa"/>
            </w:tcMar>
            <w:vAlign w:val="center"/>
          </w:tcPr>
          <w:p w14:paraId="125FCFC9" w14:textId="77777777" w:rsidR="00EF3107" w:rsidRPr="00CA4F57" w:rsidRDefault="00EF3107" w:rsidP="00226CF3">
            <w:pPr>
              <w:rPr>
                <w:rFonts w:ascii="Arial" w:hAnsi="Arial" w:cs="Arial"/>
              </w:rPr>
            </w:pPr>
            <w:r w:rsidRPr="00CA4F57">
              <w:rPr>
                <w:rFonts w:ascii="Arial" w:hAnsi="Arial" w:cs="Arial"/>
              </w:rPr>
              <w:t>PI Rank</w:t>
            </w:r>
          </w:p>
        </w:tc>
      </w:tr>
      <w:tr w:rsidR="00EF3107" w:rsidRPr="00CA4F57" w14:paraId="061F3283" w14:textId="77777777">
        <w:tc>
          <w:tcPr>
            <w:tcW w:w="2000" w:type="dxa"/>
            <w:tcMar>
              <w:top w:w="60" w:type="dxa"/>
              <w:left w:w="100" w:type="dxa"/>
              <w:bottom w:w="60" w:type="dxa"/>
              <w:right w:w="100" w:type="dxa"/>
            </w:tcMar>
            <w:vAlign w:val="center"/>
          </w:tcPr>
          <w:p w14:paraId="6DDB56D5" w14:textId="77777777" w:rsidR="00EF3107" w:rsidRPr="00CA4F57" w:rsidRDefault="00EF3107" w:rsidP="00226CF3">
            <w:pPr>
              <w:rPr>
                <w:rFonts w:ascii="Arial" w:hAnsi="Arial" w:cs="Arial"/>
              </w:rPr>
            </w:pPr>
            <w:r w:rsidRPr="00CA4F57">
              <w:rPr>
                <w:rFonts w:ascii="Arial" w:hAnsi="Arial" w:cs="Arial"/>
              </w:rPr>
              <w:t>Project A</w:t>
            </w:r>
          </w:p>
        </w:tc>
        <w:tc>
          <w:tcPr>
            <w:tcW w:w="2000" w:type="dxa"/>
            <w:tcMar>
              <w:top w:w="60" w:type="dxa"/>
              <w:left w:w="100" w:type="dxa"/>
              <w:bottom w:w="60" w:type="dxa"/>
              <w:right w:w="100" w:type="dxa"/>
            </w:tcMar>
            <w:vAlign w:val="center"/>
          </w:tcPr>
          <w:p w14:paraId="129F28C3" w14:textId="77777777" w:rsidR="00EF3107" w:rsidRPr="00CA4F57" w:rsidRDefault="00EF3107" w:rsidP="00226CF3">
            <w:pPr>
              <w:rPr>
                <w:rFonts w:ascii="Arial" w:hAnsi="Arial" w:cs="Arial"/>
              </w:rPr>
            </w:pPr>
            <w:r w:rsidRPr="00CA4F57">
              <w:rPr>
                <w:rFonts w:ascii="Arial" w:hAnsi="Arial" w:cs="Arial"/>
              </w:rPr>
              <w:t>£50m</w:t>
            </w:r>
          </w:p>
        </w:tc>
        <w:tc>
          <w:tcPr>
            <w:tcW w:w="2033" w:type="dxa"/>
            <w:tcMar>
              <w:top w:w="60" w:type="dxa"/>
              <w:left w:w="100" w:type="dxa"/>
              <w:bottom w:w="60" w:type="dxa"/>
              <w:right w:w="100" w:type="dxa"/>
            </w:tcMar>
            <w:vAlign w:val="center"/>
          </w:tcPr>
          <w:p w14:paraId="7EEB77C2" w14:textId="77777777" w:rsidR="00EF3107" w:rsidRPr="00CA4F57" w:rsidRDefault="00EF3107" w:rsidP="00226CF3">
            <w:pPr>
              <w:rPr>
                <w:rFonts w:ascii="Arial" w:hAnsi="Arial" w:cs="Arial"/>
              </w:rPr>
            </w:pPr>
            <w:r w:rsidRPr="00CA4F57">
              <w:rPr>
                <w:rFonts w:ascii="Arial" w:hAnsi="Arial" w:cs="Arial"/>
              </w:rPr>
              <w:t>–£6.54m</w:t>
            </w:r>
          </w:p>
        </w:tc>
        <w:tc>
          <w:tcPr>
            <w:tcW w:w="2033" w:type="dxa"/>
            <w:tcMar>
              <w:top w:w="60" w:type="dxa"/>
              <w:left w:w="100" w:type="dxa"/>
              <w:bottom w:w="60" w:type="dxa"/>
              <w:right w:w="100" w:type="dxa"/>
            </w:tcMar>
            <w:vAlign w:val="center"/>
          </w:tcPr>
          <w:p w14:paraId="2A5E5326" w14:textId="77777777" w:rsidR="00EF3107" w:rsidRPr="00CA4F57" w:rsidRDefault="00EF3107" w:rsidP="00226CF3">
            <w:pPr>
              <w:rPr>
                <w:rFonts w:ascii="Arial" w:hAnsi="Arial" w:cs="Arial"/>
              </w:rPr>
            </w:pPr>
            <w:r w:rsidRPr="00CA4F57">
              <w:rPr>
                <w:rFonts w:ascii="Arial" w:hAnsi="Arial" w:cs="Arial"/>
              </w:rPr>
              <w:t>0.87x</w:t>
            </w:r>
          </w:p>
        </w:tc>
        <w:tc>
          <w:tcPr>
            <w:tcW w:w="2033" w:type="dxa"/>
            <w:tcMar>
              <w:top w:w="60" w:type="dxa"/>
              <w:left w:w="100" w:type="dxa"/>
              <w:bottom w:w="60" w:type="dxa"/>
              <w:right w:w="100" w:type="dxa"/>
            </w:tcMar>
            <w:vAlign w:val="center"/>
          </w:tcPr>
          <w:p w14:paraId="7FA8B470" w14:textId="77777777" w:rsidR="00EF3107" w:rsidRPr="00CA4F57" w:rsidRDefault="00EF3107" w:rsidP="00226CF3">
            <w:pPr>
              <w:rPr>
                <w:rFonts w:ascii="Arial" w:hAnsi="Arial" w:cs="Arial"/>
              </w:rPr>
            </w:pPr>
            <w:r w:rsidRPr="00CA4F57">
              <w:rPr>
                <w:rFonts w:ascii="Arial" w:hAnsi="Arial" w:cs="Arial"/>
              </w:rPr>
              <w:t>3</w:t>
            </w:r>
          </w:p>
        </w:tc>
      </w:tr>
      <w:tr w:rsidR="00EF3107" w:rsidRPr="00CA4F57" w14:paraId="42451C50" w14:textId="77777777">
        <w:tc>
          <w:tcPr>
            <w:tcW w:w="2000" w:type="dxa"/>
            <w:tcMar>
              <w:top w:w="60" w:type="dxa"/>
              <w:left w:w="100" w:type="dxa"/>
              <w:bottom w:w="60" w:type="dxa"/>
              <w:right w:w="100" w:type="dxa"/>
            </w:tcMar>
            <w:vAlign w:val="center"/>
          </w:tcPr>
          <w:p w14:paraId="75E18EF3" w14:textId="77777777" w:rsidR="00EF3107" w:rsidRPr="00CA4F57" w:rsidRDefault="00EF3107" w:rsidP="00226CF3">
            <w:pPr>
              <w:rPr>
                <w:rFonts w:ascii="Arial" w:hAnsi="Arial" w:cs="Arial"/>
              </w:rPr>
            </w:pPr>
            <w:r w:rsidRPr="00CA4F57">
              <w:rPr>
                <w:rFonts w:ascii="Arial" w:hAnsi="Arial" w:cs="Arial"/>
              </w:rPr>
              <w:t>Project B</w:t>
            </w:r>
          </w:p>
        </w:tc>
        <w:tc>
          <w:tcPr>
            <w:tcW w:w="2000" w:type="dxa"/>
            <w:tcMar>
              <w:top w:w="60" w:type="dxa"/>
              <w:left w:w="100" w:type="dxa"/>
              <w:bottom w:w="60" w:type="dxa"/>
              <w:right w:w="100" w:type="dxa"/>
            </w:tcMar>
            <w:vAlign w:val="center"/>
          </w:tcPr>
          <w:p w14:paraId="6935E56E" w14:textId="77777777" w:rsidR="00EF3107" w:rsidRPr="00CA4F57" w:rsidRDefault="00EF3107" w:rsidP="00226CF3">
            <w:pPr>
              <w:rPr>
                <w:rFonts w:ascii="Arial" w:hAnsi="Arial" w:cs="Arial"/>
              </w:rPr>
            </w:pPr>
            <w:r w:rsidRPr="00CA4F57">
              <w:rPr>
                <w:rFonts w:ascii="Arial" w:hAnsi="Arial" w:cs="Arial"/>
              </w:rPr>
              <w:t>£50m</w:t>
            </w:r>
          </w:p>
        </w:tc>
        <w:tc>
          <w:tcPr>
            <w:tcW w:w="2033" w:type="dxa"/>
            <w:tcMar>
              <w:top w:w="60" w:type="dxa"/>
              <w:left w:w="100" w:type="dxa"/>
              <w:bottom w:w="60" w:type="dxa"/>
              <w:right w:w="100" w:type="dxa"/>
            </w:tcMar>
            <w:vAlign w:val="center"/>
          </w:tcPr>
          <w:p w14:paraId="53AF8F31" w14:textId="77777777" w:rsidR="00EF3107" w:rsidRPr="00CA4F57" w:rsidRDefault="00EF3107" w:rsidP="00226CF3">
            <w:pPr>
              <w:rPr>
                <w:rFonts w:ascii="Arial" w:hAnsi="Arial" w:cs="Arial"/>
              </w:rPr>
            </w:pPr>
            <w:r w:rsidRPr="00CA4F57">
              <w:rPr>
                <w:rFonts w:ascii="Arial" w:hAnsi="Arial" w:cs="Arial"/>
              </w:rPr>
              <w:t>–£6.08m</w:t>
            </w:r>
          </w:p>
        </w:tc>
        <w:tc>
          <w:tcPr>
            <w:tcW w:w="2033" w:type="dxa"/>
            <w:tcMar>
              <w:top w:w="60" w:type="dxa"/>
              <w:left w:w="100" w:type="dxa"/>
              <w:bottom w:w="60" w:type="dxa"/>
              <w:right w:w="100" w:type="dxa"/>
            </w:tcMar>
            <w:vAlign w:val="center"/>
          </w:tcPr>
          <w:p w14:paraId="111529AA" w14:textId="77777777" w:rsidR="00EF3107" w:rsidRPr="00CA4F57" w:rsidRDefault="00EF3107" w:rsidP="00226CF3">
            <w:pPr>
              <w:rPr>
                <w:rFonts w:ascii="Arial" w:hAnsi="Arial" w:cs="Arial"/>
              </w:rPr>
            </w:pPr>
            <w:r w:rsidRPr="00CA4F57">
              <w:rPr>
                <w:rFonts w:ascii="Arial" w:hAnsi="Arial" w:cs="Arial"/>
              </w:rPr>
              <w:t>0.88x</w:t>
            </w:r>
          </w:p>
        </w:tc>
        <w:tc>
          <w:tcPr>
            <w:tcW w:w="2033" w:type="dxa"/>
            <w:tcMar>
              <w:top w:w="60" w:type="dxa"/>
              <w:left w:w="100" w:type="dxa"/>
              <w:bottom w:w="60" w:type="dxa"/>
              <w:right w:w="100" w:type="dxa"/>
            </w:tcMar>
            <w:vAlign w:val="center"/>
          </w:tcPr>
          <w:p w14:paraId="73EC1095" w14:textId="77777777" w:rsidR="00EF3107" w:rsidRPr="00CA4F57" w:rsidRDefault="00EF3107" w:rsidP="00226CF3">
            <w:pPr>
              <w:rPr>
                <w:rFonts w:ascii="Arial" w:hAnsi="Arial" w:cs="Arial"/>
              </w:rPr>
            </w:pPr>
            <w:r w:rsidRPr="00CA4F57">
              <w:rPr>
                <w:rFonts w:ascii="Arial" w:hAnsi="Arial" w:cs="Arial"/>
              </w:rPr>
              <w:t>2</w:t>
            </w:r>
          </w:p>
        </w:tc>
      </w:tr>
      <w:tr w:rsidR="00EF3107" w:rsidRPr="00CA4F57" w14:paraId="032DF481" w14:textId="77777777">
        <w:tc>
          <w:tcPr>
            <w:tcW w:w="2000" w:type="dxa"/>
            <w:tcMar>
              <w:top w:w="60" w:type="dxa"/>
              <w:left w:w="100" w:type="dxa"/>
              <w:bottom w:w="60" w:type="dxa"/>
              <w:right w:w="100" w:type="dxa"/>
            </w:tcMar>
            <w:vAlign w:val="center"/>
          </w:tcPr>
          <w:p w14:paraId="705C1063" w14:textId="77777777" w:rsidR="00EF3107" w:rsidRPr="00CA4F57" w:rsidRDefault="00EF3107" w:rsidP="00226CF3">
            <w:pPr>
              <w:rPr>
                <w:rFonts w:ascii="Arial" w:hAnsi="Arial" w:cs="Arial"/>
              </w:rPr>
            </w:pPr>
            <w:r w:rsidRPr="00CA4F57">
              <w:rPr>
                <w:rFonts w:ascii="Arial" w:hAnsi="Arial" w:cs="Arial"/>
              </w:rPr>
              <w:t>Project C</w:t>
            </w:r>
          </w:p>
        </w:tc>
        <w:tc>
          <w:tcPr>
            <w:tcW w:w="2000" w:type="dxa"/>
            <w:tcMar>
              <w:top w:w="60" w:type="dxa"/>
              <w:left w:w="100" w:type="dxa"/>
              <w:bottom w:w="60" w:type="dxa"/>
              <w:right w:w="100" w:type="dxa"/>
            </w:tcMar>
            <w:vAlign w:val="center"/>
          </w:tcPr>
          <w:p w14:paraId="16ED9250" w14:textId="77777777" w:rsidR="00EF3107" w:rsidRPr="00CA4F57" w:rsidRDefault="00EF3107" w:rsidP="00226CF3">
            <w:pPr>
              <w:rPr>
                <w:rFonts w:ascii="Arial" w:hAnsi="Arial" w:cs="Arial"/>
              </w:rPr>
            </w:pPr>
            <w:r w:rsidRPr="00CA4F57">
              <w:rPr>
                <w:rFonts w:ascii="Arial" w:hAnsi="Arial" w:cs="Arial"/>
              </w:rPr>
              <w:t>£50m</w:t>
            </w:r>
          </w:p>
        </w:tc>
        <w:tc>
          <w:tcPr>
            <w:tcW w:w="2033" w:type="dxa"/>
            <w:tcMar>
              <w:top w:w="60" w:type="dxa"/>
              <w:left w:w="100" w:type="dxa"/>
              <w:bottom w:w="60" w:type="dxa"/>
              <w:right w:w="100" w:type="dxa"/>
            </w:tcMar>
            <w:vAlign w:val="center"/>
          </w:tcPr>
          <w:p w14:paraId="3312D3B7" w14:textId="77777777" w:rsidR="00EF3107" w:rsidRPr="00CA4F57" w:rsidRDefault="00EF3107" w:rsidP="00226CF3">
            <w:pPr>
              <w:rPr>
                <w:rFonts w:ascii="Arial" w:hAnsi="Arial" w:cs="Arial"/>
              </w:rPr>
            </w:pPr>
            <w:r w:rsidRPr="00CA4F57">
              <w:rPr>
                <w:rFonts w:ascii="Arial" w:hAnsi="Arial" w:cs="Arial"/>
              </w:rPr>
              <w:t>+£0.86m</w:t>
            </w:r>
          </w:p>
        </w:tc>
        <w:tc>
          <w:tcPr>
            <w:tcW w:w="2033" w:type="dxa"/>
            <w:tcMar>
              <w:top w:w="60" w:type="dxa"/>
              <w:left w:w="100" w:type="dxa"/>
              <w:bottom w:w="60" w:type="dxa"/>
              <w:right w:w="100" w:type="dxa"/>
            </w:tcMar>
            <w:vAlign w:val="center"/>
          </w:tcPr>
          <w:p w14:paraId="7450E659" w14:textId="77777777" w:rsidR="00EF3107" w:rsidRPr="00CA4F57" w:rsidRDefault="00EF3107" w:rsidP="00226CF3">
            <w:pPr>
              <w:rPr>
                <w:rFonts w:ascii="Arial" w:hAnsi="Arial" w:cs="Arial"/>
              </w:rPr>
            </w:pPr>
            <w:r w:rsidRPr="00CA4F57">
              <w:rPr>
                <w:rFonts w:ascii="Arial" w:hAnsi="Arial" w:cs="Arial"/>
              </w:rPr>
              <w:t>1.02x</w:t>
            </w:r>
          </w:p>
        </w:tc>
        <w:tc>
          <w:tcPr>
            <w:tcW w:w="2033" w:type="dxa"/>
            <w:tcMar>
              <w:top w:w="60" w:type="dxa"/>
              <w:left w:w="100" w:type="dxa"/>
              <w:bottom w:w="60" w:type="dxa"/>
              <w:right w:w="100" w:type="dxa"/>
            </w:tcMar>
            <w:vAlign w:val="center"/>
          </w:tcPr>
          <w:p w14:paraId="5EA1E07D" w14:textId="77777777" w:rsidR="00EF3107" w:rsidRPr="00CA4F57" w:rsidRDefault="00EF3107" w:rsidP="00226CF3">
            <w:pPr>
              <w:rPr>
                <w:rFonts w:ascii="Arial" w:hAnsi="Arial" w:cs="Arial"/>
              </w:rPr>
            </w:pPr>
            <w:r w:rsidRPr="00CA4F57">
              <w:rPr>
                <w:rFonts w:ascii="Arial" w:hAnsi="Arial" w:cs="Arial"/>
              </w:rPr>
              <w:t>1</w:t>
            </w:r>
          </w:p>
        </w:tc>
      </w:tr>
    </w:tbl>
    <w:p w14:paraId="1509AB38" w14:textId="77777777" w:rsidR="00EF3107" w:rsidRPr="00CA4F57" w:rsidRDefault="00EF3107" w:rsidP="00EF3107">
      <w:pPr>
        <w:rPr>
          <w:rFonts w:ascii="Arial" w:hAnsi="Arial" w:cs="Arial"/>
        </w:rPr>
      </w:pPr>
      <w:bookmarkStart w:id="46" w:name="_Toc234455345"/>
      <w:r w:rsidRPr="00CA4F57">
        <w:rPr>
          <w:rFonts w:ascii="Arial" w:hAnsi="Arial" w:cs="Arial"/>
        </w:rPr>
        <w:t xml:space="preserve">PI ranking in its straightforward form will result in selection of Projects C and B, using up the whole £100m budget. This would lead to a negative sum of NPV, equal to –£5.22m (+£0.86m from Project C minus £6.08m from Project B) – which is not an efficient solution, since even though Project B is second in PI ranking among all projects, it is still value-destructive on its own. This aspect is a valuable caveat to the process of capital rationing in general: PI ranking allows finding the most efficient combination when the rationed capital must be used, but it cannot be concluded whether its full allocation will maximize value (Sureka et al., 2022). Thus, according to the CFO's recommendation, Project C only (£50m) should be funded, while Project B </w:t>
      </w:r>
      <w:r w:rsidRPr="00CA4F57">
        <w:rPr>
          <w:rFonts w:ascii="Arial" w:hAnsi="Arial" w:cs="Arial"/>
        </w:rPr>
        <w:lastRenderedPageBreak/>
        <w:t>should be rejected despite the good ranking. The leftover budget capacity of £50m can either be returned to the shareholders (considering the buyback policy mentioned in Section 4.2) or reserved for future projects with positive NPV expectations.</w:t>
      </w:r>
    </w:p>
    <w:p w14:paraId="2EFA3939" w14:textId="77777777" w:rsidR="00EF3107" w:rsidRPr="00CA4F57" w:rsidRDefault="00EF3107" w:rsidP="00EF3107">
      <w:pPr>
        <w:pStyle w:val="Heading1"/>
        <w:rPr>
          <w:rFonts w:ascii="Arial" w:hAnsi="Arial" w:cs="Arial"/>
        </w:rPr>
      </w:pPr>
      <w:bookmarkStart w:id="47" w:name="_Toc235009404"/>
      <w:r w:rsidRPr="00CA4F57">
        <w:rPr>
          <w:rFonts w:ascii="Arial" w:hAnsi="Arial" w:cs="Arial"/>
        </w:rPr>
        <w:t>6. Conclusion</w:t>
      </w:r>
      <w:bookmarkEnd w:id="46"/>
      <w:bookmarkEnd w:id="47"/>
    </w:p>
    <w:p w14:paraId="5071FAD3" w14:textId="77777777" w:rsidR="00EF3107" w:rsidRPr="00CA4F57" w:rsidRDefault="00EF3107" w:rsidP="00EF3107">
      <w:pPr>
        <w:rPr>
          <w:rFonts w:ascii="Arial" w:hAnsi="Arial" w:cs="Arial"/>
        </w:rPr>
      </w:pPr>
      <w:r w:rsidRPr="00CA4F57">
        <w:rPr>
          <w:rFonts w:ascii="Arial" w:hAnsi="Arial" w:cs="Arial"/>
        </w:rPr>
        <w:t>The report has analyzed the performance of Hilton Worldwide Holdings Inc. on parameters of financials, working capital, capital structure and potential capital expenditure over a period of five years. The most important finding from the analysis is that Hilton is a robust company both from an operational and financial perspective. Margins, Return on Capital Employed, Asset Turnover as well as Free Cash Flow have all increased significantly since fiscal year 2021 because of its resilient, fee-based, and asset-light business model. While the two key issues which include lower current ratio than its peer benchmark since FY2023 and consistently negative shareholders’ equity are the result of an aggressive buyback strategy.</w:t>
      </w:r>
    </w:p>
    <w:p w14:paraId="3FB0568E" w14:textId="77777777" w:rsidR="00EF3107" w:rsidRPr="00CA4F57" w:rsidRDefault="00EF3107" w:rsidP="00EF3107">
      <w:pPr>
        <w:rPr>
          <w:rFonts w:ascii="Arial" w:hAnsi="Arial" w:cs="Arial"/>
        </w:rPr>
      </w:pPr>
      <w:r w:rsidRPr="00CA4F57">
        <w:rPr>
          <w:rFonts w:ascii="Arial" w:hAnsi="Arial" w:cs="Arial"/>
        </w:rPr>
        <w:t>Three recommendations for turnaround and growth are as follows: (1) enhance working capital flexibility through improved receivables management, partial supply chain financing, and enhanced committed liquidity cushion; (2) undertake financial restructuring that involves continuing sale of residual owned real estate consistent with asset light strategy of Hilton, reduces (but does not eliminate) rate of share buy-backs, keeps equity infusions as an option of last resort, and incorporates consideration of international taxation, currency, and ESG factors into all decisions regarding financial restructuring; and (3) go ahead with Project C of the proposed investment set, which is the only one that generates shareholder value at 8% cost of capital at Hilton, but reject Project B in light of capital rationing problem for £100m since the value-destroying project cannot be funded just to utilize available budget. The overall set of recommendations has been prepared to be both financially feasible, internationally scalable and ethical in compliance with the mandate of the Board.</w:t>
      </w:r>
      <w:bookmarkStart w:id="48" w:name="_Toc234455351"/>
    </w:p>
    <w:p w14:paraId="6AF5609F" w14:textId="77777777" w:rsidR="00EF3107" w:rsidRPr="00CA4F57" w:rsidRDefault="00EF3107" w:rsidP="00EF3107">
      <w:pPr>
        <w:spacing w:after="0" w:line="240" w:lineRule="auto"/>
        <w:jc w:val="left"/>
        <w:rPr>
          <w:rFonts w:ascii="Arial" w:hAnsi="Arial" w:cs="Arial"/>
        </w:rPr>
      </w:pPr>
      <w:r w:rsidRPr="00CA4F57">
        <w:rPr>
          <w:rFonts w:ascii="Arial" w:hAnsi="Arial" w:cs="Arial"/>
        </w:rPr>
        <w:br w:type="page"/>
      </w:r>
    </w:p>
    <w:p w14:paraId="6288A833" w14:textId="77777777" w:rsidR="00EF3107" w:rsidRPr="00CA4F57" w:rsidRDefault="00EF3107" w:rsidP="00EF3107">
      <w:pPr>
        <w:pStyle w:val="Heading1"/>
        <w:rPr>
          <w:rFonts w:ascii="Arial" w:hAnsi="Arial" w:cs="Arial"/>
        </w:rPr>
      </w:pPr>
      <w:bookmarkStart w:id="49" w:name="_Toc235009405"/>
      <w:r w:rsidRPr="00CA4F57">
        <w:rPr>
          <w:rFonts w:ascii="Arial" w:hAnsi="Arial" w:cs="Arial"/>
        </w:rPr>
        <w:lastRenderedPageBreak/>
        <w:t>7. Critical Reflection on AI Usage</w:t>
      </w:r>
      <w:bookmarkEnd w:id="49"/>
    </w:p>
    <w:p w14:paraId="2FA990DC" w14:textId="77777777" w:rsidR="00EF3107" w:rsidRPr="00CA4F57" w:rsidRDefault="00EF3107" w:rsidP="00EF3107">
      <w:pPr>
        <w:pStyle w:val="Heading2"/>
        <w:rPr>
          <w:rFonts w:ascii="Arial" w:hAnsi="Arial" w:cs="Arial"/>
        </w:rPr>
      </w:pPr>
      <w:bookmarkStart w:id="50" w:name="_Toc235009406"/>
      <w:r w:rsidRPr="00CA4F57">
        <w:rPr>
          <w:rFonts w:ascii="Arial" w:hAnsi="Arial" w:cs="Arial"/>
        </w:rPr>
        <w:t>7.1 Tool Disclosure</w:t>
      </w:r>
      <w:bookmarkEnd w:id="50"/>
    </w:p>
    <w:p w14:paraId="172703B8" w14:textId="77777777" w:rsidR="00EF3107" w:rsidRPr="00CA4F57" w:rsidRDefault="00EF3107" w:rsidP="00EF3107">
      <w:pPr>
        <w:rPr>
          <w:rFonts w:ascii="Arial" w:hAnsi="Arial" w:cs="Arial"/>
          <w:lang w:val="en-IN"/>
        </w:rPr>
      </w:pPr>
      <w:r w:rsidRPr="00CA4F57">
        <w:rPr>
          <w:rFonts w:ascii="Arial" w:hAnsi="Arial" w:cs="Arial"/>
          <w:lang w:val="en-IN"/>
        </w:rPr>
        <w:t>I applied ChatGPT to the tasks that could be done within this assessment. To begin with, it allowed me to locate topical scholarly articles and made concise briefings of the latest studies. These summaries were just taken as a point of departure. All sources have been read and assessed independently and then included in the report. Second, I hashed my report with ChatGPT after finishing the report to use grammar, enhance the clarity of sentences, and ensure a consistent academic style in writing. I did all the financial analysis, ratio calculation, investment appraisal, interpretation, and recommendations without the help of AI.</w:t>
      </w:r>
    </w:p>
    <w:p w14:paraId="4EC65B5F" w14:textId="77777777" w:rsidR="00EF3107" w:rsidRPr="00CA4F57" w:rsidRDefault="00EF3107" w:rsidP="00EF3107">
      <w:pPr>
        <w:pStyle w:val="Heading2"/>
        <w:rPr>
          <w:rFonts w:ascii="Arial" w:hAnsi="Arial" w:cs="Arial"/>
        </w:rPr>
      </w:pPr>
      <w:bookmarkStart w:id="51" w:name="_Toc235009407"/>
      <w:r w:rsidRPr="00CA4F57">
        <w:rPr>
          <w:rFonts w:ascii="Arial" w:hAnsi="Arial" w:cs="Arial"/>
        </w:rPr>
        <w:t>7.2 Critical Evaluation of AI Output</w:t>
      </w:r>
      <w:bookmarkEnd w:id="51"/>
    </w:p>
    <w:p w14:paraId="2AAC27D3" w14:textId="77777777" w:rsidR="00EF3107" w:rsidRPr="00CA4F57" w:rsidRDefault="00EF3107" w:rsidP="00EF3107">
      <w:pPr>
        <w:rPr>
          <w:rFonts w:ascii="Arial" w:hAnsi="Arial" w:cs="Arial"/>
          <w:lang w:val="en-IN"/>
        </w:rPr>
      </w:pPr>
      <w:r w:rsidRPr="00CA4F57">
        <w:rPr>
          <w:rFonts w:ascii="Arial" w:hAnsi="Arial" w:cs="Arial"/>
          <w:lang w:val="en-IN"/>
        </w:rPr>
        <w:t>The information provided by ChatGPT was carefully checked before use. All the suggested journal articles were cross-checked by means of validating authors, publication information, DOI, and content. I read all the sources to be sure that the summaries were correct. Any wrong or not completed information was deleted or rewritten, according to the initial source.</w:t>
      </w:r>
    </w:p>
    <w:p w14:paraId="29809B1A" w14:textId="77777777" w:rsidR="00EF3107" w:rsidRPr="00CA4F57" w:rsidRDefault="00EF3107" w:rsidP="00EF3107">
      <w:pPr>
        <w:rPr>
          <w:rFonts w:ascii="Arial" w:hAnsi="Arial" w:cs="Arial"/>
          <w:lang w:val="en-IN"/>
        </w:rPr>
      </w:pPr>
      <w:r w:rsidRPr="00CA4F57">
        <w:rPr>
          <w:rFonts w:ascii="Arial" w:hAnsi="Arial" w:cs="Arial"/>
          <w:lang w:val="en-IN"/>
        </w:rPr>
        <w:t>Financial ratios, investment appraisals, and examination of financial outcomes were not computed with the help of ChatGPT. Every computation, including profitability, liquidity, gearing, cash flow ratios, and investment appraisal techniques, including NPV, ARR, PI, IRR, and Payback Period were done in the Microsoft Excel using the published financial statements of Hilton. The original article reading also helped me realize valuable points that AI summaries overlooked, thereby being able to make more plausible conclusions.</w:t>
      </w:r>
    </w:p>
    <w:p w14:paraId="45CAF8EE" w14:textId="77777777" w:rsidR="00EF3107" w:rsidRPr="00CA4F57" w:rsidRDefault="00EF3107" w:rsidP="00EF3107">
      <w:pPr>
        <w:pStyle w:val="Heading2"/>
        <w:rPr>
          <w:rFonts w:ascii="Arial" w:hAnsi="Arial" w:cs="Arial"/>
        </w:rPr>
      </w:pPr>
      <w:bookmarkStart w:id="52" w:name="_Toc235009408"/>
      <w:r w:rsidRPr="00CA4F57">
        <w:rPr>
          <w:rFonts w:ascii="Arial" w:hAnsi="Arial" w:cs="Arial"/>
        </w:rPr>
        <w:t>7.3 Contribution Analysis</w:t>
      </w:r>
      <w:bookmarkEnd w:id="52"/>
    </w:p>
    <w:p w14:paraId="16BC9D0D" w14:textId="77777777" w:rsidR="00EF3107" w:rsidRPr="00CA4F57" w:rsidRDefault="00EF3107" w:rsidP="00EF3107">
      <w:pPr>
        <w:rPr>
          <w:rFonts w:ascii="Arial" w:hAnsi="Arial" w:cs="Arial"/>
          <w:lang w:val="en-IN"/>
        </w:rPr>
      </w:pPr>
      <w:r w:rsidRPr="00CA4F57">
        <w:rPr>
          <w:rFonts w:ascii="Arial" w:hAnsi="Arial" w:cs="Arial"/>
          <w:lang w:val="en-IN"/>
        </w:rPr>
        <w:t xml:space="preserve">ChatGPT primarily proved useful to save time in the literature search and proofreading part. Given in this report are my ideas, analysis and conclusions. I broke the financial statements of Hilton, analysed the results, highlighted significant financial problems, formulated reorganisation suggestions, and performed the assessment of investment on my own. My own discretion was also applied to explain the financial position of Hilton, assess investment opportunities and relate things in financial theory with </w:t>
      </w:r>
      <w:r w:rsidRPr="00CA4F57">
        <w:rPr>
          <w:rFonts w:ascii="Arial" w:hAnsi="Arial" w:cs="Arial"/>
          <w:lang w:val="en-IN"/>
        </w:rPr>
        <w:lastRenderedPageBreak/>
        <w:t>recommendations. AI was not the recipient of these decisions and the ultimate analysis.</w:t>
      </w:r>
    </w:p>
    <w:p w14:paraId="5CE1C65A" w14:textId="77777777" w:rsidR="00EF3107" w:rsidRPr="00CA4F57" w:rsidRDefault="00EF3107" w:rsidP="00EF3107">
      <w:pPr>
        <w:pStyle w:val="Heading2"/>
        <w:rPr>
          <w:rFonts w:ascii="Arial" w:hAnsi="Arial" w:cs="Arial"/>
        </w:rPr>
      </w:pPr>
      <w:bookmarkStart w:id="53" w:name="_Toc235009409"/>
      <w:r w:rsidRPr="00CA4F57">
        <w:rPr>
          <w:rFonts w:ascii="Arial" w:hAnsi="Arial" w:cs="Arial"/>
        </w:rPr>
        <w:t>7.4 Ethical and Professional Reflection</w:t>
      </w:r>
      <w:bookmarkEnd w:id="53"/>
    </w:p>
    <w:p w14:paraId="5C83413C" w14:textId="77777777" w:rsidR="00EF3107" w:rsidRPr="00CA4F57" w:rsidRDefault="00EF3107" w:rsidP="00EF3107">
      <w:pPr>
        <w:rPr>
          <w:rFonts w:ascii="Arial" w:hAnsi="Arial" w:cs="Arial"/>
          <w:lang w:val="en-IN"/>
        </w:rPr>
      </w:pPr>
      <w:r w:rsidRPr="00CA4F57">
        <w:rPr>
          <w:rFonts w:ascii="Arial" w:hAnsi="Arial" w:cs="Arial"/>
          <w:lang w:val="en-IN"/>
        </w:rPr>
        <w:t>The responsible use of AI should provide honesty, critical examination, and a sense of professionalism. I have clearly disclosed how ChatGPT was used in this assessment. The information that was inputted into the AI tool was limited to publicly available data within the Hilton financial reports and academic literature. Nothing confidential or private in the form of financial information was disclosed.</w:t>
      </w:r>
    </w:p>
    <w:p w14:paraId="326A9322" w14:textId="77777777" w:rsidR="00EF3107" w:rsidRPr="00EF3107" w:rsidRDefault="00EF3107" w:rsidP="00EF3107">
      <w:pPr>
        <w:rPr>
          <w:rFonts w:ascii="Arial" w:hAnsi="Arial" w:cs="Arial"/>
          <w:lang w:val="en-IN"/>
        </w:rPr>
      </w:pPr>
      <w:r w:rsidRPr="00CA4F57">
        <w:rPr>
          <w:rFonts w:ascii="Arial" w:hAnsi="Arial" w:cs="Arial"/>
          <w:lang w:val="en-IN"/>
        </w:rPr>
        <w:t>A dependency on AI is one of the largest risks of AI. Despite its ability to enhance efficiency and aid research, AI must not substitute independent thinking or professional judgement. Investors, employees, customers, and other stakeholders may see their financial choices shaped by hard-to-trust evidence and a critical look into it, and this does not imply that these actions need to be risky. The financial data and financial management principles of Hilton all contributed to the important conclusions and recommendations in this report. This is why ChatGPT was a support tool, and the overall analysis and final decisions were left to myself</w:t>
      </w:r>
      <w:r w:rsidRPr="00C846B1">
        <w:rPr>
          <w:lang w:val="en-IN"/>
        </w:rPr>
        <w:t>.</w:t>
      </w:r>
    </w:p>
    <w:p w14:paraId="3D9B4E40" w14:textId="77777777" w:rsidR="00EF3107" w:rsidRDefault="00EF3107" w:rsidP="00EF3107">
      <w:pPr>
        <w:spacing w:after="0" w:line="240" w:lineRule="auto"/>
        <w:jc w:val="left"/>
      </w:pPr>
      <w:r>
        <w:br w:type="page"/>
      </w:r>
    </w:p>
    <w:p w14:paraId="0A15D15C" w14:textId="77777777" w:rsidR="00EF3107" w:rsidRPr="00747301" w:rsidRDefault="00EF3107" w:rsidP="00EF3107">
      <w:pPr>
        <w:pStyle w:val="Heading1"/>
        <w:rPr>
          <w:rFonts w:cs="Times New Roman"/>
        </w:rPr>
      </w:pPr>
      <w:bookmarkStart w:id="54" w:name="_Toc235009410"/>
      <w:r w:rsidRPr="00747301">
        <w:rPr>
          <w:rFonts w:cs="Times New Roman"/>
        </w:rPr>
        <w:lastRenderedPageBreak/>
        <w:t>References</w:t>
      </w:r>
      <w:bookmarkEnd w:id="48"/>
      <w:bookmarkEnd w:id="54"/>
    </w:p>
    <w:p w14:paraId="020D5D50" w14:textId="77777777" w:rsidR="00EF3107" w:rsidRPr="00747301" w:rsidRDefault="00EF3107" w:rsidP="00EF3107">
      <w:r w:rsidRPr="00747301">
        <w:t xml:space="preserve">Aharon, D.Y., Jacobi, A., Cohen, E., Tzur, J., Qadan, M. and Gherghina, S.C. (2021) ‘COVID-19, government measures and hospitality industry performance’, PLOS ONE, 16(8), e0255819. Available at: </w:t>
      </w:r>
      <w:hyperlink r:id="rId5" w:history="1">
        <w:r w:rsidRPr="00747301">
          <w:rPr>
            <w:rStyle w:val="Hyperlink"/>
          </w:rPr>
          <w:t>https://doi.org/10.1371/journal.pone.0255819</w:t>
        </w:r>
      </w:hyperlink>
      <w:r w:rsidRPr="00747301">
        <w:t xml:space="preserve"> </w:t>
      </w:r>
    </w:p>
    <w:p w14:paraId="55C183F4" w14:textId="77777777" w:rsidR="00EF3107" w:rsidRPr="00747301" w:rsidRDefault="00EF3107" w:rsidP="00EF3107">
      <w:r w:rsidRPr="00747301">
        <w:t xml:space="preserve">Atrill, P. (2020) Financial Management for Decision Makers. 9th </w:t>
      </w:r>
      <w:proofErr w:type="spellStart"/>
      <w:r w:rsidRPr="00747301">
        <w:t>edn</w:t>
      </w:r>
      <w:proofErr w:type="spellEnd"/>
      <w:r w:rsidRPr="00747301">
        <w:t>. Harlow: Pearson.</w:t>
      </w:r>
    </w:p>
    <w:p w14:paraId="7BF002D4" w14:textId="77777777" w:rsidR="00EF3107" w:rsidRPr="00747301" w:rsidRDefault="00EF3107" w:rsidP="00EF3107">
      <w:r w:rsidRPr="00747301">
        <w:t xml:space="preserve">CBRE (2023) Global Hotels Outlook 2023. Available at: </w:t>
      </w:r>
      <w:hyperlink r:id="rId6" w:history="1">
        <w:r w:rsidRPr="00747301">
          <w:rPr>
            <w:rStyle w:val="Hyperlink"/>
          </w:rPr>
          <w:t>https://hotelsmag.com/news/global-hotel-performance-metrics-should-return-to-pre-pandemic-levels-in-2023-cbre/</w:t>
        </w:r>
      </w:hyperlink>
      <w:r w:rsidRPr="00747301">
        <w:t xml:space="preserve"> </w:t>
      </w:r>
    </w:p>
    <w:p w14:paraId="41A97208" w14:textId="77777777" w:rsidR="00EF3107" w:rsidRPr="00747301" w:rsidRDefault="00EF3107" w:rsidP="00EF3107">
      <w:r w:rsidRPr="00747301">
        <w:t xml:space="preserve">Chambers, N. and </w:t>
      </w:r>
      <w:proofErr w:type="spellStart"/>
      <w:r w:rsidRPr="00747301">
        <w:t>Cifter</w:t>
      </w:r>
      <w:proofErr w:type="spellEnd"/>
      <w:r w:rsidRPr="00747301">
        <w:t xml:space="preserve">, A. (2022) ‘Working capital management and firm performance in the hospitality and tourism industry’, International Journal of Hospitality Management, 102, 103144. Available at: </w:t>
      </w:r>
      <w:hyperlink r:id="rId7" w:history="1">
        <w:r w:rsidRPr="00747301">
          <w:rPr>
            <w:rStyle w:val="Hyperlink"/>
          </w:rPr>
          <w:t>https://doi.org/10.1016/j.ijhm.2022.103144</w:t>
        </w:r>
      </w:hyperlink>
      <w:r w:rsidRPr="00747301">
        <w:t xml:space="preserve"> </w:t>
      </w:r>
    </w:p>
    <w:p w14:paraId="1C886FDB" w14:textId="77777777" w:rsidR="00EF3107" w:rsidRPr="00747301" w:rsidRDefault="00EF3107" w:rsidP="00EF3107">
      <w:r w:rsidRPr="00747301">
        <w:t xml:space="preserve">Corporate Finance Institute (2020) Limitations of Ratio Analysis. Available at: </w:t>
      </w:r>
      <w:hyperlink r:id="rId8" w:history="1">
        <w:r w:rsidRPr="00747301">
          <w:rPr>
            <w:rStyle w:val="Hyperlink"/>
          </w:rPr>
          <w:t>https://corporatefinanceinstitute.com/resources/accounting/limitations-ratio-analysis/</w:t>
        </w:r>
      </w:hyperlink>
      <w:r w:rsidRPr="00747301">
        <w:t xml:space="preserve"> </w:t>
      </w:r>
    </w:p>
    <w:p w14:paraId="3937DAF5" w14:textId="77777777" w:rsidR="00EF3107" w:rsidRPr="00747301" w:rsidRDefault="00EF3107" w:rsidP="00EF3107">
      <w:r w:rsidRPr="00747301">
        <w:t xml:space="preserve">Coutinho dos Santos, M., Magano, J. and Mota, J. (2023) ‘The impact of the Covid-19 pandemic on the hotel Industry’s economic performance: evidence from Portugal’, </w:t>
      </w:r>
      <w:proofErr w:type="spellStart"/>
      <w:r w:rsidRPr="00747301">
        <w:t>Heliyon</w:t>
      </w:r>
      <w:proofErr w:type="spellEnd"/>
      <w:r w:rsidRPr="00747301">
        <w:t xml:space="preserve">, 9(5), e15850. Available at: </w:t>
      </w:r>
      <w:hyperlink r:id="rId9" w:history="1">
        <w:r w:rsidRPr="00747301">
          <w:rPr>
            <w:rStyle w:val="Hyperlink"/>
          </w:rPr>
          <w:t>https://doi.org/10.1016/j.heliyon.2023.e15850</w:t>
        </w:r>
      </w:hyperlink>
      <w:r w:rsidRPr="00747301">
        <w:t xml:space="preserve"> </w:t>
      </w:r>
    </w:p>
    <w:p w14:paraId="2ED7BDE6" w14:textId="77777777" w:rsidR="00EF3107" w:rsidRPr="00747301" w:rsidRDefault="00EF3107" w:rsidP="00EF3107">
      <w:proofErr w:type="spellStart"/>
      <w:r w:rsidRPr="00747301">
        <w:t>GuruFocus</w:t>
      </w:r>
      <w:proofErr w:type="spellEnd"/>
      <w:r w:rsidRPr="00747301">
        <w:t xml:space="preserve"> (2025) Marriott International (MAR) Current Ratio. Available at: </w:t>
      </w:r>
      <w:hyperlink r:id="rId10" w:history="1">
        <w:r w:rsidRPr="00747301">
          <w:rPr>
            <w:rStyle w:val="Hyperlink"/>
          </w:rPr>
          <w:t>https://www.gurufocus.com/term/current-ratio/MAR</w:t>
        </w:r>
      </w:hyperlink>
      <w:r w:rsidRPr="00747301">
        <w:t xml:space="preserve"> </w:t>
      </w:r>
    </w:p>
    <w:p w14:paraId="259CF2AE" w14:textId="77777777" w:rsidR="00EF3107" w:rsidRPr="00747301" w:rsidRDefault="00EF3107" w:rsidP="00EF3107">
      <w:r w:rsidRPr="00747301">
        <w:t xml:space="preserve">Hilton Worldwide Holdings Inc. (2023) Annual Report to Shareholders 2022 (Form ARS). Washington, DC: US Securities and Exchange Commission. Available at: </w:t>
      </w:r>
      <w:hyperlink r:id="rId11" w:history="1">
        <w:r w:rsidRPr="00747301">
          <w:rPr>
            <w:rStyle w:val="Hyperlink"/>
          </w:rPr>
          <w:t>https://www.sec.gov/Archives/edgar/data/1585689/000158568923000090/arshiltonworldwideinc2023.pdf</w:t>
        </w:r>
      </w:hyperlink>
      <w:r w:rsidRPr="00747301">
        <w:t xml:space="preserve"> </w:t>
      </w:r>
    </w:p>
    <w:p w14:paraId="1116B3B0" w14:textId="77777777" w:rsidR="00EF3107" w:rsidRPr="00747301" w:rsidRDefault="00EF3107" w:rsidP="00EF3107">
      <w:r w:rsidRPr="00747301">
        <w:t xml:space="preserve">Hilton Worldwide Holdings Inc. (2025) Annual Report to Shareholders 2024 (Form ARS). Washington, DC: US Securities and Exchange Commission. Available at: </w:t>
      </w:r>
      <w:hyperlink r:id="rId12" w:history="1">
        <w:r w:rsidRPr="00747301">
          <w:rPr>
            <w:rStyle w:val="Hyperlink"/>
          </w:rPr>
          <w:t>https://www.sec.gov/Archives/edgar/data/1585689/000158568925000081/hilton_worldwidex2024xannu.pdf</w:t>
        </w:r>
      </w:hyperlink>
      <w:r w:rsidRPr="00747301">
        <w:t xml:space="preserve"> </w:t>
      </w:r>
    </w:p>
    <w:p w14:paraId="2EF81C70" w14:textId="77777777" w:rsidR="00EF3107" w:rsidRPr="00747301" w:rsidRDefault="00EF3107" w:rsidP="00EF3107">
      <w:r w:rsidRPr="00747301">
        <w:t xml:space="preserve">Hilton Worldwide Holdings Inc. (2026) Form 10-K for the Fiscal Year Ended 31 December 2025. Washington, DC: US Securities and Exchange Commission. Available at: </w:t>
      </w:r>
      <w:hyperlink r:id="rId13" w:history="1">
        <w:r w:rsidRPr="00747301">
          <w:rPr>
            <w:rStyle w:val="Hyperlink"/>
          </w:rPr>
          <w:t>https://www.sec.gov/Archives/edgar/data/1585689/000158568926000007/hlt-20251231.htm</w:t>
        </w:r>
      </w:hyperlink>
      <w:r w:rsidRPr="00747301">
        <w:t xml:space="preserve"> </w:t>
      </w:r>
    </w:p>
    <w:p w14:paraId="7F67C2AF" w14:textId="77777777" w:rsidR="00EF3107" w:rsidRPr="00747301" w:rsidRDefault="00EF3107" w:rsidP="00EF3107">
      <w:r w:rsidRPr="00747301">
        <w:lastRenderedPageBreak/>
        <w:t xml:space="preserve">HVS (2025) Hotel Profitability in Transition: Cost Pressures and Budgeting Priorities for 2026. Available at: </w:t>
      </w:r>
      <w:hyperlink r:id="rId14" w:history="1">
        <w:r w:rsidRPr="00747301">
          <w:rPr>
            <w:rStyle w:val="Hyperlink"/>
          </w:rPr>
          <w:t>https://www.hvs.com/article/10345-hotel-profitability-in-transition-cost-pressures-and-budgeting-priorities-for-2026</w:t>
        </w:r>
      </w:hyperlink>
      <w:r w:rsidRPr="00747301">
        <w:t xml:space="preserve"> </w:t>
      </w:r>
    </w:p>
    <w:p w14:paraId="4AA4B726" w14:textId="77777777" w:rsidR="00EF3107" w:rsidRPr="00747301" w:rsidRDefault="00EF3107" w:rsidP="00EF3107">
      <w:r w:rsidRPr="00747301">
        <w:t xml:space="preserve">Kim, S.D. (2023) ‘The valuation effects of hotel mergers’, Tourism Economics, 29(2), pp. 348–377. Available at: </w:t>
      </w:r>
      <w:hyperlink r:id="rId15" w:history="1">
        <w:r w:rsidRPr="00747301">
          <w:rPr>
            <w:rStyle w:val="Hyperlink"/>
          </w:rPr>
          <w:t>https://doi.org/10.1177/13548166211050475</w:t>
        </w:r>
      </w:hyperlink>
      <w:r w:rsidRPr="00747301">
        <w:t xml:space="preserve"> </w:t>
      </w:r>
    </w:p>
    <w:p w14:paraId="2C130526" w14:textId="77777777" w:rsidR="00EF3107" w:rsidRPr="00747301" w:rsidRDefault="00EF3107" w:rsidP="00EF3107">
      <w:proofErr w:type="spellStart"/>
      <w:r w:rsidRPr="00747301">
        <w:t>Kollruss</w:t>
      </w:r>
      <w:proofErr w:type="spellEnd"/>
      <w:r w:rsidRPr="00747301">
        <w:t xml:space="preserve">, T. (2023) ‘International taxation and the potential of cross-border mergers for optimal profit repatriation’, Journal of Corporate Accounting &amp; Finance. Available at: </w:t>
      </w:r>
      <w:hyperlink r:id="rId16" w:history="1">
        <w:r w:rsidRPr="00747301">
          <w:rPr>
            <w:rStyle w:val="Hyperlink"/>
          </w:rPr>
          <w:t>https://doi.org/10.1002/jcaf.22604</w:t>
        </w:r>
      </w:hyperlink>
      <w:r w:rsidRPr="00747301">
        <w:t xml:space="preserve"> </w:t>
      </w:r>
    </w:p>
    <w:p w14:paraId="70B93C32" w14:textId="77777777" w:rsidR="00EF3107" w:rsidRPr="00747301" w:rsidRDefault="00EF3107" w:rsidP="00EF3107">
      <w:proofErr w:type="spellStart"/>
      <w:r w:rsidRPr="00747301">
        <w:t>Koseoglu</w:t>
      </w:r>
      <w:proofErr w:type="spellEnd"/>
      <w:r w:rsidRPr="00747301">
        <w:t xml:space="preserve">, M.A., Uyar, A., Kilic, M., Kuzey, C. and Karaman, A.S. (2021) ‘Exploring the connections among CSR performance, reporting, and external assurance: evidence from the hospitality and tourism industry’, International Journal of Hospitality Management, 94, 102828. Available at: </w:t>
      </w:r>
      <w:hyperlink r:id="rId17" w:history="1">
        <w:r w:rsidRPr="00747301">
          <w:rPr>
            <w:rStyle w:val="Hyperlink"/>
          </w:rPr>
          <w:t>https://doi.org/10.1016/j.ijhm.2020.102828</w:t>
        </w:r>
      </w:hyperlink>
      <w:r w:rsidRPr="00747301">
        <w:t xml:space="preserve"> </w:t>
      </w:r>
    </w:p>
    <w:p w14:paraId="0D474F9D" w14:textId="77777777" w:rsidR="00EF3107" w:rsidRPr="00747301" w:rsidRDefault="00EF3107" w:rsidP="00EF3107">
      <w:r w:rsidRPr="00747301">
        <w:t xml:space="preserve">Siziba, S. and Hall, J.H. (2021) ‘The evolution of the application of capital budgeting techniques in enterprises’, Global Finance Journal, 47, 100504. Available at: </w:t>
      </w:r>
      <w:hyperlink r:id="rId18" w:history="1">
        <w:r w:rsidRPr="00747301">
          <w:rPr>
            <w:rStyle w:val="Hyperlink"/>
          </w:rPr>
          <w:t>https://doi.org/10.1016/j.gfj.2020.100504</w:t>
        </w:r>
      </w:hyperlink>
      <w:r w:rsidRPr="00747301">
        <w:t xml:space="preserve"> </w:t>
      </w:r>
    </w:p>
    <w:p w14:paraId="03C600D9" w14:textId="77777777" w:rsidR="00EF3107" w:rsidRPr="00747301" w:rsidRDefault="00EF3107" w:rsidP="00EF3107">
      <w:r w:rsidRPr="00747301">
        <w:t xml:space="preserve">Sureka, R., Kumar, S., </w:t>
      </w:r>
      <w:proofErr w:type="spellStart"/>
      <w:r w:rsidRPr="00747301">
        <w:t>Colombage</w:t>
      </w:r>
      <w:proofErr w:type="spellEnd"/>
      <w:r w:rsidRPr="00747301">
        <w:t xml:space="preserve">, S. and Abedin, M.Z. (2022) ‘Five decades of research on capital budgeting – a systematic review and future research agenda’, Research in International Business and Finance, 60, 101609. Available at: </w:t>
      </w:r>
      <w:hyperlink r:id="rId19" w:history="1">
        <w:r w:rsidRPr="00747301">
          <w:rPr>
            <w:rStyle w:val="Hyperlink"/>
          </w:rPr>
          <w:t>https://doi.org/10.1016/j.ribaf.2021.101609</w:t>
        </w:r>
      </w:hyperlink>
      <w:r w:rsidRPr="00747301">
        <w:t xml:space="preserve"> </w:t>
      </w:r>
    </w:p>
    <w:p w14:paraId="5E1B2AE5" w14:textId="77777777" w:rsidR="00EF3107" w:rsidRPr="00747301" w:rsidRDefault="00EF3107" w:rsidP="00EF3107">
      <w:r w:rsidRPr="00747301">
        <w:t xml:space="preserve">Watson, D., Head, A. and Chan, D. (2023) Corporate Finance: Principles and Practice. 9th </w:t>
      </w:r>
      <w:proofErr w:type="spellStart"/>
      <w:r w:rsidRPr="00747301">
        <w:t>edn</w:t>
      </w:r>
      <w:proofErr w:type="spellEnd"/>
      <w:r w:rsidRPr="00747301">
        <w:t>. Harlow: Pearson.</w:t>
      </w:r>
    </w:p>
    <w:p w14:paraId="53497785" w14:textId="77777777" w:rsidR="00EF3107" w:rsidRPr="00747301" w:rsidRDefault="00EF3107" w:rsidP="00EF3107">
      <w:proofErr w:type="spellStart"/>
      <w:r w:rsidRPr="00747301">
        <w:t>Wisesheets</w:t>
      </w:r>
      <w:proofErr w:type="spellEnd"/>
      <w:r w:rsidRPr="00747301">
        <w:t xml:space="preserve"> (2025) Marriott International, Inc. Current Ratio. Available at: </w:t>
      </w:r>
      <w:hyperlink r:id="rId20" w:history="1">
        <w:r w:rsidRPr="00747301">
          <w:rPr>
            <w:rStyle w:val="Hyperlink"/>
          </w:rPr>
          <w:t>https://www.wisesheets.io/current-ratio/MAR</w:t>
        </w:r>
      </w:hyperlink>
      <w:r w:rsidRPr="00747301">
        <w:t xml:space="preserve"> </w:t>
      </w:r>
    </w:p>
    <w:p w14:paraId="447B0B79" w14:textId="77777777" w:rsidR="00EF3107" w:rsidRPr="00747301" w:rsidRDefault="00EF3107" w:rsidP="00EF3107">
      <w:r w:rsidRPr="00747301">
        <w:t xml:space="preserve">Zhang, F., Xiao, Q., Law, R. and Lee, S. (2020) ‘Mergers and acquisitions in the hotel industry: a comprehensive review’, International Journal of Hospitality Management, 91, 102418. Available at: </w:t>
      </w:r>
      <w:hyperlink r:id="rId21" w:history="1">
        <w:r w:rsidRPr="00747301">
          <w:rPr>
            <w:rStyle w:val="Hyperlink"/>
          </w:rPr>
          <w:t>https://doi.org/10.1016/j.ijhm.2019.102418</w:t>
        </w:r>
      </w:hyperlink>
      <w:r w:rsidRPr="00747301">
        <w:t xml:space="preserve"> </w:t>
      </w:r>
    </w:p>
    <w:p w14:paraId="3F73F8D9" w14:textId="77777777" w:rsidR="00EF3107" w:rsidRPr="00747301" w:rsidRDefault="00EF3107" w:rsidP="00EF3107"/>
    <w:p w14:paraId="6BD6EFDD" w14:textId="77777777" w:rsidR="00EF3107" w:rsidRDefault="00EF3107"/>
    <w:sectPr w:rsidR="00EF31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107"/>
    <w:rsid w:val="00E45D95"/>
    <w:rsid w:val="00EF31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06305"/>
  <w15:chartTrackingRefBased/>
  <w15:docId w15:val="{AEA661C1-30F9-4286-9225-F63C78A2A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107"/>
    <w:pPr>
      <w:spacing w:after="200" w:line="360" w:lineRule="auto"/>
      <w:jc w:val="both"/>
    </w:pPr>
    <w:rPr>
      <w:rFonts w:ascii="Times New Roman" w:eastAsia="Arial" w:hAnsi="Times New Roman" w:cs="Times New Roman"/>
      <w:kern w:val="0"/>
      <w:lang w:val="en-US"/>
      <w14:ligatures w14:val="none"/>
    </w:rPr>
  </w:style>
  <w:style w:type="paragraph" w:styleId="Heading1">
    <w:name w:val="heading 1"/>
    <w:basedOn w:val="Normal"/>
    <w:next w:val="Normal"/>
    <w:link w:val="Heading1Char"/>
    <w:uiPriority w:val="9"/>
    <w:qFormat/>
    <w:rsid w:val="00EF3107"/>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IN"/>
      <w14:ligatures w14:val="standardContextual"/>
    </w:rPr>
  </w:style>
  <w:style w:type="paragraph" w:styleId="Heading2">
    <w:name w:val="heading 2"/>
    <w:basedOn w:val="Normal"/>
    <w:next w:val="Normal"/>
    <w:link w:val="Heading2Char"/>
    <w:uiPriority w:val="9"/>
    <w:unhideWhenUsed/>
    <w:qFormat/>
    <w:rsid w:val="00EF3107"/>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IN"/>
      <w14:ligatures w14:val="standardContextual"/>
    </w:rPr>
  </w:style>
  <w:style w:type="paragraph" w:styleId="Heading3">
    <w:name w:val="heading 3"/>
    <w:basedOn w:val="Normal"/>
    <w:next w:val="Normal"/>
    <w:link w:val="Heading3Char"/>
    <w:uiPriority w:val="9"/>
    <w:semiHidden/>
    <w:unhideWhenUsed/>
    <w:qFormat/>
    <w:rsid w:val="00EF3107"/>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IN"/>
      <w14:ligatures w14:val="standardContextual"/>
    </w:rPr>
  </w:style>
  <w:style w:type="paragraph" w:styleId="Heading4">
    <w:name w:val="heading 4"/>
    <w:basedOn w:val="Normal"/>
    <w:next w:val="Normal"/>
    <w:link w:val="Heading4Char"/>
    <w:uiPriority w:val="9"/>
    <w:semiHidden/>
    <w:unhideWhenUsed/>
    <w:qFormat/>
    <w:rsid w:val="00EF3107"/>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val="en-IN"/>
      <w14:ligatures w14:val="standardContextual"/>
    </w:rPr>
  </w:style>
  <w:style w:type="paragraph" w:styleId="Heading5">
    <w:name w:val="heading 5"/>
    <w:basedOn w:val="Normal"/>
    <w:next w:val="Normal"/>
    <w:link w:val="Heading5Char"/>
    <w:uiPriority w:val="9"/>
    <w:semiHidden/>
    <w:unhideWhenUsed/>
    <w:qFormat/>
    <w:rsid w:val="00EF3107"/>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val="en-IN"/>
      <w14:ligatures w14:val="standardContextual"/>
    </w:rPr>
  </w:style>
  <w:style w:type="paragraph" w:styleId="Heading6">
    <w:name w:val="heading 6"/>
    <w:basedOn w:val="Normal"/>
    <w:next w:val="Normal"/>
    <w:link w:val="Heading6Char"/>
    <w:uiPriority w:val="9"/>
    <w:semiHidden/>
    <w:unhideWhenUsed/>
    <w:qFormat/>
    <w:rsid w:val="00EF3107"/>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lang w:val="en-IN"/>
      <w14:ligatures w14:val="standardContextual"/>
    </w:rPr>
  </w:style>
  <w:style w:type="paragraph" w:styleId="Heading7">
    <w:name w:val="heading 7"/>
    <w:basedOn w:val="Normal"/>
    <w:next w:val="Normal"/>
    <w:link w:val="Heading7Char"/>
    <w:uiPriority w:val="9"/>
    <w:semiHidden/>
    <w:unhideWhenUsed/>
    <w:qFormat/>
    <w:rsid w:val="00EF3107"/>
    <w:pPr>
      <w:keepNext/>
      <w:keepLines/>
      <w:spacing w:before="40" w:after="0" w:line="278" w:lineRule="auto"/>
      <w:jc w:val="left"/>
      <w:outlineLvl w:val="6"/>
    </w:pPr>
    <w:rPr>
      <w:rFonts w:asciiTheme="minorHAnsi" w:eastAsiaTheme="majorEastAsia" w:hAnsiTheme="minorHAnsi" w:cstheme="majorBidi"/>
      <w:color w:val="595959" w:themeColor="text1" w:themeTint="A6"/>
      <w:kern w:val="2"/>
      <w:lang w:val="en-IN"/>
      <w14:ligatures w14:val="standardContextual"/>
    </w:rPr>
  </w:style>
  <w:style w:type="paragraph" w:styleId="Heading8">
    <w:name w:val="heading 8"/>
    <w:basedOn w:val="Normal"/>
    <w:next w:val="Normal"/>
    <w:link w:val="Heading8Char"/>
    <w:uiPriority w:val="9"/>
    <w:semiHidden/>
    <w:unhideWhenUsed/>
    <w:qFormat/>
    <w:rsid w:val="00EF3107"/>
    <w:pPr>
      <w:keepNext/>
      <w:keepLines/>
      <w:spacing w:after="0" w:line="278" w:lineRule="auto"/>
      <w:jc w:val="left"/>
      <w:outlineLvl w:val="7"/>
    </w:pPr>
    <w:rPr>
      <w:rFonts w:asciiTheme="minorHAnsi" w:eastAsiaTheme="majorEastAsia" w:hAnsiTheme="minorHAnsi" w:cstheme="majorBidi"/>
      <w:i/>
      <w:iCs/>
      <w:color w:val="272727" w:themeColor="text1" w:themeTint="D8"/>
      <w:kern w:val="2"/>
      <w:lang w:val="en-IN"/>
      <w14:ligatures w14:val="standardContextual"/>
    </w:rPr>
  </w:style>
  <w:style w:type="paragraph" w:styleId="Heading9">
    <w:name w:val="heading 9"/>
    <w:basedOn w:val="Normal"/>
    <w:next w:val="Normal"/>
    <w:link w:val="Heading9Char"/>
    <w:uiPriority w:val="9"/>
    <w:semiHidden/>
    <w:unhideWhenUsed/>
    <w:qFormat/>
    <w:rsid w:val="00EF3107"/>
    <w:pPr>
      <w:keepNext/>
      <w:keepLines/>
      <w:spacing w:after="0" w:line="278" w:lineRule="auto"/>
      <w:jc w:val="left"/>
      <w:outlineLvl w:val="8"/>
    </w:pPr>
    <w:rPr>
      <w:rFonts w:asciiTheme="minorHAnsi" w:eastAsiaTheme="majorEastAsia" w:hAnsiTheme="minorHAnsi" w:cstheme="majorBidi"/>
      <w:color w:val="272727" w:themeColor="text1" w:themeTint="D8"/>
      <w:kern w:val="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107"/>
    <w:rPr>
      <w:rFonts w:eastAsiaTheme="majorEastAsia" w:cstheme="majorBidi"/>
      <w:color w:val="272727" w:themeColor="text1" w:themeTint="D8"/>
    </w:rPr>
  </w:style>
  <w:style w:type="paragraph" w:styleId="Title">
    <w:name w:val="Title"/>
    <w:basedOn w:val="Normal"/>
    <w:next w:val="Normal"/>
    <w:link w:val="TitleChar"/>
    <w:uiPriority w:val="10"/>
    <w:qFormat/>
    <w:rsid w:val="00EF3107"/>
    <w:pPr>
      <w:spacing w:after="80" w:line="240" w:lineRule="auto"/>
      <w:contextualSpacing/>
      <w:jc w:val="left"/>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EF3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107"/>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EF3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107"/>
    <w:pPr>
      <w:spacing w:before="160" w:after="160" w:line="278" w:lineRule="auto"/>
      <w:jc w:val="center"/>
    </w:pPr>
    <w:rPr>
      <w:rFonts w:asciiTheme="minorHAnsi" w:eastAsiaTheme="minorHAnsi" w:hAnsiTheme="minorHAnsi" w:cstheme="minorBidi"/>
      <w:i/>
      <w:iCs/>
      <w:color w:val="404040" w:themeColor="text1" w:themeTint="BF"/>
      <w:kern w:val="2"/>
      <w:lang w:val="en-IN"/>
      <w14:ligatures w14:val="standardContextual"/>
    </w:rPr>
  </w:style>
  <w:style w:type="character" w:customStyle="1" w:styleId="QuoteChar">
    <w:name w:val="Quote Char"/>
    <w:basedOn w:val="DefaultParagraphFont"/>
    <w:link w:val="Quote"/>
    <w:uiPriority w:val="29"/>
    <w:rsid w:val="00EF3107"/>
    <w:rPr>
      <w:i/>
      <w:iCs/>
      <w:color w:val="404040" w:themeColor="text1" w:themeTint="BF"/>
    </w:rPr>
  </w:style>
  <w:style w:type="paragraph" w:styleId="ListParagraph">
    <w:name w:val="List Paragraph"/>
    <w:basedOn w:val="Normal"/>
    <w:uiPriority w:val="34"/>
    <w:qFormat/>
    <w:rsid w:val="00EF3107"/>
    <w:pPr>
      <w:spacing w:after="160" w:line="278" w:lineRule="auto"/>
      <w:ind w:left="720"/>
      <w:contextualSpacing/>
      <w:jc w:val="left"/>
    </w:pPr>
    <w:rPr>
      <w:rFonts w:asciiTheme="minorHAnsi" w:eastAsiaTheme="minorHAnsi" w:hAnsiTheme="minorHAnsi" w:cstheme="minorBidi"/>
      <w:kern w:val="2"/>
      <w:lang w:val="en-IN"/>
      <w14:ligatures w14:val="standardContextual"/>
    </w:rPr>
  </w:style>
  <w:style w:type="character" w:styleId="IntenseEmphasis">
    <w:name w:val="Intense Emphasis"/>
    <w:basedOn w:val="DefaultParagraphFont"/>
    <w:uiPriority w:val="21"/>
    <w:qFormat/>
    <w:rsid w:val="00EF3107"/>
    <w:rPr>
      <w:i/>
      <w:iCs/>
      <w:color w:val="0F4761" w:themeColor="accent1" w:themeShade="BF"/>
    </w:rPr>
  </w:style>
  <w:style w:type="paragraph" w:styleId="IntenseQuote">
    <w:name w:val="Intense Quote"/>
    <w:basedOn w:val="Normal"/>
    <w:next w:val="Normal"/>
    <w:link w:val="IntenseQuoteChar"/>
    <w:uiPriority w:val="30"/>
    <w:qFormat/>
    <w:rsid w:val="00EF310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IN"/>
      <w14:ligatures w14:val="standardContextual"/>
    </w:rPr>
  </w:style>
  <w:style w:type="character" w:customStyle="1" w:styleId="IntenseQuoteChar">
    <w:name w:val="Intense Quote Char"/>
    <w:basedOn w:val="DefaultParagraphFont"/>
    <w:link w:val="IntenseQuote"/>
    <w:uiPriority w:val="30"/>
    <w:rsid w:val="00EF3107"/>
    <w:rPr>
      <w:i/>
      <w:iCs/>
      <w:color w:val="0F4761" w:themeColor="accent1" w:themeShade="BF"/>
    </w:rPr>
  </w:style>
  <w:style w:type="character" w:styleId="IntenseReference">
    <w:name w:val="Intense Reference"/>
    <w:basedOn w:val="DefaultParagraphFont"/>
    <w:uiPriority w:val="32"/>
    <w:qFormat/>
    <w:rsid w:val="00EF3107"/>
    <w:rPr>
      <w:b/>
      <w:bCs/>
      <w:smallCaps/>
      <w:color w:val="0F4761" w:themeColor="accent1" w:themeShade="BF"/>
      <w:spacing w:val="5"/>
    </w:rPr>
  </w:style>
  <w:style w:type="character" w:styleId="Hyperlink">
    <w:name w:val="Hyperlink"/>
    <w:uiPriority w:val="99"/>
    <w:unhideWhenUsed/>
    <w:rsid w:val="00EF3107"/>
    <w:rPr>
      <w:color w:val="0563C1"/>
      <w:u w:val="single"/>
    </w:rPr>
  </w:style>
  <w:style w:type="paragraph" w:styleId="TOC1">
    <w:name w:val="toc 1"/>
    <w:basedOn w:val="Normal"/>
    <w:next w:val="Normal"/>
    <w:autoRedefine/>
    <w:uiPriority w:val="39"/>
    <w:unhideWhenUsed/>
    <w:rsid w:val="00EF3107"/>
    <w:pPr>
      <w:spacing w:after="100"/>
    </w:pPr>
  </w:style>
  <w:style w:type="paragraph" w:styleId="TOC2">
    <w:name w:val="toc 2"/>
    <w:basedOn w:val="Normal"/>
    <w:next w:val="Normal"/>
    <w:autoRedefine/>
    <w:uiPriority w:val="39"/>
    <w:unhideWhenUsed/>
    <w:rsid w:val="00EF3107"/>
    <w:pPr>
      <w:spacing w:after="100"/>
      <w:ind w:left="240"/>
    </w:pPr>
  </w:style>
  <w:style w:type="paragraph" w:styleId="TOCHeading">
    <w:name w:val="TOC Heading"/>
    <w:basedOn w:val="Heading1"/>
    <w:next w:val="Normal"/>
    <w:uiPriority w:val="39"/>
    <w:unhideWhenUsed/>
    <w:qFormat/>
    <w:rsid w:val="00EF3107"/>
    <w:pPr>
      <w:spacing w:before="240" w:after="0" w:line="259" w:lineRule="auto"/>
      <w:jc w:val="both"/>
      <w:outlineLvl w:val="9"/>
    </w:pPr>
    <w:rPr>
      <w:kern w:val="0"/>
      <w:sz w:val="28"/>
      <w:szCs w:val="32"/>
      <w:lang w:val="en-US"/>
      <w14:ligatures w14:val="none"/>
    </w:rPr>
  </w:style>
  <w:style w:type="table" w:styleId="GridTable4-Accent2">
    <w:name w:val="Grid Table 4 Accent 2"/>
    <w:basedOn w:val="TableNormal"/>
    <w:uiPriority w:val="49"/>
    <w:rsid w:val="00EF3107"/>
    <w:pPr>
      <w:spacing w:after="0" w:line="240" w:lineRule="auto"/>
    </w:pPr>
    <w:rPr>
      <w:rFonts w:ascii="Arial" w:eastAsia="Arial" w:hAnsi="Arial" w:cs="Arial"/>
      <w:kern w:val="0"/>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accounting/limitations-ratio-analysis/" TargetMode="External"/><Relationship Id="rId13" Type="http://schemas.openxmlformats.org/officeDocument/2006/relationships/hyperlink" Target="https://www.sec.gov/Archives/edgar/data/1585689/000158568926000007/hlt-20251231.htm" TargetMode="External"/><Relationship Id="rId18" Type="http://schemas.openxmlformats.org/officeDocument/2006/relationships/hyperlink" Target="https://doi.org/10.1016/j.gfj.2020.100504" TargetMode="External"/><Relationship Id="rId3" Type="http://schemas.openxmlformats.org/officeDocument/2006/relationships/webSettings" Target="webSettings.xml"/><Relationship Id="rId21" Type="http://schemas.openxmlformats.org/officeDocument/2006/relationships/hyperlink" Target="https://doi.org/10.1016/j.ijhm.2019.102418" TargetMode="External"/><Relationship Id="rId7" Type="http://schemas.openxmlformats.org/officeDocument/2006/relationships/hyperlink" Target="https://doi.org/10.1016/j.ijhm.2022.103144" TargetMode="External"/><Relationship Id="rId12" Type="http://schemas.openxmlformats.org/officeDocument/2006/relationships/hyperlink" Target="https://www.sec.gov/Archives/edgar/data/1585689/000158568925000081/hilton_worldwidex2024xannu.pdf" TargetMode="External"/><Relationship Id="rId17" Type="http://schemas.openxmlformats.org/officeDocument/2006/relationships/hyperlink" Target="https://doi.org/10.1016/j.ijhm.2020.102828" TargetMode="External"/><Relationship Id="rId2" Type="http://schemas.openxmlformats.org/officeDocument/2006/relationships/settings" Target="settings.xml"/><Relationship Id="rId16" Type="http://schemas.openxmlformats.org/officeDocument/2006/relationships/hyperlink" Target="https://doi.org/10.1002/jcaf.22604" TargetMode="External"/><Relationship Id="rId20" Type="http://schemas.openxmlformats.org/officeDocument/2006/relationships/hyperlink" Target="https://www.wisesheets.io/current-ratio/MAR" TargetMode="External"/><Relationship Id="rId1" Type="http://schemas.openxmlformats.org/officeDocument/2006/relationships/styles" Target="styles.xml"/><Relationship Id="rId6" Type="http://schemas.openxmlformats.org/officeDocument/2006/relationships/hyperlink" Target="https://hotelsmag.com/news/global-hotel-performance-metrics-should-return-to-pre-pandemic-levels-in-2023-cbre/" TargetMode="External"/><Relationship Id="rId11" Type="http://schemas.openxmlformats.org/officeDocument/2006/relationships/hyperlink" Target="https://www.sec.gov/Archives/edgar/data/1585689/000158568923000090/arshiltonworldwideinc2023.pdf" TargetMode="External"/><Relationship Id="rId5" Type="http://schemas.openxmlformats.org/officeDocument/2006/relationships/hyperlink" Target="https://doi.org/10.1371/journal.pone.0255819" TargetMode="External"/><Relationship Id="rId15" Type="http://schemas.openxmlformats.org/officeDocument/2006/relationships/hyperlink" Target="https://doi.org/10.1177/13548166211050475" TargetMode="External"/><Relationship Id="rId23" Type="http://schemas.openxmlformats.org/officeDocument/2006/relationships/theme" Target="theme/theme1.xml"/><Relationship Id="rId10" Type="http://schemas.openxmlformats.org/officeDocument/2006/relationships/hyperlink" Target="https://www.gurufocus.com/term/current-ratio/MAR" TargetMode="External"/><Relationship Id="rId19" Type="http://schemas.openxmlformats.org/officeDocument/2006/relationships/hyperlink" Target="https://doi.org/10.1016/j.ribaf.2021.101609" TargetMode="External"/><Relationship Id="rId4" Type="http://schemas.openxmlformats.org/officeDocument/2006/relationships/image" Target="media/image1.png"/><Relationship Id="rId9" Type="http://schemas.openxmlformats.org/officeDocument/2006/relationships/hyperlink" Target="https://doi.org/10.1016/j.heliyon.2023.e15850" TargetMode="External"/><Relationship Id="rId14" Type="http://schemas.openxmlformats.org/officeDocument/2006/relationships/hyperlink" Target="https://www.hvs.com/article/10345-hotel-profitability-in-transition-cost-pressures-and-budgeting-priorities-for-20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6190</Words>
  <Characters>35285</Characters>
  <Application>Microsoft Office Word</Application>
  <DocSecurity>0</DocSecurity>
  <Lines>294</Lines>
  <Paragraphs>82</Paragraphs>
  <ScaleCrop>false</ScaleCrop>
  <Company/>
  <LinksUpToDate>false</LinksUpToDate>
  <CharactersWithSpaces>41393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Harpreet Singh Rana</dc:creator>
  <cp:keywords/>
  <dc:description/>
  <cp:lastModifiedBy>Harpreet Singh Rana</cp:lastModifiedBy>
  <cp:revision>1</cp:revision>
  <dcterms:created xsi:type="dcterms:W3CDTF">2026-07-17T22:52:00Z</dcterms:created>
  <dcterms:modified xsi:type="dcterms:W3CDTF">2026-07-17T22:56:00Z</dcterms:modified>
</cp:coreProperties>
</file>