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E7186" w14:textId="77777777" w:rsidR="00E22CDE" w:rsidRDefault="00E22CDE" w:rsidP="00E22CDE">
      <w:pPr>
        <w:pStyle w:val="NormaleWeb"/>
        <w:spacing w:before="0" w:beforeAutospacing="0" w:after="0" w:afterAutospacing="0"/>
        <w:ind w:left="-180" w:right="-334"/>
      </w:pPr>
      <w:r>
        <w:rPr>
          <w:noProof/>
        </w:rPr>
        <w:drawing>
          <wp:inline distT="0" distB="0" distL="0" distR="0" wp14:anchorId="5F4025FE" wp14:editId="3AFE6348">
            <wp:extent cx="1909445" cy="636270"/>
            <wp:effectExtent l="25400" t="25400" r="8255" b="11430"/>
            <wp:docPr id="1" name="Immagine 1" descr="Immagine che contiene testo, Carattere, schermata, log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 logo&#10;&#10;Descrizione generata automaticamente"/>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w="19050" cmpd="sng">
                      <a:solidFill>
                        <a:srgbClr val="000000"/>
                      </a:solidFill>
                      <a:miter lim="800000"/>
                      <a:headEnd/>
                      <a:tailEnd/>
                    </a:ln>
                    <a:effectLst/>
                  </pic:spPr>
                </pic:pic>
              </a:graphicData>
            </a:graphic>
          </wp:inline>
        </w:drawing>
      </w:r>
    </w:p>
    <w:p w14:paraId="79D60C99" w14:textId="77777777" w:rsidR="00E22CDE" w:rsidRDefault="00E22CDE" w:rsidP="00E22CDE">
      <w:pPr>
        <w:pStyle w:val="NormaleWeb"/>
        <w:spacing w:before="0" w:beforeAutospacing="0" w:after="0" w:afterAutospacing="0"/>
        <w:ind w:left="-180" w:right="-334"/>
      </w:pPr>
    </w:p>
    <w:p w14:paraId="23AE5181" w14:textId="77777777" w:rsidR="00E22CDE" w:rsidRDefault="00E22CDE" w:rsidP="00E22CDE">
      <w:pPr>
        <w:pStyle w:val="NormaleWeb"/>
        <w:spacing w:before="0" w:beforeAutospacing="0" w:after="0" w:afterAutospacing="0"/>
        <w:ind w:left="-180" w:right="-334"/>
      </w:pPr>
    </w:p>
    <w:p w14:paraId="71798885" w14:textId="77777777" w:rsidR="00E22CDE" w:rsidRDefault="00E22CDE" w:rsidP="00E22CDE">
      <w:pPr>
        <w:pStyle w:val="Normale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E773B2B" w14:textId="77777777" w:rsidR="00E22CDE" w:rsidRPr="00230F35" w:rsidRDefault="00E22CDE" w:rsidP="00E22CDE">
      <w:pPr>
        <w:pStyle w:val="Normale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F25CD58" w14:textId="77777777" w:rsidR="00E22CDE" w:rsidRPr="00230F35" w:rsidRDefault="00E22CDE" w:rsidP="00E22CDE">
      <w:pPr>
        <w:rPr>
          <w:rFonts w:ascii="Arial" w:hAnsi="Arial" w:cs="Arial"/>
          <w:sz w:val="28"/>
          <w:szCs w:val="28"/>
          <w:lang w:val="cy-GB"/>
        </w:rPr>
      </w:pPr>
    </w:p>
    <w:p w14:paraId="084371F4" w14:textId="77777777" w:rsidR="00E22CDE" w:rsidRDefault="00E22CDE" w:rsidP="00E22CDE">
      <w:pPr>
        <w:pStyle w:val="Titolo3"/>
        <w:jc w:val="center"/>
        <w:rPr>
          <w:lang w:val="cy-GB"/>
        </w:rPr>
      </w:pPr>
      <w:r>
        <w:rPr>
          <w:lang w:val="cy-GB"/>
        </w:rPr>
        <w:t>THIS SHEET MUST BE THE FIRST PAGE OF THE ASSIGNMENT YOU ARE SUBMITTING  (DO NOT SEND AS A SEPARATE FILE)</w:t>
      </w:r>
    </w:p>
    <w:p w14:paraId="1E774DF9" w14:textId="77777777" w:rsidR="00E22CDE" w:rsidRPr="00E22CDE" w:rsidRDefault="00E22CDE" w:rsidP="00E22CDE">
      <w:pPr>
        <w:pStyle w:val="Titolo3"/>
        <w:jc w:val="center"/>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8"/>
        <w:gridCol w:w="283"/>
        <w:gridCol w:w="1557"/>
        <w:gridCol w:w="286"/>
        <w:gridCol w:w="1802"/>
      </w:tblGrid>
      <w:tr w:rsidR="00E22CDE" w:rsidRPr="00E22CDE" w14:paraId="5C3B0405" w14:textId="77777777" w:rsidTr="00A64BA2">
        <w:trPr>
          <w:trHeight w:val="614"/>
        </w:trPr>
        <w:tc>
          <w:tcPr>
            <w:tcW w:w="8856" w:type="dxa"/>
            <w:gridSpan w:val="5"/>
          </w:tcPr>
          <w:p w14:paraId="61F70300"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22CDE" w:rsidRPr="00E22CDE" w14:paraId="7290CDAF" w14:textId="77777777" w:rsidTr="00A64BA2">
        <w:trPr>
          <w:trHeight w:val="718"/>
        </w:trPr>
        <w:tc>
          <w:tcPr>
            <w:tcW w:w="8856" w:type="dxa"/>
            <w:gridSpan w:val="5"/>
          </w:tcPr>
          <w:p w14:paraId="5F1618AB" w14:textId="77777777" w:rsidR="00E22CDE"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Francesca Croce</w:t>
            </w:r>
          </w:p>
          <w:p w14:paraId="6DBD44B1" w14:textId="77777777" w:rsidR="00E22CDE" w:rsidRPr="00230F35" w:rsidRDefault="00E22CDE" w:rsidP="00A64BA2">
            <w:pPr>
              <w:pStyle w:val="NormaleWeb"/>
              <w:spacing w:before="0" w:beforeAutospacing="0" w:after="0" w:afterAutospacing="0"/>
              <w:ind w:right="34"/>
              <w:rPr>
                <w:rFonts w:ascii="Arial" w:hAnsi="Arial" w:cs="Arial"/>
                <w:sz w:val="22"/>
                <w:szCs w:val="22"/>
              </w:rPr>
            </w:pPr>
          </w:p>
          <w:p w14:paraId="11011BB6"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2317231@student.uwtsd.ac.uk</w:t>
            </w:r>
          </w:p>
        </w:tc>
      </w:tr>
      <w:tr w:rsidR="00E22CDE" w:rsidRPr="00230F35" w14:paraId="28579966" w14:textId="77777777" w:rsidTr="00A64BA2">
        <w:trPr>
          <w:trHeight w:val="849"/>
        </w:trPr>
        <w:tc>
          <w:tcPr>
            <w:tcW w:w="4928" w:type="dxa"/>
          </w:tcPr>
          <w:p w14:paraId="382FB819"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B3413F">
              <w:rPr>
                <w:rFonts w:ascii="Arial" w:hAnsi="Arial" w:cs="Arial"/>
                <w:sz w:val="22"/>
                <w:szCs w:val="22"/>
              </w:rPr>
              <w:t>HPCA7015</w:t>
            </w:r>
          </w:p>
          <w:p w14:paraId="19B664EF" w14:textId="77777777" w:rsidR="00E22CDE" w:rsidRPr="00230F35" w:rsidRDefault="00E22CDE" w:rsidP="00A64BA2">
            <w:pPr>
              <w:pStyle w:val="NormaleWeb"/>
              <w:spacing w:before="0" w:beforeAutospacing="0" w:after="0" w:afterAutospacing="0"/>
              <w:ind w:right="34"/>
              <w:rPr>
                <w:rFonts w:ascii="Arial" w:hAnsi="Arial" w:cs="Arial"/>
                <w:sz w:val="22"/>
                <w:szCs w:val="22"/>
              </w:rPr>
            </w:pPr>
          </w:p>
          <w:p w14:paraId="054AF41A" w14:textId="77777777" w:rsidR="00E22CDE" w:rsidRPr="00B3413F" w:rsidRDefault="00E22CDE" w:rsidP="00A64BA2">
            <w:pPr>
              <w:pStyle w:val="NormaleWeb"/>
              <w:spacing w:before="0" w:beforeAutospacing="0" w:after="0" w:afterAutospacing="0"/>
              <w:ind w:right="34"/>
              <w:rPr>
                <w:rFonts w:ascii="Arial" w:hAnsi="Arial" w:cs="Arial"/>
                <w:sz w:val="22"/>
                <w:szCs w:val="22"/>
                <w:lang w:val="en-US"/>
              </w:rPr>
            </w:pPr>
            <w:r w:rsidRPr="00230F35">
              <w:rPr>
                <w:rFonts w:ascii="Arial" w:hAnsi="Arial" w:cs="Arial"/>
                <w:sz w:val="22"/>
                <w:szCs w:val="22"/>
              </w:rPr>
              <w:t>Module title:</w:t>
            </w:r>
            <w:r>
              <w:rPr>
                <w:rFonts w:ascii="Arial" w:hAnsi="Arial" w:cs="Arial"/>
                <w:sz w:val="22"/>
                <w:szCs w:val="22"/>
              </w:rPr>
              <w:t xml:space="preserve"> </w:t>
            </w:r>
            <w:r w:rsidRPr="00B3413F">
              <w:rPr>
                <w:rFonts w:ascii="Arial" w:hAnsi="Arial" w:cs="Arial"/>
                <w:sz w:val="22"/>
                <w:szCs w:val="22"/>
              </w:rPr>
              <w:t>Foundations in Cultural Astronomy and Astrology</w:t>
            </w:r>
          </w:p>
          <w:p w14:paraId="278343AB" w14:textId="77777777" w:rsidR="00E22CDE" w:rsidRPr="00230F35" w:rsidRDefault="00E22CDE" w:rsidP="00A64BA2">
            <w:pPr>
              <w:pStyle w:val="NormaleWeb"/>
              <w:spacing w:before="0" w:beforeAutospacing="0" w:after="0" w:afterAutospacing="0"/>
              <w:ind w:right="34"/>
              <w:rPr>
                <w:rFonts w:ascii="Arial" w:hAnsi="Arial" w:cs="Arial"/>
                <w:sz w:val="22"/>
                <w:szCs w:val="22"/>
              </w:rPr>
            </w:pPr>
          </w:p>
        </w:tc>
        <w:tc>
          <w:tcPr>
            <w:tcW w:w="2126" w:type="dxa"/>
            <w:gridSpan w:val="3"/>
          </w:tcPr>
          <w:p w14:paraId="71C7AFC4" w14:textId="77777777" w:rsidR="00E22CDE"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4AED855" w14:textId="77777777" w:rsidR="00E22CDE" w:rsidRDefault="00E22CDE" w:rsidP="00A64BA2">
            <w:pPr>
              <w:pStyle w:val="NormaleWeb"/>
              <w:spacing w:before="0" w:beforeAutospacing="0" w:after="0" w:afterAutospacing="0"/>
              <w:ind w:right="34"/>
              <w:rPr>
                <w:rFonts w:ascii="Arial" w:hAnsi="Arial" w:cs="Arial"/>
                <w:sz w:val="22"/>
                <w:szCs w:val="22"/>
              </w:rPr>
            </w:pPr>
          </w:p>
          <w:p w14:paraId="12ADFE89"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Pr>
                <w:rFonts w:ascii="Arial" w:hAnsi="Arial" w:cs="Arial"/>
                <w:sz w:val="22"/>
                <w:szCs w:val="22"/>
              </w:rPr>
              <w:t>2317231</w:t>
            </w:r>
          </w:p>
        </w:tc>
        <w:tc>
          <w:tcPr>
            <w:tcW w:w="1802" w:type="dxa"/>
          </w:tcPr>
          <w:p w14:paraId="380A9673"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93A9AF7"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E22CDE" w:rsidRPr="00230F35" w14:paraId="1788431D" w14:textId="77777777" w:rsidTr="00A64BA2">
        <w:trPr>
          <w:trHeight w:val="1139"/>
        </w:trPr>
        <w:tc>
          <w:tcPr>
            <w:tcW w:w="8856" w:type="dxa"/>
            <w:gridSpan w:val="5"/>
          </w:tcPr>
          <w:p w14:paraId="43A4A337" w14:textId="77777777" w:rsidR="00E22CDE" w:rsidRPr="00E22CDE" w:rsidRDefault="00E22CDE" w:rsidP="00A64BA2">
            <w:pPr>
              <w:spacing w:line="360" w:lineRule="auto"/>
              <w:rPr>
                <w:rFonts w:ascii="Arial" w:hAnsi="Arial" w:cs="Arial"/>
                <w:sz w:val="22"/>
                <w:szCs w:val="22"/>
                <w:lang w:val="en-US"/>
              </w:rPr>
            </w:pPr>
            <w:r w:rsidRPr="00E22CDE">
              <w:rPr>
                <w:rFonts w:ascii="Arial" w:hAnsi="Arial" w:cs="Arial"/>
                <w:sz w:val="22"/>
                <w:szCs w:val="22"/>
                <w:lang w:val="en-US"/>
              </w:rPr>
              <w:t xml:space="preserve">Assignment title: </w:t>
            </w:r>
          </w:p>
          <w:p w14:paraId="1E16418F" w14:textId="77777777" w:rsidR="00E22CDE" w:rsidRPr="00910D71" w:rsidRDefault="00E22CDE" w:rsidP="00A64BA2">
            <w:pPr>
              <w:spacing w:line="360" w:lineRule="auto"/>
              <w:rPr>
                <w:rFonts w:ascii="Calibri Light" w:hAnsi="Calibri Light" w:cs="Calibri Light"/>
                <w:b/>
                <w:bCs/>
                <w:lang w:val="en-US"/>
              </w:rPr>
            </w:pPr>
            <w:r w:rsidRPr="00910D71">
              <w:rPr>
                <w:rFonts w:ascii="Calibri Light" w:hAnsi="Calibri Light" w:cs="Calibri Light"/>
                <w:b/>
                <w:bCs/>
                <w:lang w:val="en-US"/>
              </w:rPr>
              <w:t>A Critical Comparison of Two JSTOR Papers</w:t>
            </w:r>
          </w:p>
          <w:p w14:paraId="56DDD6DA"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06/11/2023</w:t>
            </w:r>
          </w:p>
        </w:tc>
      </w:tr>
      <w:tr w:rsidR="00E22CDE" w:rsidRPr="00E22CDE" w14:paraId="084C3DD6" w14:textId="77777777" w:rsidTr="00A64BA2">
        <w:trPr>
          <w:trHeight w:val="978"/>
        </w:trPr>
        <w:tc>
          <w:tcPr>
            <w:tcW w:w="8856" w:type="dxa"/>
            <w:gridSpan w:val="5"/>
            <w:tcBorders>
              <w:bottom w:val="single" w:sz="4" w:space="0" w:color="000000"/>
            </w:tcBorders>
          </w:tcPr>
          <w:p w14:paraId="618361CF" w14:textId="77777777" w:rsidR="00E22CDE" w:rsidRPr="00E22CDE" w:rsidRDefault="00E22CDE" w:rsidP="00A64BA2">
            <w:pPr>
              <w:rPr>
                <w:rFonts w:ascii="Arial" w:hAnsi="Arial" w:cs="Arial"/>
                <w:sz w:val="22"/>
                <w:szCs w:val="22"/>
                <w:lang w:val="en-US"/>
              </w:rPr>
            </w:pPr>
            <w:r w:rsidRPr="00E22CDE">
              <w:rPr>
                <w:rFonts w:ascii="Arial" w:hAnsi="Arial" w:cs="Arial"/>
                <w:sz w:val="22"/>
                <w:szCs w:val="22"/>
                <w:lang w:val="en-US"/>
              </w:rPr>
              <w:t>This assignment is for the       1</w:t>
            </w:r>
            <w:r w:rsidRPr="00E22CDE">
              <w:rPr>
                <w:rFonts w:ascii="Arial" w:hAnsi="Arial" w:cs="Arial"/>
                <w:sz w:val="22"/>
                <w:szCs w:val="22"/>
                <w:vertAlign w:val="superscript"/>
                <w:lang w:val="en-US"/>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sidRPr="00E22CDE">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end"/>
            </w:r>
            <w:bookmarkEnd w:id="0"/>
            <w:r w:rsidRPr="00E22CDE">
              <w:rPr>
                <w:rFonts w:ascii="Arial" w:hAnsi="Arial" w:cs="Arial"/>
                <w:sz w:val="22"/>
                <w:szCs w:val="22"/>
                <w:lang w:val="en-US"/>
              </w:rPr>
              <w:t xml:space="preserve">    2</w:t>
            </w:r>
            <w:r w:rsidRPr="00E22CDE">
              <w:rPr>
                <w:rFonts w:ascii="Arial" w:hAnsi="Arial" w:cs="Arial"/>
                <w:sz w:val="22"/>
                <w:szCs w:val="22"/>
                <w:vertAlign w:val="superscript"/>
                <w:lang w:val="en-US"/>
              </w:rPr>
              <w:t>nd</w:t>
            </w:r>
            <w:r w:rsidRPr="00E22CDE">
              <w:rPr>
                <w:rFonts w:ascii="Arial" w:hAnsi="Arial" w:cs="Arial"/>
                <w:sz w:val="22"/>
                <w:szCs w:val="22"/>
                <w:lang w:val="en-US"/>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E22CDE">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E22CDE">
              <w:rPr>
                <w:rFonts w:ascii="Arial" w:hAnsi="Arial" w:cs="Arial"/>
                <w:sz w:val="22"/>
                <w:szCs w:val="22"/>
                <w:lang w:val="en-US"/>
              </w:rPr>
              <w:t xml:space="preserve">     3</w:t>
            </w:r>
            <w:r w:rsidRPr="00E22CDE">
              <w:rPr>
                <w:rFonts w:ascii="Arial" w:hAnsi="Arial" w:cs="Arial"/>
                <w:sz w:val="22"/>
                <w:szCs w:val="22"/>
                <w:vertAlign w:val="superscript"/>
                <w:lang w:val="en-US"/>
              </w:rPr>
              <w:t>rd</w:t>
            </w:r>
            <w:r w:rsidRPr="00E22CDE">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E22CDE">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E22CDE">
              <w:rPr>
                <w:rFonts w:ascii="Arial" w:hAnsi="Arial" w:cs="Arial"/>
                <w:sz w:val="22"/>
                <w:szCs w:val="22"/>
                <w:lang w:val="en-US"/>
              </w:rPr>
              <w:t xml:space="preserve">      4</w:t>
            </w:r>
            <w:r w:rsidRPr="00E22CDE">
              <w:rPr>
                <w:rFonts w:ascii="Arial" w:hAnsi="Arial" w:cs="Arial"/>
                <w:sz w:val="22"/>
                <w:szCs w:val="22"/>
                <w:vertAlign w:val="superscript"/>
                <w:lang w:val="en-US"/>
              </w:rPr>
              <w:t>th</w:t>
            </w:r>
            <w:r w:rsidRPr="00E22CDE">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E22CDE">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E22CDE">
              <w:rPr>
                <w:rFonts w:ascii="Arial" w:hAnsi="Arial" w:cs="Arial"/>
                <w:sz w:val="22"/>
                <w:szCs w:val="22"/>
                <w:lang w:val="en-US"/>
              </w:rPr>
              <w:t xml:space="preserve">      5</w:t>
            </w:r>
            <w:r w:rsidRPr="00E22CDE">
              <w:rPr>
                <w:rFonts w:ascii="Arial" w:hAnsi="Arial" w:cs="Arial"/>
                <w:sz w:val="22"/>
                <w:szCs w:val="22"/>
                <w:vertAlign w:val="superscript"/>
                <w:lang w:val="en-US"/>
              </w:rPr>
              <w:t>th</w:t>
            </w:r>
            <w:r w:rsidRPr="00E22CDE">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E22CDE">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E22CDE">
              <w:rPr>
                <w:rFonts w:ascii="Arial" w:hAnsi="Arial" w:cs="Arial"/>
                <w:sz w:val="22"/>
                <w:szCs w:val="22"/>
                <w:lang w:val="en-US"/>
              </w:rPr>
              <w:t xml:space="preserve">      6</w:t>
            </w:r>
            <w:r w:rsidRPr="00E22CDE">
              <w:rPr>
                <w:rFonts w:ascii="Arial" w:hAnsi="Arial" w:cs="Arial"/>
                <w:sz w:val="22"/>
                <w:szCs w:val="22"/>
                <w:vertAlign w:val="superscript"/>
                <w:lang w:val="en-US"/>
              </w:rPr>
              <w:t>th</w:t>
            </w:r>
            <w:r w:rsidRPr="00E22CDE">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E22CDE">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E22CDE">
              <w:rPr>
                <w:rFonts w:ascii="Arial" w:hAnsi="Arial" w:cs="Arial"/>
                <w:b/>
                <w:sz w:val="22"/>
                <w:szCs w:val="22"/>
                <w:lang w:val="en-US"/>
              </w:rPr>
              <w:t xml:space="preserve">   </w:t>
            </w:r>
            <w:r w:rsidRPr="00E22CDE">
              <w:rPr>
                <w:rFonts w:ascii="Arial" w:hAnsi="Arial" w:cs="Arial"/>
                <w:sz w:val="22"/>
                <w:szCs w:val="22"/>
                <w:lang w:val="en-US"/>
              </w:rPr>
              <w:t>module of the degree</w:t>
            </w:r>
          </w:p>
        </w:tc>
      </w:tr>
      <w:tr w:rsidR="00E22CDE" w:rsidRPr="00E22CDE" w14:paraId="63BF84BF" w14:textId="77777777" w:rsidTr="00A64BA2">
        <w:trPr>
          <w:trHeight w:val="978"/>
        </w:trPr>
        <w:tc>
          <w:tcPr>
            <w:tcW w:w="8856" w:type="dxa"/>
            <w:gridSpan w:val="5"/>
            <w:shd w:val="clear" w:color="auto" w:fill="D9D9D9"/>
          </w:tcPr>
          <w:p w14:paraId="6FECE2FA" w14:textId="77777777" w:rsidR="00E22CDE"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DCC7F69" w14:textId="7464A43E" w:rsidR="00E22CDE" w:rsidRDefault="00E22CDE" w:rsidP="00A64BA2">
            <w:pPr>
              <w:pStyle w:val="NormaleWeb"/>
              <w:spacing w:before="0" w:beforeAutospacing="0" w:after="0" w:afterAutospacing="0"/>
              <w:ind w:right="34"/>
              <w:rPr>
                <w:rFonts w:ascii="Arial" w:hAnsi="Arial" w:cs="Arial"/>
                <w:sz w:val="22"/>
                <w:szCs w:val="22"/>
              </w:rPr>
            </w:pPr>
            <w:r>
              <w:rPr>
                <w:rFonts w:ascii="Arial" w:hAnsi="Arial"/>
                <w:noProof/>
                <w:sz w:val="20"/>
                <w:szCs w:val="20"/>
              </w:rPr>
              <w:drawing>
                <wp:anchor distT="0" distB="0" distL="114300" distR="114300" simplePos="0" relativeHeight="251659264" behindDoc="0" locked="0" layoutInCell="1" allowOverlap="1" wp14:anchorId="4C338B1C" wp14:editId="3D6C0589">
                  <wp:simplePos x="0" y="0"/>
                  <wp:positionH relativeFrom="column">
                    <wp:posOffset>523800</wp:posOffset>
                  </wp:positionH>
                  <wp:positionV relativeFrom="paragraph">
                    <wp:posOffset>149225</wp:posOffset>
                  </wp:positionV>
                  <wp:extent cx="1334135" cy="305435"/>
                  <wp:effectExtent l="0" t="0" r="0" b="0"/>
                  <wp:wrapNone/>
                  <wp:docPr id="3" name="Immagine 3" descr="Immagine che contiene calligrafia, Carattere, tipografia, handwritte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calligrafia, Carattere, tipografia, handwritten&#10;&#10;Descrizione generata automa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34135" cy="305435"/>
                          </a:xfrm>
                          <a:prstGeom prst="rect">
                            <a:avLst/>
                          </a:prstGeom>
                        </pic:spPr>
                      </pic:pic>
                    </a:graphicData>
                  </a:graphic>
                  <wp14:sizeRelH relativeFrom="page">
                    <wp14:pctWidth>0</wp14:pctWidth>
                  </wp14:sizeRelH>
                  <wp14:sizeRelV relativeFrom="page">
                    <wp14:pctHeight>0</wp14:pctHeight>
                  </wp14:sizeRelV>
                </wp:anchor>
              </w:drawing>
            </w:r>
          </w:p>
          <w:p w14:paraId="5940E33E" w14:textId="11047E0E" w:rsidR="00E22CDE" w:rsidRPr="00230F35" w:rsidRDefault="00E22CDE" w:rsidP="00A64BA2">
            <w:pPr>
              <w:pStyle w:val="NormaleWeb"/>
              <w:spacing w:before="0" w:beforeAutospacing="0" w:after="0" w:afterAutospacing="0"/>
              <w:ind w:right="34"/>
              <w:rPr>
                <w:rFonts w:ascii="Arial" w:hAnsi="Arial" w:cs="Arial"/>
                <w:sz w:val="22"/>
                <w:szCs w:val="22"/>
              </w:rPr>
            </w:pPr>
          </w:p>
          <w:p w14:paraId="295AA45B" w14:textId="77777777" w:rsidR="00E22CDE" w:rsidRDefault="00E22CDE" w:rsidP="00A64BA2">
            <w:pPr>
              <w:pStyle w:val="Normale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p>
          <w:p w14:paraId="156000F1" w14:textId="77777777" w:rsidR="00E22CDE" w:rsidRDefault="00E22CDE" w:rsidP="00A64BA2">
            <w:pPr>
              <w:pStyle w:val="Normale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r w:rsidRPr="00230F35">
              <w:rPr>
                <w:rFonts w:ascii="Arial" w:hAnsi="Arial" w:cs="Arial"/>
                <w:sz w:val="22"/>
                <w:szCs w:val="22"/>
              </w:rPr>
              <w:t xml:space="preserve"> </w:t>
            </w:r>
          </w:p>
          <w:p w14:paraId="1F10D4C6" w14:textId="77777777" w:rsidR="00E22CDE" w:rsidRPr="00230F35" w:rsidRDefault="00E22CDE" w:rsidP="00A64BA2">
            <w:pPr>
              <w:pStyle w:val="Normale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22CDE" w:rsidRPr="00E22CDE" w14:paraId="1BD0F2BC" w14:textId="77777777" w:rsidTr="00A64BA2">
        <w:trPr>
          <w:trHeight w:val="3972"/>
        </w:trPr>
        <w:tc>
          <w:tcPr>
            <w:tcW w:w="8856" w:type="dxa"/>
            <w:gridSpan w:val="5"/>
          </w:tcPr>
          <w:p w14:paraId="455484E7" w14:textId="77777777" w:rsidR="00E22CDE" w:rsidRPr="00E22CDE" w:rsidRDefault="00E22CDE" w:rsidP="00A64BA2">
            <w:pPr>
              <w:rPr>
                <w:rFonts w:ascii="Arial" w:hAnsi="Arial"/>
                <w:b/>
                <w:lang w:val="en-US"/>
              </w:rPr>
            </w:pPr>
          </w:p>
          <w:p w14:paraId="567B72E0" w14:textId="77777777" w:rsidR="00E22CDE" w:rsidRPr="00116CE6" w:rsidRDefault="00E22CDE" w:rsidP="00A64BA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22CDE" w:rsidRPr="00116CE6" w14:paraId="62624235" w14:textId="77777777" w:rsidTr="00A64BA2">
              <w:tc>
                <w:tcPr>
                  <w:tcW w:w="6970" w:type="dxa"/>
                </w:tcPr>
                <w:p w14:paraId="58F2D6DC" w14:textId="77777777" w:rsidR="00E22CDE" w:rsidRPr="00116CE6" w:rsidRDefault="00E22CDE" w:rsidP="00A64BA2">
                  <w:pPr>
                    <w:rPr>
                      <w:rFonts w:ascii="Arial" w:hAnsi="Arial"/>
                      <w:sz w:val="20"/>
                      <w:szCs w:val="20"/>
                    </w:rPr>
                  </w:pPr>
                </w:p>
                <w:p w14:paraId="7729ADCE" w14:textId="77777777" w:rsidR="00E22CDE" w:rsidRPr="00116CE6" w:rsidRDefault="00E22CDE" w:rsidP="00A64BA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FDA9A8" w14:textId="77777777" w:rsidR="00E22CDE" w:rsidRPr="00116CE6" w:rsidRDefault="00E22CDE" w:rsidP="00A64BA2">
                  <w:pPr>
                    <w:rPr>
                      <w:rFonts w:ascii="Arial" w:hAnsi="Arial"/>
                      <w:sz w:val="20"/>
                      <w:szCs w:val="20"/>
                    </w:rPr>
                  </w:pPr>
                </w:p>
              </w:tc>
            </w:tr>
            <w:tr w:rsidR="00E22CDE" w:rsidRPr="00E22CDE" w14:paraId="7A243776" w14:textId="77777777" w:rsidTr="00A64BA2">
              <w:tc>
                <w:tcPr>
                  <w:tcW w:w="6970" w:type="dxa"/>
                </w:tcPr>
                <w:p w14:paraId="6E92E396" w14:textId="77777777" w:rsidR="00E22CDE" w:rsidRPr="00E22CDE" w:rsidRDefault="00E22CDE" w:rsidP="00A64BA2">
                  <w:pPr>
                    <w:rPr>
                      <w:rFonts w:ascii="Arial" w:hAnsi="Arial"/>
                      <w:sz w:val="20"/>
                      <w:szCs w:val="20"/>
                      <w:lang w:val="en-US"/>
                    </w:rPr>
                  </w:pPr>
                </w:p>
                <w:p w14:paraId="1431E6C2" w14:textId="77777777" w:rsidR="00E22CDE" w:rsidRPr="00E22CDE" w:rsidRDefault="00E22CDE" w:rsidP="00A64BA2">
                  <w:pPr>
                    <w:rPr>
                      <w:rFonts w:ascii="Arial" w:hAnsi="Arial"/>
                      <w:sz w:val="20"/>
                      <w:szCs w:val="20"/>
                      <w:lang w:val="en-US"/>
                    </w:rPr>
                  </w:pPr>
                  <w:r w:rsidRPr="00E22CDE">
                    <w:rPr>
                      <w:rFonts w:ascii="Arial" w:hAnsi="Arial"/>
                      <w:sz w:val="20"/>
                      <w:szCs w:val="20"/>
                      <w:lang w:val="en-US"/>
                    </w:rPr>
                    <w:t>2</w:t>
                  </w:r>
                  <w:r w:rsidRPr="00E22CDE">
                    <w:rPr>
                      <w:rFonts w:ascii="Arial" w:hAnsi="Arial"/>
                      <w:sz w:val="20"/>
                      <w:szCs w:val="20"/>
                      <w:vertAlign w:val="superscript"/>
                      <w:lang w:val="en-US"/>
                    </w:rPr>
                    <w:t>nd</w:t>
                  </w:r>
                  <w:r w:rsidRPr="00E22CDE">
                    <w:rPr>
                      <w:rFonts w:ascii="Arial" w:hAnsi="Arial"/>
                      <w:sz w:val="20"/>
                      <w:szCs w:val="20"/>
                      <w:lang w:val="en-US"/>
                    </w:rPr>
                    <w:t xml:space="preserve"> Marker’s/Moderator’s provisional mark</w:t>
                  </w:r>
                </w:p>
              </w:tc>
              <w:tc>
                <w:tcPr>
                  <w:tcW w:w="1660" w:type="dxa"/>
                </w:tcPr>
                <w:p w14:paraId="596E5E4B" w14:textId="77777777" w:rsidR="00E22CDE" w:rsidRPr="00E22CDE" w:rsidRDefault="00E22CDE" w:rsidP="00A64BA2">
                  <w:pPr>
                    <w:rPr>
                      <w:rFonts w:ascii="Arial" w:hAnsi="Arial"/>
                      <w:sz w:val="20"/>
                      <w:szCs w:val="20"/>
                      <w:lang w:val="en-US"/>
                    </w:rPr>
                  </w:pPr>
                </w:p>
              </w:tc>
            </w:tr>
            <w:tr w:rsidR="00E22CDE" w:rsidRPr="00E22CDE" w14:paraId="276558E0" w14:textId="77777777" w:rsidTr="00A64BA2">
              <w:tc>
                <w:tcPr>
                  <w:tcW w:w="6970" w:type="dxa"/>
                </w:tcPr>
                <w:p w14:paraId="5A70B05D" w14:textId="77777777" w:rsidR="00E22CDE" w:rsidRPr="00E22CDE" w:rsidRDefault="00E22CDE" w:rsidP="00A64BA2">
                  <w:pPr>
                    <w:rPr>
                      <w:rFonts w:ascii="Arial" w:hAnsi="Arial"/>
                      <w:sz w:val="20"/>
                      <w:szCs w:val="20"/>
                      <w:lang w:val="en-US"/>
                    </w:rPr>
                  </w:pPr>
                </w:p>
                <w:p w14:paraId="302ABB6C" w14:textId="77777777" w:rsidR="00E22CDE" w:rsidRPr="00E22CDE" w:rsidRDefault="00E22CDE" w:rsidP="00A64BA2">
                  <w:pPr>
                    <w:rPr>
                      <w:rFonts w:ascii="Arial" w:hAnsi="Arial"/>
                      <w:sz w:val="20"/>
                      <w:szCs w:val="20"/>
                      <w:lang w:val="en-US"/>
                    </w:rPr>
                  </w:pPr>
                  <w:r w:rsidRPr="00E22CDE">
                    <w:rPr>
                      <w:rFonts w:ascii="Arial" w:hAnsi="Arial"/>
                      <w:sz w:val="20"/>
                      <w:szCs w:val="20"/>
                      <w:lang w:val="en-US"/>
                    </w:rPr>
                    <w:t>External Examiner’s mark (if relevant)</w:t>
                  </w:r>
                </w:p>
              </w:tc>
              <w:tc>
                <w:tcPr>
                  <w:tcW w:w="1660" w:type="dxa"/>
                </w:tcPr>
                <w:p w14:paraId="7264FDB1" w14:textId="77777777" w:rsidR="00E22CDE" w:rsidRPr="00E22CDE" w:rsidRDefault="00E22CDE" w:rsidP="00A64BA2">
                  <w:pPr>
                    <w:rPr>
                      <w:rFonts w:ascii="Arial" w:hAnsi="Arial"/>
                      <w:sz w:val="20"/>
                      <w:szCs w:val="20"/>
                      <w:lang w:val="en-US"/>
                    </w:rPr>
                  </w:pPr>
                </w:p>
              </w:tc>
            </w:tr>
            <w:tr w:rsidR="00E22CDE" w:rsidRPr="00E22CDE" w14:paraId="7CD2D50D" w14:textId="77777777" w:rsidTr="00A64BA2">
              <w:tc>
                <w:tcPr>
                  <w:tcW w:w="6970" w:type="dxa"/>
                </w:tcPr>
                <w:p w14:paraId="760F60AA" w14:textId="77777777" w:rsidR="00E22CDE" w:rsidRPr="00E22CDE" w:rsidRDefault="00E22CDE" w:rsidP="00A64BA2">
                  <w:pPr>
                    <w:rPr>
                      <w:rFonts w:ascii="Arial" w:hAnsi="Arial"/>
                      <w:sz w:val="20"/>
                      <w:szCs w:val="20"/>
                      <w:lang w:val="en-US"/>
                    </w:rPr>
                  </w:pPr>
                </w:p>
                <w:p w14:paraId="46FC4B0D" w14:textId="77777777" w:rsidR="00E22CDE" w:rsidRPr="00E22CDE" w:rsidRDefault="00E22CDE" w:rsidP="00A64BA2">
                  <w:pPr>
                    <w:rPr>
                      <w:rFonts w:ascii="Arial" w:hAnsi="Arial"/>
                      <w:b/>
                      <w:sz w:val="20"/>
                      <w:szCs w:val="20"/>
                      <w:lang w:val="en-US"/>
                    </w:rPr>
                  </w:pPr>
                  <w:r w:rsidRPr="00E22CDE">
                    <w:rPr>
                      <w:rFonts w:ascii="Arial" w:hAnsi="Arial"/>
                      <w:b/>
                      <w:sz w:val="20"/>
                      <w:szCs w:val="20"/>
                      <w:lang w:val="en-US"/>
                    </w:rPr>
                    <w:t>Final Mark</w:t>
                  </w:r>
                </w:p>
                <w:p w14:paraId="57D7FDC6" w14:textId="77777777" w:rsidR="00E22CDE" w:rsidRPr="00E22CDE" w:rsidRDefault="00E22CDE" w:rsidP="00A64BA2">
                  <w:pPr>
                    <w:rPr>
                      <w:rFonts w:ascii="Arial" w:hAnsi="Arial"/>
                      <w:sz w:val="20"/>
                      <w:szCs w:val="20"/>
                      <w:lang w:val="en-US"/>
                    </w:rPr>
                  </w:pPr>
                </w:p>
              </w:tc>
              <w:tc>
                <w:tcPr>
                  <w:tcW w:w="1660" w:type="dxa"/>
                </w:tcPr>
                <w:p w14:paraId="142F7CC9" w14:textId="77777777" w:rsidR="00E22CDE" w:rsidRPr="00E22CDE" w:rsidRDefault="00E22CDE" w:rsidP="00A64BA2">
                  <w:pPr>
                    <w:rPr>
                      <w:rFonts w:ascii="Arial" w:hAnsi="Arial"/>
                      <w:sz w:val="20"/>
                      <w:szCs w:val="20"/>
                      <w:lang w:val="en-US"/>
                    </w:rPr>
                  </w:pPr>
                </w:p>
              </w:tc>
            </w:tr>
          </w:tbl>
          <w:p w14:paraId="3F44501B" w14:textId="77777777" w:rsidR="00E22CDE" w:rsidRDefault="00E22CDE" w:rsidP="00A64BA2">
            <w:pPr>
              <w:pStyle w:val="NormaleWeb"/>
              <w:spacing w:before="0" w:beforeAutospacing="0" w:after="0" w:afterAutospacing="0"/>
              <w:ind w:left="142" w:right="34"/>
              <w:rPr>
                <w:rFonts w:ascii="Arial" w:hAnsi="Arial" w:cs="Arial"/>
                <w:b/>
                <w:sz w:val="22"/>
                <w:szCs w:val="22"/>
              </w:rPr>
            </w:pPr>
          </w:p>
          <w:p w14:paraId="3AC1E35E" w14:textId="77777777" w:rsidR="00E22CDE" w:rsidRPr="00230F35" w:rsidRDefault="00E22CDE" w:rsidP="00A64BA2">
            <w:pPr>
              <w:pStyle w:val="Normale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B3C5288" w14:textId="77777777" w:rsidR="00E22CDE" w:rsidRDefault="00E22CDE" w:rsidP="00A64BA2">
            <w:pPr>
              <w:pStyle w:val="NormaleWeb"/>
              <w:spacing w:before="0" w:beforeAutospacing="0" w:after="0" w:afterAutospacing="0"/>
              <w:rPr>
                <w:rFonts w:ascii="Arial" w:hAnsi="Arial" w:cs="Arial"/>
                <w:b/>
                <w:sz w:val="22"/>
                <w:szCs w:val="22"/>
              </w:rPr>
            </w:pPr>
          </w:p>
          <w:p w14:paraId="14370CE4" w14:textId="77777777" w:rsidR="00E22CDE" w:rsidRDefault="00E22CDE" w:rsidP="00A64BA2">
            <w:pPr>
              <w:pStyle w:val="NormaleWeb"/>
              <w:spacing w:before="0" w:beforeAutospacing="0" w:after="0" w:afterAutospacing="0"/>
              <w:rPr>
                <w:rFonts w:ascii="Arial" w:hAnsi="Arial" w:cs="Arial"/>
                <w:b/>
                <w:sz w:val="22"/>
                <w:szCs w:val="22"/>
              </w:rPr>
            </w:pPr>
          </w:p>
          <w:p w14:paraId="1EF6465F" w14:textId="77777777" w:rsidR="00E22CDE" w:rsidRDefault="00E22CDE" w:rsidP="00A64BA2">
            <w:pPr>
              <w:pStyle w:val="NormaleWeb"/>
              <w:spacing w:before="0" w:beforeAutospacing="0" w:after="0" w:afterAutospacing="0"/>
              <w:rPr>
                <w:rFonts w:ascii="Arial" w:hAnsi="Arial" w:cs="Arial"/>
                <w:b/>
                <w:sz w:val="22"/>
                <w:szCs w:val="22"/>
              </w:rPr>
            </w:pPr>
          </w:p>
          <w:p w14:paraId="68F65F2F" w14:textId="77777777" w:rsidR="00E22CDE" w:rsidRDefault="00E22CDE" w:rsidP="00A64BA2">
            <w:pPr>
              <w:pStyle w:val="NormaleWeb"/>
              <w:spacing w:before="0" w:beforeAutospacing="0" w:after="0" w:afterAutospacing="0"/>
              <w:rPr>
                <w:rFonts w:ascii="Arial" w:hAnsi="Arial" w:cs="Arial"/>
                <w:b/>
                <w:sz w:val="22"/>
                <w:szCs w:val="22"/>
              </w:rPr>
            </w:pPr>
          </w:p>
          <w:p w14:paraId="4EAE8283" w14:textId="77777777" w:rsidR="00E22CDE" w:rsidRDefault="00E22CDE" w:rsidP="00A64BA2">
            <w:pPr>
              <w:pStyle w:val="NormaleWeb"/>
              <w:spacing w:before="0" w:beforeAutospacing="0" w:after="0" w:afterAutospacing="0"/>
              <w:rPr>
                <w:rFonts w:ascii="Arial" w:hAnsi="Arial" w:cs="Arial"/>
                <w:b/>
                <w:sz w:val="22"/>
                <w:szCs w:val="22"/>
              </w:rPr>
            </w:pPr>
          </w:p>
          <w:p w14:paraId="17D1BFC6" w14:textId="77777777" w:rsidR="00E22CDE" w:rsidRPr="00230F35" w:rsidRDefault="00E22CDE" w:rsidP="00A64BA2">
            <w:pPr>
              <w:pStyle w:val="Normale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4B6BCC9" w14:textId="77777777" w:rsidR="00E22CDE" w:rsidRDefault="00E22CDE" w:rsidP="00A64BA2">
            <w:pPr>
              <w:pStyle w:val="Normale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1754B27" w14:textId="77777777" w:rsidR="00E22CDE" w:rsidRPr="00001C3B" w:rsidRDefault="00E22CDE" w:rsidP="00A64BA2">
            <w:pPr>
              <w:pStyle w:val="NormaleWeb"/>
              <w:rPr>
                <w:rFonts w:ascii="Arial" w:hAnsi="Arial" w:cs="Arial"/>
                <w:sz w:val="22"/>
                <w:szCs w:val="22"/>
              </w:rPr>
            </w:pPr>
          </w:p>
        </w:tc>
      </w:tr>
      <w:tr w:rsidR="00E22CDE" w:rsidRPr="00230F35" w14:paraId="260CB54E" w14:textId="77777777" w:rsidTr="00A64BA2">
        <w:trPr>
          <w:trHeight w:val="492"/>
        </w:trPr>
        <w:tc>
          <w:tcPr>
            <w:tcW w:w="6768" w:type="dxa"/>
            <w:gridSpan w:val="3"/>
          </w:tcPr>
          <w:p w14:paraId="39FCC86D" w14:textId="77777777" w:rsidR="00E22CDE" w:rsidRPr="00230F35" w:rsidRDefault="00E22CDE" w:rsidP="00A64BA2">
            <w:pPr>
              <w:pStyle w:val="Normale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1A1C4EE" w14:textId="77777777" w:rsidR="00E22CDE" w:rsidRPr="00230F35" w:rsidRDefault="00E22CDE" w:rsidP="00A64BA2">
            <w:pPr>
              <w:pStyle w:val="NormaleWeb"/>
              <w:spacing w:after="0"/>
              <w:ind w:left="142" w:right="34"/>
              <w:rPr>
                <w:rFonts w:ascii="Arial" w:hAnsi="Arial" w:cs="Arial"/>
                <w:sz w:val="22"/>
                <w:szCs w:val="22"/>
              </w:rPr>
            </w:pPr>
            <w:r w:rsidRPr="00230F35">
              <w:rPr>
                <w:rFonts w:ascii="Arial" w:hAnsi="Arial" w:cs="Arial"/>
                <w:sz w:val="22"/>
                <w:szCs w:val="22"/>
              </w:rPr>
              <w:t>Date:</w:t>
            </w:r>
          </w:p>
        </w:tc>
      </w:tr>
      <w:tr w:rsidR="00E22CDE" w:rsidRPr="002F467C" w14:paraId="141CA7A7" w14:textId="77777777" w:rsidTr="00A64BA2">
        <w:tc>
          <w:tcPr>
            <w:tcW w:w="8856" w:type="dxa"/>
            <w:gridSpan w:val="5"/>
          </w:tcPr>
          <w:p w14:paraId="509438D1" w14:textId="77777777" w:rsidR="00E22CDE" w:rsidRPr="00230F35" w:rsidRDefault="00E22CDE" w:rsidP="00A64BA2">
            <w:pPr>
              <w:pStyle w:val="NormaleWeb"/>
              <w:spacing w:before="0" w:beforeAutospacing="0" w:after="0" w:afterAutospacing="0"/>
              <w:ind w:right="-334"/>
              <w:rPr>
                <w:rFonts w:ascii="Arial" w:hAnsi="Arial" w:cs="Arial"/>
                <w:bCs/>
                <w:i/>
                <w:sz w:val="22"/>
                <w:szCs w:val="22"/>
              </w:rPr>
            </w:pPr>
          </w:p>
          <w:p w14:paraId="61548EB4" w14:textId="77777777" w:rsidR="00E22CDE" w:rsidRPr="00230F35" w:rsidRDefault="00E22CDE" w:rsidP="00A64BA2">
            <w:pPr>
              <w:pStyle w:val="Normale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3F374FF" w14:textId="77777777" w:rsidR="00E22CDE" w:rsidRPr="00230F35" w:rsidRDefault="00E22CDE" w:rsidP="00A64BA2">
            <w:pPr>
              <w:pStyle w:val="NormaleWeb"/>
              <w:spacing w:before="0" w:beforeAutospacing="0" w:after="0" w:afterAutospacing="0"/>
              <w:ind w:right="-334"/>
              <w:rPr>
                <w:rFonts w:ascii="Arial" w:hAnsi="Arial" w:cs="Arial"/>
                <w:b/>
                <w:bCs/>
                <w:sz w:val="22"/>
                <w:szCs w:val="22"/>
              </w:rPr>
            </w:pPr>
          </w:p>
          <w:p w14:paraId="2DDC19CD"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FD6AC08"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19929197"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26E809E0"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2ECF9CCF"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6DBF8125"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66CA6160"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7D06804E"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7D7527C5"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12839F17" w14:textId="77777777" w:rsidR="00E22CDE" w:rsidRDefault="00E22CDE" w:rsidP="00A64BA2">
            <w:pPr>
              <w:pStyle w:val="NormaleWeb"/>
              <w:spacing w:before="0" w:beforeAutospacing="0" w:after="0" w:afterAutospacing="0"/>
              <w:ind w:right="-334"/>
              <w:rPr>
                <w:rFonts w:ascii="Arial" w:hAnsi="Arial" w:cs="Arial"/>
                <w:bCs/>
                <w:sz w:val="22"/>
                <w:szCs w:val="22"/>
              </w:rPr>
            </w:pPr>
          </w:p>
          <w:p w14:paraId="5E7AE5D5"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2BD00A3A"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6725117C"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tc>
      </w:tr>
      <w:tr w:rsidR="00E22CDE" w:rsidRPr="002F467C" w14:paraId="3A6BCEDE" w14:textId="77777777" w:rsidTr="00A64BA2">
        <w:trPr>
          <w:trHeight w:val="720"/>
        </w:trPr>
        <w:tc>
          <w:tcPr>
            <w:tcW w:w="5211" w:type="dxa"/>
            <w:gridSpan w:val="2"/>
          </w:tcPr>
          <w:p w14:paraId="2A5870D6"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DED79F1"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22CDE" w:rsidRPr="00E22CDE" w14:paraId="29394FD8" w14:textId="77777777" w:rsidTr="00A64BA2">
        <w:trPr>
          <w:trHeight w:val="720"/>
        </w:trPr>
        <w:tc>
          <w:tcPr>
            <w:tcW w:w="8856" w:type="dxa"/>
            <w:gridSpan w:val="5"/>
          </w:tcPr>
          <w:p w14:paraId="54EBFCF4" w14:textId="77777777" w:rsidR="00E22CDE" w:rsidRPr="00E22CDE" w:rsidRDefault="00E22CDE" w:rsidP="00A64BA2">
            <w:pPr>
              <w:rPr>
                <w:rFonts w:ascii="Arial" w:hAnsi="Arial" w:cs="Arial"/>
                <w:b/>
                <w:sz w:val="22"/>
                <w:szCs w:val="22"/>
                <w:lang w:val="en-US"/>
              </w:rPr>
            </w:pPr>
            <w:r w:rsidRPr="00E22CDE">
              <w:rPr>
                <w:rFonts w:ascii="Arial" w:hAnsi="Arial" w:cs="Arial"/>
                <w:b/>
                <w:sz w:val="22"/>
                <w:szCs w:val="22"/>
                <w:lang w:val="en-US"/>
              </w:rPr>
              <w:t>External Examiner’s comments (if relevant)</w:t>
            </w:r>
          </w:p>
          <w:p w14:paraId="7C540277"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3DEF89AA"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2981111B"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577A042F"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7EFF74EF"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2935EA50"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146AD1B6"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60FBF401"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3CCCAFBE" w14:textId="77777777" w:rsidR="00E22CDE" w:rsidRDefault="00E22CDE" w:rsidP="00A64BA2">
            <w:pPr>
              <w:pStyle w:val="NormaleWeb"/>
              <w:spacing w:before="0" w:beforeAutospacing="0" w:after="0" w:afterAutospacing="0"/>
              <w:ind w:right="-334"/>
              <w:rPr>
                <w:rFonts w:ascii="Arial" w:hAnsi="Arial" w:cs="Arial"/>
                <w:bCs/>
                <w:sz w:val="22"/>
                <w:szCs w:val="22"/>
              </w:rPr>
            </w:pPr>
          </w:p>
          <w:p w14:paraId="137EDCA6"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p w14:paraId="04E390DE" w14:textId="77777777" w:rsidR="00E22CDE" w:rsidRPr="00230F35" w:rsidRDefault="00E22CDE" w:rsidP="00A64BA2">
            <w:pPr>
              <w:pStyle w:val="NormaleWeb"/>
              <w:spacing w:before="0" w:beforeAutospacing="0" w:after="0" w:afterAutospacing="0"/>
              <w:ind w:right="-334"/>
              <w:rPr>
                <w:rFonts w:ascii="Arial" w:hAnsi="Arial" w:cs="Arial"/>
                <w:bCs/>
                <w:sz w:val="22"/>
                <w:szCs w:val="22"/>
              </w:rPr>
            </w:pPr>
          </w:p>
        </w:tc>
      </w:tr>
      <w:tr w:rsidR="00E22CDE" w:rsidRPr="002F467C" w14:paraId="2AB8E91D" w14:textId="77777777" w:rsidTr="00A64BA2">
        <w:trPr>
          <w:trHeight w:val="720"/>
        </w:trPr>
        <w:tc>
          <w:tcPr>
            <w:tcW w:w="5211" w:type="dxa"/>
            <w:gridSpan w:val="2"/>
          </w:tcPr>
          <w:p w14:paraId="16B8D7FB" w14:textId="77777777" w:rsidR="00E22CDE" w:rsidRPr="00230F35" w:rsidRDefault="00E22CDE" w:rsidP="00A64BA2">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C4268BD" w14:textId="77777777" w:rsidR="00E22CDE" w:rsidRPr="00230F35" w:rsidRDefault="00E22CDE" w:rsidP="00A64BA2">
            <w:pPr>
              <w:rPr>
                <w:rFonts w:ascii="Arial" w:hAnsi="Arial" w:cs="Arial"/>
                <w:sz w:val="22"/>
                <w:szCs w:val="22"/>
              </w:rPr>
            </w:pPr>
            <w:r w:rsidRPr="00230F35">
              <w:rPr>
                <w:rFonts w:ascii="Arial" w:hAnsi="Arial" w:cs="Arial"/>
                <w:sz w:val="22"/>
                <w:szCs w:val="22"/>
              </w:rPr>
              <w:t>Date:</w:t>
            </w:r>
          </w:p>
        </w:tc>
      </w:tr>
    </w:tbl>
    <w:p w14:paraId="12D3B7D5" w14:textId="77777777" w:rsidR="00E22CDE" w:rsidRPr="00D67BF8" w:rsidRDefault="00E22CDE" w:rsidP="00E22CDE">
      <w:pPr>
        <w:pStyle w:val="NormaleWeb"/>
        <w:spacing w:before="0" w:beforeAutospacing="0" w:after="0" w:afterAutospacing="0"/>
        <w:ind w:right="-334"/>
        <w:rPr>
          <w:rFonts w:ascii="Trebuchet MS" w:hAnsi="Trebuchet MS" w:cs="Tahoma"/>
          <w:bCs/>
          <w:sz w:val="24"/>
          <w:szCs w:val="24"/>
        </w:rPr>
      </w:pPr>
    </w:p>
    <w:p w14:paraId="78186F9A" w14:textId="77777777" w:rsidR="00E22CDE" w:rsidRDefault="00E22CDE">
      <w:pPr>
        <w:rPr>
          <w:rFonts w:asciiTheme="majorHAnsi" w:hAnsiTheme="majorHAnsi" w:cstheme="majorHAnsi"/>
          <w:b/>
          <w:bCs/>
          <w:lang w:val="en-US"/>
        </w:rPr>
      </w:pPr>
      <w:r>
        <w:rPr>
          <w:rFonts w:asciiTheme="majorHAnsi" w:hAnsiTheme="majorHAnsi" w:cstheme="majorHAnsi"/>
          <w:b/>
          <w:bCs/>
          <w:lang w:val="en-US"/>
        </w:rPr>
        <w:br w:type="page"/>
      </w:r>
    </w:p>
    <w:p w14:paraId="34C79C06" w14:textId="230B0055" w:rsidR="00F65604" w:rsidRDefault="00F65604" w:rsidP="004F63E1">
      <w:pPr>
        <w:spacing w:line="360" w:lineRule="auto"/>
        <w:rPr>
          <w:rFonts w:asciiTheme="majorHAnsi" w:hAnsiTheme="majorHAnsi" w:cstheme="majorHAnsi"/>
          <w:b/>
          <w:bCs/>
          <w:lang w:val="en-US"/>
        </w:rPr>
      </w:pPr>
      <w:r w:rsidRPr="00830C91">
        <w:rPr>
          <w:rFonts w:asciiTheme="majorHAnsi" w:hAnsiTheme="majorHAnsi" w:cstheme="majorHAnsi"/>
          <w:b/>
          <w:bCs/>
          <w:lang w:val="en-US"/>
        </w:rPr>
        <w:lastRenderedPageBreak/>
        <w:t>A Critical Comparison of Two JSTOR Papers</w:t>
      </w:r>
    </w:p>
    <w:p w14:paraId="6C0DE5C1" w14:textId="51FF1142" w:rsidR="004F63E1" w:rsidRPr="004F63E1" w:rsidRDefault="004F63E1" w:rsidP="004F63E1">
      <w:pPr>
        <w:spacing w:line="360" w:lineRule="auto"/>
        <w:rPr>
          <w:rFonts w:asciiTheme="majorHAnsi" w:hAnsiTheme="majorHAnsi" w:cstheme="majorHAnsi"/>
          <w:sz w:val="22"/>
          <w:szCs w:val="22"/>
          <w:lang w:val="en-US"/>
        </w:rPr>
      </w:pPr>
      <w:r>
        <w:rPr>
          <w:rFonts w:asciiTheme="majorHAnsi" w:hAnsiTheme="majorHAnsi" w:cstheme="majorHAnsi"/>
          <w:sz w:val="22"/>
          <w:szCs w:val="22"/>
          <w:lang w:val="en-US"/>
        </w:rPr>
        <w:t>Word Count: 2010</w:t>
      </w:r>
    </w:p>
    <w:p w14:paraId="15510AB7" w14:textId="77777777" w:rsidR="00830C91" w:rsidRPr="00830C91" w:rsidRDefault="00830C91" w:rsidP="00F65604">
      <w:pPr>
        <w:spacing w:line="360" w:lineRule="auto"/>
        <w:ind w:firstLine="567"/>
        <w:jc w:val="center"/>
        <w:rPr>
          <w:rFonts w:asciiTheme="majorHAnsi" w:hAnsiTheme="majorHAnsi" w:cstheme="majorHAnsi"/>
          <w:b/>
          <w:bCs/>
          <w:lang w:val="en-US"/>
        </w:rPr>
      </w:pPr>
    </w:p>
    <w:p w14:paraId="17903AC6" w14:textId="29B8E220" w:rsidR="00A16431" w:rsidRDefault="00A16431" w:rsidP="00A16431">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 xml:space="preserve">The current essay aims at comparing two </w:t>
      </w:r>
      <w:r w:rsidR="00B3084E">
        <w:rPr>
          <w:rFonts w:asciiTheme="majorHAnsi" w:hAnsiTheme="majorHAnsi" w:cstheme="majorHAnsi"/>
          <w:sz w:val="22"/>
          <w:szCs w:val="22"/>
          <w:lang w:val="en-US"/>
        </w:rPr>
        <w:t xml:space="preserve">JSTOR </w:t>
      </w:r>
      <w:r>
        <w:rPr>
          <w:rFonts w:asciiTheme="majorHAnsi" w:hAnsiTheme="majorHAnsi" w:cstheme="majorHAnsi"/>
          <w:sz w:val="22"/>
          <w:szCs w:val="22"/>
          <w:lang w:val="en-US"/>
        </w:rPr>
        <w:t xml:space="preserve">papers concerning medical astrology respectively in the II Century Rome and in the XII Century England: </w:t>
      </w:r>
      <w:r>
        <w:rPr>
          <w:rFonts w:asciiTheme="majorHAnsi" w:hAnsiTheme="majorHAnsi" w:cstheme="majorHAnsi"/>
          <w:i/>
          <w:iCs/>
          <w:sz w:val="22"/>
          <w:szCs w:val="22"/>
          <w:lang w:val="en-US"/>
        </w:rPr>
        <w:t>Galen and Astrology: A Mésalliance?</w:t>
      </w:r>
      <w:r>
        <w:rPr>
          <w:rFonts w:asciiTheme="majorHAnsi" w:hAnsiTheme="majorHAnsi" w:cstheme="majorHAnsi"/>
          <w:sz w:val="22"/>
          <w:szCs w:val="22"/>
          <w:lang w:val="en-US"/>
        </w:rPr>
        <w:t xml:space="preserve"> (2011) by Glen M. Cooper and </w:t>
      </w:r>
      <w:r>
        <w:rPr>
          <w:rFonts w:asciiTheme="majorHAnsi" w:hAnsiTheme="majorHAnsi" w:cstheme="majorHAnsi"/>
          <w:i/>
          <w:iCs/>
          <w:sz w:val="22"/>
          <w:szCs w:val="22"/>
          <w:lang w:val="en-US"/>
        </w:rPr>
        <w:t>For</w:t>
      </w:r>
      <w:r w:rsidR="002D3BD2">
        <w:rPr>
          <w:rFonts w:asciiTheme="majorHAnsi" w:hAnsiTheme="majorHAnsi" w:cstheme="majorHAnsi"/>
          <w:i/>
          <w:iCs/>
          <w:sz w:val="22"/>
          <w:szCs w:val="22"/>
          <w:lang w:val="en-US"/>
        </w:rPr>
        <w:t>e</w:t>
      </w:r>
      <w:r>
        <w:rPr>
          <w:rFonts w:asciiTheme="majorHAnsi" w:hAnsiTheme="majorHAnsi" w:cstheme="majorHAnsi"/>
          <w:i/>
          <w:iCs/>
          <w:sz w:val="22"/>
          <w:szCs w:val="22"/>
          <w:lang w:val="en-US"/>
        </w:rPr>
        <w:t>telling the Future: Arabic Astrology and English Medicine in the Late Twelfth Century</w:t>
      </w:r>
      <w:r>
        <w:rPr>
          <w:rFonts w:asciiTheme="majorHAnsi" w:hAnsiTheme="majorHAnsi" w:cstheme="majorHAnsi"/>
          <w:sz w:val="22"/>
          <w:szCs w:val="22"/>
          <w:lang w:val="en-US"/>
        </w:rPr>
        <w:t xml:space="preserve"> (1996) by Roger French.</w:t>
      </w:r>
      <w:r>
        <w:rPr>
          <w:rStyle w:val="Rimandonotaapidipagina"/>
          <w:rFonts w:asciiTheme="majorHAnsi" w:hAnsiTheme="majorHAnsi" w:cstheme="majorHAnsi"/>
          <w:sz w:val="22"/>
          <w:szCs w:val="22"/>
          <w:lang w:val="en-US"/>
        </w:rPr>
        <w:footnoteReference w:id="1"/>
      </w:r>
      <w:r>
        <w:rPr>
          <w:rFonts w:asciiTheme="majorHAnsi" w:hAnsiTheme="majorHAnsi" w:cstheme="majorHAnsi"/>
          <w:sz w:val="22"/>
          <w:szCs w:val="22"/>
          <w:lang w:val="en-US"/>
        </w:rPr>
        <w:t xml:space="preserve"> In order to develop my analysis, besides considering the authors’ academic background, I shall compare the structure, typology, purpose and general features</w:t>
      </w:r>
      <w:r w:rsidRPr="007E01FC">
        <w:rPr>
          <w:rFonts w:asciiTheme="majorHAnsi" w:hAnsiTheme="majorHAnsi" w:cstheme="majorHAnsi"/>
          <w:sz w:val="22"/>
          <w:szCs w:val="22"/>
          <w:lang w:val="en-US"/>
        </w:rPr>
        <w:t xml:space="preserve"> </w:t>
      </w:r>
      <w:r>
        <w:rPr>
          <w:rFonts w:asciiTheme="majorHAnsi" w:hAnsiTheme="majorHAnsi" w:cstheme="majorHAnsi"/>
          <w:sz w:val="22"/>
          <w:szCs w:val="22"/>
          <w:lang w:val="en-US"/>
        </w:rPr>
        <w:t>of both papers, taking into account the authors’ use of primary and secondary sources in supporting their argument.</w:t>
      </w:r>
    </w:p>
    <w:p w14:paraId="517B0AA2" w14:textId="77777777" w:rsidR="00BC63B0" w:rsidRDefault="00A16431" w:rsidP="00A16431">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Both authors come from a background that combines science and history. Before moving to Philosophy of Science, Glen Cooper studied Mathematical Physics, Greek and Latin, and earned a PhD in Islamic Studies and History of Islamic Sciences at Columbia University. Roger French (1938-2002) was a Lecturer in History of Medicine at Cambridge University and director of the Wellcome Unit for History of Medicine at the University of Cambridge; he studied Zoology and gained a Dphil in History of Medicine at St. Catherine’s College, Oxford.</w:t>
      </w:r>
      <w:r>
        <w:rPr>
          <w:rStyle w:val="Rimandonotaapidipagina"/>
          <w:rFonts w:asciiTheme="majorHAnsi" w:hAnsiTheme="majorHAnsi" w:cstheme="majorHAnsi"/>
          <w:sz w:val="22"/>
          <w:szCs w:val="22"/>
          <w:lang w:val="en-US"/>
        </w:rPr>
        <w:footnoteReference w:id="2"/>
      </w:r>
    </w:p>
    <w:p w14:paraId="026F9E3F" w14:textId="5FCB9CAE" w:rsidR="00E66587" w:rsidRDefault="00E66587" w:rsidP="00A16431">
      <w:pPr>
        <w:spacing w:line="360" w:lineRule="auto"/>
        <w:ind w:firstLine="567"/>
        <w:rPr>
          <w:rFonts w:asciiTheme="majorHAnsi" w:hAnsiTheme="majorHAnsi" w:cstheme="majorHAnsi"/>
          <w:sz w:val="22"/>
          <w:szCs w:val="22"/>
          <w:lang w:val="en-US"/>
        </w:rPr>
      </w:pPr>
      <w:r w:rsidRPr="00E66587">
        <w:rPr>
          <w:rFonts w:asciiTheme="majorHAnsi" w:hAnsiTheme="majorHAnsi" w:cstheme="majorHAnsi"/>
          <w:sz w:val="22"/>
          <w:szCs w:val="22"/>
          <w:lang w:val="en-US"/>
        </w:rPr>
        <w:t xml:space="preserve">First and foremost, the titles of the papers inform us that we are dealing not only with two distant environments and epochs, but also that the very standpoint of the articles is almost diametrical. Cooper narrows his focus to a specific physician, Galen, </w:t>
      </w:r>
      <w:r w:rsidR="00A77A3F">
        <w:rPr>
          <w:rFonts w:asciiTheme="majorHAnsi" w:hAnsiTheme="majorHAnsi" w:cstheme="majorHAnsi"/>
          <w:sz w:val="22"/>
          <w:szCs w:val="22"/>
          <w:lang w:val="en-US"/>
        </w:rPr>
        <w:t xml:space="preserve">glossing over </w:t>
      </w:r>
      <w:r w:rsidRPr="00E66587">
        <w:rPr>
          <w:rFonts w:asciiTheme="majorHAnsi" w:hAnsiTheme="majorHAnsi" w:cstheme="majorHAnsi"/>
          <w:sz w:val="22"/>
          <w:szCs w:val="22"/>
          <w:lang w:val="en-US"/>
        </w:rPr>
        <w:t xml:space="preserve">the </w:t>
      </w:r>
      <w:r w:rsidR="00A77A3F">
        <w:rPr>
          <w:rFonts w:asciiTheme="majorHAnsi" w:hAnsiTheme="majorHAnsi" w:cstheme="majorHAnsi"/>
          <w:sz w:val="22"/>
          <w:szCs w:val="22"/>
          <w:lang w:val="en-US"/>
        </w:rPr>
        <w:t xml:space="preserve">historical </w:t>
      </w:r>
      <w:r w:rsidRPr="00E66587">
        <w:rPr>
          <w:rFonts w:asciiTheme="majorHAnsi" w:hAnsiTheme="majorHAnsi" w:cstheme="majorHAnsi"/>
          <w:sz w:val="22"/>
          <w:szCs w:val="22"/>
          <w:lang w:val="en-US"/>
        </w:rPr>
        <w:t>context in which he lives, and engaging mainly</w:t>
      </w:r>
      <w:r w:rsidR="00A77A3F">
        <w:rPr>
          <w:rFonts w:asciiTheme="majorHAnsi" w:hAnsiTheme="majorHAnsi" w:cstheme="majorHAnsi"/>
          <w:sz w:val="22"/>
          <w:szCs w:val="22"/>
          <w:lang w:val="en-US"/>
        </w:rPr>
        <w:t xml:space="preserve"> with Galen’s arguable </w:t>
      </w:r>
      <w:r w:rsidR="00287594">
        <w:rPr>
          <w:rFonts w:asciiTheme="majorHAnsi" w:hAnsiTheme="majorHAnsi" w:cstheme="majorHAnsi"/>
          <w:sz w:val="22"/>
          <w:szCs w:val="22"/>
          <w:lang w:val="en-US"/>
        </w:rPr>
        <w:t>“</w:t>
      </w:r>
      <w:r w:rsidR="00A77A3F">
        <w:rPr>
          <w:rFonts w:asciiTheme="majorHAnsi" w:hAnsiTheme="majorHAnsi" w:cstheme="majorHAnsi"/>
          <w:sz w:val="22"/>
          <w:szCs w:val="22"/>
          <w:lang w:val="en-US"/>
        </w:rPr>
        <w:t>iatromathematics</w:t>
      </w:r>
      <w:r w:rsidR="00287594">
        <w:rPr>
          <w:rFonts w:asciiTheme="majorHAnsi" w:hAnsiTheme="majorHAnsi" w:cstheme="majorHAnsi"/>
          <w:sz w:val="22"/>
          <w:szCs w:val="22"/>
          <w:lang w:val="en-US"/>
        </w:rPr>
        <w:t>” and with his texts.</w:t>
      </w:r>
      <w:r w:rsidRPr="00E66587">
        <w:rPr>
          <w:rFonts w:asciiTheme="majorHAnsi" w:hAnsiTheme="majorHAnsi" w:cstheme="majorHAnsi"/>
          <w:sz w:val="22"/>
          <w:szCs w:val="22"/>
          <w:lang w:val="en-US"/>
        </w:rPr>
        <w:t xml:space="preserve"> French, conversely, moving his lens back and forth, opens his paper with Roger of Hereford, but then broadens his view on the XII Century England panorama and beyond, returning systematically to the medieval doctor who becomes almost a concrete manifestation of a wider scenario</w:t>
      </w:r>
      <w:r>
        <w:rPr>
          <w:rFonts w:asciiTheme="majorHAnsi" w:hAnsiTheme="majorHAnsi" w:cstheme="majorHAnsi"/>
          <w:sz w:val="22"/>
          <w:szCs w:val="22"/>
          <w:lang w:val="en-US"/>
        </w:rPr>
        <w:t>.</w:t>
      </w:r>
    </w:p>
    <w:p w14:paraId="082E2BFA" w14:textId="542812A1" w:rsidR="00A16431" w:rsidRPr="008E4017" w:rsidRDefault="00A16431" w:rsidP="00A16431">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The scientific training stands out in the way Cooper presents and organises his paper. The scholar is dealing with the physician Galen (</w:t>
      </w:r>
      <w:r w:rsidRPr="007F7B4D">
        <w:rPr>
          <w:rFonts w:asciiTheme="majorHAnsi" w:hAnsiTheme="majorHAnsi" w:cstheme="majorHAnsi"/>
          <w:sz w:val="22"/>
          <w:szCs w:val="22"/>
          <w:lang w:val="en-US"/>
        </w:rPr>
        <w:t>129</w:t>
      </w:r>
      <w:r>
        <w:rPr>
          <w:rFonts w:asciiTheme="majorHAnsi" w:hAnsiTheme="majorHAnsi" w:cstheme="majorHAnsi"/>
          <w:sz w:val="22"/>
          <w:szCs w:val="22"/>
          <w:lang w:val="en-US"/>
        </w:rPr>
        <w:t xml:space="preserve"> – </w:t>
      </w:r>
      <w:r w:rsidRPr="007F7B4D">
        <w:rPr>
          <w:rFonts w:asciiTheme="majorHAnsi" w:hAnsiTheme="majorHAnsi" w:cstheme="majorHAnsi"/>
          <w:sz w:val="22"/>
          <w:szCs w:val="22"/>
          <w:lang w:val="en-US"/>
        </w:rPr>
        <w:t>c. 200 CE)</w:t>
      </w:r>
      <w:r>
        <w:rPr>
          <w:rFonts w:asciiTheme="majorHAnsi" w:hAnsiTheme="majorHAnsi" w:cstheme="majorHAnsi"/>
          <w:sz w:val="22"/>
          <w:szCs w:val="22"/>
          <w:lang w:val="en-US"/>
        </w:rPr>
        <w:t>, a prolific medical author and doctor who was born in Pergamon and lived most of his life in Rome.</w:t>
      </w:r>
      <w:r>
        <w:rPr>
          <w:rStyle w:val="Rimandonotaapidipagina"/>
          <w:rFonts w:asciiTheme="majorHAnsi" w:hAnsiTheme="majorHAnsi" w:cstheme="majorHAnsi"/>
          <w:sz w:val="22"/>
          <w:szCs w:val="22"/>
          <w:lang w:val="en-US"/>
        </w:rPr>
        <w:footnoteReference w:id="3"/>
      </w:r>
      <w:r>
        <w:rPr>
          <w:rFonts w:asciiTheme="majorHAnsi" w:hAnsiTheme="majorHAnsi" w:cstheme="majorHAnsi"/>
          <w:sz w:val="22"/>
          <w:szCs w:val="22"/>
          <w:lang w:val="en-US"/>
        </w:rPr>
        <w:t xml:space="preserve"> Cooper does not give the reader many clues about where and when the subject of his investigation lived, and those who are not informed about Galen have to make do with scant references about the context:</w:t>
      </w:r>
      <w:r>
        <w:rPr>
          <w:rStyle w:val="Rimandonotaapidipagina"/>
          <w:rFonts w:asciiTheme="majorHAnsi" w:hAnsiTheme="majorHAnsi" w:cstheme="majorHAnsi"/>
          <w:sz w:val="22"/>
          <w:szCs w:val="22"/>
          <w:lang w:val="en-US"/>
        </w:rPr>
        <w:footnoteReference w:id="4"/>
      </w:r>
      <w:r>
        <w:rPr>
          <w:rFonts w:asciiTheme="majorHAnsi" w:hAnsiTheme="majorHAnsi" w:cstheme="majorHAnsi"/>
          <w:sz w:val="22"/>
          <w:szCs w:val="22"/>
          <w:lang w:val="en-US"/>
        </w:rPr>
        <w:t xml:space="preserve"> who </w:t>
      </w:r>
      <w:r w:rsidR="00DB0CE1">
        <w:rPr>
          <w:rFonts w:asciiTheme="majorHAnsi" w:hAnsiTheme="majorHAnsi" w:cstheme="majorHAnsi"/>
          <w:sz w:val="22"/>
          <w:szCs w:val="22"/>
          <w:lang w:val="en-US"/>
        </w:rPr>
        <w:t>are</w:t>
      </w:r>
      <w:r>
        <w:rPr>
          <w:rFonts w:asciiTheme="majorHAnsi" w:hAnsiTheme="majorHAnsi" w:cstheme="majorHAnsi"/>
          <w:sz w:val="22"/>
          <w:szCs w:val="22"/>
          <w:lang w:val="en-US"/>
        </w:rPr>
        <w:t xml:space="preserve"> the «educated», «</w:t>
      </w:r>
      <w:r w:rsidRPr="005445CE">
        <w:rPr>
          <w:rFonts w:asciiTheme="majorHAnsi" w:hAnsiTheme="majorHAnsi" w:cstheme="majorHAnsi"/>
          <w:sz w:val="22"/>
          <w:szCs w:val="22"/>
          <w:lang w:val="en-US"/>
        </w:rPr>
        <w:t>wealthier and</w:t>
      </w:r>
      <w:r>
        <w:rPr>
          <w:rFonts w:asciiTheme="majorHAnsi" w:hAnsiTheme="majorHAnsi" w:cstheme="majorHAnsi"/>
          <w:sz w:val="22"/>
          <w:szCs w:val="22"/>
          <w:lang w:val="en-US"/>
        </w:rPr>
        <w:t xml:space="preserve"> […]</w:t>
      </w:r>
      <w:r w:rsidRPr="005445CE">
        <w:rPr>
          <w:rFonts w:asciiTheme="majorHAnsi" w:hAnsiTheme="majorHAnsi" w:cstheme="majorHAnsi"/>
          <w:sz w:val="22"/>
          <w:szCs w:val="22"/>
          <w:lang w:val="en-US"/>
        </w:rPr>
        <w:t xml:space="preserve"> more powerful Romans</w:t>
      </w:r>
      <w:r>
        <w:rPr>
          <w:rFonts w:asciiTheme="majorHAnsi" w:hAnsiTheme="majorHAnsi" w:cstheme="majorHAnsi"/>
          <w:sz w:val="22"/>
          <w:szCs w:val="22"/>
          <w:lang w:val="en-US"/>
        </w:rPr>
        <w:t xml:space="preserve">» </w:t>
      </w:r>
      <w:r>
        <w:rPr>
          <w:rFonts w:asciiTheme="majorHAnsi" w:hAnsiTheme="majorHAnsi" w:cstheme="majorHAnsi"/>
          <w:sz w:val="22"/>
          <w:szCs w:val="22"/>
          <w:lang w:val="en-US"/>
        </w:rPr>
        <w:lastRenderedPageBreak/>
        <w:t>whom Galen hope</w:t>
      </w:r>
      <w:r w:rsidR="00DB0CE1">
        <w:rPr>
          <w:rFonts w:asciiTheme="majorHAnsi" w:hAnsiTheme="majorHAnsi" w:cstheme="majorHAnsi"/>
          <w:sz w:val="22"/>
          <w:szCs w:val="22"/>
          <w:lang w:val="en-US"/>
        </w:rPr>
        <w:t xml:space="preserve">s </w:t>
      </w:r>
      <w:r>
        <w:rPr>
          <w:rFonts w:asciiTheme="majorHAnsi" w:hAnsiTheme="majorHAnsi" w:cstheme="majorHAnsi"/>
          <w:sz w:val="22"/>
          <w:szCs w:val="22"/>
          <w:lang w:val="en-US"/>
        </w:rPr>
        <w:t xml:space="preserve">to attract, and what </w:t>
      </w:r>
      <w:r w:rsidR="00DB0CE1">
        <w:rPr>
          <w:rFonts w:asciiTheme="majorHAnsi" w:hAnsiTheme="majorHAnsi" w:cstheme="majorHAnsi"/>
          <w:sz w:val="22"/>
          <w:szCs w:val="22"/>
          <w:lang w:val="en-US"/>
        </w:rPr>
        <w:t>is</w:t>
      </w:r>
      <w:r>
        <w:rPr>
          <w:rFonts w:asciiTheme="majorHAnsi" w:hAnsiTheme="majorHAnsi" w:cstheme="majorHAnsi"/>
          <w:sz w:val="22"/>
          <w:szCs w:val="22"/>
          <w:lang w:val="en-US"/>
        </w:rPr>
        <w:t xml:space="preserve"> their expectations from a physician? Even though he declares that the article focuses «on his actual</w:t>
      </w:r>
      <w:r>
        <w:rPr>
          <w:rFonts w:asciiTheme="majorHAnsi" w:hAnsiTheme="majorHAnsi" w:cstheme="majorHAnsi"/>
          <w:i/>
          <w:iCs/>
          <w:sz w:val="22"/>
          <w:szCs w:val="22"/>
          <w:lang w:val="en-US"/>
        </w:rPr>
        <w:t xml:space="preserve"> empirical</w:t>
      </w:r>
      <w:r>
        <w:rPr>
          <w:rFonts w:asciiTheme="majorHAnsi" w:hAnsiTheme="majorHAnsi" w:cstheme="majorHAnsi"/>
          <w:sz w:val="22"/>
          <w:szCs w:val="22"/>
          <w:lang w:val="en-US"/>
        </w:rPr>
        <w:t xml:space="preserve"> approach»,</w:t>
      </w:r>
      <w:r>
        <w:rPr>
          <w:rStyle w:val="Rimandonotaapidipagina"/>
          <w:rFonts w:asciiTheme="majorHAnsi" w:hAnsiTheme="majorHAnsi" w:cstheme="majorHAnsi"/>
          <w:sz w:val="22"/>
          <w:szCs w:val="22"/>
          <w:lang w:val="en-US"/>
        </w:rPr>
        <w:footnoteReference w:id="5"/>
      </w:r>
      <w:r>
        <w:rPr>
          <w:rFonts w:asciiTheme="majorHAnsi" w:hAnsiTheme="majorHAnsi" w:cstheme="majorHAnsi"/>
          <w:sz w:val="22"/>
          <w:szCs w:val="22"/>
          <w:lang w:val="en-US"/>
        </w:rPr>
        <w:t xml:space="preserve"> a</w:t>
      </w:r>
      <w:r w:rsidRPr="00C61871">
        <w:rPr>
          <w:rFonts w:asciiTheme="majorHAnsi" w:hAnsiTheme="majorHAnsi" w:cstheme="majorHAnsi"/>
          <w:sz w:val="22"/>
          <w:szCs w:val="22"/>
          <w:lang w:val="en-US"/>
        </w:rPr>
        <w:t xml:space="preserve"> more </w:t>
      </w:r>
      <w:r>
        <w:rPr>
          <w:rFonts w:asciiTheme="majorHAnsi" w:hAnsiTheme="majorHAnsi" w:cstheme="majorHAnsi"/>
          <w:sz w:val="22"/>
          <w:szCs w:val="22"/>
          <w:lang w:val="en-US"/>
        </w:rPr>
        <w:t xml:space="preserve">elaborated </w:t>
      </w:r>
      <w:r w:rsidRPr="00C61871">
        <w:rPr>
          <w:rFonts w:asciiTheme="majorHAnsi" w:hAnsiTheme="majorHAnsi" w:cstheme="majorHAnsi"/>
          <w:sz w:val="22"/>
          <w:szCs w:val="22"/>
          <w:lang w:val="en-US"/>
        </w:rPr>
        <w:t xml:space="preserve">historical </w:t>
      </w:r>
      <w:r>
        <w:rPr>
          <w:rFonts w:asciiTheme="majorHAnsi" w:hAnsiTheme="majorHAnsi" w:cstheme="majorHAnsi"/>
          <w:sz w:val="22"/>
          <w:szCs w:val="22"/>
          <w:lang w:val="en-US"/>
        </w:rPr>
        <w:t>and cultural discussion would have been useful to fully appreciate the value of the proposed claim.</w:t>
      </w:r>
    </w:p>
    <w:p w14:paraId="6E59D74E" w14:textId="390790DA" w:rsidR="00A16431" w:rsidRPr="00222EF6" w:rsidRDefault="00A16431" w:rsidP="00A16431">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 xml:space="preserve">It is clear </w:t>
      </w:r>
      <w:r w:rsidR="00552003">
        <w:rPr>
          <w:rFonts w:asciiTheme="majorHAnsi" w:hAnsiTheme="majorHAnsi" w:cstheme="majorHAnsi"/>
          <w:sz w:val="22"/>
          <w:szCs w:val="22"/>
          <w:lang w:val="en-US"/>
        </w:rPr>
        <w:t>since</w:t>
      </w:r>
      <w:r>
        <w:rPr>
          <w:rFonts w:asciiTheme="majorHAnsi" w:hAnsiTheme="majorHAnsi" w:cstheme="majorHAnsi"/>
          <w:sz w:val="22"/>
          <w:szCs w:val="22"/>
          <w:lang w:val="en-US"/>
        </w:rPr>
        <w:t xml:space="preserve"> the heading that Cooper’s writing is a rather critical and persuasive one. Paraphrasing the title, Cooper suggests that Galen’s relationship with astrology is an unsuitable match, and even though he poses a question, we can infer right from the beginning that the scholar aims at persuading the reader not only that «Galen’s use of astrology is superficial, and does not cohere with the rest of his medical science, except in an almost meningless general way», but even that only by ignoring Galen’s references to astrology one can «see clearly, perhaps for the first time, the true ingenuity of Galen’s approach to data and natural phenomena».</w:t>
      </w:r>
      <w:r>
        <w:rPr>
          <w:rStyle w:val="Rimandonotaapidipagina"/>
          <w:rFonts w:asciiTheme="majorHAnsi" w:hAnsiTheme="majorHAnsi" w:cstheme="majorHAnsi"/>
          <w:sz w:val="22"/>
          <w:szCs w:val="22"/>
          <w:lang w:val="en-US"/>
        </w:rPr>
        <w:footnoteReference w:id="6"/>
      </w:r>
    </w:p>
    <w:p w14:paraId="07A5C21A" w14:textId="54895B3D" w:rsidR="00A16431" w:rsidRDefault="00A16431" w:rsidP="00A16431">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In a rigorous and methodical fashion, his work starts and closes with explicitly evoked “Introduction” and “Conclusion” – this does not occur so openly in French’s paper, as we shall see. Cooper does not make much room for the reader’s imagination, and exposes his thesis plainly in the introduction: Galen’s use of astrology is only rhetorical, since its «persuasive value» would have allowed him to «increase his clientele».</w:t>
      </w:r>
      <w:r>
        <w:rPr>
          <w:rStyle w:val="Rimandonotaapidipagina"/>
          <w:rFonts w:asciiTheme="majorHAnsi" w:hAnsiTheme="majorHAnsi" w:cstheme="majorHAnsi"/>
          <w:sz w:val="22"/>
          <w:szCs w:val="22"/>
          <w:lang w:val="en-US"/>
        </w:rPr>
        <w:footnoteReference w:id="7"/>
      </w:r>
      <w:r>
        <w:rPr>
          <w:rFonts w:asciiTheme="majorHAnsi" w:hAnsiTheme="majorHAnsi" w:cstheme="majorHAnsi"/>
          <w:sz w:val="22"/>
          <w:szCs w:val="22"/>
          <w:lang w:val="en-US"/>
        </w:rPr>
        <w:t xml:space="preserve"> In his conclusion, Cooper soundly draws his point from what is proposed in the introduction and, supported by the argument developed in the previous pages, maintains that both judicial and natural astrology appear irrelevant to Galen’s theories and his use of them is merely utilitarian. The author unfolds his reasoning through fourteen short sections, starting with some theoretical and academical framework about the relationship between astrology and medicine; he then considers Galen’s main theories, </w:t>
      </w:r>
      <w:r w:rsidRPr="00552003">
        <w:rPr>
          <w:rFonts w:asciiTheme="majorHAnsi" w:hAnsiTheme="majorHAnsi" w:cstheme="majorHAnsi"/>
          <w:sz w:val="22"/>
          <w:szCs w:val="22"/>
          <w:lang w:val="en-US"/>
        </w:rPr>
        <w:t>viz</w:t>
      </w:r>
      <w:r>
        <w:rPr>
          <w:rFonts w:asciiTheme="majorHAnsi" w:hAnsiTheme="majorHAnsi" w:cstheme="majorHAnsi"/>
          <w:sz w:val="22"/>
          <w:szCs w:val="22"/>
          <w:lang w:val="en-US"/>
        </w:rPr>
        <w:t xml:space="preserve">. the medical crisis and the critical days, and his use of astrology within these texts. His analysis of Galen’s books relies on his critical edition of </w:t>
      </w:r>
      <w:r>
        <w:rPr>
          <w:rFonts w:asciiTheme="majorHAnsi" w:hAnsiTheme="majorHAnsi" w:cstheme="majorHAnsi"/>
          <w:i/>
          <w:iCs/>
          <w:sz w:val="22"/>
          <w:szCs w:val="22"/>
          <w:lang w:val="en-US"/>
        </w:rPr>
        <w:t>De diebus decretoriis</w:t>
      </w:r>
      <w:r>
        <w:rPr>
          <w:rFonts w:asciiTheme="majorHAnsi" w:hAnsiTheme="majorHAnsi" w:cstheme="majorHAnsi"/>
          <w:sz w:val="22"/>
          <w:szCs w:val="22"/>
          <w:lang w:val="en-US"/>
        </w:rPr>
        <w:t>, published by Ashgate</w:t>
      </w:r>
      <w:r w:rsidR="00552003">
        <w:rPr>
          <w:rFonts w:asciiTheme="majorHAnsi" w:hAnsiTheme="majorHAnsi" w:cstheme="majorHAnsi"/>
          <w:sz w:val="22"/>
          <w:szCs w:val="22"/>
          <w:lang w:val="en-US"/>
        </w:rPr>
        <w:t xml:space="preserve"> Publishing</w:t>
      </w:r>
      <w:r>
        <w:rPr>
          <w:rFonts w:asciiTheme="majorHAnsi" w:hAnsiTheme="majorHAnsi" w:cstheme="majorHAnsi"/>
          <w:sz w:val="22"/>
          <w:szCs w:val="22"/>
          <w:lang w:val="en-US"/>
        </w:rPr>
        <w:t xml:space="preserve"> in 2011 (after the publication of the article in examination).</w:t>
      </w:r>
      <w:r>
        <w:rPr>
          <w:rStyle w:val="Rimandonotaapidipagina"/>
          <w:rFonts w:asciiTheme="majorHAnsi" w:hAnsiTheme="majorHAnsi" w:cstheme="majorHAnsi"/>
          <w:sz w:val="22"/>
          <w:szCs w:val="22"/>
          <w:lang w:val="en-US"/>
        </w:rPr>
        <w:footnoteReference w:id="8"/>
      </w:r>
      <w:r>
        <w:rPr>
          <w:rFonts w:asciiTheme="majorHAnsi" w:hAnsiTheme="majorHAnsi" w:cstheme="majorHAnsi"/>
          <w:sz w:val="22"/>
          <w:szCs w:val="22"/>
          <w:lang w:val="en-US"/>
        </w:rPr>
        <w:t xml:space="preserve"> </w:t>
      </w:r>
      <w:r w:rsidR="008C4631">
        <w:rPr>
          <w:rFonts w:asciiTheme="majorHAnsi" w:hAnsiTheme="majorHAnsi" w:cstheme="majorHAnsi"/>
          <w:sz w:val="22"/>
          <w:szCs w:val="22"/>
          <w:lang w:val="en-US"/>
        </w:rPr>
        <w:t>Together with</w:t>
      </w:r>
      <w:r>
        <w:rPr>
          <w:rFonts w:asciiTheme="majorHAnsi" w:hAnsiTheme="majorHAnsi" w:cstheme="majorHAnsi"/>
          <w:sz w:val="22"/>
          <w:szCs w:val="22"/>
          <w:lang w:val="en-US"/>
        </w:rPr>
        <w:t xml:space="preserve"> a brief note on Aratus – used by Galen, according to Cooper, as yet another appealing lure for the Roman aristocracy</w:t>
      </w:r>
      <w:r w:rsidR="00552003">
        <w:rPr>
          <w:rFonts w:asciiTheme="majorHAnsi" w:hAnsiTheme="majorHAnsi" w:cstheme="majorHAnsi"/>
          <w:sz w:val="22"/>
          <w:szCs w:val="22"/>
          <w:lang w:val="en-US"/>
        </w:rPr>
        <w:t xml:space="preserve"> </w:t>
      </w:r>
      <w:r>
        <w:rPr>
          <w:rFonts w:asciiTheme="majorHAnsi" w:hAnsiTheme="majorHAnsi" w:cstheme="majorHAnsi"/>
          <w:sz w:val="22"/>
          <w:szCs w:val="22"/>
          <w:lang w:val="en-US"/>
        </w:rPr>
        <w:t>–</w:t>
      </w:r>
      <w:r>
        <w:rPr>
          <w:rStyle w:val="Rimandonotaapidipagina"/>
          <w:rFonts w:asciiTheme="majorHAnsi" w:hAnsiTheme="majorHAnsi" w:cstheme="majorHAnsi"/>
          <w:sz w:val="22"/>
          <w:szCs w:val="22"/>
          <w:lang w:val="en-US"/>
        </w:rPr>
        <w:footnoteReference w:id="9"/>
      </w:r>
      <w:r>
        <w:rPr>
          <w:rFonts w:asciiTheme="majorHAnsi" w:hAnsiTheme="majorHAnsi" w:cstheme="majorHAnsi"/>
          <w:sz w:val="22"/>
          <w:szCs w:val="22"/>
          <w:lang w:val="en-US"/>
        </w:rPr>
        <w:t xml:space="preserve">,  a comparison with Ptolemy’s </w:t>
      </w:r>
      <w:r>
        <w:rPr>
          <w:rFonts w:asciiTheme="majorHAnsi" w:hAnsiTheme="majorHAnsi" w:cstheme="majorHAnsi"/>
          <w:i/>
          <w:iCs/>
          <w:sz w:val="22"/>
          <w:szCs w:val="22"/>
          <w:lang w:val="en-US"/>
        </w:rPr>
        <w:t>Almagest</w:t>
      </w:r>
      <w:r>
        <w:rPr>
          <w:rFonts w:asciiTheme="majorHAnsi" w:hAnsiTheme="majorHAnsi" w:cstheme="majorHAnsi"/>
          <w:sz w:val="22"/>
          <w:szCs w:val="22"/>
          <w:lang w:val="en-US"/>
        </w:rPr>
        <w:t xml:space="preserve"> and </w:t>
      </w:r>
      <w:r>
        <w:rPr>
          <w:rFonts w:asciiTheme="majorHAnsi" w:hAnsiTheme="majorHAnsi" w:cstheme="majorHAnsi"/>
          <w:i/>
          <w:iCs/>
          <w:sz w:val="22"/>
          <w:szCs w:val="22"/>
          <w:lang w:val="en-US"/>
        </w:rPr>
        <w:t>Tetrabilblos</w:t>
      </w:r>
      <w:r>
        <w:rPr>
          <w:rFonts w:asciiTheme="majorHAnsi" w:hAnsiTheme="majorHAnsi" w:cstheme="majorHAnsi"/>
          <w:sz w:val="22"/>
          <w:szCs w:val="22"/>
          <w:lang w:val="en-US"/>
        </w:rPr>
        <w:t xml:space="preserve">, and a final account of the Arabic reception of Galen, Cooper investigates the physician’s very terminology to prove his point. Not only </w:t>
      </w:r>
      <w:r w:rsidRPr="008C2DF6">
        <w:rPr>
          <w:rFonts w:asciiTheme="majorHAnsi" w:hAnsiTheme="majorHAnsi" w:cstheme="majorHAnsi"/>
          <w:sz w:val="22"/>
          <w:szCs w:val="22"/>
          <w:lang w:val="en-US"/>
        </w:rPr>
        <w:t xml:space="preserve">does </w:t>
      </w:r>
      <w:r>
        <w:rPr>
          <w:rFonts w:asciiTheme="majorHAnsi" w:hAnsiTheme="majorHAnsi" w:cstheme="majorHAnsi"/>
          <w:sz w:val="22"/>
          <w:szCs w:val="22"/>
          <w:lang w:val="en-US"/>
        </w:rPr>
        <w:t xml:space="preserve">he link Galen’s use of the word </w:t>
      </w:r>
      <w:r>
        <w:rPr>
          <w:rFonts w:asciiTheme="majorHAnsi" w:hAnsiTheme="majorHAnsi" w:cstheme="majorHAnsi"/>
          <w:sz w:val="22"/>
          <w:szCs w:val="22"/>
          <w:lang w:val="el-GR"/>
        </w:rPr>
        <w:t>πλημμελέω</w:t>
      </w:r>
      <w:r w:rsidRPr="009F02DF">
        <w:rPr>
          <w:rFonts w:asciiTheme="majorHAnsi" w:hAnsiTheme="majorHAnsi" w:cstheme="majorHAnsi"/>
          <w:sz w:val="22"/>
          <w:szCs w:val="22"/>
          <w:lang w:val="en-US"/>
        </w:rPr>
        <w:t xml:space="preserve"> to </w:t>
      </w:r>
      <w:r>
        <w:rPr>
          <w:rFonts w:asciiTheme="majorHAnsi" w:hAnsiTheme="majorHAnsi" w:cstheme="majorHAnsi"/>
          <w:sz w:val="22"/>
          <w:szCs w:val="22"/>
          <w:lang w:val="en-US"/>
        </w:rPr>
        <w:t xml:space="preserve">the musical context to reveal Galen’s connection to Ptolemaic harmony – </w:t>
      </w:r>
      <w:r w:rsidR="00491587">
        <w:rPr>
          <w:rFonts w:asciiTheme="majorHAnsi" w:hAnsiTheme="majorHAnsi" w:cstheme="majorHAnsi"/>
          <w:sz w:val="22"/>
          <w:szCs w:val="22"/>
          <w:lang w:val="en-US"/>
        </w:rPr>
        <w:t>though, there is no mention</w:t>
      </w:r>
      <w:r>
        <w:rPr>
          <w:rFonts w:asciiTheme="majorHAnsi" w:hAnsiTheme="majorHAnsi" w:cstheme="majorHAnsi"/>
          <w:sz w:val="22"/>
          <w:szCs w:val="22"/>
          <w:lang w:val="en-US"/>
        </w:rPr>
        <w:t xml:space="preserve"> to possible connections </w:t>
      </w:r>
      <w:r w:rsidR="00491587">
        <w:rPr>
          <w:rFonts w:asciiTheme="majorHAnsi" w:hAnsiTheme="majorHAnsi" w:cstheme="majorHAnsi"/>
          <w:sz w:val="22"/>
          <w:szCs w:val="22"/>
          <w:lang w:val="en-US"/>
        </w:rPr>
        <w:t>with</w:t>
      </w:r>
      <w:r>
        <w:rPr>
          <w:rFonts w:asciiTheme="majorHAnsi" w:hAnsiTheme="majorHAnsi" w:cstheme="majorHAnsi"/>
          <w:sz w:val="22"/>
          <w:szCs w:val="22"/>
          <w:lang w:val="en-US"/>
        </w:rPr>
        <w:t xml:space="preserve"> Pythagoras, Plato or the Stoics in this paper –</w:t>
      </w:r>
      <w:r>
        <w:rPr>
          <w:rStyle w:val="Rimandonotaapidipagina"/>
          <w:rFonts w:asciiTheme="majorHAnsi" w:hAnsiTheme="majorHAnsi" w:cstheme="majorHAnsi"/>
          <w:sz w:val="22"/>
          <w:szCs w:val="22"/>
          <w:lang w:val="en-US"/>
        </w:rPr>
        <w:footnoteReference w:id="10"/>
      </w:r>
      <w:r>
        <w:rPr>
          <w:rFonts w:asciiTheme="majorHAnsi" w:hAnsiTheme="majorHAnsi" w:cstheme="majorHAnsi"/>
          <w:sz w:val="22"/>
          <w:szCs w:val="22"/>
          <w:lang w:val="en-US"/>
        </w:rPr>
        <w:t xml:space="preserve">, he also explores statistically the lexical occurrences related to </w:t>
      </w:r>
      <w:r>
        <w:rPr>
          <w:rFonts w:asciiTheme="majorHAnsi" w:hAnsiTheme="majorHAnsi" w:cstheme="majorHAnsi"/>
          <w:sz w:val="22"/>
          <w:szCs w:val="22"/>
          <w:lang w:val="en-US"/>
        </w:rPr>
        <w:lastRenderedPageBreak/>
        <w:t xml:space="preserve">the astrological world in Galen’s </w:t>
      </w:r>
      <w:r>
        <w:rPr>
          <w:rFonts w:asciiTheme="majorHAnsi" w:hAnsiTheme="majorHAnsi" w:cstheme="majorHAnsi"/>
          <w:i/>
          <w:iCs/>
          <w:sz w:val="22"/>
          <w:szCs w:val="22"/>
          <w:lang w:val="en-US"/>
        </w:rPr>
        <w:t>opus</w:t>
      </w:r>
      <w:r>
        <w:rPr>
          <w:rFonts w:asciiTheme="majorHAnsi" w:hAnsiTheme="majorHAnsi" w:cstheme="majorHAnsi"/>
          <w:sz w:val="22"/>
          <w:szCs w:val="22"/>
          <w:lang w:val="en-US"/>
        </w:rPr>
        <w:t>. Towards the end of the paper, Cooper uses Peirce’s logics</w:t>
      </w:r>
      <w:r>
        <w:rPr>
          <w:rStyle w:val="Rimandonotaapidipagina"/>
          <w:rFonts w:asciiTheme="majorHAnsi" w:hAnsiTheme="majorHAnsi" w:cstheme="majorHAnsi"/>
          <w:sz w:val="22"/>
          <w:szCs w:val="22"/>
          <w:lang w:val="en-US"/>
        </w:rPr>
        <w:footnoteReference w:id="11"/>
      </w:r>
      <w:r>
        <w:rPr>
          <w:rFonts w:asciiTheme="majorHAnsi" w:hAnsiTheme="majorHAnsi" w:cstheme="majorHAnsi"/>
          <w:sz w:val="22"/>
          <w:szCs w:val="22"/>
          <w:lang w:val="en-US"/>
        </w:rPr>
        <w:t xml:space="preserve"> – to reveal Galen’s abductive approach as he takes Aristotle’s cosmology as his theoretical </w:t>
      </w:r>
      <w:r w:rsidRPr="005A16E7">
        <w:rPr>
          <w:rFonts w:asciiTheme="majorHAnsi" w:hAnsiTheme="majorHAnsi" w:cstheme="majorHAnsi"/>
          <w:sz w:val="22"/>
          <w:szCs w:val="22"/>
          <w:lang w:val="en-US"/>
        </w:rPr>
        <w:t>framework</w:t>
      </w:r>
      <w:r>
        <w:rPr>
          <w:rFonts w:asciiTheme="majorHAnsi" w:hAnsiTheme="majorHAnsi" w:cstheme="majorHAnsi"/>
          <w:sz w:val="22"/>
          <w:szCs w:val="22"/>
          <w:lang w:val="en-US"/>
        </w:rPr>
        <w:t xml:space="preserve"> – and introduces the mathematical concept of perturbation as a contemporary parallel to the theory of variables interfering with the ideal natural system as intended by Galen.</w:t>
      </w:r>
    </w:p>
    <w:p w14:paraId="2EEE0B8E" w14:textId="38315FA0" w:rsidR="00C92213" w:rsidRDefault="00F15032" w:rsidP="00F15032">
      <w:pPr>
        <w:spacing w:line="360" w:lineRule="auto"/>
        <w:ind w:firstLine="567"/>
        <w:rPr>
          <w:rFonts w:asciiTheme="majorHAnsi" w:hAnsiTheme="majorHAnsi" w:cstheme="majorHAnsi"/>
          <w:sz w:val="22"/>
          <w:szCs w:val="22"/>
          <w:lang w:val="en-US"/>
        </w:rPr>
      </w:pPr>
      <w:r w:rsidRPr="00F15032">
        <w:rPr>
          <w:rFonts w:asciiTheme="majorHAnsi" w:hAnsiTheme="majorHAnsi" w:cstheme="majorHAnsi"/>
          <w:sz w:val="22"/>
          <w:szCs w:val="22"/>
          <w:lang w:val="en-US"/>
        </w:rPr>
        <w:t>Despite Cooper’s tacit claim of scientific objectivity, his language betrays a times a judgmental and biased attitude that can be perceived by some remarks—such as, for instance, addressing A. Puma’s article as «disappointing», or depicting a rather colourful image of Galen’s «artful, though slipshod, calculations», and his “odd”, «superficial but explicit» juxtaposition of natural and judicial astrology revealing that «Galen is not serious about judicial astrology»</w:t>
      </w:r>
      <w:r>
        <w:rPr>
          <w:rFonts w:asciiTheme="majorHAnsi" w:hAnsiTheme="majorHAnsi" w:cstheme="majorHAnsi"/>
          <w:sz w:val="22"/>
          <w:szCs w:val="22"/>
          <w:lang w:val="en-US"/>
        </w:rPr>
        <w:t xml:space="preserve">. </w:t>
      </w:r>
      <w:r w:rsidR="00A16431">
        <w:rPr>
          <w:rFonts w:asciiTheme="majorHAnsi" w:hAnsiTheme="majorHAnsi" w:cstheme="majorHAnsi"/>
          <w:sz w:val="22"/>
          <w:szCs w:val="22"/>
          <w:lang w:val="en-US"/>
        </w:rPr>
        <w:t xml:space="preserve">Be it right or wrong, some readers might find themselves in a difficult position, since scarce, if not absent, direct quotations of primary (and secondary) sources are reported in the article, while the reference to the most important primary source, i.e. Galen, is probably not very clear. Kühn’s edition of Galen’s </w:t>
      </w:r>
      <w:r w:rsidR="00A16431">
        <w:rPr>
          <w:rFonts w:asciiTheme="majorHAnsi" w:hAnsiTheme="majorHAnsi" w:cstheme="majorHAnsi"/>
          <w:i/>
          <w:iCs/>
          <w:sz w:val="22"/>
          <w:szCs w:val="22"/>
          <w:lang w:val="en-US"/>
        </w:rPr>
        <w:t>opera omnia</w:t>
      </w:r>
      <w:r w:rsidR="00A16431" w:rsidRPr="00AD1A14">
        <w:rPr>
          <w:rStyle w:val="Rimandonotaapidipagina"/>
          <w:rFonts w:asciiTheme="majorHAnsi" w:hAnsiTheme="majorHAnsi" w:cstheme="majorHAnsi"/>
          <w:sz w:val="22"/>
          <w:szCs w:val="22"/>
          <w:lang w:val="en-US"/>
        </w:rPr>
        <w:footnoteReference w:id="12"/>
      </w:r>
      <w:r w:rsidR="00A16431">
        <w:rPr>
          <w:rFonts w:asciiTheme="majorHAnsi" w:hAnsiTheme="majorHAnsi" w:cstheme="majorHAnsi"/>
          <w:sz w:val="22"/>
          <w:szCs w:val="22"/>
          <w:lang w:val="en-US"/>
        </w:rPr>
        <w:t xml:space="preserve"> is mentioned in a footnote, but there is no indication about the abbreviated reference of it that is used thereafter, as he does in </w:t>
      </w:r>
      <w:r w:rsidR="00C92213">
        <w:rPr>
          <w:rFonts w:asciiTheme="majorHAnsi" w:hAnsiTheme="majorHAnsi" w:cstheme="majorHAnsi"/>
          <w:sz w:val="22"/>
          <w:szCs w:val="22"/>
          <w:lang w:val="en-US"/>
        </w:rPr>
        <w:t>an</w:t>
      </w:r>
      <w:r w:rsidR="00A16431">
        <w:rPr>
          <w:rFonts w:asciiTheme="majorHAnsi" w:hAnsiTheme="majorHAnsi" w:cstheme="majorHAnsi"/>
          <w:sz w:val="22"/>
          <w:szCs w:val="22"/>
          <w:lang w:val="en-US"/>
        </w:rPr>
        <w:t>other articles</w:t>
      </w:r>
      <w:r w:rsidR="00C92213">
        <w:rPr>
          <w:rFonts w:asciiTheme="majorHAnsi" w:hAnsiTheme="majorHAnsi" w:cstheme="majorHAnsi"/>
          <w:sz w:val="22"/>
          <w:szCs w:val="22"/>
          <w:lang w:val="en-US"/>
        </w:rPr>
        <w:t xml:space="preserve"> and in </w:t>
      </w:r>
      <w:r w:rsidR="00C92213" w:rsidRPr="00C92213">
        <w:rPr>
          <w:rFonts w:asciiTheme="majorHAnsi" w:hAnsiTheme="majorHAnsi" w:cstheme="majorHAnsi"/>
          <w:sz w:val="22"/>
          <w:szCs w:val="22"/>
          <w:lang w:val="en-US"/>
        </w:rPr>
        <w:t xml:space="preserve">his </w:t>
      </w:r>
      <w:r w:rsidR="00C92213" w:rsidRPr="00C92213">
        <w:rPr>
          <w:rFonts w:asciiTheme="majorHAnsi" w:hAnsiTheme="majorHAnsi" w:cstheme="majorHAnsi"/>
          <w:sz w:val="22"/>
          <w:szCs w:val="22"/>
          <w:lang w:val="en-US"/>
        </w:rPr>
        <w:t>critical edition of</w:t>
      </w:r>
      <w:r w:rsidR="00C92213">
        <w:rPr>
          <w:rFonts w:asciiTheme="majorHAnsi" w:hAnsiTheme="majorHAnsi" w:cstheme="majorHAnsi"/>
          <w:sz w:val="22"/>
          <w:szCs w:val="22"/>
          <w:lang w:val="en-US"/>
        </w:rPr>
        <w:t xml:space="preserve"> </w:t>
      </w:r>
      <w:r w:rsidR="00C92213">
        <w:rPr>
          <w:rFonts w:asciiTheme="majorHAnsi" w:hAnsiTheme="majorHAnsi" w:cstheme="majorHAnsi"/>
          <w:i/>
          <w:iCs/>
          <w:sz w:val="22"/>
          <w:szCs w:val="22"/>
          <w:lang w:val="en-US"/>
        </w:rPr>
        <w:t>De diebus decretoriis</w:t>
      </w:r>
      <w:r w:rsidR="00C92213">
        <w:rPr>
          <w:rFonts w:asciiTheme="majorHAnsi" w:hAnsiTheme="majorHAnsi" w:cstheme="majorHAnsi"/>
          <w:sz w:val="22"/>
          <w:szCs w:val="22"/>
          <w:lang w:val="en-US"/>
        </w:rPr>
        <w:t xml:space="preserve">—a </w:t>
      </w:r>
      <w:r w:rsidR="00C92213" w:rsidRPr="00C92213">
        <w:rPr>
          <w:rFonts w:asciiTheme="majorHAnsi" w:hAnsiTheme="majorHAnsi" w:cstheme="majorHAnsi"/>
          <w:i/>
          <w:iCs/>
          <w:sz w:val="22"/>
          <w:szCs w:val="22"/>
          <w:lang w:val="en-US"/>
        </w:rPr>
        <w:t>défaillance</w:t>
      </w:r>
      <w:r w:rsidR="00C92213">
        <w:rPr>
          <w:rFonts w:asciiTheme="majorHAnsi" w:hAnsiTheme="majorHAnsi" w:cstheme="majorHAnsi"/>
          <w:sz w:val="22"/>
          <w:szCs w:val="22"/>
          <w:lang w:val="en-US"/>
        </w:rPr>
        <w:t>?</w:t>
      </w:r>
      <w:r w:rsidR="00A16431">
        <w:rPr>
          <w:rStyle w:val="Rimandonotaapidipagina"/>
          <w:rFonts w:asciiTheme="majorHAnsi" w:hAnsiTheme="majorHAnsi" w:cstheme="majorHAnsi"/>
          <w:sz w:val="22"/>
          <w:szCs w:val="22"/>
          <w:lang w:val="en-US"/>
        </w:rPr>
        <w:footnoteReference w:id="13"/>
      </w:r>
    </w:p>
    <w:p w14:paraId="7D140F2C" w14:textId="4A42837B" w:rsidR="00A16431" w:rsidRDefault="00A16431" w:rsidP="00F15032">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 xml:space="preserve">Moreover, when it comes to analyse Galen’s use of astrology in Book III of his </w:t>
      </w:r>
      <w:r w:rsidRPr="009A402E">
        <w:rPr>
          <w:rFonts w:asciiTheme="majorHAnsi" w:hAnsiTheme="majorHAnsi" w:cstheme="majorHAnsi"/>
          <w:i/>
          <w:iCs/>
          <w:sz w:val="22"/>
          <w:szCs w:val="22"/>
          <w:lang w:val="en-US"/>
        </w:rPr>
        <w:t>Critical Days</w:t>
      </w:r>
      <w:r>
        <w:rPr>
          <w:rFonts w:asciiTheme="majorHAnsi" w:hAnsiTheme="majorHAnsi" w:cstheme="majorHAnsi"/>
          <w:sz w:val="22"/>
          <w:szCs w:val="22"/>
          <w:lang w:val="en-US"/>
        </w:rPr>
        <w:t xml:space="preserve">, Cooper’s only example appears not really convincing in the attempt to expose the physician’s ignorance </w:t>
      </w:r>
      <w:r w:rsidR="00DD3F39">
        <w:rPr>
          <w:rFonts w:asciiTheme="majorHAnsi" w:hAnsiTheme="majorHAnsi" w:cstheme="majorHAnsi"/>
          <w:sz w:val="22"/>
          <w:szCs w:val="22"/>
          <w:lang w:val="en-US"/>
        </w:rPr>
        <w:t>about</w:t>
      </w:r>
      <w:r>
        <w:rPr>
          <w:rFonts w:asciiTheme="majorHAnsi" w:hAnsiTheme="majorHAnsi" w:cstheme="majorHAnsi"/>
          <w:sz w:val="22"/>
          <w:szCs w:val="22"/>
          <w:lang w:val="en-US"/>
        </w:rPr>
        <w:t xml:space="preserve"> astrology</w:t>
      </w:r>
      <w:r w:rsidR="00DD3F39">
        <w:rPr>
          <w:rFonts w:asciiTheme="majorHAnsi" w:hAnsiTheme="majorHAnsi" w:cstheme="majorHAnsi"/>
          <w:sz w:val="22"/>
          <w:szCs w:val="22"/>
          <w:lang w:val="en-US"/>
        </w:rPr>
        <w:t>.</w:t>
      </w:r>
      <w:r w:rsidR="008E40C3">
        <w:rPr>
          <w:rFonts w:asciiTheme="majorHAnsi" w:hAnsiTheme="majorHAnsi" w:cstheme="majorHAnsi"/>
          <w:sz w:val="22"/>
          <w:szCs w:val="22"/>
          <w:lang w:val="en-US"/>
        </w:rPr>
        <w:t xml:space="preserve"> Firstly, since the English</w:t>
      </w:r>
      <w:r w:rsidR="008E40C3">
        <w:rPr>
          <w:rFonts w:asciiTheme="majorHAnsi" w:hAnsiTheme="majorHAnsi" w:cstheme="majorHAnsi"/>
          <w:sz w:val="22"/>
          <w:szCs w:val="22"/>
          <w:lang w:val="en-US"/>
        </w:rPr>
        <w:t xml:space="preserve"> translation </w:t>
      </w:r>
      <w:r w:rsidR="008E40C3">
        <w:rPr>
          <w:rFonts w:asciiTheme="majorHAnsi" w:hAnsiTheme="majorHAnsi" w:cstheme="majorHAnsi"/>
          <w:sz w:val="22"/>
          <w:szCs w:val="22"/>
          <w:lang w:val="en-US"/>
        </w:rPr>
        <w:t xml:space="preserve">of the text </w:t>
      </w:r>
      <w:r w:rsidR="008E40C3">
        <w:rPr>
          <w:rFonts w:asciiTheme="majorHAnsi" w:hAnsiTheme="majorHAnsi" w:cstheme="majorHAnsi"/>
          <w:sz w:val="22"/>
          <w:szCs w:val="22"/>
          <w:lang w:val="en-US"/>
        </w:rPr>
        <w:t xml:space="preserve">was ready and about to be published, quoting Galen’s very words would have added consistency </w:t>
      </w:r>
      <w:r w:rsidR="008E40C3">
        <w:rPr>
          <w:rFonts w:asciiTheme="majorHAnsi" w:hAnsiTheme="majorHAnsi" w:cstheme="majorHAnsi"/>
          <w:sz w:val="22"/>
          <w:szCs w:val="22"/>
          <w:lang w:val="en-US"/>
        </w:rPr>
        <w:t>these</w:t>
      </w:r>
      <w:r w:rsidR="008E40C3">
        <w:rPr>
          <w:rFonts w:asciiTheme="majorHAnsi" w:hAnsiTheme="majorHAnsi" w:cstheme="majorHAnsi"/>
          <w:sz w:val="22"/>
          <w:szCs w:val="22"/>
          <w:lang w:val="en-US"/>
        </w:rPr>
        <w:t xml:space="preserve"> claims</w:t>
      </w:r>
      <w:r w:rsidR="008E40C3">
        <w:rPr>
          <w:rFonts w:asciiTheme="majorHAnsi" w:hAnsiTheme="majorHAnsi" w:cstheme="majorHAnsi"/>
          <w:sz w:val="22"/>
          <w:szCs w:val="22"/>
          <w:lang w:val="en-US"/>
        </w:rPr>
        <w:t>.</w:t>
      </w:r>
      <w:r>
        <w:rPr>
          <w:rFonts w:asciiTheme="majorHAnsi" w:hAnsiTheme="majorHAnsi" w:cstheme="majorHAnsi"/>
          <w:sz w:val="22"/>
          <w:szCs w:val="22"/>
          <w:lang w:val="en-US"/>
        </w:rPr>
        <w:t xml:space="preserve"> </w:t>
      </w:r>
      <w:r w:rsidR="008E40C3">
        <w:rPr>
          <w:rFonts w:asciiTheme="majorHAnsi" w:hAnsiTheme="majorHAnsi" w:cstheme="majorHAnsi"/>
          <w:sz w:val="22"/>
          <w:szCs w:val="22"/>
          <w:lang w:val="en-US"/>
        </w:rPr>
        <w:t>Secondly, t</w:t>
      </w:r>
      <w:r w:rsidR="00DD3F39">
        <w:rPr>
          <w:rFonts w:asciiTheme="majorHAnsi" w:hAnsiTheme="majorHAnsi" w:cstheme="majorHAnsi"/>
          <w:sz w:val="22"/>
          <w:szCs w:val="22"/>
          <w:lang w:val="en-US"/>
        </w:rPr>
        <w:t>he scholar comments that, when Galen</w:t>
      </w:r>
      <w:r>
        <w:rPr>
          <w:rFonts w:asciiTheme="majorHAnsi" w:hAnsiTheme="majorHAnsi" w:cstheme="majorHAnsi"/>
          <w:sz w:val="22"/>
          <w:szCs w:val="22"/>
          <w:lang w:val="en-US"/>
        </w:rPr>
        <w:t xml:space="preserve"> describ</w:t>
      </w:r>
      <w:r w:rsidR="00DD3F39">
        <w:rPr>
          <w:rFonts w:asciiTheme="majorHAnsi" w:hAnsiTheme="majorHAnsi" w:cstheme="majorHAnsi"/>
          <w:sz w:val="22"/>
          <w:szCs w:val="22"/>
          <w:lang w:val="en-US"/>
        </w:rPr>
        <w:t>es</w:t>
      </w:r>
      <w:r>
        <w:rPr>
          <w:rFonts w:asciiTheme="majorHAnsi" w:hAnsiTheme="majorHAnsi" w:cstheme="majorHAnsi"/>
          <w:sz w:val="22"/>
          <w:szCs w:val="22"/>
          <w:lang w:val="en-US"/>
        </w:rPr>
        <w:t xml:space="preserve"> the effects of the Moon</w:t>
      </w:r>
      <w:r w:rsidR="00DD3F39">
        <w:rPr>
          <w:rFonts w:asciiTheme="majorHAnsi" w:hAnsiTheme="majorHAnsi" w:cstheme="majorHAnsi"/>
          <w:sz w:val="22"/>
          <w:szCs w:val="22"/>
          <w:lang w:val="en-US"/>
        </w:rPr>
        <w:t xml:space="preserve"> as it moves through the zodiacal belt</w:t>
      </w:r>
      <w:r>
        <w:rPr>
          <w:rFonts w:asciiTheme="majorHAnsi" w:hAnsiTheme="majorHAnsi" w:cstheme="majorHAnsi"/>
          <w:sz w:val="22"/>
          <w:szCs w:val="22"/>
          <w:lang w:val="en-US"/>
        </w:rPr>
        <w:t>,</w:t>
      </w:r>
      <w:r w:rsidR="00DD3F39">
        <w:rPr>
          <w:rFonts w:asciiTheme="majorHAnsi" w:hAnsiTheme="majorHAnsi" w:cstheme="majorHAnsi"/>
          <w:sz w:val="22"/>
          <w:szCs w:val="22"/>
          <w:lang w:val="en-US"/>
        </w:rPr>
        <w:t xml:space="preserve"> </w:t>
      </w:r>
      <w:r>
        <w:rPr>
          <w:rFonts w:asciiTheme="majorHAnsi" w:hAnsiTheme="majorHAnsi" w:cstheme="majorHAnsi"/>
          <w:sz w:val="22"/>
          <w:szCs w:val="22"/>
          <w:lang w:val="en-US"/>
        </w:rPr>
        <w:t>«</w:t>
      </w:r>
      <w:r w:rsidR="00DD3F39">
        <w:rPr>
          <w:rFonts w:asciiTheme="majorHAnsi" w:hAnsiTheme="majorHAnsi" w:cstheme="majorHAnsi"/>
          <w:sz w:val="22"/>
          <w:szCs w:val="22"/>
          <w:lang w:val="en-US"/>
        </w:rPr>
        <w:t xml:space="preserve">he </w:t>
      </w:r>
      <w:r>
        <w:rPr>
          <w:rFonts w:asciiTheme="majorHAnsi" w:hAnsiTheme="majorHAnsi" w:cstheme="majorHAnsi"/>
          <w:sz w:val="22"/>
          <w:szCs w:val="22"/>
          <w:lang w:val="en-US"/>
        </w:rPr>
        <w:t>seems oblivious to the significance placed by some astrologers on the quartile configuration</w:t>
      </w:r>
      <w:r w:rsidR="00DD3F39">
        <w:rPr>
          <w:rFonts w:asciiTheme="majorHAnsi" w:hAnsiTheme="majorHAnsi" w:cstheme="majorHAnsi"/>
          <w:sz w:val="22"/>
          <w:szCs w:val="22"/>
          <w:lang w:val="en-US"/>
        </w:rPr>
        <w:t>,</w:t>
      </w:r>
      <w:r w:rsidRPr="00731E4C">
        <w:rPr>
          <w:lang w:val="en-US"/>
        </w:rPr>
        <w:t xml:space="preserve"> </w:t>
      </w:r>
      <w:r w:rsidRPr="00731E4C">
        <w:rPr>
          <w:rFonts w:asciiTheme="majorHAnsi" w:hAnsiTheme="majorHAnsi" w:cstheme="majorHAnsi"/>
          <w:sz w:val="22"/>
          <w:szCs w:val="22"/>
          <w:lang w:val="en-US"/>
        </w:rPr>
        <w:t>namely, that it intensifies the influence of the planets in it</w:t>
      </w:r>
      <w:r>
        <w:rPr>
          <w:rFonts w:asciiTheme="majorHAnsi" w:hAnsiTheme="majorHAnsi" w:cstheme="majorHAnsi"/>
          <w:sz w:val="22"/>
          <w:szCs w:val="22"/>
          <w:lang w:val="en-US"/>
        </w:rPr>
        <w:t>»</w:t>
      </w:r>
      <w:r w:rsidR="008E40C3">
        <w:rPr>
          <w:rFonts w:asciiTheme="majorHAnsi" w:hAnsiTheme="majorHAnsi" w:cstheme="majorHAnsi"/>
          <w:sz w:val="22"/>
          <w:szCs w:val="22"/>
          <w:lang w:val="en-US"/>
        </w:rPr>
        <w:t>,</w:t>
      </w:r>
      <w:r>
        <w:rPr>
          <w:rStyle w:val="Rimandonotaapidipagina"/>
          <w:rFonts w:asciiTheme="majorHAnsi" w:hAnsiTheme="majorHAnsi" w:cstheme="majorHAnsi"/>
          <w:sz w:val="22"/>
          <w:szCs w:val="22"/>
          <w:lang w:val="en-US"/>
        </w:rPr>
        <w:footnoteReference w:id="14"/>
      </w:r>
      <w:r w:rsidR="00EC42FF">
        <w:rPr>
          <w:rFonts w:asciiTheme="majorHAnsi" w:hAnsiTheme="majorHAnsi" w:cstheme="majorHAnsi"/>
          <w:sz w:val="22"/>
          <w:szCs w:val="22"/>
          <w:lang w:val="en-US"/>
        </w:rPr>
        <w:t xml:space="preserve"> omitting the fact that</w:t>
      </w:r>
      <w:r>
        <w:rPr>
          <w:rFonts w:asciiTheme="majorHAnsi" w:hAnsiTheme="majorHAnsi" w:cstheme="majorHAnsi"/>
          <w:sz w:val="22"/>
          <w:szCs w:val="22"/>
          <w:lang w:val="en-US"/>
        </w:rPr>
        <w:t xml:space="preserve"> the ancient physician is reporting the phases of the Moon </w:t>
      </w:r>
      <w:r w:rsidRPr="00EC42FF">
        <w:rPr>
          <w:rFonts w:asciiTheme="majorHAnsi" w:hAnsiTheme="majorHAnsi" w:cstheme="majorHAnsi"/>
          <w:i/>
          <w:iCs/>
          <w:sz w:val="22"/>
          <w:szCs w:val="22"/>
          <w:lang w:val="en-US"/>
        </w:rPr>
        <w:t>triggering</w:t>
      </w:r>
      <w:r>
        <w:rPr>
          <w:rFonts w:asciiTheme="majorHAnsi" w:hAnsiTheme="majorHAnsi" w:cstheme="majorHAnsi"/>
          <w:sz w:val="22"/>
          <w:szCs w:val="22"/>
          <w:lang w:val="en-US"/>
        </w:rPr>
        <w:t xml:space="preserve"> the crises—</w:t>
      </w:r>
      <w:r w:rsidR="00EC42FF">
        <w:rPr>
          <w:rFonts w:asciiTheme="majorHAnsi" w:hAnsiTheme="majorHAnsi" w:cstheme="majorHAnsi"/>
          <w:sz w:val="22"/>
          <w:szCs w:val="22"/>
          <w:lang w:val="en-US"/>
        </w:rPr>
        <w:t>that is,</w:t>
      </w:r>
      <w:r>
        <w:rPr>
          <w:rFonts w:asciiTheme="majorHAnsi" w:hAnsiTheme="majorHAnsi" w:cstheme="majorHAnsi"/>
          <w:sz w:val="22"/>
          <w:szCs w:val="22"/>
          <w:lang w:val="en-US"/>
        </w:rPr>
        <w:t xml:space="preserve"> </w:t>
      </w:r>
      <w:r w:rsidR="00EC42FF">
        <w:rPr>
          <w:rFonts w:asciiTheme="majorHAnsi" w:hAnsiTheme="majorHAnsi" w:cstheme="majorHAnsi"/>
          <w:sz w:val="22"/>
          <w:szCs w:val="22"/>
          <w:lang w:val="en-US"/>
        </w:rPr>
        <w:t xml:space="preserve">when the moon is in </w:t>
      </w:r>
      <w:r>
        <w:rPr>
          <w:rFonts w:asciiTheme="majorHAnsi" w:hAnsiTheme="majorHAnsi" w:cstheme="majorHAnsi"/>
          <w:sz w:val="22"/>
          <w:szCs w:val="22"/>
          <w:lang w:val="en-US"/>
        </w:rPr>
        <w:t xml:space="preserve">square, or “quartile”, and </w:t>
      </w:r>
      <w:r w:rsidR="00EC42FF">
        <w:rPr>
          <w:rFonts w:asciiTheme="majorHAnsi" w:hAnsiTheme="majorHAnsi" w:cstheme="majorHAnsi"/>
          <w:sz w:val="22"/>
          <w:szCs w:val="22"/>
          <w:lang w:val="en-US"/>
        </w:rPr>
        <w:t xml:space="preserve">in </w:t>
      </w:r>
      <w:r>
        <w:rPr>
          <w:rFonts w:asciiTheme="majorHAnsi" w:hAnsiTheme="majorHAnsi" w:cstheme="majorHAnsi"/>
          <w:sz w:val="22"/>
          <w:szCs w:val="22"/>
          <w:lang w:val="en-US"/>
        </w:rPr>
        <w:t>opposition</w:t>
      </w:r>
      <w:r w:rsidR="00EC42FF">
        <w:rPr>
          <w:rFonts w:asciiTheme="majorHAnsi" w:hAnsiTheme="majorHAnsi" w:cstheme="majorHAnsi"/>
          <w:sz w:val="22"/>
          <w:szCs w:val="22"/>
          <w:lang w:val="en-US"/>
        </w:rPr>
        <w:t xml:space="preserve"> to a planet:</w:t>
      </w:r>
      <w:r>
        <w:rPr>
          <w:rFonts w:asciiTheme="majorHAnsi" w:hAnsiTheme="majorHAnsi" w:cstheme="majorHAnsi"/>
          <w:sz w:val="22"/>
          <w:szCs w:val="22"/>
          <w:lang w:val="en-US"/>
        </w:rPr>
        <w:t xml:space="preserve"> «</w:t>
      </w:r>
      <w:r w:rsidRPr="00F629B1">
        <w:rPr>
          <w:rFonts w:asciiTheme="majorHAnsi" w:hAnsiTheme="majorHAnsi" w:cstheme="majorHAnsi"/>
          <w:sz w:val="22"/>
          <w:szCs w:val="22"/>
          <w:lang w:val="en-US"/>
        </w:rPr>
        <w:t>the phases of the Moon that occur when it is a half-Moon, an</w:t>
      </w:r>
      <w:r>
        <w:rPr>
          <w:rFonts w:asciiTheme="majorHAnsi" w:hAnsiTheme="majorHAnsi" w:cstheme="majorHAnsi"/>
          <w:sz w:val="22"/>
          <w:szCs w:val="22"/>
          <w:lang w:val="en-US"/>
        </w:rPr>
        <w:t xml:space="preserve">d </w:t>
      </w:r>
      <w:r w:rsidRPr="00F629B1">
        <w:rPr>
          <w:rFonts w:asciiTheme="majorHAnsi" w:hAnsiTheme="majorHAnsi" w:cstheme="majorHAnsi"/>
          <w:sz w:val="22"/>
          <w:szCs w:val="22"/>
          <w:lang w:val="en-US"/>
        </w:rPr>
        <w:t>when it becomes full,</w:t>
      </w:r>
      <w:r>
        <w:rPr>
          <w:rFonts w:asciiTheme="majorHAnsi" w:hAnsiTheme="majorHAnsi" w:cstheme="majorHAnsi"/>
          <w:sz w:val="22"/>
          <w:szCs w:val="22"/>
          <w:lang w:val="en-US"/>
        </w:rPr>
        <w:t xml:space="preserve"> </w:t>
      </w:r>
      <w:r w:rsidRPr="00F629B1">
        <w:rPr>
          <w:rFonts w:asciiTheme="majorHAnsi" w:hAnsiTheme="majorHAnsi" w:cstheme="majorHAnsi"/>
          <w:sz w:val="22"/>
          <w:szCs w:val="22"/>
          <w:lang w:val="en-US"/>
        </w:rPr>
        <w:t>produce a change, and every swift change in the</w:t>
      </w:r>
      <w:r>
        <w:rPr>
          <w:rFonts w:asciiTheme="majorHAnsi" w:hAnsiTheme="majorHAnsi" w:cstheme="majorHAnsi"/>
          <w:sz w:val="22"/>
          <w:szCs w:val="22"/>
          <w:lang w:val="en-US"/>
        </w:rPr>
        <w:t xml:space="preserve"> </w:t>
      </w:r>
      <w:r w:rsidRPr="00F629B1">
        <w:rPr>
          <w:rFonts w:asciiTheme="majorHAnsi" w:hAnsiTheme="majorHAnsi" w:cstheme="majorHAnsi"/>
          <w:sz w:val="22"/>
          <w:szCs w:val="22"/>
          <w:lang w:val="en-US"/>
        </w:rPr>
        <w:t>motion is called a “crisis</w:t>
      </w:r>
      <w:r>
        <w:rPr>
          <w:rFonts w:asciiTheme="majorHAnsi" w:hAnsiTheme="majorHAnsi" w:cstheme="majorHAnsi"/>
          <w:sz w:val="22"/>
          <w:szCs w:val="22"/>
          <w:lang w:val="en-US"/>
        </w:rPr>
        <w:t>”».</w:t>
      </w:r>
      <w:r>
        <w:rPr>
          <w:rStyle w:val="Rimandonotaapidipagina"/>
          <w:rFonts w:asciiTheme="majorHAnsi" w:hAnsiTheme="majorHAnsi" w:cstheme="majorHAnsi"/>
          <w:sz w:val="22"/>
          <w:szCs w:val="22"/>
          <w:lang w:val="en-US"/>
        </w:rPr>
        <w:footnoteReference w:id="15"/>
      </w:r>
      <w:r>
        <w:rPr>
          <w:rFonts w:asciiTheme="majorHAnsi" w:hAnsiTheme="majorHAnsi" w:cstheme="majorHAnsi"/>
          <w:sz w:val="22"/>
          <w:szCs w:val="22"/>
          <w:lang w:val="en-US"/>
        </w:rPr>
        <w:t xml:space="preserve"> Cooper’s reference to Ptolemy – stating that «</w:t>
      </w:r>
      <w:r w:rsidRPr="00BD0271">
        <w:rPr>
          <w:rFonts w:asciiTheme="majorHAnsi" w:hAnsiTheme="majorHAnsi" w:cstheme="majorHAnsi"/>
          <w:sz w:val="22"/>
          <w:szCs w:val="22"/>
          <w:lang w:val="en-US"/>
        </w:rPr>
        <w:t xml:space="preserve">quartile and opposition are </w:t>
      </w:r>
      <w:r w:rsidRPr="00BD0271">
        <w:rPr>
          <w:rFonts w:asciiTheme="majorHAnsi" w:hAnsiTheme="majorHAnsi" w:cstheme="majorHAnsi"/>
          <w:sz w:val="22"/>
          <w:szCs w:val="22"/>
          <w:lang w:val="en-US"/>
        </w:rPr>
        <w:lastRenderedPageBreak/>
        <w:t>disharmonious because they are composed of signs of opposite kinds</w:t>
      </w:r>
      <w:r>
        <w:rPr>
          <w:rFonts w:asciiTheme="majorHAnsi" w:hAnsiTheme="majorHAnsi" w:cstheme="majorHAnsi"/>
          <w:sz w:val="22"/>
          <w:szCs w:val="22"/>
          <w:lang w:val="en-US"/>
        </w:rPr>
        <w:t>» –</w:t>
      </w:r>
      <w:r>
        <w:rPr>
          <w:rStyle w:val="Rimandonotaapidipagina"/>
          <w:rFonts w:asciiTheme="majorHAnsi" w:hAnsiTheme="majorHAnsi" w:cstheme="majorHAnsi"/>
          <w:sz w:val="22"/>
          <w:szCs w:val="22"/>
          <w:lang w:val="en-US"/>
        </w:rPr>
        <w:footnoteReference w:id="16"/>
      </w:r>
      <w:r>
        <w:rPr>
          <w:rFonts w:asciiTheme="majorHAnsi" w:hAnsiTheme="majorHAnsi" w:cstheme="majorHAnsi"/>
          <w:sz w:val="22"/>
          <w:szCs w:val="22"/>
          <w:lang w:val="en-US"/>
        </w:rPr>
        <w:t xml:space="preserve"> does not seem </w:t>
      </w:r>
      <w:r w:rsidR="00EC42FF">
        <w:rPr>
          <w:rFonts w:asciiTheme="majorHAnsi" w:hAnsiTheme="majorHAnsi" w:cstheme="majorHAnsi"/>
          <w:sz w:val="22"/>
          <w:szCs w:val="22"/>
          <w:lang w:val="en-US"/>
        </w:rPr>
        <w:t>much</w:t>
      </w:r>
      <w:r>
        <w:rPr>
          <w:rFonts w:asciiTheme="majorHAnsi" w:hAnsiTheme="majorHAnsi" w:cstheme="majorHAnsi"/>
          <w:sz w:val="22"/>
          <w:szCs w:val="22"/>
          <w:lang w:val="en-US"/>
        </w:rPr>
        <w:t xml:space="preserve"> supportive, either. </w:t>
      </w:r>
      <w:r w:rsidR="004F0A49">
        <w:rPr>
          <w:rFonts w:asciiTheme="majorHAnsi" w:hAnsiTheme="majorHAnsi" w:cstheme="majorHAnsi"/>
          <w:sz w:val="22"/>
          <w:szCs w:val="22"/>
          <w:lang w:val="en-US"/>
        </w:rPr>
        <w:t>Thus,</w:t>
      </w:r>
      <w:r>
        <w:rPr>
          <w:rFonts w:asciiTheme="majorHAnsi" w:hAnsiTheme="majorHAnsi" w:cstheme="majorHAnsi"/>
          <w:sz w:val="22"/>
          <w:szCs w:val="22"/>
          <w:lang w:val="en-US"/>
        </w:rPr>
        <w:t xml:space="preserve"> Cooper criticism appears </w:t>
      </w:r>
      <w:r w:rsidR="004F0A49">
        <w:rPr>
          <w:rFonts w:asciiTheme="majorHAnsi" w:hAnsiTheme="majorHAnsi" w:cstheme="majorHAnsi"/>
          <w:sz w:val="22"/>
          <w:szCs w:val="22"/>
          <w:lang w:val="en-US"/>
        </w:rPr>
        <w:t xml:space="preserve">here </w:t>
      </w:r>
      <w:r>
        <w:rPr>
          <w:rFonts w:asciiTheme="majorHAnsi" w:hAnsiTheme="majorHAnsi" w:cstheme="majorHAnsi"/>
          <w:sz w:val="22"/>
          <w:szCs w:val="22"/>
          <w:lang w:val="en-US"/>
        </w:rPr>
        <w:t xml:space="preserve">not </w:t>
      </w:r>
      <w:r w:rsidR="004F0A49">
        <w:rPr>
          <w:rFonts w:asciiTheme="majorHAnsi" w:hAnsiTheme="majorHAnsi" w:cstheme="majorHAnsi"/>
          <w:sz w:val="22"/>
          <w:szCs w:val="22"/>
          <w:lang w:val="en-US"/>
        </w:rPr>
        <w:t xml:space="preserve">solidly </w:t>
      </w:r>
      <w:r>
        <w:rPr>
          <w:rFonts w:asciiTheme="majorHAnsi" w:hAnsiTheme="majorHAnsi" w:cstheme="majorHAnsi"/>
          <w:sz w:val="22"/>
          <w:szCs w:val="22"/>
          <w:lang w:val="en-US"/>
        </w:rPr>
        <w:t xml:space="preserve">grounded, </w:t>
      </w:r>
      <w:r w:rsidR="004F0A49">
        <w:rPr>
          <w:rFonts w:asciiTheme="majorHAnsi" w:hAnsiTheme="majorHAnsi" w:cstheme="majorHAnsi"/>
          <w:sz w:val="22"/>
          <w:szCs w:val="22"/>
          <w:lang w:val="en-US"/>
        </w:rPr>
        <w:t xml:space="preserve">which might </w:t>
      </w:r>
      <w:r>
        <w:rPr>
          <w:rFonts w:asciiTheme="majorHAnsi" w:hAnsiTheme="majorHAnsi" w:cstheme="majorHAnsi"/>
          <w:sz w:val="22"/>
          <w:szCs w:val="22"/>
          <w:lang w:val="en-US"/>
        </w:rPr>
        <w:t>po</w:t>
      </w:r>
      <w:r w:rsidR="004F0A49">
        <w:rPr>
          <w:rFonts w:asciiTheme="majorHAnsi" w:hAnsiTheme="majorHAnsi" w:cstheme="majorHAnsi"/>
          <w:sz w:val="22"/>
          <w:szCs w:val="22"/>
          <w:lang w:val="en-US"/>
        </w:rPr>
        <w:t>se</w:t>
      </w:r>
      <w:r>
        <w:rPr>
          <w:rFonts w:asciiTheme="majorHAnsi" w:hAnsiTheme="majorHAnsi" w:cstheme="majorHAnsi"/>
          <w:sz w:val="22"/>
          <w:szCs w:val="22"/>
          <w:lang w:val="en-US"/>
        </w:rPr>
        <w:t xml:space="preserve"> the potential risk of jeopardising the credibility of the entire paper.</w:t>
      </w:r>
    </w:p>
    <w:p w14:paraId="7A8E40F3" w14:textId="38BB1B68" w:rsidR="00C01AD1" w:rsidRDefault="00A16431" w:rsidP="0083095C">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 xml:space="preserve">Roger French’s approach is rather different. His article not only explores the environment of Roger of Hereford, but gives a </w:t>
      </w:r>
      <w:r w:rsidR="005D0BB4">
        <w:rPr>
          <w:rFonts w:asciiTheme="majorHAnsi" w:hAnsiTheme="majorHAnsi" w:cstheme="majorHAnsi"/>
          <w:sz w:val="22"/>
          <w:szCs w:val="22"/>
          <w:lang w:val="en-US"/>
        </w:rPr>
        <w:t>wide</w:t>
      </w:r>
      <w:r>
        <w:rPr>
          <w:rFonts w:asciiTheme="majorHAnsi" w:hAnsiTheme="majorHAnsi" w:cstheme="majorHAnsi"/>
          <w:sz w:val="22"/>
          <w:szCs w:val="22"/>
          <w:lang w:val="en-US"/>
        </w:rPr>
        <w:t xml:space="preserve"> </w:t>
      </w:r>
      <w:r w:rsidR="005D0BB4">
        <w:rPr>
          <w:rFonts w:asciiTheme="majorHAnsi" w:hAnsiTheme="majorHAnsi" w:cstheme="majorHAnsi"/>
          <w:sz w:val="22"/>
          <w:szCs w:val="22"/>
          <w:lang w:val="en-US"/>
        </w:rPr>
        <w:t>gaze</w:t>
      </w:r>
      <w:r>
        <w:rPr>
          <w:rFonts w:asciiTheme="majorHAnsi" w:hAnsiTheme="majorHAnsi" w:cstheme="majorHAnsi"/>
          <w:sz w:val="22"/>
          <w:szCs w:val="22"/>
          <w:lang w:val="en-US"/>
        </w:rPr>
        <w:t xml:space="preserve"> of the historical and cultural context in which the English physician lived. While Cooper’s readers might have felt deprived of exact time-space coordinates, French’s informative paper provides secure footholds and reference points. As mentioned, French does divide his article in chapters, but does not create the solid framework provided by an explicit introduction and conclusion</w:t>
      </w:r>
      <w:r w:rsidR="005D0BB4">
        <w:rPr>
          <w:rFonts w:asciiTheme="majorHAnsi" w:hAnsiTheme="majorHAnsi" w:cstheme="majorHAnsi"/>
          <w:sz w:val="22"/>
          <w:szCs w:val="22"/>
          <w:lang w:val="en-US"/>
        </w:rPr>
        <w:t xml:space="preserve"> as Cooper does</w:t>
      </w:r>
      <w:r>
        <w:rPr>
          <w:rFonts w:asciiTheme="majorHAnsi" w:hAnsiTheme="majorHAnsi" w:cstheme="majorHAnsi"/>
          <w:sz w:val="22"/>
          <w:szCs w:val="22"/>
          <w:lang w:val="en-US"/>
        </w:rPr>
        <w:t xml:space="preserve">. Though, in a way that is much more indirect and subtle than Cooper’s, French begins to present the </w:t>
      </w:r>
      <w:r>
        <w:rPr>
          <w:rFonts w:asciiTheme="majorHAnsi" w:hAnsiTheme="majorHAnsi" w:cstheme="majorHAnsi"/>
          <w:i/>
          <w:iCs/>
          <w:sz w:val="22"/>
          <w:szCs w:val="22"/>
          <w:lang w:val="en-US"/>
        </w:rPr>
        <w:t>fil rouge</w:t>
      </w:r>
      <w:r>
        <w:rPr>
          <w:rFonts w:asciiTheme="majorHAnsi" w:hAnsiTheme="majorHAnsi" w:cstheme="majorHAnsi"/>
          <w:sz w:val="22"/>
          <w:szCs w:val="22"/>
          <w:lang w:val="en-US"/>
        </w:rPr>
        <w:t xml:space="preserve"> of his article right after having set the historical context: «medicine, Aristotle’s physical works, and Greek and Arabic teaching on the stars and planets were of great interest to the men of the twelfth-century» for «they had practical applications».</w:t>
      </w:r>
      <w:r>
        <w:rPr>
          <w:rStyle w:val="Rimandonotaapidipagina"/>
          <w:rFonts w:asciiTheme="majorHAnsi" w:hAnsiTheme="majorHAnsi" w:cstheme="majorHAnsi"/>
          <w:sz w:val="22"/>
          <w:szCs w:val="22"/>
          <w:lang w:val="en-US"/>
        </w:rPr>
        <w:footnoteReference w:id="17"/>
      </w:r>
      <w:r>
        <w:rPr>
          <w:rFonts w:asciiTheme="majorHAnsi" w:hAnsiTheme="majorHAnsi" w:cstheme="majorHAnsi"/>
          <w:sz w:val="22"/>
          <w:szCs w:val="22"/>
          <w:lang w:val="en-US"/>
        </w:rPr>
        <w:t xml:space="preserve"> In the last</w:t>
      </w:r>
      <w:r w:rsidR="005D0BB4">
        <w:rPr>
          <w:rFonts w:asciiTheme="majorHAnsi" w:hAnsiTheme="majorHAnsi" w:cstheme="majorHAnsi"/>
          <w:sz w:val="22"/>
          <w:szCs w:val="22"/>
          <w:lang w:val="en-US"/>
        </w:rPr>
        <w:t>, conclusive, s</w:t>
      </w:r>
      <w:r>
        <w:rPr>
          <w:rFonts w:asciiTheme="majorHAnsi" w:hAnsiTheme="majorHAnsi" w:cstheme="majorHAnsi"/>
          <w:sz w:val="22"/>
          <w:szCs w:val="22"/>
          <w:lang w:val="en-US"/>
        </w:rPr>
        <w:t xml:space="preserve">ection, entitled appropriately “Prediction and prognosis”, French still dwells on the historical narration and only in the very end draws the threads of the previous pages </w:t>
      </w:r>
      <w:r w:rsidR="008345AD">
        <w:rPr>
          <w:rFonts w:asciiTheme="majorHAnsi" w:hAnsiTheme="majorHAnsi" w:cstheme="majorHAnsi"/>
          <w:sz w:val="22"/>
          <w:szCs w:val="22"/>
          <w:lang w:val="en-US"/>
        </w:rPr>
        <w:t>al</w:t>
      </w:r>
      <w:r>
        <w:rPr>
          <w:rFonts w:asciiTheme="majorHAnsi" w:hAnsiTheme="majorHAnsi" w:cstheme="majorHAnsi"/>
          <w:sz w:val="22"/>
          <w:szCs w:val="22"/>
          <w:lang w:val="en-US"/>
        </w:rPr>
        <w:t>together: «Finally, […] what was important was the ability to for</w:t>
      </w:r>
      <w:r w:rsidR="002D3BD2">
        <w:rPr>
          <w:rFonts w:asciiTheme="majorHAnsi" w:hAnsiTheme="majorHAnsi" w:cstheme="majorHAnsi"/>
          <w:sz w:val="22"/>
          <w:szCs w:val="22"/>
          <w:lang w:val="en-US"/>
        </w:rPr>
        <w:t>e</w:t>
      </w:r>
      <w:r>
        <w:rPr>
          <w:rFonts w:asciiTheme="majorHAnsi" w:hAnsiTheme="majorHAnsi" w:cstheme="majorHAnsi"/>
          <w:sz w:val="22"/>
          <w:szCs w:val="22"/>
          <w:lang w:val="en-US"/>
        </w:rPr>
        <w:t>tell the future»,</w:t>
      </w:r>
      <w:r>
        <w:rPr>
          <w:rStyle w:val="Rimandonotaapidipagina"/>
          <w:rFonts w:asciiTheme="majorHAnsi" w:hAnsiTheme="majorHAnsi" w:cstheme="majorHAnsi"/>
          <w:sz w:val="22"/>
          <w:szCs w:val="22"/>
          <w:lang w:val="en-US"/>
        </w:rPr>
        <w:footnoteReference w:id="18"/>
      </w:r>
      <w:r>
        <w:rPr>
          <w:rFonts w:asciiTheme="majorHAnsi" w:hAnsiTheme="majorHAnsi" w:cstheme="majorHAnsi"/>
          <w:sz w:val="22"/>
          <w:szCs w:val="22"/>
          <w:lang w:val="en-US"/>
        </w:rPr>
        <w:t xml:space="preserve"> i.e. the practical utility of astrology that, together with the medical tools of prognostication</w:t>
      </w:r>
      <w:r w:rsidR="00B8367A">
        <w:rPr>
          <w:rFonts w:asciiTheme="majorHAnsi" w:hAnsiTheme="majorHAnsi" w:cstheme="majorHAnsi"/>
          <w:sz w:val="22"/>
          <w:szCs w:val="22"/>
          <w:lang w:val="en-US"/>
        </w:rPr>
        <w:t xml:space="preserve"> like the widespread urology,</w:t>
      </w:r>
      <w:r>
        <w:rPr>
          <w:rFonts w:asciiTheme="majorHAnsi" w:hAnsiTheme="majorHAnsi" w:cstheme="majorHAnsi"/>
          <w:sz w:val="22"/>
          <w:szCs w:val="22"/>
          <w:lang w:val="en-US"/>
        </w:rPr>
        <w:t xml:space="preserve"> </w:t>
      </w:r>
      <w:r w:rsidR="00C01AD1">
        <w:rPr>
          <w:rFonts w:asciiTheme="majorHAnsi" w:hAnsiTheme="majorHAnsi" w:cstheme="majorHAnsi"/>
          <w:sz w:val="22"/>
          <w:szCs w:val="22"/>
          <w:lang w:val="en-US"/>
        </w:rPr>
        <w:t xml:space="preserve">was </w:t>
      </w:r>
      <w:r>
        <w:rPr>
          <w:rFonts w:asciiTheme="majorHAnsi" w:hAnsiTheme="majorHAnsi" w:cstheme="majorHAnsi"/>
          <w:sz w:val="22"/>
          <w:szCs w:val="22"/>
          <w:lang w:val="en-US"/>
        </w:rPr>
        <w:t>regarded with interest not only by Roger of Hereford, William of England, Daniel of Morley and many other coeval physicians and scholars, but also by kings like Henri II and Eleanor of Aquitaine, or Fredrick II in Sicily:</w:t>
      </w:r>
      <w:r>
        <w:rPr>
          <w:rStyle w:val="Rimandonotaapidipagina"/>
          <w:rFonts w:asciiTheme="majorHAnsi" w:hAnsiTheme="majorHAnsi" w:cstheme="majorHAnsi"/>
          <w:sz w:val="22"/>
          <w:szCs w:val="22"/>
          <w:lang w:val="en-US"/>
        </w:rPr>
        <w:footnoteReference w:id="19"/>
      </w:r>
      <w:r>
        <w:rPr>
          <w:rFonts w:asciiTheme="majorHAnsi" w:hAnsiTheme="majorHAnsi" w:cstheme="majorHAnsi"/>
          <w:sz w:val="22"/>
          <w:szCs w:val="22"/>
          <w:lang w:val="en-US"/>
        </w:rPr>
        <w:t xml:space="preserve"> «royal patronage may have been another motive for scholars to tackle new Arabic material that furthered the art of prognostication».</w:t>
      </w:r>
      <w:r>
        <w:rPr>
          <w:rStyle w:val="Rimandonotaapidipagina"/>
          <w:rFonts w:asciiTheme="majorHAnsi" w:hAnsiTheme="majorHAnsi" w:cstheme="majorHAnsi"/>
          <w:sz w:val="22"/>
          <w:szCs w:val="22"/>
          <w:lang w:val="en-US"/>
        </w:rPr>
        <w:footnoteReference w:id="20"/>
      </w:r>
      <w:r>
        <w:rPr>
          <w:rFonts w:asciiTheme="majorHAnsi" w:hAnsiTheme="majorHAnsi" w:cstheme="majorHAnsi"/>
          <w:sz w:val="22"/>
          <w:szCs w:val="22"/>
          <w:lang w:val="en-US"/>
        </w:rPr>
        <w:t xml:space="preserve"> The purpose of </w:t>
      </w:r>
      <w:r w:rsidR="00B8367A">
        <w:rPr>
          <w:rFonts w:asciiTheme="majorHAnsi" w:hAnsiTheme="majorHAnsi" w:cstheme="majorHAnsi"/>
          <w:sz w:val="22"/>
          <w:szCs w:val="22"/>
          <w:lang w:val="en-US"/>
        </w:rPr>
        <w:t>French’s</w:t>
      </w:r>
      <w:r>
        <w:rPr>
          <w:rFonts w:asciiTheme="majorHAnsi" w:hAnsiTheme="majorHAnsi" w:cstheme="majorHAnsi"/>
          <w:sz w:val="22"/>
          <w:szCs w:val="22"/>
          <w:lang w:val="en-US"/>
        </w:rPr>
        <w:t xml:space="preserve"> paper is </w:t>
      </w:r>
      <w:r w:rsidR="0093796E">
        <w:rPr>
          <w:rFonts w:asciiTheme="majorHAnsi" w:hAnsiTheme="majorHAnsi" w:cstheme="majorHAnsi"/>
          <w:sz w:val="22"/>
          <w:szCs w:val="22"/>
          <w:lang w:val="en-US"/>
        </w:rPr>
        <w:t xml:space="preserve">just as </w:t>
      </w:r>
      <w:r>
        <w:rPr>
          <w:rFonts w:asciiTheme="majorHAnsi" w:hAnsiTheme="majorHAnsi" w:cstheme="majorHAnsi"/>
          <w:sz w:val="22"/>
          <w:szCs w:val="22"/>
          <w:lang w:val="en-US"/>
        </w:rPr>
        <w:t>clear</w:t>
      </w:r>
      <w:r w:rsidR="0093796E">
        <w:rPr>
          <w:rFonts w:asciiTheme="majorHAnsi" w:hAnsiTheme="majorHAnsi" w:cstheme="majorHAnsi"/>
          <w:sz w:val="22"/>
          <w:szCs w:val="22"/>
          <w:lang w:val="en-US"/>
        </w:rPr>
        <w:t xml:space="preserve"> as Cooper’s (though,</w:t>
      </w:r>
      <w:r>
        <w:rPr>
          <w:rFonts w:asciiTheme="majorHAnsi" w:hAnsiTheme="majorHAnsi" w:cstheme="majorHAnsi"/>
          <w:sz w:val="22"/>
          <w:szCs w:val="22"/>
          <w:lang w:val="en-US"/>
        </w:rPr>
        <w:t xml:space="preserve"> probably reflecting his personal character</w:t>
      </w:r>
      <w:r w:rsidR="0093796E">
        <w:rPr>
          <w:rFonts w:asciiTheme="majorHAnsi" w:hAnsiTheme="majorHAnsi" w:cstheme="majorHAnsi"/>
          <w:sz w:val="22"/>
          <w:szCs w:val="22"/>
          <w:lang w:val="en-US"/>
        </w:rPr>
        <w:t>,</w:t>
      </w:r>
      <w:r>
        <w:rPr>
          <w:rStyle w:val="Rimandonotaapidipagina"/>
          <w:rFonts w:asciiTheme="majorHAnsi" w:hAnsiTheme="majorHAnsi" w:cstheme="majorHAnsi"/>
          <w:sz w:val="22"/>
          <w:szCs w:val="22"/>
          <w:lang w:val="en-US"/>
        </w:rPr>
        <w:footnoteReference w:id="21"/>
      </w:r>
      <w:r>
        <w:rPr>
          <w:rFonts w:asciiTheme="majorHAnsi" w:hAnsiTheme="majorHAnsi" w:cstheme="majorHAnsi"/>
          <w:sz w:val="22"/>
          <w:szCs w:val="22"/>
          <w:lang w:val="en-US"/>
        </w:rPr>
        <w:t xml:space="preserve"> conveyed in a humble</w:t>
      </w:r>
      <w:r w:rsidR="0093796E">
        <w:rPr>
          <w:rFonts w:asciiTheme="majorHAnsi" w:hAnsiTheme="majorHAnsi" w:cstheme="majorHAnsi"/>
          <w:sz w:val="22"/>
          <w:szCs w:val="22"/>
          <w:lang w:val="en-US"/>
        </w:rPr>
        <w:t>r</w:t>
      </w:r>
      <w:r>
        <w:rPr>
          <w:rFonts w:asciiTheme="majorHAnsi" w:hAnsiTheme="majorHAnsi" w:cstheme="majorHAnsi"/>
          <w:sz w:val="22"/>
          <w:szCs w:val="22"/>
          <w:lang w:val="en-US"/>
        </w:rPr>
        <w:t>, quiet</w:t>
      </w:r>
      <w:r w:rsidR="0093796E">
        <w:rPr>
          <w:rFonts w:asciiTheme="majorHAnsi" w:hAnsiTheme="majorHAnsi" w:cstheme="majorHAnsi"/>
          <w:sz w:val="22"/>
          <w:szCs w:val="22"/>
          <w:lang w:val="en-US"/>
        </w:rPr>
        <w:t>er</w:t>
      </w:r>
      <w:r>
        <w:rPr>
          <w:rFonts w:asciiTheme="majorHAnsi" w:hAnsiTheme="majorHAnsi" w:cstheme="majorHAnsi"/>
          <w:sz w:val="22"/>
          <w:szCs w:val="22"/>
          <w:lang w:val="en-US"/>
        </w:rPr>
        <w:t xml:space="preserve"> and </w:t>
      </w:r>
      <w:r w:rsidR="0093796E">
        <w:rPr>
          <w:rFonts w:asciiTheme="majorHAnsi" w:hAnsiTheme="majorHAnsi" w:cstheme="majorHAnsi"/>
          <w:sz w:val="22"/>
          <w:szCs w:val="22"/>
          <w:lang w:val="en-US"/>
        </w:rPr>
        <w:t>copiously detailed</w:t>
      </w:r>
      <w:r>
        <w:rPr>
          <w:rFonts w:asciiTheme="majorHAnsi" w:hAnsiTheme="majorHAnsi" w:cstheme="majorHAnsi"/>
          <w:sz w:val="22"/>
          <w:szCs w:val="22"/>
          <w:lang w:val="en-US"/>
        </w:rPr>
        <w:t xml:space="preserve"> </w:t>
      </w:r>
      <w:r w:rsidR="0093796E">
        <w:rPr>
          <w:rFonts w:asciiTheme="majorHAnsi" w:hAnsiTheme="majorHAnsi" w:cstheme="majorHAnsi"/>
          <w:sz w:val="22"/>
          <w:szCs w:val="22"/>
          <w:lang w:val="en-US"/>
        </w:rPr>
        <w:t>manner</w:t>
      </w:r>
      <w:r w:rsidR="00B8367A">
        <w:rPr>
          <w:rFonts w:asciiTheme="majorHAnsi" w:hAnsiTheme="majorHAnsi" w:cstheme="majorHAnsi"/>
          <w:sz w:val="22"/>
          <w:szCs w:val="22"/>
          <w:lang w:val="en-US"/>
        </w:rPr>
        <w:t>)</w:t>
      </w:r>
      <w:r>
        <w:rPr>
          <w:rFonts w:asciiTheme="majorHAnsi" w:hAnsiTheme="majorHAnsi" w:cstheme="majorHAnsi"/>
          <w:sz w:val="22"/>
          <w:szCs w:val="22"/>
          <w:lang w:val="en-US"/>
        </w:rPr>
        <w:t xml:space="preserve">: demonstrating that astrology </w:t>
      </w:r>
      <w:r w:rsidR="00C01AD1">
        <w:rPr>
          <w:rFonts w:asciiTheme="majorHAnsi" w:hAnsiTheme="majorHAnsi" w:cstheme="majorHAnsi"/>
          <w:sz w:val="22"/>
          <w:szCs w:val="22"/>
          <w:lang w:val="en-US"/>
        </w:rPr>
        <w:t>was</w:t>
      </w:r>
      <w:r>
        <w:rPr>
          <w:rFonts w:asciiTheme="majorHAnsi" w:hAnsiTheme="majorHAnsi" w:cstheme="majorHAnsi"/>
          <w:sz w:val="22"/>
          <w:szCs w:val="22"/>
          <w:lang w:val="en-US"/>
        </w:rPr>
        <w:t xml:space="preserve"> indeed considered a very powerful and fruitful instrument</w:t>
      </w:r>
      <w:r w:rsidR="00C01AD1">
        <w:rPr>
          <w:rFonts w:asciiTheme="majorHAnsi" w:hAnsiTheme="majorHAnsi" w:cstheme="majorHAnsi"/>
          <w:sz w:val="22"/>
          <w:szCs w:val="22"/>
          <w:lang w:val="en-US"/>
        </w:rPr>
        <w:t xml:space="preserve"> by many individuals</w:t>
      </w:r>
      <w:r>
        <w:rPr>
          <w:rFonts w:asciiTheme="majorHAnsi" w:hAnsiTheme="majorHAnsi" w:cstheme="majorHAnsi"/>
          <w:sz w:val="22"/>
          <w:szCs w:val="22"/>
          <w:lang w:val="en-US"/>
        </w:rPr>
        <w:t xml:space="preserve">, not merely a rhetorical tool. French builds his argument by exploring the role of Abu Ma’shar and his </w:t>
      </w:r>
      <w:r>
        <w:rPr>
          <w:rFonts w:asciiTheme="majorHAnsi" w:hAnsiTheme="majorHAnsi" w:cstheme="majorHAnsi"/>
          <w:i/>
          <w:iCs/>
          <w:sz w:val="22"/>
          <w:szCs w:val="22"/>
          <w:lang w:val="en-US"/>
        </w:rPr>
        <w:t>Introductorium in astronomiam</w:t>
      </w:r>
      <w:r>
        <w:rPr>
          <w:rFonts w:asciiTheme="majorHAnsi" w:hAnsiTheme="majorHAnsi" w:cstheme="majorHAnsi"/>
          <w:sz w:val="22"/>
          <w:szCs w:val="22"/>
          <w:lang w:val="en-US"/>
        </w:rPr>
        <w:t xml:space="preserve"> (translated into Latin by John of Seville in 1133)</w:t>
      </w:r>
      <w:r>
        <w:rPr>
          <w:rStyle w:val="Rimandonotaapidipagina"/>
          <w:rFonts w:asciiTheme="majorHAnsi" w:hAnsiTheme="majorHAnsi" w:cstheme="majorHAnsi"/>
          <w:sz w:val="22"/>
          <w:szCs w:val="22"/>
          <w:lang w:val="en-US"/>
        </w:rPr>
        <w:footnoteReference w:id="22"/>
      </w:r>
      <w:r>
        <w:rPr>
          <w:rFonts w:asciiTheme="majorHAnsi" w:hAnsiTheme="majorHAnsi" w:cstheme="majorHAnsi"/>
          <w:sz w:val="22"/>
          <w:szCs w:val="22"/>
          <w:lang w:val="en-US"/>
        </w:rPr>
        <w:t xml:space="preserve"> in England and the tense</w:t>
      </w:r>
      <w:r w:rsidR="00C01AD1">
        <w:rPr>
          <w:rFonts w:asciiTheme="majorHAnsi" w:hAnsiTheme="majorHAnsi" w:cstheme="majorHAnsi"/>
          <w:sz w:val="22"/>
          <w:szCs w:val="22"/>
          <w:lang w:val="en-US"/>
        </w:rPr>
        <w:t xml:space="preserve"> and complicated</w:t>
      </w:r>
      <w:r>
        <w:rPr>
          <w:rFonts w:asciiTheme="majorHAnsi" w:hAnsiTheme="majorHAnsi" w:cstheme="majorHAnsi"/>
          <w:sz w:val="22"/>
          <w:szCs w:val="22"/>
          <w:lang w:val="en-US"/>
        </w:rPr>
        <w:t xml:space="preserve"> relationship between medicine and astrology, especially within the universities. Outiside academia, instead, French explains, astrologers and geomancers were numerous and could practice internal medicine as well,</w:t>
      </w:r>
      <w:r>
        <w:rPr>
          <w:rStyle w:val="Rimandonotaapidipagina"/>
          <w:rFonts w:asciiTheme="majorHAnsi" w:hAnsiTheme="majorHAnsi" w:cstheme="majorHAnsi"/>
          <w:sz w:val="22"/>
          <w:szCs w:val="22"/>
          <w:lang w:val="en-US"/>
        </w:rPr>
        <w:footnoteReference w:id="23"/>
      </w:r>
      <w:r>
        <w:rPr>
          <w:rFonts w:asciiTheme="majorHAnsi" w:hAnsiTheme="majorHAnsi" w:cstheme="majorHAnsi"/>
          <w:sz w:val="22"/>
          <w:szCs w:val="22"/>
          <w:lang w:val="en-US"/>
        </w:rPr>
        <w:t xml:space="preserve"> </w:t>
      </w:r>
      <w:r>
        <w:rPr>
          <w:rFonts w:asciiTheme="majorHAnsi" w:hAnsiTheme="majorHAnsi" w:cstheme="majorHAnsi"/>
          <w:sz w:val="22"/>
          <w:szCs w:val="22"/>
          <w:lang w:val="en-US"/>
        </w:rPr>
        <w:lastRenderedPageBreak/>
        <w:t>seduced by the possibility of for</w:t>
      </w:r>
      <w:r w:rsidR="002D3BD2">
        <w:rPr>
          <w:rFonts w:asciiTheme="majorHAnsi" w:hAnsiTheme="majorHAnsi" w:cstheme="majorHAnsi"/>
          <w:sz w:val="22"/>
          <w:szCs w:val="22"/>
          <w:lang w:val="en-US"/>
        </w:rPr>
        <w:t>e</w:t>
      </w:r>
      <w:r>
        <w:rPr>
          <w:rFonts w:asciiTheme="majorHAnsi" w:hAnsiTheme="majorHAnsi" w:cstheme="majorHAnsi"/>
          <w:sz w:val="22"/>
          <w:szCs w:val="22"/>
          <w:lang w:val="en-US"/>
        </w:rPr>
        <w:t>telling the future—Roger of Hereford was one of them. French lingers over the physician, his relationship with the school of Hereford – known to encourage the practice of astrology and geomancy – and his circle of scholars seeking ecclesiastical or royal patronage. French’s paper is very rich and dense not only due to the large amound of information provided, but also because of the well-supplied apparatus of footnotes conta</w:t>
      </w:r>
      <w:r w:rsidR="005517ED">
        <w:rPr>
          <w:rFonts w:asciiTheme="majorHAnsi" w:hAnsiTheme="majorHAnsi" w:cstheme="majorHAnsi"/>
          <w:sz w:val="22"/>
          <w:szCs w:val="22"/>
          <w:lang w:val="en-US"/>
        </w:rPr>
        <w:t>i</w:t>
      </w:r>
      <w:r>
        <w:rPr>
          <w:rFonts w:asciiTheme="majorHAnsi" w:hAnsiTheme="majorHAnsi" w:cstheme="majorHAnsi"/>
          <w:sz w:val="22"/>
          <w:szCs w:val="22"/>
          <w:lang w:val="en-US"/>
        </w:rPr>
        <w:t xml:space="preserve">ning direct quotations from the primary sources used – mainly Roger’s </w:t>
      </w:r>
      <w:r w:rsidRPr="00C52FF6">
        <w:rPr>
          <w:rFonts w:asciiTheme="majorHAnsi" w:hAnsiTheme="majorHAnsi" w:cstheme="majorHAnsi"/>
          <w:i/>
          <w:iCs/>
          <w:sz w:val="22"/>
          <w:szCs w:val="22"/>
          <w:lang w:val="en-US"/>
        </w:rPr>
        <w:t>Liber de tribus generalibus judiciis astronomie</w:t>
      </w:r>
      <w:r>
        <w:rPr>
          <w:rFonts w:asciiTheme="majorHAnsi" w:hAnsiTheme="majorHAnsi" w:cstheme="majorHAnsi"/>
          <w:sz w:val="22"/>
          <w:szCs w:val="22"/>
          <w:lang w:val="en-US"/>
        </w:rPr>
        <w:t xml:space="preserve"> and </w:t>
      </w:r>
      <w:r w:rsidRPr="00C52FF6">
        <w:rPr>
          <w:rFonts w:asciiTheme="majorHAnsi" w:hAnsiTheme="majorHAnsi" w:cstheme="majorHAnsi"/>
          <w:i/>
          <w:iCs/>
          <w:sz w:val="22"/>
          <w:szCs w:val="22"/>
          <w:lang w:val="en-US"/>
        </w:rPr>
        <w:t>De iudiciis astronomie</w:t>
      </w:r>
      <w:r>
        <w:rPr>
          <w:rFonts w:asciiTheme="majorHAnsi" w:hAnsiTheme="majorHAnsi" w:cstheme="majorHAnsi"/>
          <w:sz w:val="22"/>
          <w:szCs w:val="22"/>
          <w:lang w:val="en-US"/>
        </w:rPr>
        <w:t xml:space="preserve">, but also William of England’s </w:t>
      </w:r>
      <w:r>
        <w:rPr>
          <w:rFonts w:asciiTheme="majorHAnsi" w:hAnsiTheme="majorHAnsi" w:cstheme="majorHAnsi"/>
          <w:i/>
          <w:iCs/>
          <w:sz w:val="22"/>
          <w:szCs w:val="22"/>
          <w:lang w:val="en-US"/>
        </w:rPr>
        <w:t>De urina non visa</w:t>
      </w:r>
      <w:r>
        <w:rPr>
          <w:rFonts w:asciiTheme="majorHAnsi" w:hAnsiTheme="majorHAnsi" w:cstheme="majorHAnsi"/>
          <w:sz w:val="22"/>
          <w:szCs w:val="22"/>
          <w:lang w:val="en-US"/>
        </w:rPr>
        <w:t>. These are the the sources analysed in the last three sections, in which French returns to Roger and presents his astrology</w:t>
      </w:r>
      <w:r w:rsidRPr="007F1F5E">
        <w:rPr>
          <w:rFonts w:asciiTheme="majorHAnsi" w:hAnsiTheme="majorHAnsi" w:cstheme="majorHAnsi"/>
          <w:sz w:val="22"/>
          <w:szCs w:val="22"/>
          <w:lang w:val="en-US"/>
        </w:rPr>
        <w:t xml:space="preserve"> </w:t>
      </w:r>
      <w:r>
        <w:rPr>
          <w:rFonts w:asciiTheme="majorHAnsi" w:hAnsiTheme="majorHAnsi" w:cstheme="majorHAnsi"/>
          <w:sz w:val="22"/>
          <w:szCs w:val="22"/>
          <w:lang w:val="en-US"/>
        </w:rPr>
        <w:t>and Abu Ma’shar influence</w:t>
      </w:r>
      <w:r>
        <w:rPr>
          <w:rStyle w:val="Rimandonotaapidipagina"/>
          <w:rFonts w:asciiTheme="majorHAnsi" w:hAnsiTheme="majorHAnsi" w:cstheme="majorHAnsi"/>
          <w:sz w:val="22"/>
          <w:szCs w:val="22"/>
          <w:lang w:val="en-US"/>
        </w:rPr>
        <w:footnoteReference w:id="24"/>
      </w:r>
      <w:r>
        <w:rPr>
          <w:rFonts w:asciiTheme="majorHAnsi" w:hAnsiTheme="majorHAnsi" w:cstheme="majorHAnsi"/>
          <w:sz w:val="22"/>
          <w:szCs w:val="22"/>
          <w:lang w:val="en-US"/>
        </w:rPr>
        <w:t xml:space="preserve"> informing it. Similarly to Cooper (we can infer), French openly states to «believe in neither uroscopy nor astrology»,</w:t>
      </w:r>
      <w:r>
        <w:rPr>
          <w:rStyle w:val="Rimandonotaapidipagina"/>
          <w:rFonts w:asciiTheme="majorHAnsi" w:hAnsiTheme="majorHAnsi" w:cstheme="majorHAnsi"/>
          <w:sz w:val="22"/>
          <w:szCs w:val="22"/>
          <w:lang w:val="en-US"/>
        </w:rPr>
        <w:footnoteReference w:id="25"/>
      </w:r>
      <w:r>
        <w:rPr>
          <w:rFonts w:asciiTheme="majorHAnsi" w:hAnsiTheme="majorHAnsi" w:cstheme="majorHAnsi"/>
          <w:sz w:val="22"/>
          <w:szCs w:val="22"/>
          <w:lang w:val="en-US"/>
        </w:rPr>
        <w:t xml:space="preserve"> but his accurate account of Roger’s practice is still </w:t>
      </w:r>
      <w:r w:rsidR="00FF070B">
        <w:rPr>
          <w:rFonts w:asciiTheme="majorHAnsi" w:hAnsiTheme="majorHAnsi" w:cstheme="majorHAnsi"/>
          <w:sz w:val="22"/>
          <w:szCs w:val="22"/>
          <w:lang w:val="en-US"/>
        </w:rPr>
        <w:t xml:space="preserve">quite </w:t>
      </w:r>
      <w:r>
        <w:rPr>
          <w:rFonts w:asciiTheme="majorHAnsi" w:hAnsiTheme="majorHAnsi" w:cstheme="majorHAnsi"/>
          <w:sz w:val="22"/>
          <w:szCs w:val="22"/>
          <w:lang w:val="en-US"/>
        </w:rPr>
        <w:t>exhaustive.</w:t>
      </w:r>
      <w:r w:rsidR="00C01AD1">
        <w:rPr>
          <w:rFonts w:asciiTheme="majorHAnsi" w:hAnsiTheme="majorHAnsi" w:cstheme="majorHAnsi"/>
          <w:sz w:val="22"/>
          <w:szCs w:val="22"/>
          <w:lang w:val="en-US"/>
        </w:rPr>
        <w:t xml:space="preserve"> At the end of the paper,</w:t>
      </w:r>
      <w:r w:rsidR="002D3BD2">
        <w:rPr>
          <w:rFonts w:asciiTheme="majorHAnsi" w:hAnsiTheme="majorHAnsi" w:cstheme="majorHAnsi"/>
          <w:sz w:val="22"/>
          <w:szCs w:val="22"/>
          <w:lang w:val="en-US"/>
        </w:rPr>
        <w:t xml:space="preserve"> French adds two appendices </w:t>
      </w:r>
      <w:r w:rsidR="005269C5">
        <w:rPr>
          <w:rFonts w:asciiTheme="majorHAnsi" w:hAnsiTheme="majorHAnsi" w:cstheme="majorHAnsi"/>
          <w:sz w:val="22"/>
          <w:szCs w:val="22"/>
          <w:lang w:val="en-US"/>
        </w:rPr>
        <w:t>reporting the connections between zodiacal signs and body parts according to Roger of Hereford, and Roger’s astrological anatomy</w:t>
      </w:r>
      <w:r w:rsidR="00FF070B">
        <w:rPr>
          <w:rFonts w:asciiTheme="majorHAnsi" w:hAnsiTheme="majorHAnsi" w:cstheme="majorHAnsi"/>
          <w:sz w:val="22"/>
          <w:szCs w:val="22"/>
          <w:lang w:val="en-US"/>
        </w:rPr>
        <w:t xml:space="preserve">. The lack of a precise caption forces the reader to seek clarity within the text. Indeed, French </w:t>
      </w:r>
      <w:r w:rsidR="00C73269">
        <w:rPr>
          <w:rFonts w:asciiTheme="majorHAnsi" w:hAnsiTheme="majorHAnsi" w:cstheme="majorHAnsi"/>
          <w:sz w:val="22"/>
          <w:szCs w:val="22"/>
          <w:lang w:val="en-US"/>
        </w:rPr>
        <w:t>write</w:t>
      </w:r>
      <w:r w:rsidR="00FF070B">
        <w:rPr>
          <w:rFonts w:asciiTheme="majorHAnsi" w:hAnsiTheme="majorHAnsi" w:cstheme="majorHAnsi"/>
          <w:sz w:val="22"/>
          <w:szCs w:val="22"/>
          <w:lang w:val="en-US"/>
        </w:rPr>
        <w:t xml:space="preserve"> at length </w:t>
      </w:r>
      <w:r w:rsidR="00C73269">
        <w:rPr>
          <w:rFonts w:asciiTheme="majorHAnsi" w:hAnsiTheme="majorHAnsi" w:cstheme="majorHAnsi"/>
          <w:sz w:val="22"/>
          <w:szCs w:val="22"/>
          <w:lang w:val="en-US"/>
        </w:rPr>
        <w:t xml:space="preserve">about </w:t>
      </w:r>
      <w:r w:rsidR="00FF070B">
        <w:rPr>
          <w:rFonts w:asciiTheme="majorHAnsi" w:hAnsiTheme="majorHAnsi" w:cstheme="majorHAnsi"/>
          <w:sz w:val="22"/>
          <w:szCs w:val="22"/>
          <w:lang w:val="en-US"/>
        </w:rPr>
        <w:t>Roger’s “zodiac man”</w:t>
      </w:r>
      <w:r w:rsidR="00FF070B">
        <w:rPr>
          <w:rFonts w:asciiTheme="majorHAnsi" w:hAnsiTheme="majorHAnsi" w:cstheme="majorHAnsi"/>
          <w:sz w:val="22"/>
          <w:szCs w:val="22"/>
          <w:lang w:val="en-US"/>
        </w:rPr>
        <w:t xml:space="preserve"> and the relationship between planets and human body, but </w:t>
      </w:r>
      <w:r w:rsidR="00C73269">
        <w:rPr>
          <w:rFonts w:asciiTheme="majorHAnsi" w:hAnsiTheme="majorHAnsi" w:cstheme="majorHAnsi"/>
          <w:sz w:val="22"/>
          <w:szCs w:val="22"/>
          <w:lang w:val="en-US"/>
        </w:rPr>
        <w:t>his explanation of how these tables have been produced is not explicit.</w:t>
      </w:r>
      <w:r w:rsidR="00E826B7">
        <w:rPr>
          <w:rStyle w:val="Rimandonotaapidipagina"/>
          <w:rFonts w:asciiTheme="majorHAnsi" w:hAnsiTheme="majorHAnsi" w:cstheme="majorHAnsi"/>
          <w:sz w:val="22"/>
          <w:szCs w:val="22"/>
          <w:lang w:val="en-US"/>
        </w:rPr>
        <w:footnoteReference w:id="26"/>
      </w:r>
      <w:r w:rsidR="00C73269">
        <w:rPr>
          <w:rFonts w:asciiTheme="majorHAnsi" w:hAnsiTheme="majorHAnsi" w:cstheme="majorHAnsi"/>
          <w:sz w:val="22"/>
          <w:szCs w:val="22"/>
          <w:lang w:val="en-US"/>
        </w:rPr>
        <w:t xml:space="preserve"> He mentions that </w:t>
      </w:r>
      <w:r w:rsidR="00E826B7">
        <w:rPr>
          <w:rFonts w:asciiTheme="majorHAnsi" w:hAnsiTheme="majorHAnsi" w:cstheme="majorHAnsi"/>
          <w:sz w:val="22"/>
          <w:szCs w:val="22"/>
          <w:lang w:val="en-US"/>
        </w:rPr>
        <w:t>some of the</w:t>
      </w:r>
      <w:r w:rsidR="00C73269">
        <w:rPr>
          <w:rFonts w:asciiTheme="majorHAnsi" w:hAnsiTheme="majorHAnsi" w:cstheme="majorHAnsi"/>
          <w:sz w:val="22"/>
          <w:szCs w:val="22"/>
          <w:lang w:val="en-US"/>
        </w:rPr>
        <w:t xml:space="preserve"> correspondences </w:t>
      </w:r>
      <w:r w:rsidR="00E826B7">
        <w:rPr>
          <w:rFonts w:asciiTheme="majorHAnsi" w:hAnsiTheme="majorHAnsi" w:cstheme="majorHAnsi"/>
          <w:sz w:val="22"/>
          <w:szCs w:val="22"/>
          <w:lang w:val="en-US"/>
        </w:rPr>
        <w:t>in the second appendix can be traced back to Abu Ma’</w:t>
      </w:r>
      <w:r w:rsidR="00F95506">
        <w:rPr>
          <w:rFonts w:asciiTheme="majorHAnsi" w:hAnsiTheme="majorHAnsi" w:cstheme="majorHAnsi"/>
          <w:sz w:val="22"/>
          <w:szCs w:val="22"/>
          <w:lang w:val="en-US"/>
        </w:rPr>
        <w:t xml:space="preserve"> shar, but gives no precise references to Roger’s </w:t>
      </w:r>
      <w:r w:rsidR="00F95506">
        <w:rPr>
          <w:rFonts w:asciiTheme="majorHAnsi" w:hAnsiTheme="majorHAnsi" w:cstheme="majorHAnsi"/>
          <w:i/>
          <w:iCs/>
          <w:sz w:val="22"/>
          <w:szCs w:val="22"/>
          <w:lang w:val="en-US"/>
        </w:rPr>
        <w:t>Liber de astronomice iudicandi</w:t>
      </w:r>
      <w:r w:rsidR="00F95506">
        <w:rPr>
          <w:rFonts w:asciiTheme="majorHAnsi" w:hAnsiTheme="majorHAnsi" w:cstheme="majorHAnsi"/>
          <w:sz w:val="22"/>
          <w:szCs w:val="22"/>
          <w:lang w:val="en-US"/>
        </w:rPr>
        <w:t>, limiting himself to addressing Nicholas Whyte’s dissertation on the topic.</w:t>
      </w:r>
      <w:r w:rsidR="00F95506">
        <w:rPr>
          <w:rStyle w:val="Rimandonotaapidipagina"/>
          <w:rFonts w:asciiTheme="majorHAnsi" w:hAnsiTheme="majorHAnsi" w:cstheme="majorHAnsi"/>
          <w:sz w:val="22"/>
          <w:szCs w:val="22"/>
          <w:lang w:val="en-US"/>
        </w:rPr>
        <w:footnoteReference w:id="27"/>
      </w:r>
      <w:r w:rsidR="00FF070B">
        <w:rPr>
          <w:rFonts w:asciiTheme="majorHAnsi" w:hAnsiTheme="majorHAnsi" w:cstheme="majorHAnsi"/>
          <w:sz w:val="22"/>
          <w:szCs w:val="22"/>
          <w:lang w:val="en-US"/>
        </w:rPr>
        <w:t xml:space="preserve"> </w:t>
      </w:r>
    </w:p>
    <w:p w14:paraId="448FB553" w14:textId="7A441984" w:rsidR="000D7FFC" w:rsidRPr="00BD5ED2" w:rsidRDefault="0021003C" w:rsidP="00C01AD1">
      <w:pPr>
        <w:spacing w:line="360" w:lineRule="auto"/>
        <w:ind w:firstLine="567"/>
        <w:rPr>
          <w:rFonts w:asciiTheme="majorHAnsi" w:hAnsiTheme="majorHAnsi" w:cstheme="majorHAnsi"/>
          <w:sz w:val="22"/>
          <w:szCs w:val="22"/>
          <w:lang w:val="en-US"/>
        </w:rPr>
      </w:pPr>
      <w:r>
        <w:rPr>
          <w:rFonts w:asciiTheme="majorHAnsi" w:hAnsiTheme="majorHAnsi" w:cstheme="majorHAnsi"/>
          <w:sz w:val="22"/>
          <w:szCs w:val="22"/>
          <w:lang w:val="en-US"/>
        </w:rPr>
        <w:t>In conclusion, t</w:t>
      </w:r>
      <w:r w:rsidR="00A16431">
        <w:rPr>
          <w:rFonts w:asciiTheme="majorHAnsi" w:hAnsiTheme="majorHAnsi" w:cstheme="majorHAnsi"/>
          <w:sz w:val="22"/>
          <w:szCs w:val="22"/>
          <w:lang w:val="en-US"/>
        </w:rPr>
        <w:t>he articles in examinations are very distinct on many levels—typology, structure, language, use of sources, besides dealing with different contexts. Cooper proposes a fast-paced, “</w:t>
      </w:r>
      <w:r w:rsidR="00A16431" w:rsidRPr="0073084B">
        <w:rPr>
          <w:rFonts w:asciiTheme="majorHAnsi" w:hAnsiTheme="majorHAnsi" w:cstheme="majorHAnsi"/>
          <w:i/>
          <w:iCs/>
          <w:sz w:val="22"/>
          <w:szCs w:val="22"/>
          <w:lang w:val="en-US"/>
        </w:rPr>
        <w:t>empirical</w:t>
      </w:r>
      <w:r w:rsidR="00A16431">
        <w:rPr>
          <w:rFonts w:asciiTheme="majorHAnsi" w:hAnsiTheme="majorHAnsi" w:cstheme="majorHAnsi"/>
          <w:sz w:val="22"/>
          <w:szCs w:val="22"/>
          <w:lang w:val="en-US"/>
        </w:rPr>
        <w:t>” (as he claims) and argumentative essays, while French a slow-paced, historical, expositive essay. Both authors rely largely on primary and secondary sources, even though French provides long quotations to engage the reader directly with the matter. They are both alien and skeptic to practical astrology and yet they both bestow on astrology the alluring power of attracting the attention of wealthy patrons. Their conclusion, though, cannot be more divergent: with Cooper, Galen’s astrology is but a rhetorical tool, a sly gimmick to impress the clientele; with French, astrology and geomancy were actually believed to be able to provide the capable practitioner with the insightful gift of for</w:t>
      </w:r>
      <w:r w:rsidR="005269C5">
        <w:rPr>
          <w:rFonts w:asciiTheme="majorHAnsi" w:hAnsiTheme="majorHAnsi" w:cstheme="majorHAnsi"/>
          <w:sz w:val="22"/>
          <w:szCs w:val="22"/>
          <w:lang w:val="en-US"/>
        </w:rPr>
        <w:t>e</w:t>
      </w:r>
      <w:r w:rsidR="00A16431">
        <w:rPr>
          <w:rFonts w:asciiTheme="majorHAnsi" w:hAnsiTheme="majorHAnsi" w:cstheme="majorHAnsi"/>
          <w:sz w:val="22"/>
          <w:szCs w:val="22"/>
          <w:lang w:val="en-US"/>
        </w:rPr>
        <w:t>seeing the future.</w:t>
      </w:r>
    </w:p>
    <w:sectPr w:rsidR="000D7FFC" w:rsidRPr="00BD5ED2" w:rsidSect="00371AC0">
      <w:headerReference w:type="even" r:id="rId8"/>
      <w:headerReference w:type="default" r:id="rId9"/>
      <w:footerReference w:type="even" r:id="rId10"/>
      <w:footerReference w:type="default" r:id="rId11"/>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81522C" w14:textId="77777777" w:rsidR="00A75D02" w:rsidRDefault="00A75D02" w:rsidP="00A16431">
      <w:r>
        <w:separator/>
      </w:r>
    </w:p>
  </w:endnote>
  <w:endnote w:type="continuationSeparator" w:id="0">
    <w:p w14:paraId="465722CD" w14:textId="77777777" w:rsidR="00A75D02" w:rsidRDefault="00A75D02" w:rsidP="00A16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w:altName w:val="﷽﷽﷽﷽﷽﷽﷽﷽lle"/>
    <w:panose1 w:val="02020502070401020303"/>
    <w:charset w:val="00"/>
    <w:family w:val="roman"/>
    <w:pitch w:val="variable"/>
    <w:sig w:usb0="80000067" w:usb1="02000000"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altName w:val="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243453038"/>
      <w:docPartObj>
        <w:docPartGallery w:val="Page Numbers (Bottom of Page)"/>
        <w:docPartUnique/>
      </w:docPartObj>
    </w:sdtPr>
    <w:sdtContent>
      <w:p w14:paraId="63959F50" w14:textId="6FE38A64" w:rsidR="0069221C" w:rsidRDefault="0069221C" w:rsidP="002528FD">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104C8BA3" w14:textId="77777777" w:rsidR="0069221C" w:rsidRDefault="0069221C" w:rsidP="0069221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BD583" w14:textId="46139BE3" w:rsidR="0069221C" w:rsidRDefault="0069221C" w:rsidP="002528FD">
    <w:pPr>
      <w:pStyle w:val="Pidipagina"/>
      <w:framePr w:wrap="none" w:vAnchor="text" w:hAnchor="margin" w:xAlign="right" w:y="1"/>
      <w:rPr>
        <w:rStyle w:val="Numeropagina"/>
      </w:rPr>
    </w:pPr>
  </w:p>
  <w:p w14:paraId="010319A7" w14:textId="77777777" w:rsidR="0069221C" w:rsidRDefault="0069221C" w:rsidP="0069221C">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C2C8D" w14:textId="77777777" w:rsidR="00A75D02" w:rsidRDefault="00A75D02" w:rsidP="00A16431">
      <w:r>
        <w:separator/>
      </w:r>
    </w:p>
  </w:footnote>
  <w:footnote w:type="continuationSeparator" w:id="0">
    <w:p w14:paraId="31250633" w14:textId="77777777" w:rsidR="00A75D02" w:rsidRDefault="00A75D02" w:rsidP="00A16431">
      <w:r>
        <w:continuationSeparator/>
      </w:r>
    </w:p>
  </w:footnote>
  <w:footnote w:id="1">
    <w:p w14:paraId="79F65011"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Cooper, Glen M. ‘Galen and Astrology: A Mésalliance?’. </w:t>
      </w:r>
      <w:r w:rsidRPr="00F748DC">
        <w:rPr>
          <w:rFonts w:asciiTheme="majorHAnsi" w:hAnsiTheme="majorHAnsi" w:cstheme="majorHAnsi"/>
          <w:i/>
          <w:iCs/>
          <w:lang w:val="en-US"/>
        </w:rPr>
        <w:t>Early Science and Medicine</w:t>
      </w:r>
      <w:r w:rsidRPr="00F748DC">
        <w:rPr>
          <w:rFonts w:asciiTheme="majorHAnsi" w:hAnsiTheme="majorHAnsi" w:cstheme="majorHAnsi"/>
          <w:lang w:val="en-US"/>
        </w:rPr>
        <w:t xml:space="preserve"> 16, no. 2 (2011): 120-146.</w:t>
      </w:r>
    </w:p>
    <w:p w14:paraId="796AA4EB" w14:textId="77777777" w:rsidR="00A16431" w:rsidRPr="00F748DC" w:rsidRDefault="00A16431" w:rsidP="00A16431">
      <w:pPr>
        <w:pStyle w:val="Testonotaapidipagina"/>
        <w:rPr>
          <w:rFonts w:asciiTheme="majorHAnsi" w:hAnsiTheme="majorHAnsi" w:cstheme="majorHAnsi"/>
          <w:lang w:val="en-US"/>
        </w:rPr>
      </w:pPr>
      <w:r w:rsidRPr="00F748DC">
        <w:rPr>
          <w:rFonts w:asciiTheme="majorHAnsi" w:hAnsiTheme="majorHAnsi" w:cstheme="majorHAnsi"/>
          <w:lang w:val="en-US"/>
        </w:rPr>
        <w:t xml:space="preserve">French, R. ‘Foretelling the Future: Arabic Astrology and English Medicine in the Late Twelfth Century’. </w:t>
      </w:r>
      <w:r w:rsidRPr="00F748DC">
        <w:rPr>
          <w:rFonts w:asciiTheme="majorHAnsi" w:hAnsiTheme="majorHAnsi" w:cstheme="majorHAnsi"/>
          <w:i/>
          <w:iCs/>
          <w:lang w:val="en-US"/>
        </w:rPr>
        <w:t>Isis</w:t>
      </w:r>
      <w:r w:rsidRPr="00F748DC">
        <w:rPr>
          <w:rFonts w:asciiTheme="majorHAnsi" w:hAnsiTheme="majorHAnsi" w:cstheme="majorHAnsi"/>
          <w:lang w:val="en-US"/>
        </w:rPr>
        <w:t xml:space="preserve"> 87, no. 3 (1996): 453-480.</w:t>
      </w:r>
    </w:p>
  </w:footnote>
  <w:footnote w:id="2">
    <w:p w14:paraId="0B45B83F"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A concise description of his education can be found on the website of the Department of History and Philosophy of Science, Cambridge University:</w:t>
      </w:r>
    </w:p>
    <w:p w14:paraId="0CB9F985" w14:textId="77777777" w:rsidR="00A16431" w:rsidRPr="00F748DC" w:rsidRDefault="00A16431" w:rsidP="00A16431">
      <w:pPr>
        <w:pStyle w:val="Testonotaapidipagina"/>
        <w:rPr>
          <w:rFonts w:asciiTheme="majorHAnsi" w:hAnsiTheme="majorHAnsi" w:cstheme="majorHAnsi"/>
          <w:lang w:val="en-US"/>
        </w:rPr>
      </w:pPr>
      <w:r w:rsidRPr="00F748DC">
        <w:rPr>
          <w:rFonts w:asciiTheme="majorHAnsi" w:hAnsiTheme="majorHAnsi" w:cstheme="majorHAnsi"/>
          <w:lang w:val="en-US"/>
        </w:rPr>
        <w:t>&lt;https://www.hps.cam.ac.uk/news-events/news-archive/roger-french#:~:text=After%20completing%20a%20BA%20in,at%20the%20University%20of%20Cambridge.&gt;</w:t>
      </w:r>
    </w:p>
  </w:footnote>
  <w:footnote w:id="3">
    <w:p w14:paraId="55A6125F"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Singer, P.N., “Galen”, The Stanford Encyclopedia of Philosophy (Winter 2021 Edition), Edward N. Zalta (ed.), URL = &lt;https://plato.stanford.edu/archives/win2021/entries/galen/&gt;.</w:t>
      </w:r>
    </w:p>
  </w:footnote>
  <w:footnote w:id="4">
    <w:p w14:paraId="5F1BA30C"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Cooper, ‘Galen and Astrology’ (2011), p. 122: «He no doubt hoped thereby to increase his clientele, especially among the wealthier and more powerful Romans»; p. 133: «this poem [Aratus’ </w:t>
      </w:r>
      <w:r w:rsidRPr="00F748DC">
        <w:rPr>
          <w:rFonts w:asciiTheme="majorHAnsi" w:hAnsiTheme="majorHAnsi" w:cstheme="majorHAnsi"/>
          <w:i/>
          <w:iCs/>
          <w:lang w:val="en-US"/>
        </w:rPr>
        <w:t>Phaenomena</w:t>
      </w:r>
      <w:r w:rsidRPr="00F748DC">
        <w:rPr>
          <w:rFonts w:asciiTheme="majorHAnsi" w:hAnsiTheme="majorHAnsi" w:cstheme="majorHAnsi"/>
          <w:lang w:val="en-US"/>
        </w:rPr>
        <w:t xml:space="preserve">] represented the extent of astronomical knowledge for most educated Romans in Galen’s day». These are the only references about his environment. Still, there is no information in the article on the period Galen’s lived during the Roman Empire. </w:t>
      </w:r>
    </w:p>
  </w:footnote>
  <w:footnote w:id="5">
    <w:p w14:paraId="424AE9B6"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w:t>
      </w:r>
      <w:r w:rsidRPr="00F748DC">
        <w:rPr>
          <w:rFonts w:asciiTheme="majorHAnsi" w:hAnsiTheme="majorHAnsi" w:cstheme="majorHAnsi"/>
          <w:i/>
          <w:iCs/>
          <w:lang w:val="en-US"/>
        </w:rPr>
        <w:t>Ibidem</w:t>
      </w:r>
      <w:r w:rsidRPr="00F748DC">
        <w:rPr>
          <w:rFonts w:asciiTheme="majorHAnsi" w:hAnsiTheme="majorHAnsi" w:cstheme="majorHAnsi"/>
          <w:lang w:val="en-US"/>
        </w:rPr>
        <w:t>, p. 125.</w:t>
      </w:r>
    </w:p>
  </w:footnote>
  <w:footnote w:id="6">
    <w:p w14:paraId="4EF4C99A" w14:textId="77777777" w:rsidR="00A16431" w:rsidRPr="00F748DC" w:rsidRDefault="00A16431" w:rsidP="00A16431">
      <w:pPr>
        <w:pStyle w:val="Testonotaapidipagina"/>
        <w:rPr>
          <w:rFonts w:asciiTheme="majorHAnsi" w:hAnsiTheme="majorHAnsi" w:cstheme="majorHAnsi"/>
          <w:i/>
          <w:iCs/>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w:t>
      </w:r>
      <w:r w:rsidRPr="00F748DC">
        <w:rPr>
          <w:rFonts w:asciiTheme="majorHAnsi" w:hAnsiTheme="majorHAnsi" w:cstheme="majorHAnsi"/>
          <w:i/>
          <w:iCs/>
          <w:lang w:val="en-US"/>
        </w:rPr>
        <w:t>Ibidem</w:t>
      </w:r>
      <w:r w:rsidRPr="00F748DC">
        <w:rPr>
          <w:rFonts w:asciiTheme="majorHAnsi" w:hAnsiTheme="majorHAnsi" w:cstheme="majorHAnsi"/>
          <w:lang w:val="en-US"/>
        </w:rPr>
        <w:t>, p. 121.</w:t>
      </w:r>
    </w:p>
  </w:footnote>
  <w:footnote w:id="7">
    <w:p w14:paraId="1FE6F4A9"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w:t>
      </w:r>
      <w:r w:rsidRPr="00F748DC">
        <w:rPr>
          <w:rFonts w:asciiTheme="majorHAnsi" w:hAnsiTheme="majorHAnsi" w:cstheme="majorHAnsi"/>
          <w:i/>
          <w:iCs/>
          <w:lang w:val="en-US"/>
        </w:rPr>
        <w:t>Ibidem</w:t>
      </w:r>
      <w:r w:rsidRPr="00F748DC">
        <w:rPr>
          <w:rFonts w:asciiTheme="majorHAnsi" w:hAnsiTheme="majorHAnsi" w:cstheme="majorHAnsi"/>
          <w:lang w:val="en-US"/>
        </w:rPr>
        <w:t xml:space="preserve">, p. 122. </w:t>
      </w:r>
    </w:p>
  </w:footnote>
  <w:footnote w:id="8">
    <w:p w14:paraId="7A44B774" w14:textId="39E714A9" w:rsidR="00A16431" w:rsidRPr="00F748DC" w:rsidRDefault="00A16431" w:rsidP="00A16431">
      <w:pPr>
        <w:pStyle w:val="Testonotaapidipagina"/>
        <w:rPr>
          <w:rFonts w:asciiTheme="majorHAnsi" w:hAnsiTheme="majorHAnsi" w:cstheme="majorHAnsi"/>
          <w:i/>
          <w:iCs/>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w:t>
      </w:r>
      <w:r w:rsidR="005171C4" w:rsidRPr="00F748DC">
        <w:rPr>
          <w:rFonts w:asciiTheme="majorHAnsi" w:hAnsiTheme="majorHAnsi" w:cstheme="majorHAnsi"/>
          <w:lang w:val="en-US"/>
        </w:rPr>
        <w:t xml:space="preserve">Republished by Routledge in 2016. </w:t>
      </w:r>
      <w:r w:rsidRPr="00F748DC">
        <w:rPr>
          <w:rFonts w:asciiTheme="majorHAnsi" w:hAnsiTheme="majorHAnsi" w:cstheme="majorHAnsi"/>
          <w:lang w:val="en-US"/>
        </w:rPr>
        <w:t>Galen</w:t>
      </w:r>
      <w:r w:rsidRPr="00F748DC">
        <w:rPr>
          <w:rFonts w:asciiTheme="majorHAnsi" w:hAnsiTheme="majorHAnsi" w:cstheme="majorHAnsi"/>
          <w:i/>
          <w:iCs/>
          <w:lang w:val="en-US"/>
        </w:rPr>
        <w:t xml:space="preserve">, De diebus decretoriis, from Greek into Arabic. A Critical Edition, with Translation and Commentary, of </w:t>
      </w:r>
      <w:r w:rsidRPr="00F748DC">
        <w:rPr>
          <w:rFonts w:asciiTheme="majorHAnsi" w:hAnsiTheme="majorHAnsi" w:cstheme="majorHAnsi"/>
          <w:i/>
          <w:iCs/>
          <w:lang w:val="en-GB"/>
        </w:rPr>
        <w:t>Ḥ</w:t>
      </w:r>
      <w:r w:rsidRPr="00F748DC">
        <w:rPr>
          <w:rFonts w:asciiTheme="majorHAnsi" w:hAnsiTheme="majorHAnsi" w:cstheme="majorHAnsi"/>
          <w:i/>
          <w:iCs/>
          <w:lang w:val="en-US"/>
        </w:rPr>
        <w:t xml:space="preserve">unayn ibn Isḥāq, </w:t>
      </w:r>
      <w:r w:rsidRPr="00F748DC">
        <w:rPr>
          <w:rFonts w:asciiTheme="majorHAnsi" w:hAnsiTheme="majorHAnsi" w:cstheme="majorHAnsi"/>
          <w:lang w:val="en-US"/>
        </w:rPr>
        <w:t>Kitāb ayyām al-bu</w:t>
      </w:r>
      <w:r w:rsidRPr="00F748DC">
        <w:rPr>
          <w:rFonts w:asciiTheme="majorHAnsi" w:hAnsiTheme="majorHAnsi" w:cstheme="majorHAnsi"/>
          <w:lang w:val="en-GB"/>
        </w:rPr>
        <w:t>ḥ</w:t>
      </w:r>
      <w:r w:rsidRPr="00F748DC">
        <w:rPr>
          <w:rFonts w:asciiTheme="majorHAnsi" w:hAnsiTheme="majorHAnsi" w:cstheme="majorHAnsi"/>
          <w:lang w:val="en-US"/>
        </w:rPr>
        <w:t>rān, edited and translated by G.M. Cooper, Routledge, New York 2016</w:t>
      </w:r>
      <w:r w:rsidR="005171C4" w:rsidRPr="00F748DC">
        <w:rPr>
          <w:rFonts w:asciiTheme="majorHAnsi" w:hAnsiTheme="majorHAnsi" w:cstheme="majorHAnsi"/>
          <w:lang w:val="en-US"/>
        </w:rPr>
        <w:t xml:space="preserve"> (2011).</w:t>
      </w:r>
    </w:p>
  </w:footnote>
  <w:footnote w:id="9">
    <w:p w14:paraId="393EE8F5"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Cooper, ‘Galen and Astrology’ (2011), p. 122.</w:t>
      </w:r>
    </w:p>
  </w:footnote>
  <w:footnote w:id="10">
    <w:p w14:paraId="3D7BD6BF" w14:textId="023B4F5D"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00491587" w:rsidRPr="00F748DC">
        <w:rPr>
          <w:rFonts w:asciiTheme="majorHAnsi" w:hAnsiTheme="majorHAnsi" w:cstheme="majorHAnsi"/>
          <w:lang w:val="en-US"/>
        </w:rPr>
        <w:t xml:space="preserve"> The</w:t>
      </w:r>
      <w:r w:rsidRPr="00F748DC">
        <w:rPr>
          <w:rFonts w:asciiTheme="majorHAnsi" w:hAnsiTheme="majorHAnsi" w:cstheme="majorHAnsi"/>
          <w:lang w:val="en-US"/>
        </w:rPr>
        <w:t xml:space="preserve"> brief mention of Plato does not clarify enough Galen’s admiration for </w:t>
      </w:r>
      <w:r w:rsidR="00491587" w:rsidRPr="00F748DC">
        <w:rPr>
          <w:rFonts w:asciiTheme="majorHAnsi" w:hAnsiTheme="majorHAnsi" w:cstheme="majorHAnsi"/>
          <w:lang w:val="en-US"/>
        </w:rPr>
        <w:t>the philosopher</w:t>
      </w:r>
      <w:r w:rsidRPr="00F748DC">
        <w:rPr>
          <w:rFonts w:asciiTheme="majorHAnsi" w:hAnsiTheme="majorHAnsi" w:cstheme="majorHAnsi"/>
          <w:lang w:val="en-US"/>
        </w:rPr>
        <w:t xml:space="preserve">, as Cooper </w:t>
      </w:r>
      <w:r w:rsidR="00491587" w:rsidRPr="00F748DC">
        <w:rPr>
          <w:rFonts w:asciiTheme="majorHAnsi" w:hAnsiTheme="majorHAnsi" w:cstheme="majorHAnsi"/>
          <w:lang w:val="en-US"/>
        </w:rPr>
        <w:t>does, instead,</w:t>
      </w:r>
      <w:r w:rsidRPr="00F748DC">
        <w:rPr>
          <w:rFonts w:asciiTheme="majorHAnsi" w:hAnsiTheme="majorHAnsi" w:cstheme="majorHAnsi"/>
          <w:lang w:val="en-US"/>
        </w:rPr>
        <w:t xml:space="preserve"> in his book (p. 395, esp. n. 14), where the author explains also that Galen, an </w:t>
      </w:r>
      <w:r w:rsidRPr="00F748DC">
        <w:rPr>
          <w:rFonts w:asciiTheme="majorHAnsi" w:hAnsiTheme="majorHAnsi" w:cstheme="majorHAnsi"/>
          <w:i/>
          <w:iCs/>
          <w:lang w:val="en-US"/>
        </w:rPr>
        <w:t>a posteriori</w:t>
      </w:r>
      <w:r w:rsidRPr="00F748DC">
        <w:rPr>
          <w:rFonts w:asciiTheme="majorHAnsi" w:hAnsiTheme="majorHAnsi" w:cstheme="majorHAnsi"/>
          <w:lang w:val="en-US"/>
        </w:rPr>
        <w:t xml:space="preserve"> empiricist, refuses the Pythagorean</w:t>
      </w:r>
      <w:r w:rsidRPr="00F748DC">
        <w:rPr>
          <w:rFonts w:asciiTheme="majorHAnsi" w:hAnsiTheme="majorHAnsi" w:cstheme="majorHAnsi"/>
          <w:i/>
          <w:iCs/>
          <w:lang w:val="en-US"/>
        </w:rPr>
        <w:t xml:space="preserve"> a priori </w:t>
      </w:r>
      <w:r w:rsidRPr="00F748DC">
        <w:rPr>
          <w:rFonts w:asciiTheme="majorHAnsi" w:hAnsiTheme="majorHAnsi" w:cstheme="majorHAnsi"/>
          <w:lang w:val="en-US"/>
        </w:rPr>
        <w:t xml:space="preserve">approach, </w:t>
      </w:r>
      <w:r w:rsidR="00491587" w:rsidRPr="00F748DC">
        <w:rPr>
          <w:rFonts w:asciiTheme="majorHAnsi" w:hAnsiTheme="majorHAnsi" w:cstheme="majorHAnsi"/>
          <w:lang w:val="en-US"/>
        </w:rPr>
        <w:t>as we can see from his own words</w:t>
      </w:r>
      <w:r w:rsidRPr="00F748DC">
        <w:rPr>
          <w:rFonts w:asciiTheme="majorHAnsi" w:hAnsiTheme="majorHAnsi" w:cstheme="majorHAnsi"/>
          <w:lang w:val="en-US"/>
        </w:rPr>
        <w:t>: «now is not the time for nonsensical conversation with him [Pythagoras] who utters nonsense». Yet, Cooper accepts some “general” connections with Pythagorean thought in the notion of a universal harmony. See: Galen</w:t>
      </w:r>
      <w:r w:rsidRPr="00F748DC">
        <w:rPr>
          <w:rFonts w:asciiTheme="majorHAnsi" w:hAnsiTheme="majorHAnsi" w:cstheme="majorHAnsi"/>
          <w:i/>
          <w:iCs/>
          <w:lang w:val="en-US"/>
        </w:rPr>
        <w:t>, De diebus decretoriis</w:t>
      </w:r>
      <w:r w:rsidRPr="00F748DC">
        <w:rPr>
          <w:rFonts w:asciiTheme="majorHAnsi" w:hAnsiTheme="majorHAnsi" w:cstheme="majorHAnsi"/>
          <w:lang w:val="en-US"/>
        </w:rPr>
        <w:t xml:space="preserve"> (2016), p. 5, 32, 358 (quot.), 491 n. 136.</w:t>
      </w:r>
    </w:p>
  </w:footnote>
  <w:footnote w:id="11">
    <w:p w14:paraId="7C9DB187" w14:textId="4BC89E7E" w:rsidR="00A16431" w:rsidRPr="00F748DC" w:rsidRDefault="00A16431" w:rsidP="00AE588F">
      <w:pPr>
        <w:rPr>
          <w:rFonts w:asciiTheme="majorHAnsi" w:hAnsiTheme="majorHAnsi" w:cstheme="majorHAnsi"/>
          <w:sz w:val="20"/>
          <w:szCs w:val="20"/>
          <w:lang w:val="en-US"/>
        </w:rPr>
      </w:pPr>
      <w:r w:rsidRPr="00F748DC">
        <w:rPr>
          <w:rStyle w:val="Rimandonotaapidipagina"/>
          <w:rFonts w:asciiTheme="majorHAnsi" w:hAnsiTheme="majorHAnsi" w:cstheme="majorHAnsi"/>
          <w:sz w:val="20"/>
          <w:szCs w:val="20"/>
        </w:rPr>
        <w:footnoteRef/>
      </w:r>
      <w:r w:rsidRPr="00F748DC">
        <w:rPr>
          <w:rFonts w:asciiTheme="majorHAnsi" w:hAnsiTheme="majorHAnsi" w:cstheme="majorHAnsi"/>
          <w:sz w:val="20"/>
          <w:szCs w:val="20"/>
          <w:lang w:val="en-US"/>
        </w:rPr>
        <w:t xml:space="preserve"> Cooper relies on Barton, T., </w:t>
      </w:r>
      <w:r w:rsidRPr="00F748DC">
        <w:rPr>
          <w:rFonts w:asciiTheme="majorHAnsi" w:hAnsiTheme="majorHAnsi" w:cstheme="majorHAnsi"/>
          <w:i/>
          <w:iCs/>
          <w:sz w:val="20"/>
          <w:szCs w:val="20"/>
          <w:lang w:val="en-US"/>
        </w:rPr>
        <w:t>Power and Knowledge.</w:t>
      </w:r>
      <w:r w:rsidRPr="00F748DC">
        <w:rPr>
          <w:rFonts w:asciiTheme="majorHAnsi" w:hAnsiTheme="majorHAnsi" w:cstheme="majorHAnsi"/>
          <w:sz w:val="20"/>
          <w:szCs w:val="20"/>
          <w:lang w:val="en-US"/>
        </w:rPr>
        <w:t xml:space="preserve"> </w:t>
      </w:r>
      <w:r w:rsidRPr="00F748DC">
        <w:rPr>
          <w:rFonts w:asciiTheme="majorHAnsi" w:hAnsiTheme="majorHAnsi" w:cstheme="majorHAnsi"/>
          <w:i/>
          <w:iCs/>
          <w:sz w:val="20"/>
          <w:szCs w:val="20"/>
          <w:lang w:val="en-US"/>
        </w:rPr>
        <w:t>Astronomy, Physiognomics, and Medicine under the Roman Empire</w:t>
      </w:r>
      <w:r w:rsidRPr="00F748DC">
        <w:rPr>
          <w:rFonts w:asciiTheme="majorHAnsi" w:hAnsiTheme="majorHAnsi" w:cstheme="majorHAnsi"/>
          <w:sz w:val="20"/>
          <w:szCs w:val="20"/>
          <w:lang w:val="en-US"/>
        </w:rPr>
        <w:t xml:space="preserve">, Ann Arbor: University of Michigan Press (1994), pp. 135 and following. See also Gleason, M.W., review of </w:t>
      </w:r>
      <w:r w:rsidRPr="00F748DC">
        <w:rPr>
          <w:rFonts w:asciiTheme="majorHAnsi" w:hAnsiTheme="majorHAnsi" w:cstheme="majorHAnsi"/>
          <w:i/>
          <w:iCs/>
          <w:sz w:val="20"/>
          <w:szCs w:val="20"/>
          <w:lang w:val="en-US"/>
        </w:rPr>
        <w:t>Power and Knowledge: Astronomy, Physiognomics, and Medicine under the Roman Empire</w:t>
      </w:r>
      <w:r w:rsidRPr="00F748DC">
        <w:rPr>
          <w:rFonts w:asciiTheme="majorHAnsi" w:hAnsiTheme="majorHAnsi" w:cstheme="majorHAnsi"/>
          <w:sz w:val="20"/>
          <w:szCs w:val="20"/>
          <w:lang w:val="en-US"/>
        </w:rPr>
        <w:t xml:space="preserve"> by Tamsyn S. Barton, </w:t>
      </w:r>
      <w:r w:rsidRPr="00F748DC">
        <w:rPr>
          <w:rFonts w:asciiTheme="majorHAnsi" w:hAnsiTheme="majorHAnsi" w:cstheme="majorHAnsi"/>
          <w:i/>
          <w:iCs/>
          <w:sz w:val="20"/>
          <w:szCs w:val="20"/>
          <w:lang w:val="en-US"/>
        </w:rPr>
        <w:t>Classical Philology</w:t>
      </w:r>
      <w:r w:rsidRPr="00F748DC">
        <w:rPr>
          <w:rFonts w:asciiTheme="majorHAnsi" w:hAnsiTheme="majorHAnsi" w:cstheme="majorHAnsi"/>
          <w:sz w:val="20"/>
          <w:szCs w:val="20"/>
          <w:lang w:val="en-US"/>
        </w:rPr>
        <w:t xml:space="preserve">, 91(2) (1996): 191-196. «Why is it that debts to superstar Italian theorists are discussed </w:t>
      </w:r>
      <w:r w:rsidRPr="00F748DC">
        <w:rPr>
          <w:rFonts w:asciiTheme="majorHAnsi" w:hAnsiTheme="majorHAnsi" w:cstheme="majorHAnsi"/>
          <w:i/>
          <w:iCs/>
          <w:sz w:val="20"/>
          <w:szCs w:val="20"/>
          <w:lang w:val="en-US"/>
        </w:rPr>
        <w:t>ad nauseam</w:t>
      </w:r>
      <w:r w:rsidRPr="00F748DC">
        <w:rPr>
          <w:rFonts w:asciiTheme="majorHAnsi" w:hAnsiTheme="majorHAnsi" w:cstheme="majorHAnsi"/>
          <w:sz w:val="20"/>
          <w:szCs w:val="20"/>
          <w:lang w:val="en-US"/>
        </w:rPr>
        <w:t xml:space="preserve"> in the text, but the work of ordinary Italian classicists is not even adequately acknowledged in the notes?», </w:t>
      </w:r>
      <w:r w:rsidRPr="00F748DC">
        <w:rPr>
          <w:rFonts w:asciiTheme="majorHAnsi" w:hAnsiTheme="majorHAnsi" w:cstheme="majorHAnsi"/>
          <w:i/>
          <w:iCs/>
          <w:sz w:val="20"/>
          <w:szCs w:val="20"/>
          <w:lang w:val="en-US"/>
        </w:rPr>
        <w:t>ibidem</w:t>
      </w:r>
      <w:r w:rsidRPr="00F748DC">
        <w:rPr>
          <w:rFonts w:asciiTheme="majorHAnsi" w:hAnsiTheme="majorHAnsi" w:cstheme="majorHAnsi"/>
          <w:sz w:val="20"/>
          <w:szCs w:val="20"/>
          <w:lang w:val="en-US"/>
        </w:rPr>
        <w:t>, p. 195. This criticism applies to Cooper as well. Maud Gleason (</w:t>
      </w:r>
      <w:r w:rsidRPr="00F748DC">
        <w:rPr>
          <w:rFonts w:asciiTheme="majorHAnsi" w:eastAsia="Times New Roman" w:hAnsiTheme="majorHAnsi" w:cstheme="majorHAnsi"/>
          <w:sz w:val="20"/>
          <w:szCs w:val="20"/>
          <w:lang w:val="en-US" w:eastAsia="it-IT"/>
        </w:rPr>
        <w:t>Stanford University) takes a strong stand in her review of Tamsyn Barton’s book, expressing both lack of a proper historical context and «theory-overload» that might «annoy some readers and dazzle others» (p. 193). Probably the same reaction could arise in Cooper’s readers.</w:t>
      </w:r>
    </w:p>
  </w:footnote>
  <w:footnote w:id="12">
    <w:p w14:paraId="48B07224" w14:textId="77777777" w:rsidR="00A16431" w:rsidRPr="00F748DC" w:rsidRDefault="00A16431" w:rsidP="00A16431">
      <w:pPr>
        <w:pStyle w:val="Testonotaapidipagina"/>
        <w:rPr>
          <w:rFonts w:asciiTheme="majorHAnsi" w:hAnsiTheme="majorHAnsi" w:cstheme="majorHAnsi"/>
        </w:rPr>
      </w:pPr>
      <w:r w:rsidRPr="00F748DC">
        <w:rPr>
          <w:rStyle w:val="Rimandonotaapidipagina"/>
          <w:rFonts w:asciiTheme="majorHAnsi" w:hAnsiTheme="majorHAnsi" w:cstheme="majorHAnsi"/>
        </w:rPr>
        <w:footnoteRef/>
      </w:r>
      <w:r w:rsidRPr="00F748DC">
        <w:rPr>
          <w:rFonts w:asciiTheme="majorHAnsi" w:hAnsiTheme="majorHAnsi" w:cstheme="majorHAnsi"/>
        </w:rPr>
        <w:t xml:space="preserve"> Kühn, C.G., </w:t>
      </w:r>
      <w:r w:rsidRPr="00F748DC">
        <w:rPr>
          <w:rFonts w:asciiTheme="majorHAnsi" w:hAnsiTheme="majorHAnsi" w:cstheme="majorHAnsi"/>
          <w:i/>
          <w:iCs/>
        </w:rPr>
        <w:t>Claudii Galeni opera omnia</w:t>
      </w:r>
      <w:r w:rsidRPr="00F748DC">
        <w:rPr>
          <w:rFonts w:asciiTheme="majorHAnsi" w:hAnsiTheme="majorHAnsi" w:cstheme="majorHAnsi"/>
        </w:rPr>
        <w:t>, Hildesheim, Leipzig 1825.</w:t>
      </w:r>
    </w:p>
  </w:footnote>
  <w:footnote w:id="13">
    <w:p w14:paraId="3417B0B6" w14:textId="0BEEA29E" w:rsidR="00A16431" w:rsidRPr="00F748DC" w:rsidRDefault="00A16431" w:rsidP="00AE588F">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«Throughout this article, I refer to this treatise with the following shorthand: for example, K.9.843.2 refers to Kühn’s Galen edition, (volume 9), page 843, line 2»</w:t>
      </w:r>
      <w:r w:rsidR="00AE588F" w:rsidRPr="00F748DC">
        <w:rPr>
          <w:rFonts w:asciiTheme="majorHAnsi" w:hAnsiTheme="majorHAnsi" w:cstheme="majorHAnsi"/>
          <w:lang w:val="en-US"/>
        </w:rPr>
        <w:t>,</w:t>
      </w:r>
      <w:r w:rsidRPr="00F748DC">
        <w:rPr>
          <w:rFonts w:asciiTheme="majorHAnsi" w:hAnsiTheme="majorHAnsi" w:cstheme="majorHAnsi"/>
          <w:lang w:val="en-US"/>
        </w:rPr>
        <w:t xml:space="preserve"> Cooper, G.M., ‘Number, Prognosis, and Healing: Galen on Medical Theory’, </w:t>
      </w:r>
      <w:r w:rsidRPr="00F748DC">
        <w:rPr>
          <w:rFonts w:asciiTheme="majorHAnsi" w:hAnsiTheme="majorHAnsi" w:cstheme="majorHAnsi"/>
          <w:i/>
          <w:iCs/>
          <w:lang w:val="en-US"/>
        </w:rPr>
        <w:t>Journal of the Washington Academy of Sciences</w:t>
      </w:r>
      <w:r w:rsidRPr="00F748DC">
        <w:rPr>
          <w:rFonts w:asciiTheme="majorHAnsi" w:hAnsiTheme="majorHAnsi" w:cstheme="majorHAnsi"/>
          <w:lang w:val="en-US"/>
        </w:rPr>
        <w:t xml:space="preserve"> 90, no. 2 (Summer 2004): pp. 45-60, see n. 4, p. 58</w:t>
      </w:r>
      <w:r w:rsidR="00AE588F" w:rsidRPr="00F748DC">
        <w:rPr>
          <w:rFonts w:asciiTheme="majorHAnsi" w:hAnsiTheme="majorHAnsi" w:cstheme="majorHAnsi"/>
          <w:lang w:val="en-US"/>
        </w:rPr>
        <w:t>; «</w:t>
      </w:r>
      <w:r w:rsidR="00AE588F" w:rsidRPr="00F748DC">
        <w:rPr>
          <w:rFonts w:asciiTheme="majorHAnsi" w:hAnsiTheme="majorHAnsi" w:cstheme="majorHAnsi"/>
          <w:lang w:val="en-US"/>
        </w:rPr>
        <w:t xml:space="preserve">References with “K” that omit a volume number refer to Galen, </w:t>
      </w:r>
      <w:r w:rsidR="00AE588F" w:rsidRPr="00F748DC">
        <w:rPr>
          <w:rFonts w:asciiTheme="majorHAnsi" w:hAnsiTheme="majorHAnsi" w:cstheme="majorHAnsi"/>
          <w:i/>
          <w:iCs/>
          <w:lang w:val="en-US"/>
        </w:rPr>
        <w:t>De diebus</w:t>
      </w:r>
      <w:r w:rsidR="00AE588F" w:rsidRPr="00F748DC">
        <w:rPr>
          <w:rFonts w:asciiTheme="majorHAnsi" w:hAnsiTheme="majorHAnsi" w:cstheme="majorHAnsi"/>
          <w:i/>
          <w:iCs/>
          <w:lang w:val="en-US"/>
        </w:rPr>
        <w:t xml:space="preserve"> </w:t>
      </w:r>
      <w:r w:rsidR="00AE588F" w:rsidRPr="00F748DC">
        <w:rPr>
          <w:rFonts w:asciiTheme="majorHAnsi" w:hAnsiTheme="majorHAnsi" w:cstheme="majorHAnsi"/>
          <w:i/>
          <w:iCs/>
          <w:lang w:val="en-US"/>
        </w:rPr>
        <w:t>decretoriis</w:t>
      </w:r>
      <w:r w:rsidR="00AE588F" w:rsidRPr="00F748DC">
        <w:rPr>
          <w:rFonts w:asciiTheme="majorHAnsi" w:hAnsiTheme="majorHAnsi" w:cstheme="majorHAnsi"/>
          <w:lang w:val="en-US"/>
        </w:rPr>
        <w:t>, ed. Kühn 1825. E.g. “K 917.4” means: Kühn, vol. 9, p. 917, line</w:t>
      </w:r>
      <w:r w:rsidR="00AE588F" w:rsidRPr="00F748DC">
        <w:rPr>
          <w:rFonts w:asciiTheme="majorHAnsi" w:hAnsiTheme="majorHAnsi" w:cstheme="majorHAnsi"/>
          <w:lang w:val="en-US"/>
        </w:rPr>
        <w:t xml:space="preserve"> </w:t>
      </w:r>
      <w:r w:rsidR="00AE588F" w:rsidRPr="00F748DC">
        <w:rPr>
          <w:rFonts w:asciiTheme="majorHAnsi" w:hAnsiTheme="majorHAnsi" w:cstheme="majorHAnsi"/>
          <w:lang w:val="en-US"/>
        </w:rPr>
        <w:t>4</w:t>
      </w:r>
      <w:r w:rsidR="00AE588F" w:rsidRPr="00F748DC">
        <w:rPr>
          <w:rFonts w:asciiTheme="majorHAnsi" w:hAnsiTheme="majorHAnsi" w:cstheme="majorHAnsi"/>
          <w:lang w:val="en-US"/>
        </w:rPr>
        <w:t xml:space="preserve">», </w:t>
      </w:r>
      <w:r w:rsidR="00AE588F" w:rsidRPr="00F748DC">
        <w:rPr>
          <w:rFonts w:asciiTheme="majorHAnsi" w:hAnsiTheme="majorHAnsi" w:cstheme="majorHAnsi"/>
          <w:lang w:val="en-US"/>
        </w:rPr>
        <w:t>Galen</w:t>
      </w:r>
      <w:r w:rsidR="00AE588F" w:rsidRPr="00F748DC">
        <w:rPr>
          <w:rFonts w:asciiTheme="majorHAnsi" w:hAnsiTheme="majorHAnsi" w:cstheme="majorHAnsi"/>
          <w:i/>
          <w:iCs/>
          <w:lang w:val="en-US"/>
        </w:rPr>
        <w:t>, De diebus decretoriis</w:t>
      </w:r>
      <w:r w:rsidR="00AE588F" w:rsidRPr="00F748DC">
        <w:rPr>
          <w:rFonts w:asciiTheme="majorHAnsi" w:hAnsiTheme="majorHAnsi" w:cstheme="majorHAnsi"/>
          <w:lang w:val="en-US"/>
        </w:rPr>
        <w:t xml:space="preserve"> (2016), p.</w:t>
      </w:r>
      <w:r w:rsidR="00AE588F" w:rsidRPr="00F748DC">
        <w:rPr>
          <w:rFonts w:asciiTheme="majorHAnsi" w:hAnsiTheme="majorHAnsi" w:cstheme="majorHAnsi"/>
          <w:lang w:val="en-US"/>
        </w:rPr>
        <w:t xml:space="preserve"> xvi.</w:t>
      </w:r>
    </w:p>
  </w:footnote>
  <w:footnote w:id="14">
    <w:p w14:paraId="0BE30399"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Cooper, ‘Galen and Astrology’ (2011), p. 130.</w:t>
      </w:r>
    </w:p>
  </w:footnote>
  <w:footnote w:id="15">
    <w:p w14:paraId="1F0DB104"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Galen</w:t>
      </w:r>
      <w:r w:rsidRPr="00F748DC">
        <w:rPr>
          <w:rFonts w:asciiTheme="majorHAnsi" w:hAnsiTheme="majorHAnsi" w:cstheme="majorHAnsi"/>
          <w:i/>
          <w:iCs/>
          <w:lang w:val="en-US"/>
        </w:rPr>
        <w:t>, De diebus decretoriis</w:t>
      </w:r>
      <w:r w:rsidRPr="00F748DC">
        <w:rPr>
          <w:rFonts w:asciiTheme="majorHAnsi" w:hAnsiTheme="majorHAnsi" w:cstheme="majorHAnsi"/>
          <w:lang w:val="en-US"/>
        </w:rPr>
        <w:t xml:space="preserve"> (2016), p. 336.</w:t>
      </w:r>
    </w:p>
  </w:footnote>
  <w:footnote w:id="16">
    <w:p w14:paraId="6B4CB546" w14:textId="7A8180D0" w:rsidR="00A16431" w:rsidRPr="00F748DC" w:rsidRDefault="00A16431" w:rsidP="00A16431">
      <w:pPr>
        <w:rPr>
          <w:rFonts w:asciiTheme="majorHAnsi" w:eastAsia="Times New Roman" w:hAnsiTheme="majorHAnsi" w:cstheme="majorHAnsi"/>
          <w:sz w:val="20"/>
          <w:szCs w:val="20"/>
          <w:lang w:val="en-US" w:eastAsia="it-IT"/>
        </w:rPr>
      </w:pPr>
      <w:r w:rsidRPr="00F748DC">
        <w:rPr>
          <w:rStyle w:val="Rimandonotaapidipagina"/>
          <w:rFonts w:asciiTheme="majorHAnsi" w:hAnsiTheme="majorHAnsi" w:cstheme="majorHAnsi"/>
          <w:sz w:val="20"/>
          <w:szCs w:val="20"/>
        </w:rPr>
        <w:footnoteRef/>
      </w:r>
      <w:r w:rsidRPr="00F748DC">
        <w:rPr>
          <w:rFonts w:asciiTheme="majorHAnsi" w:hAnsiTheme="majorHAnsi" w:cstheme="majorHAnsi"/>
          <w:sz w:val="20"/>
          <w:szCs w:val="20"/>
          <w:lang w:val="en-US"/>
        </w:rPr>
        <w:t xml:space="preserve"> «ἀσύμφωνοι δὲ οἱ τετράγωνοι καὶ οἱ κατὰ διάμετρον διότι κατὰ ἀντίθεσιν τῶν ὁμογενῶν τὴν σύστασιν λαμβάνουσιν». Ptolemy, </w:t>
      </w:r>
      <w:r w:rsidRPr="00F748DC">
        <w:rPr>
          <w:rFonts w:asciiTheme="majorHAnsi" w:hAnsiTheme="majorHAnsi" w:cstheme="majorHAnsi"/>
          <w:i/>
          <w:iCs/>
          <w:sz w:val="20"/>
          <w:szCs w:val="20"/>
          <w:lang w:val="en-US"/>
        </w:rPr>
        <w:t>Tetrabiblos</w:t>
      </w:r>
      <w:r w:rsidRPr="00F748DC">
        <w:rPr>
          <w:rFonts w:asciiTheme="majorHAnsi" w:hAnsiTheme="majorHAnsi" w:cstheme="majorHAnsi"/>
          <w:sz w:val="20"/>
          <w:szCs w:val="20"/>
          <w:lang w:val="en-US"/>
        </w:rPr>
        <w:t>,</w:t>
      </w:r>
      <w:r w:rsidR="00FF3A37" w:rsidRPr="00F748DC">
        <w:rPr>
          <w:rFonts w:asciiTheme="majorHAnsi" w:hAnsiTheme="majorHAnsi" w:cstheme="majorHAnsi"/>
          <w:sz w:val="20"/>
          <w:szCs w:val="20"/>
          <w:lang w:val="en-US"/>
        </w:rPr>
        <w:t xml:space="preserve"> </w:t>
      </w:r>
      <w:r w:rsidRPr="00F748DC">
        <w:rPr>
          <w:rFonts w:asciiTheme="majorHAnsi" w:hAnsiTheme="majorHAnsi" w:cstheme="majorHAnsi"/>
          <w:sz w:val="20"/>
          <w:szCs w:val="20"/>
          <w:lang w:val="en-US"/>
        </w:rPr>
        <w:t>I. 13</w:t>
      </w:r>
      <w:r w:rsidR="00BC5B9D" w:rsidRPr="00F748DC">
        <w:rPr>
          <w:rFonts w:asciiTheme="majorHAnsi" w:hAnsiTheme="majorHAnsi" w:cstheme="majorHAnsi"/>
          <w:sz w:val="20"/>
          <w:szCs w:val="20"/>
          <w:lang w:val="en-US"/>
        </w:rPr>
        <w:t xml:space="preserve">, in </w:t>
      </w:r>
      <w:r w:rsidR="00FE13A6" w:rsidRPr="00F748DC">
        <w:rPr>
          <w:rFonts w:asciiTheme="majorHAnsi" w:hAnsiTheme="majorHAnsi" w:cstheme="majorHAnsi"/>
          <w:sz w:val="20"/>
          <w:szCs w:val="20"/>
          <w:lang w:val="en-US"/>
        </w:rPr>
        <w:t>Manetho, tr</w:t>
      </w:r>
      <w:r w:rsidR="00FE13A6" w:rsidRPr="00F748DC">
        <w:rPr>
          <w:rFonts w:asciiTheme="majorHAnsi" w:hAnsiTheme="majorHAnsi" w:cstheme="majorHAnsi"/>
          <w:sz w:val="20"/>
          <w:szCs w:val="20"/>
          <w:lang w:val="en-US"/>
        </w:rPr>
        <w:t>.</w:t>
      </w:r>
      <w:r w:rsidR="00FE13A6" w:rsidRPr="00F748DC">
        <w:rPr>
          <w:rFonts w:asciiTheme="majorHAnsi" w:hAnsiTheme="majorHAnsi" w:cstheme="majorHAnsi"/>
          <w:sz w:val="20"/>
          <w:szCs w:val="20"/>
          <w:lang w:val="en-US"/>
        </w:rPr>
        <w:t xml:space="preserve"> by W.G. Waddell; Ptolemy, </w:t>
      </w:r>
      <w:r w:rsidR="00FE13A6" w:rsidRPr="00F748DC">
        <w:rPr>
          <w:rFonts w:asciiTheme="majorHAnsi" w:hAnsiTheme="majorHAnsi" w:cstheme="majorHAnsi"/>
          <w:i/>
          <w:iCs/>
          <w:sz w:val="20"/>
          <w:szCs w:val="20"/>
          <w:lang w:val="en-US"/>
        </w:rPr>
        <w:t>Tetrabiblos</w:t>
      </w:r>
      <w:r w:rsidR="00FE13A6" w:rsidRPr="00F748DC">
        <w:rPr>
          <w:rFonts w:asciiTheme="majorHAnsi" w:hAnsiTheme="majorHAnsi" w:cstheme="majorHAnsi"/>
          <w:sz w:val="20"/>
          <w:szCs w:val="20"/>
          <w:lang w:val="en-US"/>
        </w:rPr>
        <w:t>, e</w:t>
      </w:r>
      <w:r w:rsidR="00FE13A6" w:rsidRPr="00F748DC">
        <w:rPr>
          <w:rFonts w:asciiTheme="majorHAnsi" w:hAnsiTheme="majorHAnsi" w:cstheme="majorHAnsi"/>
          <w:sz w:val="20"/>
          <w:szCs w:val="20"/>
          <w:lang w:val="en-US"/>
        </w:rPr>
        <w:t>d.</w:t>
      </w:r>
      <w:r w:rsidR="00FE13A6" w:rsidRPr="00F748DC">
        <w:rPr>
          <w:rFonts w:asciiTheme="majorHAnsi" w:hAnsiTheme="majorHAnsi" w:cstheme="majorHAnsi"/>
          <w:sz w:val="20"/>
          <w:szCs w:val="20"/>
          <w:lang w:val="en-US"/>
        </w:rPr>
        <w:t xml:space="preserve"> and tr</w:t>
      </w:r>
      <w:r w:rsidR="00FE13A6" w:rsidRPr="00F748DC">
        <w:rPr>
          <w:rFonts w:asciiTheme="majorHAnsi" w:hAnsiTheme="majorHAnsi" w:cstheme="majorHAnsi"/>
          <w:sz w:val="20"/>
          <w:szCs w:val="20"/>
          <w:lang w:val="en-US"/>
        </w:rPr>
        <w:t>.</w:t>
      </w:r>
      <w:r w:rsidR="00FE13A6" w:rsidRPr="00F748DC">
        <w:rPr>
          <w:rFonts w:asciiTheme="majorHAnsi" w:hAnsiTheme="majorHAnsi" w:cstheme="majorHAnsi"/>
          <w:sz w:val="20"/>
          <w:szCs w:val="20"/>
          <w:lang w:val="en-US"/>
        </w:rPr>
        <w:t xml:space="preserve"> by F.E. Robbins</w:t>
      </w:r>
      <w:r w:rsidR="00FE13A6" w:rsidRPr="00F748DC">
        <w:rPr>
          <w:rFonts w:asciiTheme="majorHAnsi" w:hAnsiTheme="majorHAnsi" w:cstheme="majorHAnsi"/>
          <w:sz w:val="20"/>
          <w:szCs w:val="20"/>
          <w:lang w:val="en-US"/>
        </w:rPr>
        <w:t>, Loeb Classical Library, Heinemann, London 1964,</w:t>
      </w:r>
      <w:r w:rsidR="00BC5B9D" w:rsidRPr="00F748DC">
        <w:rPr>
          <w:rFonts w:asciiTheme="majorHAnsi" w:hAnsiTheme="majorHAnsi" w:cstheme="majorHAnsi"/>
          <w:sz w:val="20"/>
          <w:szCs w:val="20"/>
          <w:lang w:val="en-US"/>
        </w:rPr>
        <w:t xml:space="preserve"> p</w:t>
      </w:r>
      <w:r w:rsidR="000C127D" w:rsidRPr="00F748DC">
        <w:rPr>
          <w:rFonts w:asciiTheme="majorHAnsi" w:hAnsiTheme="majorHAnsi" w:cstheme="majorHAnsi"/>
          <w:sz w:val="20"/>
          <w:szCs w:val="20"/>
          <w:lang w:val="en-US"/>
        </w:rPr>
        <w:t>p</w:t>
      </w:r>
      <w:r w:rsidR="00BC5B9D" w:rsidRPr="00F748DC">
        <w:rPr>
          <w:rFonts w:asciiTheme="majorHAnsi" w:hAnsiTheme="majorHAnsi" w:cstheme="majorHAnsi"/>
          <w:sz w:val="20"/>
          <w:szCs w:val="20"/>
          <w:lang w:val="en-US"/>
        </w:rPr>
        <w:t>. 74-75.</w:t>
      </w:r>
    </w:p>
  </w:footnote>
  <w:footnote w:id="17">
    <w:p w14:paraId="78D341ED"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French, ‘Foretelling the Future’ (1996), p. 454.</w:t>
      </w:r>
    </w:p>
  </w:footnote>
  <w:footnote w:id="18">
    <w:p w14:paraId="5B9518E8"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w:t>
      </w:r>
      <w:r w:rsidRPr="00F748DC">
        <w:rPr>
          <w:rFonts w:asciiTheme="majorHAnsi" w:hAnsiTheme="majorHAnsi" w:cstheme="majorHAnsi"/>
          <w:i/>
          <w:iCs/>
          <w:lang w:val="en-US"/>
        </w:rPr>
        <w:t>Ibidem</w:t>
      </w:r>
      <w:r w:rsidRPr="00F748DC">
        <w:rPr>
          <w:rFonts w:asciiTheme="majorHAnsi" w:hAnsiTheme="majorHAnsi" w:cstheme="majorHAnsi"/>
          <w:lang w:val="en-US"/>
        </w:rPr>
        <w:t>, p. 479.</w:t>
      </w:r>
    </w:p>
  </w:footnote>
  <w:footnote w:id="19">
    <w:p w14:paraId="01E96735"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The Emperor Frederick II’s personal astrologer was Michael Scot. Campion, N., </w:t>
      </w:r>
      <w:r w:rsidRPr="00F748DC">
        <w:rPr>
          <w:rFonts w:asciiTheme="majorHAnsi" w:hAnsiTheme="majorHAnsi" w:cstheme="majorHAnsi"/>
          <w:i/>
          <w:iCs/>
          <w:lang w:val="en-US"/>
        </w:rPr>
        <w:t>A History of Western Astrology. The Medieval and Modern Worlds</w:t>
      </w:r>
      <w:r w:rsidRPr="00F748DC">
        <w:rPr>
          <w:rFonts w:asciiTheme="majorHAnsi" w:hAnsiTheme="majorHAnsi" w:cstheme="majorHAnsi"/>
          <w:lang w:val="en-US"/>
        </w:rPr>
        <w:t>, v. II,  Bloomsbury Publishing, London 2009, p. 54.</w:t>
      </w:r>
    </w:p>
  </w:footnote>
  <w:footnote w:id="20">
    <w:p w14:paraId="72291772"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w:t>
      </w:r>
      <w:r w:rsidRPr="00F748DC">
        <w:rPr>
          <w:rFonts w:asciiTheme="majorHAnsi" w:hAnsiTheme="majorHAnsi" w:cstheme="majorHAnsi"/>
          <w:i/>
          <w:iCs/>
          <w:lang w:val="en-US"/>
        </w:rPr>
        <w:t>Ibidem</w:t>
      </w:r>
      <w:r w:rsidRPr="00F748DC">
        <w:rPr>
          <w:rFonts w:asciiTheme="majorHAnsi" w:hAnsiTheme="majorHAnsi" w:cstheme="majorHAnsi"/>
          <w:lang w:val="en-US"/>
        </w:rPr>
        <w:t xml:space="preserve">, p. 463. </w:t>
      </w:r>
    </w:p>
  </w:footnote>
  <w:footnote w:id="21">
    <w:p w14:paraId="2D755D4A"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A private person, with a relaxed and humble approach, French «avoided all the internal politics of the academic profession, which were never of interest to him». Cunningham, A. ‘Roger French (12 April 1938 – 14 May 2002)’, </w:t>
      </w:r>
      <w:r w:rsidRPr="00F748DC">
        <w:rPr>
          <w:rFonts w:asciiTheme="majorHAnsi" w:hAnsiTheme="majorHAnsi" w:cstheme="majorHAnsi"/>
          <w:i/>
          <w:iCs/>
          <w:lang w:val="en-US"/>
        </w:rPr>
        <w:t>Medical History</w:t>
      </w:r>
      <w:r w:rsidRPr="00F748DC">
        <w:rPr>
          <w:rFonts w:asciiTheme="majorHAnsi" w:hAnsiTheme="majorHAnsi" w:cstheme="majorHAnsi"/>
          <w:lang w:val="en-US"/>
        </w:rPr>
        <w:t>, 46.4, Cambridge University Press (2002): 580-582.</w:t>
      </w:r>
    </w:p>
  </w:footnote>
  <w:footnote w:id="22">
    <w:p w14:paraId="0A88A771"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Burnett, C, Pingree, D., Yamamoto, K. (Eds.), </w:t>
      </w:r>
      <w:r w:rsidRPr="00F748DC">
        <w:rPr>
          <w:rFonts w:asciiTheme="majorHAnsi" w:hAnsiTheme="majorHAnsi" w:cstheme="majorHAnsi"/>
          <w:i/>
          <w:iCs/>
          <w:lang w:val="en-US"/>
        </w:rPr>
        <w:t>The Great Introduction to Astrology by Abū Maʿšar</w:t>
      </w:r>
      <w:r w:rsidRPr="00F748DC">
        <w:rPr>
          <w:rFonts w:asciiTheme="majorHAnsi" w:hAnsiTheme="majorHAnsi" w:cstheme="majorHAnsi"/>
          <w:lang w:val="en-US"/>
        </w:rPr>
        <w:t xml:space="preserve">, I, Brill, Leiden 2019, p. 5: «When Latin scholars began to be interested in Arabic astrology, it was Abū Maʿšar’s texts that they chose. Adelard of Bath found a copy of his </w:t>
      </w:r>
      <w:r w:rsidRPr="00F748DC">
        <w:rPr>
          <w:rFonts w:asciiTheme="majorHAnsi" w:hAnsiTheme="majorHAnsi" w:cstheme="majorHAnsi"/>
          <w:i/>
          <w:iCs/>
          <w:lang w:val="en-US"/>
        </w:rPr>
        <w:t>Abbreviation of the Introduction to Astrology</w:t>
      </w:r>
      <w:r w:rsidRPr="00F748DC">
        <w:rPr>
          <w:rFonts w:asciiTheme="majorHAnsi" w:hAnsiTheme="majorHAnsi" w:cstheme="majorHAnsi"/>
          <w:lang w:val="en-US"/>
        </w:rPr>
        <w:t xml:space="preserve"> […] and translated it, probably in the 1120s».</w:t>
      </w:r>
    </w:p>
  </w:footnote>
  <w:footnote w:id="23">
    <w:p w14:paraId="378C5F6F"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French does not forget to stress how the two disciplines were, in fact, clearly distinguished. Frederick II had a personal astrologer, but, we can read, recognised the royal licenses only to medical men properly trained at university. See McVaugh, M., </w:t>
      </w:r>
      <w:r w:rsidRPr="00F748DC">
        <w:rPr>
          <w:rFonts w:asciiTheme="majorHAnsi" w:hAnsiTheme="majorHAnsi" w:cstheme="majorHAnsi"/>
          <w:i/>
          <w:iCs/>
          <w:lang w:val="en-US"/>
        </w:rPr>
        <w:t>Medicine Before the Plague</w:t>
      </w:r>
      <w:r w:rsidRPr="00F748DC">
        <w:rPr>
          <w:rFonts w:asciiTheme="majorHAnsi" w:hAnsiTheme="majorHAnsi" w:cstheme="majorHAnsi"/>
          <w:lang w:val="en-US"/>
        </w:rPr>
        <w:t>, Cambridge University Press, Cambridge 1993, p. 69 reported by French, ‘Foretelling the Future’ (1996), p. 457 (esp. n. 11).</w:t>
      </w:r>
    </w:p>
  </w:footnote>
  <w:footnote w:id="24">
    <w:p w14:paraId="1F3606CF"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Despite the English translation of the Minor Introduction (or Abbreviation) was published in 1994, the English version oh his Great Introduction was published only in 2019 and, therefore, is not directly quoted by French. See: Abu Ma‘šar, </w:t>
      </w:r>
      <w:r w:rsidRPr="00F748DC">
        <w:rPr>
          <w:rFonts w:asciiTheme="majorHAnsi" w:hAnsiTheme="majorHAnsi" w:cstheme="majorHAnsi"/>
          <w:i/>
          <w:iCs/>
          <w:lang w:val="en-US"/>
        </w:rPr>
        <w:t>The Abbreviation of the Introduction to Astrology</w:t>
      </w:r>
      <w:r w:rsidRPr="00F748DC">
        <w:rPr>
          <w:rFonts w:asciiTheme="majorHAnsi" w:hAnsiTheme="majorHAnsi" w:cstheme="majorHAnsi"/>
          <w:lang w:val="en-US"/>
        </w:rPr>
        <w:t xml:space="preserve">. </w:t>
      </w:r>
      <w:r w:rsidRPr="00F748DC">
        <w:rPr>
          <w:rFonts w:asciiTheme="majorHAnsi" w:hAnsiTheme="majorHAnsi" w:cstheme="majorHAnsi"/>
          <w:i/>
          <w:iCs/>
          <w:lang w:val="en-US"/>
        </w:rPr>
        <w:t>Together with the Medieval Latin Translation of Adelard of Bath</w:t>
      </w:r>
      <w:r w:rsidRPr="00F748DC">
        <w:rPr>
          <w:rFonts w:asciiTheme="majorHAnsi" w:hAnsiTheme="majorHAnsi" w:cstheme="majorHAnsi"/>
          <w:lang w:val="en-US"/>
        </w:rPr>
        <w:t>, ed. and trans. by C. Burnett, K. Yamamoto, M. Yano, Brill, Leiden 2004, and French, ‘Foretelling the Future’ (1996), p. 456, n. 7.</w:t>
      </w:r>
    </w:p>
  </w:footnote>
  <w:footnote w:id="25">
    <w:p w14:paraId="76AFF2BC" w14:textId="77777777" w:rsidR="00A16431" w:rsidRPr="00F748DC" w:rsidRDefault="00A16431" w:rsidP="00A16431">
      <w:pPr>
        <w:pStyle w:val="Testonotaapidipagina"/>
        <w:rPr>
          <w:rFonts w:asciiTheme="majorHAnsi" w:hAnsiTheme="majorHAnsi" w:cstheme="majorHAnsi"/>
          <w:lang w:val="en-US"/>
        </w:rPr>
      </w:pPr>
      <w:r w:rsidRPr="00F748DC">
        <w:rPr>
          <w:rStyle w:val="Rimandonotaapidipagina"/>
          <w:rFonts w:asciiTheme="majorHAnsi" w:hAnsiTheme="majorHAnsi" w:cstheme="majorHAnsi"/>
        </w:rPr>
        <w:footnoteRef/>
      </w:r>
      <w:r w:rsidRPr="00F748DC">
        <w:rPr>
          <w:rFonts w:asciiTheme="majorHAnsi" w:hAnsiTheme="majorHAnsi" w:cstheme="majorHAnsi"/>
          <w:lang w:val="en-US"/>
        </w:rPr>
        <w:t xml:space="preserve"> French, ‘Foretelling the Future’ (1996), p. 476. He certainly does not practice geomancy as well. See </w:t>
      </w:r>
      <w:r w:rsidRPr="00F748DC">
        <w:rPr>
          <w:rFonts w:asciiTheme="majorHAnsi" w:hAnsiTheme="majorHAnsi" w:cstheme="majorHAnsi"/>
          <w:i/>
          <w:iCs/>
          <w:lang w:val="en-US"/>
        </w:rPr>
        <w:t>ibidem</w:t>
      </w:r>
      <w:r w:rsidRPr="00F748DC">
        <w:rPr>
          <w:rFonts w:asciiTheme="majorHAnsi" w:hAnsiTheme="majorHAnsi" w:cstheme="majorHAnsi"/>
          <w:lang w:val="en-US"/>
        </w:rPr>
        <w:t>, p. 461 (esp. n. 24).</w:t>
      </w:r>
    </w:p>
  </w:footnote>
  <w:footnote w:id="26">
    <w:p w14:paraId="04B02451" w14:textId="08BAED26" w:rsidR="00E826B7" w:rsidRPr="00F748DC" w:rsidRDefault="00E826B7" w:rsidP="00F95506">
      <w:pPr>
        <w:pStyle w:val="Testonotaapidipagina"/>
        <w:rPr>
          <w:rFonts w:asciiTheme="majorHAnsi" w:hAnsiTheme="majorHAnsi" w:cstheme="majorHAnsi"/>
        </w:rPr>
      </w:pPr>
      <w:r w:rsidRPr="00F748DC">
        <w:rPr>
          <w:rStyle w:val="Rimandonotaapidipagina"/>
          <w:rFonts w:asciiTheme="majorHAnsi" w:hAnsiTheme="majorHAnsi" w:cstheme="majorHAnsi"/>
        </w:rPr>
        <w:footnoteRef/>
      </w:r>
      <w:r w:rsidRPr="00F748DC">
        <w:rPr>
          <w:rFonts w:asciiTheme="majorHAnsi" w:hAnsiTheme="majorHAnsi" w:cstheme="majorHAnsi"/>
        </w:rPr>
        <w:t xml:space="preserve"> </w:t>
      </w:r>
      <w:r w:rsidRPr="00F748DC">
        <w:rPr>
          <w:rFonts w:asciiTheme="majorHAnsi" w:hAnsiTheme="majorHAnsi" w:cstheme="majorHAnsi"/>
          <w:i/>
          <w:iCs/>
        </w:rPr>
        <w:t>Ibidem</w:t>
      </w:r>
      <w:r w:rsidRPr="00F748DC">
        <w:rPr>
          <w:rFonts w:asciiTheme="majorHAnsi" w:hAnsiTheme="majorHAnsi" w:cstheme="majorHAnsi"/>
        </w:rPr>
        <w:t>, p. 470.</w:t>
      </w:r>
    </w:p>
  </w:footnote>
  <w:footnote w:id="27">
    <w:p w14:paraId="74887F12" w14:textId="52EDE622" w:rsidR="00F95506" w:rsidRPr="00F748DC" w:rsidRDefault="00F95506" w:rsidP="00F748DC">
      <w:pPr>
        <w:jc w:val="left"/>
        <w:rPr>
          <w:rFonts w:asciiTheme="majorHAnsi" w:hAnsiTheme="majorHAnsi" w:cstheme="majorHAnsi"/>
          <w:sz w:val="20"/>
          <w:szCs w:val="20"/>
          <w:lang w:val="en-US"/>
        </w:rPr>
      </w:pPr>
      <w:r w:rsidRPr="00F748DC">
        <w:rPr>
          <w:rStyle w:val="Rimandonotaapidipagina"/>
          <w:rFonts w:asciiTheme="majorHAnsi" w:hAnsiTheme="majorHAnsi" w:cstheme="majorHAnsi"/>
          <w:sz w:val="20"/>
          <w:szCs w:val="20"/>
        </w:rPr>
        <w:footnoteRef/>
      </w:r>
      <w:r w:rsidRPr="00F748DC">
        <w:rPr>
          <w:rFonts w:asciiTheme="majorHAnsi" w:hAnsiTheme="majorHAnsi" w:cstheme="majorHAnsi"/>
          <w:sz w:val="20"/>
          <w:szCs w:val="20"/>
          <w:lang w:val="en-US"/>
        </w:rPr>
        <w:t xml:space="preserve"> </w:t>
      </w:r>
      <w:r w:rsidRPr="00F748DC">
        <w:rPr>
          <w:rFonts w:asciiTheme="majorHAnsi" w:hAnsiTheme="majorHAnsi" w:cstheme="majorHAnsi"/>
          <w:i/>
          <w:iCs/>
          <w:sz w:val="20"/>
          <w:szCs w:val="20"/>
          <w:lang w:val="en-US"/>
        </w:rPr>
        <w:t>Ibidem</w:t>
      </w:r>
      <w:r w:rsidRPr="00F748DC">
        <w:rPr>
          <w:rFonts w:asciiTheme="majorHAnsi" w:hAnsiTheme="majorHAnsi" w:cstheme="majorHAnsi"/>
          <w:sz w:val="20"/>
          <w:szCs w:val="20"/>
          <w:lang w:val="en-US"/>
        </w:rPr>
        <w:t xml:space="preserve">, n. 57. Whyte proposes that the two texts </w:t>
      </w:r>
      <w:r w:rsidRPr="00F748DC">
        <w:rPr>
          <w:rFonts w:asciiTheme="majorHAnsi" w:hAnsiTheme="majorHAnsi" w:cstheme="majorHAnsi"/>
          <w:i/>
          <w:iCs/>
          <w:sz w:val="20"/>
          <w:szCs w:val="20"/>
          <w:lang w:val="en-US"/>
        </w:rPr>
        <w:t>Liber de tribus generalibus judiciis astronomie</w:t>
      </w:r>
      <w:r w:rsidRPr="00F748DC">
        <w:rPr>
          <w:rFonts w:asciiTheme="majorHAnsi" w:hAnsiTheme="majorHAnsi" w:cstheme="majorHAnsi"/>
          <w:sz w:val="20"/>
          <w:szCs w:val="20"/>
          <w:lang w:val="en-US"/>
        </w:rPr>
        <w:t xml:space="preserve"> and </w:t>
      </w:r>
      <w:r w:rsidRPr="00F748DC">
        <w:rPr>
          <w:rFonts w:asciiTheme="majorHAnsi" w:hAnsiTheme="majorHAnsi" w:cstheme="majorHAnsi"/>
          <w:i/>
          <w:iCs/>
          <w:sz w:val="20"/>
          <w:szCs w:val="20"/>
          <w:lang w:val="en-US"/>
        </w:rPr>
        <w:t>De iudiciis astronomie</w:t>
      </w:r>
      <w:r w:rsidRPr="00F748DC">
        <w:rPr>
          <w:rFonts w:asciiTheme="majorHAnsi" w:hAnsiTheme="majorHAnsi" w:cstheme="majorHAnsi"/>
          <w:sz w:val="20"/>
          <w:szCs w:val="20"/>
          <w:lang w:val="en-US"/>
        </w:rPr>
        <w:t xml:space="preserve"> might be part of a single text</w:t>
      </w:r>
      <w:r w:rsidR="002908D7" w:rsidRPr="00F748DC">
        <w:rPr>
          <w:rFonts w:asciiTheme="majorHAnsi" w:hAnsiTheme="majorHAnsi" w:cstheme="majorHAnsi"/>
          <w:sz w:val="20"/>
          <w:szCs w:val="20"/>
          <w:lang w:val="en-US"/>
        </w:rPr>
        <w:t xml:space="preserve">. See: N. Whyte, </w:t>
      </w:r>
      <w:r w:rsidR="002908D7" w:rsidRPr="00F748DC">
        <w:rPr>
          <w:rFonts w:asciiTheme="majorHAnsi" w:hAnsiTheme="majorHAnsi" w:cstheme="majorHAnsi"/>
          <w:i/>
          <w:iCs/>
          <w:sz w:val="20"/>
          <w:szCs w:val="20"/>
          <w:lang w:val="en-US"/>
        </w:rPr>
        <w:t>Roger of Hereford's Liber de astronomice iudicandi: A Twelfth-Century Astro</w:t>
      </w:r>
      <w:r w:rsidR="002908D7" w:rsidRPr="00F748DC">
        <w:rPr>
          <w:rFonts w:asciiTheme="majorHAnsi" w:hAnsiTheme="majorHAnsi" w:cstheme="majorHAnsi"/>
          <w:i/>
          <w:iCs/>
          <w:sz w:val="20"/>
          <w:szCs w:val="20"/>
          <w:lang w:val="en-US"/>
        </w:rPr>
        <w:t>loger’s Manual</w:t>
      </w:r>
      <w:r w:rsidR="002908D7" w:rsidRPr="00F748DC">
        <w:rPr>
          <w:rFonts w:asciiTheme="majorHAnsi" w:hAnsiTheme="majorHAnsi" w:cstheme="majorHAnsi"/>
          <w:sz w:val="20"/>
          <w:szCs w:val="20"/>
          <w:lang w:val="en-US"/>
        </w:rPr>
        <w:t xml:space="preserve">, </w:t>
      </w:r>
      <w:r w:rsidR="002908D7" w:rsidRPr="00F748DC">
        <w:rPr>
          <w:rFonts w:asciiTheme="majorHAnsi" w:hAnsiTheme="majorHAnsi" w:cstheme="majorHAnsi"/>
          <w:sz w:val="20"/>
          <w:szCs w:val="20"/>
          <w:lang w:val="en-US"/>
        </w:rPr>
        <w:t>M.Phil. diss., Univ. Cambridg</w:t>
      </w:r>
      <w:r w:rsidR="002908D7" w:rsidRPr="00F748DC">
        <w:rPr>
          <w:rFonts w:asciiTheme="majorHAnsi" w:hAnsiTheme="majorHAnsi" w:cstheme="majorHAnsi"/>
          <w:sz w:val="20"/>
          <w:szCs w:val="20"/>
          <w:lang w:val="en-US"/>
        </w:rPr>
        <w:t>e, 1991, chapter ‘</w:t>
      </w:r>
      <w:r w:rsidR="002908D7" w:rsidRPr="00F748DC">
        <w:rPr>
          <w:rFonts w:asciiTheme="majorHAnsi" w:hAnsiTheme="majorHAnsi" w:cstheme="majorHAnsi"/>
          <w:sz w:val="20"/>
          <w:szCs w:val="20"/>
          <w:lang w:val="en-US"/>
        </w:rPr>
        <w:t>The Book of Astronomical Judgements</w:t>
      </w:r>
      <w:r w:rsidR="002908D7" w:rsidRPr="00F748DC">
        <w:rPr>
          <w:rFonts w:asciiTheme="majorHAnsi" w:hAnsiTheme="majorHAnsi" w:cstheme="majorHAnsi"/>
          <w:sz w:val="20"/>
          <w:szCs w:val="20"/>
          <w:lang w:val="en-US"/>
        </w:rPr>
        <w:t>’. Consulted online: &lt;</w:t>
      </w:r>
      <w:r w:rsidR="002908D7" w:rsidRPr="00F748DC">
        <w:rPr>
          <w:rFonts w:asciiTheme="majorHAnsi" w:hAnsiTheme="majorHAnsi" w:cstheme="majorHAnsi"/>
          <w:sz w:val="20"/>
          <w:szCs w:val="20"/>
          <w:lang w:val="en-US"/>
        </w:rPr>
        <w:t>https://nicholaswhyte.info/roger.htm</w:t>
      </w:r>
      <w:r w:rsidR="002908D7" w:rsidRPr="00F748DC">
        <w:rPr>
          <w:rFonts w:asciiTheme="majorHAnsi" w:hAnsiTheme="majorHAnsi" w:cstheme="majorHAnsi"/>
          <w:sz w:val="20"/>
          <w:szCs w:val="20"/>
          <w:lang w:val="en-US"/>
        </w:rPr>
        <w: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2002156527"/>
      <w:docPartObj>
        <w:docPartGallery w:val="Page Numbers (Top of Page)"/>
        <w:docPartUnique/>
      </w:docPartObj>
    </w:sdtPr>
    <w:sdtContent>
      <w:p w14:paraId="4D6B4BC1" w14:textId="234F7E43" w:rsidR="00830C91" w:rsidRDefault="00830C91" w:rsidP="002528FD">
        <w:pPr>
          <w:pStyle w:val="Intestazione"/>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61542DA1" w14:textId="77777777" w:rsidR="00830C91" w:rsidRDefault="00830C91" w:rsidP="00830C91">
    <w:pPr>
      <w:pStyle w:val="Intestazio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1254974162"/>
      <w:docPartObj>
        <w:docPartGallery w:val="Page Numbers (Top of Page)"/>
        <w:docPartUnique/>
      </w:docPartObj>
    </w:sdtPr>
    <w:sdtContent>
      <w:p w14:paraId="76D90088" w14:textId="21D05427" w:rsidR="00830C91" w:rsidRDefault="00830C91" w:rsidP="002528FD">
        <w:pPr>
          <w:pStyle w:val="Intestazione"/>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1BD162B4" w14:textId="57F7CB19" w:rsidR="00830C91" w:rsidRDefault="00830C91" w:rsidP="00830C91">
    <w:pPr>
      <w:pStyle w:val="Intestazione"/>
      <w:ind w:right="360"/>
    </w:pPr>
    <w:r>
      <w:t>Francesca Croce 2317231</w:t>
    </w: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431"/>
    <w:rsid w:val="0000685E"/>
    <w:rsid w:val="00012986"/>
    <w:rsid w:val="00021A12"/>
    <w:rsid w:val="00032B71"/>
    <w:rsid w:val="00050D69"/>
    <w:rsid w:val="00052A3D"/>
    <w:rsid w:val="00055D00"/>
    <w:rsid w:val="00057443"/>
    <w:rsid w:val="00060DF9"/>
    <w:rsid w:val="00064737"/>
    <w:rsid w:val="0006547E"/>
    <w:rsid w:val="00071E44"/>
    <w:rsid w:val="00085DAC"/>
    <w:rsid w:val="0008720C"/>
    <w:rsid w:val="00094B32"/>
    <w:rsid w:val="000C127D"/>
    <w:rsid w:val="000C304B"/>
    <w:rsid w:val="000D1600"/>
    <w:rsid w:val="000D7FFC"/>
    <w:rsid w:val="000E04B7"/>
    <w:rsid w:val="0010570C"/>
    <w:rsid w:val="00112B4C"/>
    <w:rsid w:val="00112F57"/>
    <w:rsid w:val="00127282"/>
    <w:rsid w:val="00131C84"/>
    <w:rsid w:val="00140C76"/>
    <w:rsid w:val="001444C0"/>
    <w:rsid w:val="00163470"/>
    <w:rsid w:val="001636A3"/>
    <w:rsid w:val="00173A30"/>
    <w:rsid w:val="001756E1"/>
    <w:rsid w:val="0019199E"/>
    <w:rsid w:val="00193234"/>
    <w:rsid w:val="001A1EBE"/>
    <w:rsid w:val="001A2C48"/>
    <w:rsid w:val="001D5ADF"/>
    <w:rsid w:val="001E263F"/>
    <w:rsid w:val="001E4C59"/>
    <w:rsid w:val="001E7394"/>
    <w:rsid w:val="001F0949"/>
    <w:rsid w:val="002069B0"/>
    <w:rsid w:val="00207801"/>
    <w:rsid w:val="00207BD7"/>
    <w:rsid w:val="0021003C"/>
    <w:rsid w:val="002202DE"/>
    <w:rsid w:val="00233996"/>
    <w:rsid w:val="0023434B"/>
    <w:rsid w:val="002352C0"/>
    <w:rsid w:val="00235F5D"/>
    <w:rsid w:val="00251F7A"/>
    <w:rsid w:val="00253A25"/>
    <w:rsid w:val="00262CE9"/>
    <w:rsid w:val="00263551"/>
    <w:rsid w:val="002635E0"/>
    <w:rsid w:val="002745E4"/>
    <w:rsid w:val="002757CE"/>
    <w:rsid w:val="00287594"/>
    <w:rsid w:val="002908D7"/>
    <w:rsid w:val="00292630"/>
    <w:rsid w:val="00293333"/>
    <w:rsid w:val="002960A3"/>
    <w:rsid w:val="00296B81"/>
    <w:rsid w:val="002A063E"/>
    <w:rsid w:val="002A3069"/>
    <w:rsid w:val="002A505A"/>
    <w:rsid w:val="002B039B"/>
    <w:rsid w:val="002B29A1"/>
    <w:rsid w:val="002B6DAD"/>
    <w:rsid w:val="002C186A"/>
    <w:rsid w:val="002C2E44"/>
    <w:rsid w:val="002D0AC4"/>
    <w:rsid w:val="002D3BD2"/>
    <w:rsid w:val="002E02DF"/>
    <w:rsid w:val="002E06B6"/>
    <w:rsid w:val="002E458F"/>
    <w:rsid w:val="002E64F5"/>
    <w:rsid w:val="002F1329"/>
    <w:rsid w:val="002F2FCB"/>
    <w:rsid w:val="003044ED"/>
    <w:rsid w:val="00306896"/>
    <w:rsid w:val="00307527"/>
    <w:rsid w:val="003133D3"/>
    <w:rsid w:val="00313B00"/>
    <w:rsid w:val="00324418"/>
    <w:rsid w:val="0032464D"/>
    <w:rsid w:val="00331A1D"/>
    <w:rsid w:val="003415E7"/>
    <w:rsid w:val="00346520"/>
    <w:rsid w:val="0035641E"/>
    <w:rsid w:val="00360584"/>
    <w:rsid w:val="00363968"/>
    <w:rsid w:val="00371AC0"/>
    <w:rsid w:val="003720BB"/>
    <w:rsid w:val="00375662"/>
    <w:rsid w:val="00380AA8"/>
    <w:rsid w:val="0038697A"/>
    <w:rsid w:val="0039362D"/>
    <w:rsid w:val="00393E48"/>
    <w:rsid w:val="003A46D9"/>
    <w:rsid w:val="003A6DF3"/>
    <w:rsid w:val="003B1567"/>
    <w:rsid w:val="003B3B34"/>
    <w:rsid w:val="003B7C93"/>
    <w:rsid w:val="003C245B"/>
    <w:rsid w:val="003D18AF"/>
    <w:rsid w:val="003D2F0F"/>
    <w:rsid w:val="003D3C1D"/>
    <w:rsid w:val="003D5491"/>
    <w:rsid w:val="003D7B54"/>
    <w:rsid w:val="003E0B64"/>
    <w:rsid w:val="003E505C"/>
    <w:rsid w:val="003F0905"/>
    <w:rsid w:val="003F0A71"/>
    <w:rsid w:val="003F1EE8"/>
    <w:rsid w:val="003F221D"/>
    <w:rsid w:val="00400F22"/>
    <w:rsid w:val="00404146"/>
    <w:rsid w:val="00412E1E"/>
    <w:rsid w:val="0041311E"/>
    <w:rsid w:val="00415299"/>
    <w:rsid w:val="00421178"/>
    <w:rsid w:val="00432587"/>
    <w:rsid w:val="004347E4"/>
    <w:rsid w:val="00437BD2"/>
    <w:rsid w:val="0044326D"/>
    <w:rsid w:val="00446A52"/>
    <w:rsid w:val="00451731"/>
    <w:rsid w:val="00452957"/>
    <w:rsid w:val="004547CA"/>
    <w:rsid w:val="00460A55"/>
    <w:rsid w:val="00462EC9"/>
    <w:rsid w:val="00463757"/>
    <w:rsid w:val="0047079F"/>
    <w:rsid w:val="004755DF"/>
    <w:rsid w:val="00491587"/>
    <w:rsid w:val="0049380C"/>
    <w:rsid w:val="00496D7C"/>
    <w:rsid w:val="004A2D0C"/>
    <w:rsid w:val="004A505C"/>
    <w:rsid w:val="004B5945"/>
    <w:rsid w:val="004C2596"/>
    <w:rsid w:val="004C5170"/>
    <w:rsid w:val="004F0490"/>
    <w:rsid w:val="004F0A49"/>
    <w:rsid w:val="004F0F6F"/>
    <w:rsid w:val="004F62AB"/>
    <w:rsid w:val="004F63E1"/>
    <w:rsid w:val="00501464"/>
    <w:rsid w:val="00505D12"/>
    <w:rsid w:val="005171C4"/>
    <w:rsid w:val="005269C5"/>
    <w:rsid w:val="005270BE"/>
    <w:rsid w:val="00530767"/>
    <w:rsid w:val="00535219"/>
    <w:rsid w:val="005517ED"/>
    <w:rsid w:val="00552003"/>
    <w:rsid w:val="00562DAC"/>
    <w:rsid w:val="00565F2B"/>
    <w:rsid w:val="0057332E"/>
    <w:rsid w:val="00575AAD"/>
    <w:rsid w:val="0057746D"/>
    <w:rsid w:val="005848FB"/>
    <w:rsid w:val="00593ACB"/>
    <w:rsid w:val="00595CB8"/>
    <w:rsid w:val="005C32B8"/>
    <w:rsid w:val="005D0BB4"/>
    <w:rsid w:val="005E5994"/>
    <w:rsid w:val="005E6370"/>
    <w:rsid w:val="005F004A"/>
    <w:rsid w:val="005F12CE"/>
    <w:rsid w:val="005F15C6"/>
    <w:rsid w:val="006027E2"/>
    <w:rsid w:val="00606BF8"/>
    <w:rsid w:val="00612DB6"/>
    <w:rsid w:val="00614AF5"/>
    <w:rsid w:val="006151FC"/>
    <w:rsid w:val="006372D6"/>
    <w:rsid w:val="006415A1"/>
    <w:rsid w:val="006429E0"/>
    <w:rsid w:val="00653902"/>
    <w:rsid w:val="0065415E"/>
    <w:rsid w:val="00663409"/>
    <w:rsid w:val="00664458"/>
    <w:rsid w:val="00670DC2"/>
    <w:rsid w:val="00674957"/>
    <w:rsid w:val="0069221C"/>
    <w:rsid w:val="00693BDB"/>
    <w:rsid w:val="00697806"/>
    <w:rsid w:val="006A1B0D"/>
    <w:rsid w:val="006B2FD1"/>
    <w:rsid w:val="006C2561"/>
    <w:rsid w:val="006D29CB"/>
    <w:rsid w:val="006E1CC7"/>
    <w:rsid w:val="006F12AC"/>
    <w:rsid w:val="006F59F4"/>
    <w:rsid w:val="006F738E"/>
    <w:rsid w:val="007104C9"/>
    <w:rsid w:val="00712F9D"/>
    <w:rsid w:val="00713BDD"/>
    <w:rsid w:val="0071548A"/>
    <w:rsid w:val="00715D0C"/>
    <w:rsid w:val="007234EE"/>
    <w:rsid w:val="00726D22"/>
    <w:rsid w:val="0073083B"/>
    <w:rsid w:val="00730B6B"/>
    <w:rsid w:val="007316DD"/>
    <w:rsid w:val="007317F1"/>
    <w:rsid w:val="00737083"/>
    <w:rsid w:val="00741B2B"/>
    <w:rsid w:val="007439A1"/>
    <w:rsid w:val="007476A3"/>
    <w:rsid w:val="00760D21"/>
    <w:rsid w:val="007703D5"/>
    <w:rsid w:val="00775400"/>
    <w:rsid w:val="007845FF"/>
    <w:rsid w:val="00784B88"/>
    <w:rsid w:val="007871A0"/>
    <w:rsid w:val="00791AAC"/>
    <w:rsid w:val="00791C6D"/>
    <w:rsid w:val="00793D8F"/>
    <w:rsid w:val="007A4596"/>
    <w:rsid w:val="007B165C"/>
    <w:rsid w:val="007B3F2B"/>
    <w:rsid w:val="007D157A"/>
    <w:rsid w:val="007D6B60"/>
    <w:rsid w:val="007F4766"/>
    <w:rsid w:val="007F4F59"/>
    <w:rsid w:val="007F6E5A"/>
    <w:rsid w:val="00807E8C"/>
    <w:rsid w:val="00812E48"/>
    <w:rsid w:val="0081541E"/>
    <w:rsid w:val="00821F1D"/>
    <w:rsid w:val="0083095C"/>
    <w:rsid w:val="008309CE"/>
    <w:rsid w:val="00830C91"/>
    <w:rsid w:val="00832356"/>
    <w:rsid w:val="008345AD"/>
    <w:rsid w:val="008466D2"/>
    <w:rsid w:val="00850C16"/>
    <w:rsid w:val="008A3E71"/>
    <w:rsid w:val="008B2779"/>
    <w:rsid w:val="008B54E4"/>
    <w:rsid w:val="008C0444"/>
    <w:rsid w:val="008C4631"/>
    <w:rsid w:val="008C7960"/>
    <w:rsid w:val="008D2487"/>
    <w:rsid w:val="008D68D2"/>
    <w:rsid w:val="008E40C3"/>
    <w:rsid w:val="008E511A"/>
    <w:rsid w:val="0090077B"/>
    <w:rsid w:val="00915F1D"/>
    <w:rsid w:val="00917B57"/>
    <w:rsid w:val="00922461"/>
    <w:rsid w:val="00923792"/>
    <w:rsid w:val="00924858"/>
    <w:rsid w:val="009274CC"/>
    <w:rsid w:val="00932B73"/>
    <w:rsid w:val="0093796E"/>
    <w:rsid w:val="00941A32"/>
    <w:rsid w:val="00961BB1"/>
    <w:rsid w:val="0097106F"/>
    <w:rsid w:val="0097389F"/>
    <w:rsid w:val="009A3B23"/>
    <w:rsid w:val="009A52AB"/>
    <w:rsid w:val="009A530A"/>
    <w:rsid w:val="009A6427"/>
    <w:rsid w:val="009A6EC1"/>
    <w:rsid w:val="009B1F45"/>
    <w:rsid w:val="009B49CF"/>
    <w:rsid w:val="009B5F3C"/>
    <w:rsid w:val="009C4299"/>
    <w:rsid w:val="009D2ACD"/>
    <w:rsid w:val="009D66A2"/>
    <w:rsid w:val="009E13C1"/>
    <w:rsid w:val="009F5D98"/>
    <w:rsid w:val="00A07224"/>
    <w:rsid w:val="00A125D6"/>
    <w:rsid w:val="00A16431"/>
    <w:rsid w:val="00A20F9B"/>
    <w:rsid w:val="00A23840"/>
    <w:rsid w:val="00A667BB"/>
    <w:rsid w:val="00A75D02"/>
    <w:rsid w:val="00A77A3F"/>
    <w:rsid w:val="00A86A5B"/>
    <w:rsid w:val="00A95547"/>
    <w:rsid w:val="00AA277A"/>
    <w:rsid w:val="00AA7D9A"/>
    <w:rsid w:val="00AB3B3F"/>
    <w:rsid w:val="00AD39F0"/>
    <w:rsid w:val="00AE588F"/>
    <w:rsid w:val="00AF2810"/>
    <w:rsid w:val="00B0440B"/>
    <w:rsid w:val="00B1294C"/>
    <w:rsid w:val="00B20037"/>
    <w:rsid w:val="00B3084E"/>
    <w:rsid w:val="00B5091F"/>
    <w:rsid w:val="00B53C71"/>
    <w:rsid w:val="00B608C5"/>
    <w:rsid w:val="00B80FA5"/>
    <w:rsid w:val="00B8367A"/>
    <w:rsid w:val="00B939A2"/>
    <w:rsid w:val="00B94E67"/>
    <w:rsid w:val="00BA00B0"/>
    <w:rsid w:val="00BA58D8"/>
    <w:rsid w:val="00BA740D"/>
    <w:rsid w:val="00BA7591"/>
    <w:rsid w:val="00BA7C90"/>
    <w:rsid w:val="00BB4A8E"/>
    <w:rsid w:val="00BB62B6"/>
    <w:rsid w:val="00BB6E43"/>
    <w:rsid w:val="00BC4F94"/>
    <w:rsid w:val="00BC5B9D"/>
    <w:rsid w:val="00BC6094"/>
    <w:rsid w:val="00BC63B0"/>
    <w:rsid w:val="00BC7956"/>
    <w:rsid w:val="00BD5ED2"/>
    <w:rsid w:val="00BD65F4"/>
    <w:rsid w:val="00BE57FE"/>
    <w:rsid w:val="00BE67A0"/>
    <w:rsid w:val="00BF1404"/>
    <w:rsid w:val="00C01AD1"/>
    <w:rsid w:val="00C04925"/>
    <w:rsid w:val="00C04C17"/>
    <w:rsid w:val="00C070B7"/>
    <w:rsid w:val="00C12C51"/>
    <w:rsid w:val="00C23F34"/>
    <w:rsid w:val="00C303F0"/>
    <w:rsid w:val="00C50F35"/>
    <w:rsid w:val="00C5373D"/>
    <w:rsid w:val="00C63B4A"/>
    <w:rsid w:val="00C73269"/>
    <w:rsid w:val="00C764D7"/>
    <w:rsid w:val="00C84EC0"/>
    <w:rsid w:val="00C92213"/>
    <w:rsid w:val="00C9557F"/>
    <w:rsid w:val="00C9651C"/>
    <w:rsid w:val="00CA164D"/>
    <w:rsid w:val="00CA372E"/>
    <w:rsid w:val="00CB2034"/>
    <w:rsid w:val="00CB77BB"/>
    <w:rsid w:val="00CD69A5"/>
    <w:rsid w:val="00CE3ED0"/>
    <w:rsid w:val="00CE4B26"/>
    <w:rsid w:val="00CE52C6"/>
    <w:rsid w:val="00CF122C"/>
    <w:rsid w:val="00CF3099"/>
    <w:rsid w:val="00CF7AFF"/>
    <w:rsid w:val="00D03BB9"/>
    <w:rsid w:val="00D25603"/>
    <w:rsid w:val="00D327DA"/>
    <w:rsid w:val="00D42C7F"/>
    <w:rsid w:val="00D5335C"/>
    <w:rsid w:val="00D54CE8"/>
    <w:rsid w:val="00D653BD"/>
    <w:rsid w:val="00D716C3"/>
    <w:rsid w:val="00D7686F"/>
    <w:rsid w:val="00D776C2"/>
    <w:rsid w:val="00D823C0"/>
    <w:rsid w:val="00D83C99"/>
    <w:rsid w:val="00D91625"/>
    <w:rsid w:val="00D94082"/>
    <w:rsid w:val="00DA1287"/>
    <w:rsid w:val="00DA3B82"/>
    <w:rsid w:val="00DA5507"/>
    <w:rsid w:val="00DB0CE1"/>
    <w:rsid w:val="00DB4A44"/>
    <w:rsid w:val="00DC6E19"/>
    <w:rsid w:val="00DD3DE6"/>
    <w:rsid w:val="00DD3F39"/>
    <w:rsid w:val="00DD61B0"/>
    <w:rsid w:val="00DE18C1"/>
    <w:rsid w:val="00DE5768"/>
    <w:rsid w:val="00E00AA4"/>
    <w:rsid w:val="00E00F47"/>
    <w:rsid w:val="00E07FBD"/>
    <w:rsid w:val="00E10C0F"/>
    <w:rsid w:val="00E21655"/>
    <w:rsid w:val="00E22CDE"/>
    <w:rsid w:val="00E37AA3"/>
    <w:rsid w:val="00E57EE4"/>
    <w:rsid w:val="00E60704"/>
    <w:rsid w:val="00E609A6"/>
    <w:rsid w:val="00E66587"/>
    <w:rsid w:val="00E7122D"/>
    <w:rsid w:val="00E76366"/>
    <w:rsid w:val="00E826B7"/>
    <w:rsid w:val="00E83027"/>
    <w:rsid w:val="00E92686"/>
    <w:rsid w:val="00E977FB"/>
    <w:rsid w:val="00EA6816"/>
    <w:rsid w:val="00EA78CC"/>
    <w:rsid w:val="00EC045C"/>
    <w:rsid w:val="00EC42FF"/>
    <w:rsid w:val="00EC6FDD"/>
    <w:rsid w:val="00ED21A5"/>
    <w:rsid w:val="00ED4081"/>
    <w:rsid w:val="00ED42D5"/>
    <w:rsid w:val="00ED443B"/>
    <w:rsid w:val="00EF3A8E"/>
    <w:rsid w:val="00F0686E"/>
    <w:rsid w:val="00F078EB"/>
    <w:rsid w:val="00F07A99"/>
    <w:rsid w:val="00F15032"/>
    <w:rsid w:val="00F16D8A"/>
    <w:rsid w:val="00F217D9"/>
    <w:rsid w:val="00F21F2D"/>
    <w:rsid w:val="00F3027E"/>
    <w:rsid w:val="00F308B3"/>
    <w:rsid w:val="00F3208F"/>
    <w:rsid w:val="00F3493F"/>
    <w:rsid w:val="00F34A0C"/>
    <w:rsid w:val="00F36A38"/>
    <w:rsid w:val="00F370E2"/>
    <w:rsid w:val="00F40FBD"/>
    <w:rsid w:val="00F57CF4"/>
    <w:rsid w:val="00F61EE4"/>
    <w:rsid w:val="00F65604"/>
    <w:rsid w:val="00F73CF3"/>
    <w:rsid w:val="00F748DC"/>
    <w:rsid w:val="00F83151"/>
    <w:rsid w:val="00F95506"/>
    <w:rsid w:val="00F95BA0"/>
    <w:rsid w:val="00F96550"/>
    <w:rsid w:val="00FA6207"/>
    <w:rsid w:val="00FB39A8"/>
    <w:rsid w:val="00FC36EC"/>
    <w:rsid w:val="00FC3B2D"/>
    <w:rsid w:val="00FD2E8E"/>
    <w:rsid w:val="00FE13A6"/>
    <w:rsid w:val="00FE5F12"/>
    <w:rsid w:val="00FE7BF9"/>
    <w:rsid w:val="00FF070B"/>
    <w:rsid w:val="00FF1520"/>
    <w:rsid w:val="00FF3A37"/>
    <w:rsid w:val="00FF58B5"/>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DA226"/>
  <w15:chartTrackingRefBased/>
  <w15:docId w15:val="{A4AADED1-2330-4245-98BC-D88BB0E6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16431"/>
  </w:style>
  <w:style w:type="paragraph" w:styleId="Titolo1">
    <w:name w:val="heading 1"/>
    <w:basedOn w:val="Normale"/>
    <w:next w:val="Normale"/>
    <w:link w:val="Titolo1Carattere"/>
    <w:uiPriority w:val="9"/>
    <w:qFormat/>
    <w:rsid w:val="00FE13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3">
    <w:name w:val="heading 3"/>
    <w:aliases w:val="note"/>
    <w:basedOn w:val="Pidipagina"/>
    <w:next w:val="Normale"/>
    <w:link w:val="Titolo3Carattere"/>
    <w:autoRedefine/>
    <w:uiPriority w:val="9"/>
    <w:unhideWhenUsed/>
    <w:qFormat/>
    <w:rsid w:val="00437BD2"/>
    <w:pPr>
      <w:keepNext/>
      <w:keepLines/>
      <w:spacing w:before="40"/>
      <w:outlineLvl w:val="2"/>
    </w:pPr>
    <w:rPr>
      <w:rFonts w:ascii="Baskerville" w:eastAsiaTheme="majorEastAsia" w:hAnsi="Baskerville" w:cstheme="majorBid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aliases w:val="note Carattere"/>
    <w:basedOn w:val="Carpredefinitoparagrafo"/>
    <w:link w:val="Titolo3"/>
    <w:uiPriority w:val="9"/>
    <w:rsid w:val="00437BD2"/>
    <w:rPr>
      <w:rFonts w:ascii="Baskerville" w:eastAsiaTheme="majorEastAsia" w:hAnsi="Baskerville" w:cstheme="majorBidi"/>
      <w:sz w:val="18"/>
    </w:rPr>
  </w:style>
  <w:style w:type="paragraph" w:styleId="Pidipagina">
    <w:name w:val="footer"/>
    <w:basedOn w:val="Normale"/>
    <w:link w:val="PidipaginaCarattere"/>
    <w:uiPriority w:val="99"/>
    <w:unhideWhenUsed/>
    <w:rsid w:val="00437BD2"/>
    <w:pPr>
      <w:tabs>
        <w:tab w:val="center" w:pos="4819"/>
        <w:tab w:val="right" w:pos="9638"/>
      </w:tabs>
    </w:pPr>
  </w:style>
  <w:style w:type="character" w:customStyle="1" w:styleId="PidipaginaCarattere">
    <w:name w:val="Piè di pagina Carattere"/>
    <w:basedOn w:val="Carpredefinitoparagrafo"/>
    <w:link w:val="Pidipagina"/>
    <w:uiPriority w:val="99"/>
    <w:rsid w:val="00437BD2"/>
  </w:style>
  <w:style w:type="paragraph" w:styleId="Testonotaapidipagina">
    <w:name w:val="footnote text"/>
    <w:basedOn w:val="Normale"/>
    <w:link w:val="TestonotaapidipaginaCarattere"/>
    <w:uiPriority w:val="99"/>
    <w:unhideWhenUsed/>
    <w:rsid w:val="00A16431"/>
    <w:rPr>
      <w:sz w:val="20"/>
      <w:szCs w:val="20"/>
    </w:rPr>
  </w:style>
  <w:style w:type="character" w:customStyle="1" w:styleId="TestonotaapidipaginaCarattere">
    <w:name w:val="Testo nota a piè di pagina Carattere"/>
    <w:basedOn w:val="Carpredefinitoparagrafo"/>
    <w:link w:val="Testonotaapidipagina"/>
    <w:uiPriority w:val="99"/>
    <w:rsid w:val="00A16431"/>
    <w:rPr>
      <w:sz w:val="20"/>
      <w:szCs w:val="20"/>
    </w:rPr>
  </w:style>
  <w:style w:type="character" w:styleId="Rimandonotaapidipagina">
    <w:name w:val="footnote reference"/>
    <w:basedOn w:val="Carpredefinitoparagrafo"/>
    <w:uiPriority w:val="99"/>
    <w:semiHidden/>
    <w:unhideWhenUsed/>
    <w:rsid w:val="00A16431"/>
    <w:rPr>
      <w:vertAlign w:val="superscript"/>
    </w:rPr>
  </w:style>
  <w:style w:type="character" w:customStyle="1" w:styleId="Titolo1Carattere">
    <w:name w:val="Titolo 1 Carattere"/>
    <w:basedOn w:val="Carpredefinitoparagrafo"/>
    <w:link w:val="Titolo1"/>
    <w:uiPriority w:val="9"/>
    <w:rsid w:val="00FE13A6"/>
    <w:rPr>
      <w:rFonts w:asciiTheme="majorHAnsi" w:eastAsiaTheme="majorEastAsia" w:hAnsiTheme="majorHAnsi" w:cstheme="majorBidi"/>
      <w:color w:val="2F5496" w:themeColor="accent1" w:themeShade="BF"/>
      <w:sz w:val="32"/>
      <w:szCs w:val="32"/>
    </w:rPr>
  </w:style>
  <w:style w:type="character" w:styleId="Numeropagina">
    <w:name w:val="page number"/>
    <w:basedOn w:val="Carpredefinitoparagrafo"/>
    <w:uiPriority w:val="99"/>
    <w:semiHidden/>
    <w:unhideWhenUsed/>
    <w:rsid w:val="0069221C"/>
  </w:style>
  <w:style w:type="paragraph" w:styleId="Intestazione">
    <w:name w:val="header"/>
    <w:basedOn w:val="Normale"/>
    <w:link w:val="IntestazioneCarattere"/>
    <w:uiPriority w:val="99"/>
    <w:unhideWhenUsed/>
    <w:rsid w:val="00830C91"/>
    <w:pPr>
      <w:tabs>
        <w:tab w:val="center" w:pos="4819"/>
        <w:tab w:val="right" w:pos="9638"/>
      </w:tabs>
    </w:pPr>
  </w:style>
  <w:style w:type="character" w:customStyle="1" w:styleId="IntestazioneCarattere">
    <w:name w:val="Intestazione Carattere"/>
    <w:basedOn w:val="Carpredefinitoparagrafo"/>
    <w:link w:val="Intestazione"/>
    <w:uiPriority w:val="99"/>
    <w:rsid w:val="00830C91"/>
  </w:style>
  <w:style w:type="paragraph" w:styleId="NormaleWeb">
    <w:name w:val="Normal (Web)"/>
    <w:basedOn w:val="Normale"/>
    <w:rsid w:val="00E22CDE"/>
    <w:pPr>
      <w:spacing w:before="100" w:beforeAutospacing="1" w:after="100" w:afterAutospacing="1"/>
      <w:jc w:val="left"/>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04098">
      <w:bodyDiv w:val="1"/>
      <w:marLeft w:val="0"/>
      <w:marRight w:val="0"/>
      <w:marTop w:val="0"/>
      <w:marBottom w:val="0"/>
      <w:divBdr>
        <w:top w:val="none" w:sz="0" w:space="0" w:color="auto"/>
        <w:left w:val="none" w:sz="0" w:space="0" w:color="auto"/>
        <w:bottom w:val="none" w:sz="0" w:space="0" w:color="auto"/>
        <w:right w:val="none" w:sz="0" w:space="0" w:color="auto"/>
      </w:divBdr>
    </w:div>
    <w:div w:id="734013677">
      <w:bodyDiv w:val="1"/>
      <w:marLeft w:val="0"/>
      <w:marRight w:val="0"/>
      <w:marTop w:val="0"/>
      <w:marBottom w:val="0"/>
      <w:divBdr>
        <w:top w:val="none" w:sz="0" w:space="0" w:color="auto"/>
        <w:left w:val="none" w:sz="0" w:space="0" w:color="auto"/>
        <w:bottom w:val="none" w:sz="0" w:space="0" w:color="auto"/>
        <w:right w:val="none" w:sz="0" w:space="0" w:color="auto"/>
      </w:divBdr>
    </w:div>
    <w:div w:id="918366371">
      <w:bodyDiv w:val="1"/>
      <w:marLeft w:val="0"/>
      <w:marRight w:val="0"/>
      <w:marTop w:val="0"/>
      <w:marBottom w:val="0"/>
      <w:divBdr>
        <w:top w:val="none" w:sz="0" w:space="0" w:color="auto"/>
        <w:left w:val="none" w:sz="0" w:space="0" w:color="auto"/>
        <w:bottom w:val="none" w:sz="0" w:space="0" w:color="auto"/>
        <w:right w:val="none" w:sz="0" w:space="0" w:color="auto"/>
      </w:divBdr>
    </w:div>
    <w:div w:id="1195850800">
      <w:bodyDiv w:val="1"/>
      <w:marLeft w:val="0"/>
      <w:marRight w:val="0"/>
      <w:marTop w:val="0"/>
      <w:marBottom w:val="0"/>
      <w:divBdr>
        <w:top w:val="none" w:sz="0" w:space="0" w:color="auto"/>
        <w:left w:val="none" w:sz="0" w:space="0" w:color="auto"/>
        <w:bottom w:val="none" w:sz="0" w:space="0" w:color="auto"/>
        <w:right w:val="none" w:sz="0" w:space="0" w:color="auto"/>
      </w:divBdr>
    </w:div>
    <w:div w:id="180573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2264</Words>
  <Characters>12227</Characters>
  <Application>Microsoft Office Word</Application>
  <DocSecurity>0</DocSecurity>
  <Lines>143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Croce</dc:creator>
  <cp:keywords/>
  <dc:description/>
  <cp:lastModifiedBy>Francesca Croce</cp:lastModifiedBy>
  <cp:revision>8</cp:revision>
  <cp:lastPrinted>2023-11-06T22:06:00Z</cp:lastPrinted>
  <dcterms:created xsi:type="dcterms:W3CDTF">2023-11-06T21:55:00Z</dcterms:created>
  <dcterms:modified xsi:type="dcterms:W3CDTF">2023-11-06T22:17:00Z</dcterms:modified>
</cp:coreProperties>
</file>