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E66079" w14:textId="6B411D80" w:rsidR="00E33CA8" w:rsidRPr="00FF3F30" w:rsidRDefault="00E33CA8" w:rsidP="00FF3F30">
      <w:pPr>
        <w:jc w:val="center"/>
        <w:rPr>
          <w:b/>
          <w:sz w:val="32"/>
          <w:szCs w:val="32"/>
        </w:rPr>
      </w:pPr>
      <w:r w:rsidRPr="00FF3F30">
        <w:rPr>
          <w:b/>
          <w:sz w:val="32"/>
          <w:szCs w:val="32"/>
        </w:rPr>
        <w:t>NAME : ALINA PRECUP</w:t>
      </w:r>
    </w:p>
    <w:p w14:paraId="24E316ED" w14:textId="77777777" w:rsidR="00E33CA8" w:rsidRPr="00FF3F30" w:rsidRDefault="00E33CA8" w:rsidP="00FF3F30">
      <w:pPr>
        <w:jc w:val="center"/>
        <w:rPr>
          <w:b/>
          <w:sz w:val="32"/>
          <w:szCs w:val="32"/>
        </w:rPr>
      </w:pPr>
      <w:r w:rsidRPr="00FF3F30">
        <w:rPr>
          <w:b/>
          <w:sz w:val="32"/>
          <w:szCs w:val="32"/>
        </w:rPr>
        <w:t>STUDENT NUMBER: 1816777</w:t>
      </w:r>
    </w:p>
    <w:p w14:paraId="6D8038C8" w14:textId="7792BAC7" w:rsidR="008D44D4" w:rsidRPr="00FF3F30" w:rsidRDefault="00DA7DEA" w:rsidP="00FF3F30">
      <w:pPr>
        <w:jc w:val="center"/>
        <w:rPr>
          <w:b/>
          <w:sz w:val="32"/>
          <w:szCs w:val="32"/>
        </w:rPr>
      </w:pPr>
      <w:r w:rsidRPr="00FF3F30">
        <w:rPr>
          <w:b/>
          <w:sz w:val="32"/>
          <w:szCs w:val="32"/>
        </w:rPr>
        <w:t xml:space="preserve">MODULE TITLE : THE GLOBAL BUSINESS </w:t>
      </w:r>
      <w:r w:rsidR="0003320E">
        <w:rPr>
          <w:b/>
          <w:sz w:val="32"/>
          <w:szCs w:val="32"/>
        </w:rPr>
        <w:t>EN</w:t>
      </w:r>
      <w:r w:rsidRPr="00FF3F30">
        <w:rPr>
          <w:b/>
          <w:sz w:val="32"/>
          <w:szCs w:val="32"/>
        </w:rPr>
        <w:t>VIRONMENT</w:t>
      </w:r>
    </w:p>
    <w:p w14:paraId="753E7414" w14:textId="631E9289" w:rsidR="00DA7DEA" w:rsidRPr="00FF3F30" w:rsidRDefault="00436B53" w:rsidP="00FF3F30">
      <w:pPr>
        <w:jc w:val="center"/>
        <w:rPr>
          <w:b/>
          <w:sz w:val="32"/>
          <w:szCs w:val="32"/>
        </w:rPr>
      </w:pPr>
      <w:r w:rsidRPr="00FF3F30">
        <w:rPr>
          <w:b/>
          <w:sz w:val="32"/>
          <w:szCs w:val="32"/>
        </w:rPr>
        <w:t>ASSESMENT 1</w:t>
      </w:r>
    </w:p>
    <w:p w14:paraId="26E88C47" w14:textId="460B6772" w:rsidR="00436B53" w:rsidRPr="00FF3F30" w:rsidRDefault="00436B53" w:rsidP="00FF3F30">
      <w:pPr>
        <w:jc w:val="center"/>
        <w:rPr>
          <w:sz w:val="32"/>
          <w:szCs w:val="32"/>
        </w:rPr>
      </w:pPr>
      <w:r w:rsidRPr="00FF3F30">
        <w:rPr>
          <w:b/>
          <w:sz w:val="32"/>
          <w:szCs w:val="32"/>
        </w:rPr>
        <w:t>MODULE LECTURES NAME : DR. KENNY TANG</w:t>
      </w:r>
    </w:p>
    <w:p w14:paraId="09B2C06B" w14:textId="45E58522" w:rsidR="008D44D4" w:rsidRPr="00FF3F30" w:rsidRDefault="00DB0858" w:rsidP="00FF3F30">
      <w:pPr>
        <w:jc w:val="center"/>
        <w:rPr>
          <w:b/>
          <w:sz w:val="32"/>
          <w:szCs w:val="32"/>
        </w:rPr>
      </w:pPr>
      <w:r>
        <w:rPr>
          <w:b/>
          <w:noProof/>
          <w:sz w:val="32"/>
          <w:szCs w:val="32"/>
        </w:rPr>
        <w:drawing>
          <wp:anchor distT="0" distB="0" distL="114300" distR="114300" simplePos="0" relativeHeight="251658244" behindDoc="0" locked="0" layoutInCell="1" allowOverlap="1" wp14:anchorId="113154BA" wp14:editId="2139BD0D">
            <wp:simplePos x="0" y="0"/>
            <wp:positionH relativeFrom="column">
              <wp:posOffset>0</wp:posOffset>
            </wp:positionH>
            <wp:positionV relativeFrom="paragraph">
              <wp:posOffset>438150</wp:posOffset>
            </wp:positionV>
            <wp:extent cx="5731510" cy="3921760"/>
            <wp:effectExtent l="0" t="0" r="2540" b="254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921760"/>
                    </a:xfrm>
                    <a:prstGeom prst="rect">
                      <a:avLst/>
                    </a:prstGeom>
                  </pic:spPr>
                </pic:pic>
              </a:graphicData>
            </a:graphic>
          </wp:anchor>
        </w:drawing>
      </w:r>
      <w:r w:rsidR="00EA110F" w:rsidRPr="00FF3F30">
        <w:rPr>
          <w:b/>
          <w:sz w:val="32"/>
          <w:szCs w:val="32"/>
        </w:rPr>
        <w:br w:type="page"/>
      </w:r>
    </w:p>
    <w:sdt>
      <w:sdtPr>
        <w:rPr>
          <w:rFonts w:ascii="Times New Roman" w:eastAsiaTheme="minorHAnsi" w:hAnsi="Times New Roman" w:cstheme="minorBidi"/>
          <w:color w:val="auto"/>
          <w:sz w:val="24"/>
          <w:szCs w:val="22"/>
          <w:lang w:val="en-GB"/>
        </w:rPr>
        <w:id w:val="766273252"/>
        <w:docPartObj>
          <w:docPartGallery w:val="Table of Contents"/>
          <w:docPartUnique/>
        </w:docPartObj>
      </w:sdtPr>
      <w:sdtEndPr>
        <w:rPr>
          <w:b/>
          <w:bCs/>
          <w:noProof/>
        </w:rPr>
      </w:sdtEndPr>
      <w:sdtContent>
        <w:p w14:paraId="5A3FED9F" w14:textId="5D1331DC" w:rsidR="008D44D4" w:rsidRPr="008D44D4" w:rsidRDefault="00EA110F">
          <w:pPr>
            <w:pStyle w:val="Titlucuprins"/>
            <w:rPr>
              <w:rFonts w:ascii="Times New Roman" w:hAnsi="Times New Roman" w:cs="Times New Roman"/>
              <w:b/>
              <w:color w:val="auto"/>
            </w:rPr>
          </w:pPr>
          <w:r w:rsidRPr="008D44D4">
            <w:rPr>
              <w:rFonts w:ascii="Times New Roman" w:hAnsi="Times New Roman" w:cs="Times New Roman"/>
              <w:b/>
              <w:color w:val="auto"/>
            </w:rPr>
            <w:t>Table of Contents</w:t>
          </w:r>
        </w:p>
        <w:p w14:paraId="618BD968" w14:textId="77777777" w:rsidR="008D44D4" w:rsidRDefault="00EA110F">
          <w:pPr>
            <w:pStyle w:val="Cuprins1"/>
            <w:tabs>
              <w:tab w:val="right" w:leader="dot" w:pos="9016"/>
            </w:tabs>
            <w:rPr>
              <w:noProof/>
            </w:rPr>
          </w:pPr>
          <w:r>
            <w:fldChar w:fldCharType="begin"/>
          </w:r>
          <w:r>
            <w:instrText xml:space="preserve"> TOC \o "1-3" \h \z \u </w:instrText>
          </w:r>
          <w:r>
            <w:fldChar w:fldCharType="separate"/>
          </w:r>
          <w:hyperlink w:anchor="_Toc39696022" w:history="1">
            <w:r w:rsidRPr="008F6B7F">
              <w:rPr>
                <w:rStyle w:val="Hyperlink"/>
                <w:noProof/>
              </w:rPr>
              <w:t>Introduction</w:t>
            </w:r>
            <w:r>
              <w:rPr>
                <w:noProof/>
                <w:webHidden/>
              </w:rPr>
              <w:tab/>
            </w:r>
            <w:r>
              <w:rPr>
                <w:noProof/>
                <w:webHidden/>
              </w:rPr>
              <w:fldChar w:fldCharType="begin"/>
            </w:r>
            <w:r>
              <w:rPr>
                <w:noProof/>
                <w:webHidden/>
              </w:rPr>
              <w:instrText xml:space="preserve"> PAGEREF _Toc39696022 \h </w:instrText>
            </w:r>
            <w:r>
              <w:rPr>
                <w:noProof/>
                <w:webHidden/>
              </w:rPr>
            </w:r>
            <w:r>
              <w:rPr>
                <w:noProof/>
                <w:webHidden/>
              </w:rPr>
              <w:fldChar w:fldCharType="separate"/>
            </w:r>
            <w:r>
              <w:rPr>
                <w:noProof/>
                <w:webHidden/>
              </w:rPr>
              <w:t>3</w:t>
            </w:r>
            <w:r>
              <w:rPr>
                <w:noProof/>
                <w:webHidden/>
              </w:rPr>
              <w:fldChar w:fldCharType="end"/>
            </w:r>
          </w:hyperlink>
        </w:p>
        <w:p w14:paraId="4D205328" w14:textId="77777777" w:rsidR="008D44D4" w:rsidRDefault="009E0318">
          <w:pPr>
            <w:pStyle w:val="Cuprins1"/>
            <w:tabs>
              <w:tab w:val="right" w:leader="dot" w:pos="9016"/>
            </w:tabs>
            <w:rPr>
              <w:noProof/>
            </w:rPr>
          </w:pPr>
          <w:hyperlink w:anchor="_Toc39696023" w:history="1">
            <w:r w:rsidR="00EA110F" w:rsidRPr="008F6B7F">
              <w:rPr>
                <w:rStyle w:val="Hyperlink"/>
                <w:noProof/>
              </w:rPr>
              <w:t>Description</w:t>
            </w:r>
            <w:r w:rsidR="00EA110F">
              <w:rPr>
                <w:noProof/>
                <w:webHidden/>
              </w:rPr>
              <w:tab/>
            </w:r>
            <w:r w:rsidR="00EA110F">
              <w:rPr>
                <w:noProof/>
                <w:webHidden/>
              </w:rPr>
              <w:fldChar w:fldCharType="begin"/>
            </w:r>
            <w:r w:rsidR="00EA110F">
              <w:rPr>
                <w:noProof/>
                <w:webHidden/>
              </w:rPr>
              <w:instrText xml:space="preserve"> PAGEREF _Toc39696023 \h </w:instrText>
            </w:r>
            <w:r w:rsidR="00EA110F">
              <w:rPr>
                <w:noProof/>
                <w:webHidden/>
              </w:rPr>
            </w:r>
            <w:r w:rsidR="00EA110F">
              <w:rPr>
                <w:noProof/>
                <w:webHidden/>
              </w:rPr>
              <w:fldChar w:fldCharType="separate"/>
            </w:r>
            <w:r w:rsidR="00EA110F">
              <w:rPr>
                <w:noProof/>
                <w:webHidden/>
              </w:rPr>
              <w:t>4</w:t>
            </w:r>
            <w:r w:rsidR="00EA110F">
              <w:rPr>
                <w:noProof/>
                <w:webHidden/>
              </w:rPr>
              <w:fldChar w:fldCharType="end"/>
            </w:r>
          </w:hyperlink>
        </w:p>
        <w:p w14:paraId="6C230058" w14:textId="77777777" w:rsidR="008D44D4" w:rsidRDefault="009E0318">
          <w:pPr>
            <w:pStyle w:val="Cuprins1"/>
            <w:tabs>
              <w:tab w:val="right" w:leader="dot" w:pos="9016"/>
            </w:tabs>
            <w:rPr>
              <w:noProof/>
            </w:rPr>
          </w:pPr>
          <w:hyperlink w:anchor="_Toc39696024" w:history="1">
            <w:r w:rsidR="00EA110F" w:rsidRPr="008F6B7F">
              <w:rPr>
                <w:rStyle w:val="Hyperlink"/>
                <w:noProof/>
              </w:rPr>
              <w:t>Conclusion</w:t>
            </w:r>
            <w:r w:rsidR="00EA110F">
              <w:rPr>
                <w:noProof/>
                <w:webHidden/>
              </w:rPr>
              <w:tab/>
            </w:r>
            <w:r w:rsidR="00EA110F">
              <w:rPr>
                <w:noProof/>
                <w:webHidden/>
              </w:rPr>
              <w:fldChar w:fldCharType="begin"/>
            </w:r>
            <w:r w:rsidR="00EA110F">
              <w:rPr>
                <w:noProof/>
                <w:webHidden/>
              </w:rPr>
              <w:instrText xml:space="preserve"> PAGEREF _Toc39696024 \h </w:instrText>
            </w:r>
            <w:r w:rsidR="00EA110F">
              <w:rPr>
                <w:noProof/>
                <w:webHidden/>
              </w:rPr>
            </w:r>
            <w:r w:rsidR="00EA110F">
              <w:rPr>
                <w:noProof/>
                <w:webHidden/>
              </w:rPr>
              <w:fldChar w:fldCharType="separate"/>
            </w:r>
            <w:r w:rsidR="00EA110F">
              <w:rPr>
                <w:noProof/>
                <w:webHidden/>
              </w:rPr>
              <w:t>9</w:t>
            </w:r>
            <w:r w:rsidR="00EA110F">
              <w:rPr>
                <w:noProof/>
                <w:webHidden/>
              </w:rPr>
              <w:fldChar w:fldCharType="end"/>
            </w:r>
          </w:hyperlink>
        </w:p>
        <w:p w14:paraId="15D10F81" w14:textId="77777777" w:rsidR="008D44D4" w:rsidRDefault="009E0318">
          <w:pPr>
            <w:pStyle w:val="Cuprins1"/>
            <w:tabs>
              <w:tab w:val="right" w:leader="dot" w:pos="9016"/>
            </w:tabs>
            <w:rPr>
              <w:noProof/>
            </w:rPr>
          </w:pPr>
          <w:hyperlink w:anchor="_Toc39696025" w:history="1">
            <w:r w:rsidR="00EA110F" w:rsidRPr="008F6B7F">
              <w:rPr>
                <w:rStyle w:val="Hyperlink"/>
                <w:rFonts w:cs="Times New Roman"/>
                <w:noProof/>
              </w:rPr>
              <w:t>References</w:t>
            </w:r>
            <w:r w:rsidR="00EA110F">
              <w:rPr>
                <w:noProof/>
                <w:webHidden/>
              </w:rPr>
              <w:tab/>
            </w:r>
            <w:r w:rsidR="00EA110F">
              <w:rPr>
                <w:noProof/>
                <w:webHidden/>
              </w:rPr>
              <w:fldChar w:fldCharType="begin"/>
            </w:r>
            <w:r w:rsidR="00EA110F">
              <w:rPr>
                <w:noProof/>
                <w:webHidden/>
              </w:rPr>
              <w:instrText xml:space="preserve"> PAGEREF _Toc39696025 \h </w:instrText>
            </w:r>
            <w:r w:rsidR="00EA110F">
              <w:rPr>
                <w:noProof/>
                <w:webHidden/>
              </w:rPr>
            </w:r>
            <w:r w:rsidR="00EA110F">
              <w:rPr>
                <w:noProof/>
                <w:webHidden/>
              </w:rPr>
              <w:fldChar w:fldCharType="separate"/>
            </w:r>
            <w:r w:rsidR="00EA110F">
              <w:rPr>
                <w:noProof/>
                <w:webHidden/>
              </w:rPr>
              <w:t>10</w:t>
            </w:r>
            <w:r w:rsidR="00EA110F">
              <w:rPr>
                <w:noProof/>
                <w:webHidden/>
              </w:rPr>
              <w:fldChar w:fldCharType="end"/>
            </w:r>
          </w:hyperlink>
        </w:p>
        <w:p w14:paraId="104C921F" w14:textId="77777777" w:rsidR="008D44D4" w:rsidRPr="008D44D4" w:rsidRDefault="00EA110F" w:rsidP="008D44D4">
          <w:pPr>
            <w:rPr>
              <w:b/>
              <w:bCs/>
              <w:noProof/>
            </w:rPr>
          </w:pPr>
          <w:r>
            <w:rPr>
              <w:b/>
              <w:bCs/>
              <w:noProof/>
            </w:rPr>
            <w:fldChar w:fldCharType="end"/>
          </w:r>
        </w:p>
      </w:sdtContent>
    </w:sdt>
    <w:p w14:paraId="648E62F6" w14:textId="77777777" w:rsidR="008D44D4" w:rsidRPr="008D44D4" w:rsidRDefault="00EA110F">
      <w:pPr>
        <w:pStyle w:val="Tabeldefiguri"/>
        <w:tabs>
          <w:tab w:val="right" w:leader="dot" w:pos="9016"/>
        </w:tabs>
        <w:rPr>
          <w:b/>
          <w:sz w:val="32"/>
          <w:szCs w:val="32"/>
        </w:rPr>
      </w:pPr>
      <w:bookmarkStart w:id="0" w:name="_Toc39696022"/>
      <w:r w:rsidRPr="008D44D4">
        <w:rPr>
          <w:b/>
          <w:sz w:val="32"/>
          <w:szCs w:val="32"/>
        </w:rPr>
        <w:t xml:space="preserve">Table of Figures </w:t>
      </w:r>
    </w:p>
    <w:p w14:paraId="45775DF2" w14:textId="77777777" w:rsidR="008D44D4" w:rsidRDefault="00EA110F">
      <w:pPr>
        <w:pStyle w:val="Tabeldefiguri"/>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39696123" w:history="1">
        <w:r w:rsidRPr="001F22AD">
          <w:rPr>
            <w:rStyle w:val="Hyperlink"/>
            <w:noProof/>
          </w:rPr>
          <w:t>Figure 1: Product Life Cycle</w:t>
        </w:r>
        <w:r>
          <w:rPr>
            <w:noProof/>
            <w:webHidden/>
          </w:rPr>
          <w:tab/>
        </w:r>
        <w:r>
          <w:rPr>
            <w:noProof/>
            <w:webHidden/>
          </w:rPr>
          <w:fldChar w:fldCharType="begin"/>
        </w:r>
        <w:r>
          <w:rPr>
            <w:noProof/>
            <w:webHidden/>
          </w:rPr>
          <w:instrText xml:space="preserve"> PAGEREF _Toc39696123 \h </w:instrText>
        </w:r>
        <w:r>
          <w:rPr>
            <w:noProof/>
            <w:webHidden/>
          </w:rPr>
        </w:r>
        <w:r>
          <w:rPr>
            <w:noProof/>
            <w:webHidden/>
          </w:rPr>
          <w:fldChar w:fldCharType="separate"/>
        </w:r>
        <w:r>
          <w:rPr>
            <w:noProof/>
            <w:webHidden/>
          </w:rPr>
          <w:t>3</w:t>
        </w:r>
        <w:r>
          <w:rPr>
            <w:noProof/>
            <w:webHidden/>
          </w:rPr>
          <w:fldChar w:fldCharType="end"/>
        </w:r>
      </w:hyperlink>
    </w:p>
    <w:p w14:paraId="0F5BD9F2" w14:textId="77777777" w:rsidR="008D44D4" w:rsidRDefault="009E0318">
      <w:pPr>
        <w:pStyle w:val="Tabeldefiguri"/>
        <w:tabs>
          <w:tab w:val="right" w:leader="dot" w:pos="9016"/>
        </w:tabs>
        <w:rPr>
          <w:rFonts w:asciiTheme="minorHAnsi" w:eastAsiaTheme="minorEastAsia" w:hAnsiTheme="minorHAnsi"/>
          <w:noProof/>
          <w:sz w:val="22"/>
          <w:lang w:eastAsia="en-GB"/>
        </w:rPr>
      </w:pPr>
      <w:hyperlink w:anchor="_Toc39696124" w:history="1">
        <w:r w:rsidR="00EA110F" w:rsidRPr="001F22AD">
          <w:rPr>
            <w:rStyle w:val="Hyperlink"/>
            <w:noProof/>
          </w:rPr>
          <w:t>Figure 2: Platform Business Model for Electric Car Charger</w:t>
        </w:r>
        <w:r w:rsidR="00EA110F">
          <w:rPr>
            <w:noProof/>
            <w:webHidden/>
          </w:rPr>
          <w:tab/>
        </w:r>
        <w:r w:rsidR="00EA110F">
          <w:rPr>
            <w:noProof/>
            <w:webHidden/>
          </w:rPr>
          <w:fldChar w:fldCharType="begin"/>
        </w:r>
        <w:r w:rsidR="00EA110F">
          <w:rPr>
            <w:noProof/>
            <w:webHidden/>
          </w:rPr>
          <w:instrText xml:space="preserve"> PAGEREF _Toc39696124 \h </w:instrText>
        </w:r>
        <w:r w:rsidR="00EA110F">
          <w:rPr>
            <w:noProof/>
            <w:webHidden/>
          </w:rPr>
        </w:r>
        <w:r w:rsidR="00EA110F">
          <w:rPr>
            <w:noProof/>
            <w:webHidden/>
          </w:rPr>
          <w:fldChar w:fldCharType="separate"/>
        </w:r>
        <w:r w:rsidR="00EA110F">
          <w:rPr>
            <w:noProof/>
            <w:webHidden/>
          </w:rPr>
          <w:t>4</w:t>
        </w:r>
        <w:r w:rsidR="00EA110F">
          <w:rPr>
            <w:noProof/>
            <w:webHidden/>
          </w:rPr>
          <w:fldChar w:fldCharType="end"/>
        </w:r>
      </w:hyperlink>
    </w:p>
    <w:p w14:paraId="51C4C1E6" w14:textId="77777777" w:rsidR="008D44D4" w:rsidRDefault="009E0318">
      <w:pPr>
        <w:pStyle w:val="Tabeldefiguri"/>
        <w:tabs>
          <w:tab w:val="right" w:leader="dot" w:pos="9016"/>
        </w:tabs>
        <w:rPr>
          <w:rFonts w:asciiTheme="minorHAnsi" w:eastAsiaTheme="minorEastAsia" w:hAnsiTheme="minorHAnsi"/>
          <w:noProof/>
          <w:sz w:val="22"/>
          <w:lang w:eastAsia="en-GB"/>
        </w:rPr>
      </w:pPr>
      <w:hyperlink w:anchor="_Toc39696125" w:history="1">
        <w:r w:rsidR="00EA110F" w:rsidRPr="001F22AD">
          <w:rPr>
            <w:rStyle w:val="Hyperlink"/>
            <w:noProof/>
          </w:rPr>
          <w:t>Figure 3:  PESTEL Analysis</w:t>
        </w:r>
        <w:r w:rsidR="00EA110F">
          <w:rPr>
            <w:noProof/>
            <w:webHidden/>
          </w:rPr>
          <w:tab/>
        </w:r>
        <w:r w:rsidR="00EA110F">
          <w:rPr>
            <w:noProof/>
            <w:webHidden/>
          </w:rPr>
          <w:fldChar w:fldCharType="begin"/>
        </w:r>
        <w:r w:rsidR="00EA110F">
          <w:rPr>
            <w:noProof/>
            <w:webHidden/>
          </w:rPr>
          <w:instrText xml:space="preserve"> PAGEREF _Toc39696125 \h </w:instrText>
        </w:r>
        <w:r w:rsidR="00EA110F">
          <w:rPr>
            <w:noProof/>
            <w:webHidden/>
          </w:rPr>
        </w:r>
        <w:r w:rsidR="00EA110F">
          <w:rPr>
            <w:noProof/>
            <w:webHidden/>
          </w:rPr>
          <w:fldChar w:fldCharType="separate"/>
        </w:r>
        <w:r w:rsidR="00EA110F">
          <w:rPr>
            <w:noProof/>
            <w:webHidden/>
          </w:rPr>
          <w:t>5</w:t>
        </w:r>
        <w:r w:rsidR="00EA110F">
          <w:rPr>
            <w:noProof/>
            <w:webHidden/>
          </w:rPr>
          <w:fldChar w:fldCharType="end"/>
        </w:r>
      </w:hyperlink>
    </w:p>
    <w:p w14:paraId="044F7C1C" w14:textId="77777777" w:rsidR="008D44D4" w:rsidRDefault="009E0318">
      <w:pPr>
        <w:pStyle w:val="Tabeldefiguri"/>
        <w:tabs>
          <w:tab w:val="right" w:leader="dot" w:pos="9016"/>
        </w:tabs>
        <w:rPr>
          <w:rFonts w:asciiTheme="minorHAnsi" w:eastAsiaTheme="minorEastAsia" w:hAnsiTheme="minorHAnsi"/>
          <w:noProof/>
          <w:sz w:val="22"/>
          <w:lang w:eastAsia="en-GB"/>
        </w:rPr>
      </w:pPr>
      <w:hyperlink w:anchor="_Toc39696126" w:history="1">
        <w:r w:rsidR="00EA110F" w:rsidRPr="001F22AD">
          <w:rPr>
            <w:rStyle w:val="Hyperlink"/>
            <w:noProof/>
          </w:rPr>
          <w:t>Figure 4: Porter's Five Forces Model of Global Automobile Industry</w:t>
        </w:r>
        <w:r w:rsidR="00EA110F">
          <w:rPr>
            <w:noProof/>
            <w:webHidden/>
          </w:rPr>
          <w:tab/>
        </w:r>
        <w:r w:rsidR="00EA110F">
          <w:rPr>
            <w:noProof/>
            <w:webHidden/>
          </w:rPr>
          <w:fldChar w:fldCharType="begin"/>
        </w:r>
        <w:r w:rsidR="00EA110F">
          <w:rPr>
            <w:noProof/>
            <w:webHidden/>
          </w:rPr>
          <w:instrText xml:space="preserve"> PAGEREF _Toc39696126 \h </w:instrText>
        </w:r>
        <w:r w:rsidR="00EA110F">
          <w:rPr>
            <w:noProof/>
            <w:webHidden/>
          </w:rPr>
        </w:r>
        <w:r w:rsidR="00EA110F">
          <w:rPr>
            <w:noProof/>
            <w:webHidden/>
          </w:rPr>
          <w:fldChar w:fldCharType="separate"/>
        </w:r>
        <w:r w:rsidR="00EA110F">
          <w:rPr>
            <w:noProof/>
            <w:webHidden/>
          </w:rPr>
          <w:t>7</w:t>
        </w:r>
        <w:r w:rsidR="00EA110F">
          <w:rPr>
            <w:noProof/>
            <w:webHidden/>
          </w:rPr>
          <w:fldChar w:fldCharType="end"/>
        </w:r>
      </w:hyperlink>
    </w:p>
    <w:p w14:paraId="7858F2B2" w14:textId="77777777" w:rsidR="008D44D4" w:rsidRDefault="00EA110F" w:rsidP="00985EC0">
      <w:pPr>
        <w:pStyle w:val="Titlu1"/>
      </w:pPr>
      <w:r>
        <w:fldChar w:fldCharType="end"/>
      </w:r>
    </w:p>
    <w:p w14:paraId="07637D2B" w14:textId="77777777" w:rsidR="008D44D4" w:rsidRDefault="008D44D4" w:rsidP="008D44D4"/>
    <w:p w14:paraId="0EC5A0AF" w14:textId="77777777" w:rsidR="008D44D4" w:rsidRDefault="008D44D4" w:rsidP="008D44D4"/>
    <w:p w14:paraId="4EB206AE" w14:textId="77777777" w:rsidR="008D44D4" w:rsidRDefault="008D44D4" w:rsidP="008D44D4"/>
    <w:p w14:paraId="1EB72864" w14:textId="77777777" w:rsidR="008D44D4" w:rsidRDefault="008D44D4" w:rsidP="008D44D4"/>
    <w:p w14:paraId="73953C5F" w14:textId="77777777" w:rsidR="008D44D4" w:rsidRDefault="008D44D4" w:rsidP="008D44D4"/>
    <w:p w14:paraId="3F3A039F" w14:textId="77777777" w:rsidR="008D44D4" w:rsidRDefault="008D44D4" w:rsidP="008D44D4"/>
    <w:p w14:paraId="2FA9AF06" w14:textId="77777777" w:rsidR="008D44D4" w:rsidRDefault="008D44D4" w:rsidP="008D44D4"/>
    <w:p w14:paraId="1BAC3EDE" w14:textId="77777777" w:rsidR="008D44D4" w:rsidRDefault="008D44D4" w:rsidP="008D44D4"/>
    <w:p w14:paraId="39F47B47" w14:textId="77777777" w:rsidR="008D44D4" w:rsidRDefault="008D44D4" w:rsidP="008D44D4"/>
    <w:p w14:paraId="732A2835" w14:textId="77777777" w:rsidR="008D44D4" w:rsidRDefault="008D44D4" w:rsidP="008D44D4"/>
    <w:p w14:paraId="33557C28" w14:textId="77777777" w:rsidR="008D44D4" w:rsidRDefault="008D44D4" w:rsidP="008D44D4"/>
    <w:p w14:paraId="7188CA98" w14:textId="77777777" w:rsidR="008D44D4" w:rsidRDefault="008D44D4" w:rsidP="008D44D4"/>
    <w:p w14:paraId="27D10EAC" w14:textId="77777777" w:rsidR="008D44D4" w:rsidRDefault="008D44D4" w:rsidP="008D44D4"/>
    <w:p w14:paraId="1A2CB43A" w14:textId="77777777" w:rsidR="008D44D4" w:rsidRPr="008D44D4" w:rsidRDefault="008D44D4" w:rsidP="008D44D4"/>
    <w:p w14:paraId="400AE372" w14:textId="77777777" w:rsidR="00985EC0" w:rsidRDefault="00EA110F" w:rsidP="00985EC0">
      <w:pPr>
        <w:pStyle w:val="Titlu1"/>
      </w:pPr>
      <w:r>
        <w:lastRenderedPageBreak/>
        <w:t>Introduction</w:t>
      </w:r>
      <w:bookmarkEnd w:id="0"/>
      <w:r>
        <w:t xml:space="preserve"> </w:t>
      </w:r>
    </w:p>
    <w:p w14:paraId="7CC4661A" w14:textId="131CDADA" w:rsidR="00732F7B" w:rsidRDefault="00EA110F" w:rsidP="00732F7B">
      <w:r>
        <w:t>The case study shows how Volvo tried to move by deciding to replace ICE by Electric engine according to the customer</w:t>
      </w:r>
      <w:r w:rsidR="00BD06C0">
        <w:t>s’ present and</w:t>
      </w:r>
      <w:r>
        <w:t xml:space="preserve"> future need. </w:t>
      </w:r>
      <w:r w:rsidR="00BD06C0">
        <w:t>The emerging changes in the automotive industry are for the technology and innovation which helps to prevent environmental pollution, use of non-renewable energy and ensure passenger safety</w:t>
      </w:r>
      <w:r w:rsidR="001F05FC">
        <w:t xml:space="preserve"> </w:t>
      </w:r>
      <w:r w:rsidR="001F05FC" w:rsidRPr="001F05FC">
        <w:t>(Mytna Kurekova, 2018)</w:t>
      </w:r>
      <w:r w:rsidR="00BD06C0">
        <w:t>. Electric vehicles are taking place of the Internal Combustion E</w:t>
      </w:r>
      <w:r w:rsidR="00BD06C0" w:rsidRPr="006608E4">
        <w:t>ngine (ICE)</w:t>
      </w:r>
      <w:r w:rsidR="00BD06C0">
        <w:t xml:space="preserve"> which is generally generate power by oil, petrol, or other fuel inside the engine. Not only there is national demand it has international demand also where China </w:t>
      </w:r>
      <w:r w:rsidR="00BD06C0">
        <w:rPr>
          <w:szCs w:val="24"/>
        </w:rPr>
        <w:t>is assuming one of five cars sold in China will be e-vehicle by 2025</w:t>
      </w:r>
      <w:r w:rsidR="00BD06C0" w:rsidRPr="00142CB0">
        <w:t xml:space="preserve"> </w:t>
      </w:r>
      <w:r w:rsidR="00BD06C0" w:rsidRPr="002739AB">
        <w:rPr>
          <w:szCs w:val="24"/>
        </w:rPr>
        <w:t>(Mathews and Tan, 2014)</w:t>
      </w:r>
      <w:r w:rsidR="00BD06C0">
        <w:rPr>
          <w:szCs w:val="24"/>
        </w:rPr>
        <w:t xml:space="preserve"> and India is working as the hub of research and technology for the electric vehicle. For the obvious reason, there will be many opportunities in the new automotive industry but it will take place of some of the existing businesses from the industry.   </w:t>
      </w:r>
    </w:p>
    <w:p w14:paraId="158DDD8C" w14:textId="77777777" w:rsidR="00985EC0" w:rsidRDefault="00EA110F" w:rsidP="00732F7B">
      <w:r>
        <w:br w:type="page"/>
      </w:r>
    </w:p>
    <w:p w14:paraId="7E78FF20" w14:textId="77777777" w:rsidR="00985EC0" w:rsidRDefault="00EA110F" w:rsidP="00985EC0">
      <w:pPr>
        <w:pStyle w:val="Titlu1"/>
      </w:pPr>
      <w:bookmarkStart w:id="1" w:name="_Toc39696023"/>
      <w:r>
        <w:lastRenderedPageBreak/>
        <w:t>Description</w:t>
      </w:r>
      <w:bookmarkEnd w:id="1"/>
      <w:r>
        <w:t xml:space="preserve"> </w:t>
      </w:r>
    </w:p>
    <w:p w14:paraId="02E06278" w14:textId="77777777" w:rsidR="00985EC0" w:rsidRDefault="00EA110F" w:rsidP="00985EC0">
      <w:r>
        <w:rPr>
          <w:noProof/>
          <w:lang w:val="en-US"/>
        </w:rPr>
        <w:drawing>
          <wp:anchor distT="0" distB="0" distL="114300" distR="114300" simplePos="0" relativeHeight="251658240" behindDoc="0" locked="0" layoutInCell="1" allowOverlap="1" wp14:anchorId="0BF3E34A" wp14:editId="26633D04">
            <wp:simplePos x="0" y="0"/>
            <wp:positionH relativeFrom="margin">
              <wp:align>center</wp:align>
            </wp:positionH>
            <wp:positionV relativeFrom="paragraph">
              <wp:posOffset>3110252</wp:posOffset>
            </wp:positionV>
            <wp:extent cx="3436620" cy="22352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402088" name="download.png"/>
                    <pic:cNvPicPr/>
                  </pic:nvPicPr>
                  <pic:blipFill>
                    <a:blip r:embed="rId9">
                      <a:extLst>
                        <a:ext uri="{28A0092B-C50C-407E-A947-70E740481C1C}">
                          <a14:useLocalDpi xmlns:a14="http://schemas.microsoft.com/office/drawing/2010/main" val="0"/>
                        </a:ext>
                      </a:extLst>
                    </a:blip>
                    <a:srcRect b="8120"/>
                    <a:stretch>
                      <a:fillRect/>
                    </a:stretch>
                  </pic:blipFill>
                  <pic:spPr bwMode="auto">
                    <a:xfrm>
                      <a:off x="0" y="0"/>
                      <a:ext cx="3436620" cy="2235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Electric </w:t>
      </w:r>
      <w:r w:rsidR="005D5651">
        <w:t>vehicles</w:t>
      </w:r>
      <w:r w:rsidR="006608E4">
        <w:t xml:space="preserve"> are taking place of the Internal Combustion E</w:t>
      </w:r>
      <w:r w:rsidR="006608E4" w:rsidRPr="006608E4">
        <w:t>ngine (ICE)</w:t>
      </w:r>
      <w:r w:rsidR="006608E4">
        <w:t xml:space="preserve"> which is generally generate power by oil, petrol, or other fuel inside the engine. Many car manufacturing companies are starting to produce more electronic cars and reducing the amount of ICE as there are huge customer demand and Government influence </w:t>
      </w:r>
      <w:r w:rsidR="00050E12" w:rsidRPr="00050E12">
        <w:t>(Bablo, 2016)</w:t>
      </w:r>
      <w:r w:rsidR="00050E12">
        <w:t>.</w:t>
      </w:r>
      <w:r w:rsidR="006608E4">
        <w:t xml:space="preserve"> Due to the use of renewable energy, electric cars </w:t>
      </w:r>
      <w:r w:rsidR="009D638F">
        <w:t xml:space="preserve">emit less air pollution and save the use of non-renewable energy and for this reason, governments of many countries and executives of the automobile industry are focusing more on the electric car. </w:t>
      </w:r>
      <w:r w:rsidR="005D5651">
        <w:t xml:space="preserve">The present situation of this industry can be described by product life cycle which shows the introduction of a product in the market to the decline of the product from the market. Electric vehicles are in the growth stage in the market as the consumers are gradually adopting this and </w:t>
      </w:r>
      <w:r w:rsidR="00BB50E5">
        <w:t>the sales are increasing</w:t>
      </w:r>
      <w:r w:rsidR="00050E12">
        <w:t xml:space="preserve"> </w:t>
      </w:r>
      <w:r w:rsidR="00050E12" w:rsidRPr="00050E12">
        <w:t>(Roy, Ménard and Fallaha, 2016)</w:t>
      </w:r>
      <w:r w:rsidR="00BB50E5">
        <w:t xml:space="preserve">. For this reason, </w:t>
      </w:r>
      <w:r w:rsidR="00DF0CFD">
        <w:t xml:space="preserve">there are more business opportunities than a mature or declined industry. </w:t>
      </w:r>
    </w:p>
    <w:p w14:paraId="752E422C" w14:textId="77777777" w:rsidR="008A2668" w:rsidRPr="005D1BD9" w:rsidRDefault="00EA110F" w:rsidP="005D1BD9">
      <w:pPr>
        <w:pStyle w:val="Legend"/>
        <w:jc w:val="center"/>
        <w:rPr>
          <w:color w:val="auto"/>
          <w:sz w:val="20"/>
          <w:szCs w:val="20"/>
        </w:rPr>
      </w:pPr>
      <w:bookmarkStart w:id="2" w:name="_Toc39696089"/>
      <w:bookmarkStart w:id="3" w:name="_Toc39696123"/>
      <w:r w:rsidRPr="005D1BD9">
        <w:rPr>
          <w:color w:val="auto"/>
          <w:sz w:val="20"/>
          <w:szCs w:val="20"/>
        </w:rPr>
        <w:t xml:space="preserve">Figure </w:t>
      </w:r>
      <w:r w:rsidRPr="005D1BD9">
        <w:rPr>
          <w:color w:val="auto"/>
          <w:sz w:val="20"/>
          <w:szCs w:val="20"/>
        </w:rPr>
        <w:fldChar w:fldCharType="begin"/>
      </w:r>
      <w:r w:rsidRPr="005D1BD9">
        <w:rPr>
          <w:color w:val="auto"/>
          <w:sz w:val="20"/>
          <w:szCs w:val="20"/>
        </w:rPr>
        <w:instrText xml:space="preserve"> SEQ Figure \* ARABIC </w:instrText>
      </w:r>
      <w:r w:rsidRPr="005D1BD9">
        <w:rPr>
          <w:color w:val="auto"/>
          <w:sz w:val="20"/>
          <w:szCs w:val="20"/>
        </w:rPr>
        <w:fldChar w:fldCharType="separate"/>
      </w:r>
      <w:r>
        <w:rPr>
          <w:noProof/>
          <w:color w:val="auto"/>
          <w:sz w:val="20"/>
          <w:szCs w:val="20"/>
        </w:rPr>
        <w:t>1</w:t>
      </w:r>
      <w:r w:rsidRPr="005D1BD9">
        <w:rPr>
          <w:color w:val="auto"/>
          <w:sz w:val="20"/>
          <w:szCs w:val="20"/>
        </w:rPr>
        <w:fldChar w:fldCharType="end"/>
      </w:r>
      <w:r w:rsidRPr="005D1BD9">
        <w:rPr>
          <w:color w:val="auto"/>
          <w:sz w:val="20"/>
          <w:szCs w:val="20"/>
        </w:rPr>
        <w:t xml:space="preserve">: </w:t>
      </w:r>
      <w:r>
        <w:rPr>
          <w:color w:val="auto"/>
          <w:sz w:val="20"/>
          <w:szCs w:val="20"/>
        </w:rPr>
        <w:t>Product Life Cycle</w:t>
      </w:r>
      <w:bookmarkEnd w:id="2"/>
      <w:bookmarkEnd w:id="3"/>
    </w:p>
    <w:p w14:paraId="0AAD951D" w14:textId="6C705208" w:rsidR="008A2668" w:rsidRPr="008A2668" w:rsidRDefault="00EA110F" w:rsidP="008A2668">
      <w:pPr>
        <w:jc w:val="center"/>
        <w:rPr>
          <w:i/>
          <w:sz w:val="20"/>
          <w:szCs w:val="20"/>
        </w:rPr>
      </w:pPr>
      <w:r>
        <w:rPr>
          <w:i/>
          <w:sz w:val="20"/>
          <w:szCs w:val="20"/>
        </w:rPr>
        <w:t xml:space="preserve">Source: </w:t>
      </w:r>
      <w:r w:rsidR="003C2539">
        <w:rPr>
          <w:i/>
          <w:sz w:val="20"/>
          <w:szCs w:val="20"/>
        </w:rPr>
        <w:t>(</w:t>
      </w:r>
      <w:r w:rsidRPr="00AD429D">
        <w:rPr>
          <w:i/>
          <w:sz w:val="20"/>
          <w:szCs w:val="20"/>
        </w:rPr>
        <w:t>Roy, P., Ménard, J. and Fallaha, S., 2016.</w:t>
      </w:r>
      <w:r w:rsidR="003C2539">
        <w:rPr>
          <w:i/>
          <w:sz w:val="20"/>
          <w:szCs w:val="20"/>
        </w:rPr>
        <w:t>)</w:t>
      </w:r>
    </w:p>
    <w:p w14:paraId="403E3F25" w14:textId="77777777" w:rsidR="00E7591D" w:rsidRDefault="00EA110F" w:rsidP="00985EC0">
      <w:pPr>
        <w:rPr>
          <w:b/>
        </w:rPr>
      </w:pPr>
      <w:r w:rsidRPr="00985EC0">
        <w:rPr>
          <w:b/>
        </w:rPr>
        <w:t xml:space="preserve">Identifying the new business opportunities </w:t>
      </w:r>
    </w:p>
    <w:p w14:paraId="2F093E77" w14:textId="77777777" w:rsidR="008A2668" w:rsidRPr="00BA05F9" w:rsidRDefault="00EA110F" w:rsidP="00BA05F9">
      <w:r>
        <w:t xml:space="preserve">The electric car industry is a cluster business where geographically concentrated suppliers and dealers </w:t>
      </w:r>
      <w:r w:rsidR="00263144">
        <w:t xml:space="preserve">are associated in a specific field and this creates many business opportunities for running the industry smoothly. The emergence of the electric car can jeopardize the </w:t>
      </w:r>
      <w:r w:rsidR="0040655B">
        <w:t xml:space="preserve">demand of the </w:t>
      </w:r>
      <w:r w:rsidR="00263144">
        <w:t>fuel industry like oil, petrol, diesel, gasoline</w:t>
      </w:r>
      <w:r w:rsidR="0040655B">
        <w:t xml:space="preserve"> etc. but eventually it offers many opportunities at the same time and these business opportunities can be in the platform of pipeline business model</w:t>
      </w:r>
      <w:r w:rsidR="00C73A3A">
        <w:t xml:space="preserve"> </w:t>
      </w:r>
      <w:r w:rsidR="002C2533" w:rsidRPr="002C2533">
        <w:t>(Kosior, 2015)</w:t>
      </w:r>
      <w:r w:rsidR="0040655B">
        <w:t xml:space="preserve">. The increasing development in the electric car industry will increase the demand for charging stations. </w:t>
      </w:r>
      <w:r w:rsidR="00C73A3A">
        <w:t xml:space="preserve">The platform business model for </w:t>
      </w:r>
      <w:r w:rsidR="00C73A3A">
        <w:lastRenderedPageBreak/>
        <w:t>charging stations for electric cars can connect with the Original Equipment Manufacturers or OEM and collect fees accordingly the per car</w:t>
      </w:r>
      <w:r>
        <w:t xml:space="preserve"> charging per year and provide free charging service to the users </w:t>
      </w:r>
      <w:r w:rsidR="002C2533" w:rsidRPr="002C2533">
        <w:t xml:space="preserve">(Kosior, </w:t>
      </w:r>
      <w:r w:rsidR="00BA05F9">
        <w:rPr>
          <w:noProof/>
          <w:sz w:val="20"/>
          <w:szCs w:val="20"/>
          <w:lang w:val="en-US"/>
        </w:rPr>
        <w:drawing>
          <wp:anchor distT="0" distB="0" distL="114300" distR="114300" simplePos="0" relativeHeight="251658243" behindDoc="0" locked="0" layoutInCell="1" allowOverlap="1" wp14:anchorId="48287F98" wp14:editId="54B3CC73">
            <wp:simplePos x="0" y="0"/>
            <wp:positionH relativeFrom="margin">
              <wp:align>center</wp:align>
            </wp:positionH>
            <wp:positionV relativeFrom="paragraph">
              <wp:posOffset>451880</wp:posOffset>
            </wp:positionV>
            <wp:extent cx="4732956" cy="2243738"/>
            <wp:effectExtent l="0" t="0" r="0" b="444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843098" name="ev2.jpg"/>
                    <pic:cNvPicPr/>
                  </pic:nvPicPr>
                  <pic:blipFill>
                    <a:blip r:embed="rId10" cstate="print">
                      <a:extLst>
                        <a:ext uri="{28A0092B-C50C-407E-A947-70E740481C1C}">
                          <a14:useLocalDpi xmlns:a14="http://schemas.microsoft.com/office/drawing/2010/main" val="0"/>
                        </a:ext>
                      </a:extLst>
                    </a:blip>
                    <a:srcRect t="10101" b="5619"/>
                    <a:stretch>
                      <a:fillRect/>
                    </a:stretch>
                  </pic:blipFill>
                  <pic:spPr bwMode="auto">
                    <a:xfrm>
                      <a:off x="0" y="0"/>
                      <a:ext cx="4732956" cy="2243738"/>
                    </a:xfrm>
                    <a:prstGeom prst="rect">
                      <a:avLst/>
                    </a:prstGeom>
                    <a:ln>
                      <a:noFill/>
                    </a:ln>
                    <a:extLst>
                      <a:ext uri="{53640926-AAD7-44D8-BBD7-CCE9431645EC}">
                        <a14:shadowObscured xmlns:a14="http://schemas.microsoft.com/office/drawing/2010/main"/>
                      </a:ext>
                    </a:extLst>
                  </pic:spPr>
                </pic:pic>
              </a:graphicData>
            </a:graphic>
          </wp:anchor>
        </w:drawing>
      </w:r>
      <w:r w:rsidR="002C2533" w:rsidRPr="002C2533">
        <w:t>2015)</w:t>
      </w:r>
      <w:r>
        <w:t xml:space="preserve"> and this business needs very small investment.</w:t>
      </w:r>
      <w:r w:rsidR="003C553B">
        <w:t xml:space="preserve"> </w:t>
      </w:r>
    </w:p>
    <w:p w14:paraId="10AE34C6" w14:textId="77777777" w:rsidR="005D1BD9" w:rsidRPr="005D1BD9" w:rsidRDefault="00EA110F" w:rsidP="005D1BD9">
      <w:pPr>
        <w:pStyle w:val="Legend"/>
        <w:jc w:val="center"/>
        <w:rPr>
          <w:i w:val="0"/>
          <w:color w:val="auto"/>
          <w:sz w:val="20"/>
          <w:szCs w:val="20"/>
        </w:rPr>
      </w:pPr>
      <w:bookmarkStart w:id="4" w:name="_Toc39696090"/>
      <w:bookmarkStart w:id="5" w:name="_Toc39696124"/>
      <w:r w:rsidRPr="005D1BD9">
        <w:rPr>
          <w:color w:val="auto"/>
          <w:sz w:val="20"/>
          <w:szCs w:val="20"/>
        </w:rPr>
        <w:t xml:space="preserve">Figure </w:t>
      </w:r>
      <w:r w:rsidRPr="005D1BD9">
        <w:rPr>
          <w:color w:val="auto"/>
          <w:sz w:val="20"/>
          <w:szCs w:val="20"/>
        </w:rPr>
        <w:fldChar w:fldCharType="begin"/>
      </w:r>
      <w:r w:rsidRPr="005D1BD9">
        <w:rPr>
          <w:color w:val="auto"/>
          <w:sz w:val="20"/>
          <w:szCs w:val="20"/>
        </w:rPr>
        <w:instrText xml:space="preserve"> SEQ Figure \* ARABIC </w:instrText>
      </w:r>
      <w:r w:rsidRPr="005D1BD9">
        <w:rPr>
          <w:color w:val="auto"/>
          <w:sz w:val="20"/>
          <w:szCs w:val="20"/>
        </w:rPr>
        <w:fldChar w:fldCharType="separate"/>
      </w:r>
      <w:r>
        <w:rPr>
          <w:noProof/>
          <w:color w:val="auto"/>
          <w:sz w:val="20"/>
          <w:szCs w:val="20"/>
        </w:rPr>
        <w:t>2</w:t>
      </w:r>
      <w:r w:rsidRPr="005D1BD9">
        <w:rPr>
          <w:color w:val="auto"/>
          <w:sz w:val="20"/>
          <w:szCs w:val="20"/>
        </w:rPr>
        <w:fldChar w:fldCharType="end"/>
      </w:r>
      <w:r w:rsidRPr="005D1BD9">
        <w:rPr>
          <w:color w:val="auto"/>
          <w:sz w:val="20"/>
          <w:szCs w:val="20"/>
        </w:rPr>
        <w:t>: Platform Business Model for Electric Car Charger</w:t>
      </w:r>
      <w:bookmarkEnd w:id="4"/>
      <w:bookmarkEnd w:id="5"/>
    </w:p>
    <w:p w14:paraId="062B45BB" w14:textId="77777777" w:rsidR="0040655B" w:rsidRDefault="00EA110F" w:rsidP="003C553B">
      <w:pPr>
        <w:jc w:val="center"/>
        <w:rPr>
          <w:i/>
          <w:sz w:val="20"/>
          <w:szCs w:val="20"/>
        </w:rPr>
      </w:pPr>
      <w:r>
        <w:rPr>
          <w:i/>
          <w:sz w:val="20"/>
          <w:szCs w:val="20"/>
        </w:rPr>
        <w:t>Source:</w:t>
      </w:r>
      <w:r w:rsidR="002C2533" w:rsidRPr="002C2533">
        <w:t xml:space="preserve"> </w:t>
      </w:r>
      <w:r w:rsidR="002C2533" w:rsidRPr="002C2533">
        <w:rPr>
          <w:i/>
          <w:sz w:val="20"/>
          <w:szCs w:val="20"/>
        </w:rPr>
        <w:t>Kosior,</w:t>
      </w:r>
      <w:r w:rsidR="002C2533">
        <w:rPr>
          <w:i/>
          <w:sz w:val="20"/>
          <w:szCs w:val="20"/>
        </w:rPr>
        <w:t xml:space="preserve"> K., 2015.</w:t>
      </w:r>
    </w:p>
    <w:p w14:paraId="451EDA72" w14:textId="77777777" w:rsidR="001E5929" w:rsidRDefault="00EA110F" w:rsidP="003C553B">
      <w:pPr>
        <w:rPr>
          <w:szCs w:val="24"/>
        </w:rPr>
      </w:pPr>
      <w:r>
        <w:rPr>
          <w:szCs w:val="24"/>
        </w:rPr>
        <w:t>Along with the charging facilities entrepreneurs can contact with the charging station owners that are already in operation like Tesla, and offer the customers a "Charge and Chill" experience where customer can charge their electric car and enjoy snacks in the restaurant or can go for shopping in the mini shop. There is an amazing opportunity of starting a business of providing battery or other electric car parts disposal service.</w:t>
      </w:r>
    </w:p>
    <w:p w14:paraId="4BAF1424" w14:textId="77777777" w:rsidR="003C553B" w:rsidRDefault="00EA110F" w:rsidP="003C553B">
      <w:pPr>
        <w:rPr>
          <w:szCs w:val="24"/>
        </w:rPr>
      </w:pPr>
      <w:r>
        <w:rPr>
          <w:szCs w:val="24"/>
        </w:rPr>
        <w:t xml:space="preserve">To understand the environment affecting the </w:t>
      </w:r>
      <w:r w:rsidR="00240F3F">
        <w:rPr>
          <w:szCs w:val="24"/>
        </w:rPr>
        <w:t>electric vehicle industry PESTEL</w:t>
      </w:r>
      <w:r>
        <w:rPr>
          <w:szCs w:val="24"/>
        </w:rPr>
        <w:t xml:space="preserve"> analysis can be conducted to analyse the overall situation and whether the macro-environmental factors are suitable for this industry or not.  </w:t>
      </w:r>
      <w:r w:rsidR="00240F3F">
        <w:rPr>
          <w:szCs w:val="24"/>
        </w:rPr>
        <w:t>Here, PESTEL analysis is chosen as it helps to examine the external environment of the business and helps to keep on the path</w:t>
      </w:r>
      <w:r w:rsidR="000303F1">
        <w:rPr>
          <w:szCs w:val="24"/>
        </w:rPr>
        <w:t xml:space="preserve"> as E-vehicle industry is on its growth stage. PESTEL analysis will analyse the political, economic, social, technological, environmental and legal factors related to E-vehicle. </w:t>
      </w:r>
    </w:p>
    <w:p w14:paraId="16A482EC" w14:textId="77777777" w:rsidR="00265AF7" w:rsidRDefault="00EA110F" w:rsidP="00985EC0">
      <w:pPr>
        <w:rPr>
          <w:szCs w:val="24"/>
        </w:rPr>
      </w:pPr>
      <w:r w:rsidRPr="0018398E">
        <w:rPr>
          <w:b/>
          <w:szCs w:val="24"/>
        </w:rPr>
        <w:t>Political:</w:t>
      </w:r>
      <w:r>
        <w:rPr>
          <w:szCs w:val="24"/>
        </w:rPr>
        <w:t xml:space="preserve"> Citizens of a country is more </w:t>
      </w:r>
      <w:r w:rsidR="0018398E">
        <w:rPr>
          <w:szCs w:val="24"/>
        </w:rPr>
        <w:t>likely to buy e-vehicles when the government</w:t>
      </w:r>
      <w:r>
        <w:rPr>
          <w:szCs w:val="24"/>
        </w:rPr>
        <w:t xml:space="preserve"> ensures high environmental principles</w:t>
      </w:r>
      <w:r w:rsidR="0018398E">
        <w:rPr>
          <w:szCs w:val="24"/>
        </w:rPr>
        <w:t xml:space="preserve"> and the infrastructures, investment is also depended on the political initiatives. Horizon 2020, one of the biggest </w:t>
      </w:r>
      <w:r w:rsidR="0018398E">
        <w:t>European Union Research and Innovation Programme</w:t>
      </w:r>
      <w:r w:rsidR="0018398E">
        <w:rPr>
          <w:szCs w:val="24"/>
        </w:rPr>
        <w:t xml:space="preserve"> has supported the production and development of electric vehicles with a funding of 80 billion Euro</w:t>
      </w:r>
      <w:r w:rsidR="002C2533" w:rsidRPr="002C2533">
        <w:t xml:space="preserve"> </w:t>
      </w:r>
      <w:r w:rsidR="002C2533" w:rsidRPr="002C2533">
        <w:rPr>
          <w:szCs w:val="24"/>
        </w:rPr>
        <w:t>(Horizon 2020, 2020)</w:t>
      </w:r>
      <w:r w:rsidR="002C2533">
        <w:rPr>
          <w:szCs w:val="24"/>
        </w:rPr>
        <w:t xml:space="preserve">. </w:t>
      </w:r>
    </w:p>
    <w:p w14:paraId="403F430B" w14:textId="77777777" w:rsidR="0040655B" w:rsidRDefault="00EA110F" w:rsidP="00985EC0">
      <w:pPr>
        <w:rPr>
          <w:szCs w:val="24"/>
        </w:rPr>
      </w:pPr>
      <w:r w:rsidRPr="00265AF7">
        <w:rPr>
          <w:b/>
          <w:szCs w:val="24"/>
        </w:rPr>
        <w:t>Economic:</w:t>
      </w:r>
      <w:r>
        <w:rPr>
          <w:szCs w:val="24"/>
        </w:rPr>
        <w:t xml:space="preserve"> The economic environment of E-vehicle is related to the overall automobile industry and the sales of the e-vehicle are increasing rapidly but this is not enough for the </w:t>
      </w:r>
      <w:r>
        <w:rPr>
          <w:szCs w:val="24"/>
        </w:rPr>
        <w:lastRenderedPageBreak/>
        <w:t xml:space="preserve">investors and the manufacturing companies. But the growth of the e-vehicle is faster than the ICE auto-mobile and it is expected that by this year the growth of e-vehicle will be more than 12% </w:t>
      </w:r>
      <w:r w:rsidR="002739AB" w:rsidRPr="002739AB">
        <w:rPr>
          <w:szCs w:val="24"/>
        </w:rPr>
        <w:t>(Qiao and Lei, 2014)</w:t>
      </w:r>
      <w:r>
        <w:rPr>
          <w:szCs w:val="24"/>
        </w:rPr>
        <w:t xml:space="preserve">. </w:t>
      </w:r>
      <w:r w:rsidR="00142CB0">
        <w:rPr>
          <w:szCs w:val="24"/>
        </w:rPr>
        <w:t xml:space="preserve">China is the biggest supporter of E-vehicle and they are assuming one of five cars sold in </w:t>
      </w:r>
      <w:r w:rsidR="002739AB">
        <w:rPr>
          <w:szCs w:val="24"/>
        </w:rPr>
        <w:t>China will be e-vehicle by 2025</w:t>
      </w:r>
      <w:r w:rsidR="00142CB0" w:rsidRPr="00142CB0">
        <w:t xml:space="preserve"> </w:t>
      </w:r>
      <w:r w:rsidR="002739AB" w:rsidRPr="002739AB">
        <w:rPr>
          <w:szCs w:val="24"/>
        </w:rPr>
        <w:t>(Mathews and Tan, 2014)</w:t>
      </w:r>
      <w:r w:rsidR="002739AB">
        <w:rPr>
          <w:szCs w:val="24"/>
        </w:rPr>
        <w:t xml:space="preserve">. </w:t>
      </w:r>
    </w:p>
    <w:p w14:paraId="55FBD662" w14:textId="77777777" w:rsidR="0018398E" w:rsidRDefault="00EA110F" w:rsidP="00985EC0">
      <w:pPr>
        <w:rPr>
          <w:szCs w:val="24"/>
        </w:rPr>
      </w:pPr>
      <w:r w:rsidRPr="003F7078">
        <w:rPr>
          <w:b/>
          <w:szCs w:val="24"/>
        </w:rPr>
        <w:t>Social:</w:t>
      </w:r>
      <w:r>
        <w:rPr>
          <w:szCs w:val="24"/>
        </w:rPr>
        <w:t xml:space="preserve"> </w:t>
      </w:r>
      <w:r w:rsidR="0008614F">
        <w:rPr>
          <w:szCs w:val="24"/>
        </w:rPr>
        <w:t>Social factors represent the demand and attitude towards electric vehicles and mobile lifestyles and trend affect customer buying behaviour and for the automobile industry this is significant</w:t>
      </w:r>
      <w:r w:rsidR="003F7078">
        <w:rPr>
          <w:szCs w:val="24"/>
        </w:rPr>
        <w:t xml:space="preserve"> </w:t>
      </w:r>
      <w:r w:rsidR="002739AB" w:rsidRPr="002739AB">
        <w:rPr>
          <w:szCs w:val="24"/>
        </w:rPr>
        <w:t>(Qiao and Lei, 2014)</w:t>
      </w:r>
      <w:r w:rsidR="002739AB">
        <w:rPr>
          <w:szCs w:val="24"/>
        </w:rPr>
        <w:t xml:space="preserve">. </w:t>
      </w:r>
      <w:r w:rsidR="003F7078">
        <w:rPr>
          <w:szCs w:val="24"/>
        </w:rPr>
        <w:t>As e-vehicle is eco-friendly and less costly than a regular automobile, customers are starting to pay more attention to this.</w:t>
      </w:r>
    </w:p>
    <w:p w14:paraId="395C6231" w14:textId="77777777" w:rsidR="001C2204" w:rsidRDefault="00EA110F" w:rsidP="003F7078">
      <w:pPr>
        <w:rPr>
          <w:szCs w:val="24"/>
        </w:rPr>
      </w:pPr>
      <w:r w:rsidRPr="0027086C">
        <w:rPr>
          <w:b/>
          <w:szCs w:val="24"/>
        </w:rPr>
        <w:t>Technological:</w:t>
      </w:r>
      <w:r>
        <w:rPr>
          <w:szCs w:val="24"/>
        </w:rPr>
        <w:t xml:space="preserve"> E-vehicle industry is being technologically advance every year and they are trying to incorporate more facilities to develop the eco-friendly vehicle as well as providing comfort to the customers at the same time </w:t>
      </w:r>
      <w:r w:rsidR="00C71248" w:rsidRPr="00C71248">
        <w:rPr>
          <w:szCs w:val="24"/>
        </w:rPr>
        <w:t>(Müller, 2019)</w:t>
      </w:r>
      <w:r>
        <w:rPr>
          <w:szCs w:val="24"/>
        </w:rPr>
        <w:t xml:space="preserve">. But there are still some technological challenges that this industry is facing, the number of charging station is low and the distance covered by the electric car is </w:t>
      </w:r>
      <w:r w:rsidR="008F3314">
        <w:rPr>
          <w:szCs w:val="24"/>
        </w:rPr>
        <w:t>less than an average automobile</w:t>
      </w:r>
      <w:r>
        <w:rPr>
          <w:szCs w:val="24"/>
        </w:rPr>
        <w:t xml:space="preserve">. </w:t>
      </w:r>
    </w:p>
    <w:p w14:paraId="282FBD8E" w14:textId="77777777" w:rsidR="0027086C" w:rsidRDefault="00EA110F" w:rsidP="00985EC0">
      <w:pPr>
        <w:rPr>
          <w:szCs w:val="24"/>
        </w:rPr>
      </w:pPr>
      <w:r w:rsidRPr="000A43B2">
        <w:rPr>
          <w:b/>
          <w:szCs w:val="24"/>
        </w:rPr>
        <w:t>Environmental:</w:t>
      </w:r>
      <w:r>
        <w:rPr>
          <w:szCs w:val="24"/>
        </w:rPr>
        <w:t xml:space="preserve"> Environmental factors shows the effect of e-vehicle </w:t>
      </w:r>
      <w:r w:rsidR="000A43B2">
        <w:rPr>
          <w:szCs w:val="24"/>
        </w:rPr>
        <w:t xml:space="preserve">on the environment and how much pollution it creates when it is operated. E-vehicle can reduce the air pollution that was emitted before by the average automobiles while producing power by fuel with air inside the engine </w:t>
      </w:r>
      <w:r w:rsidR="002C2533" w:rsidRPr="002C2533">
        <w:rPr>
          <w:szCs w:val="24"/>
        </w:rPr>
        <w:t>(Zhang and Crooks, 2018)</w:t>
      </w:r>
      <w:r w:rsidR="000A43B2">
        <w:rPr>
          <w:szCs w:val="24"/>
        </w:rPr>
        <w:t xml:space="preserve">. It does not emit </w:t>
      </w:r>
      <m:oMath>
        <m:sSub>
          <m:sSubPr>
            <m:ctrlPr>
              <w:rPr>
                <w:rFonts w:ascii="Cambria Math" w:hAnsi="Cambria Math"/>
                <w:i/>
                <w:szCs w:val="24"/>
              </w:rPr>
            </m:ctrlPr>
          </m:sSubPr>
          <m:e>
            <m:r>
              <w:rPr>
                <w:rFonts w:ascii="Cambria Math" w:hAnsi="Cambria Math"/>
                <w:szCs w:val="24"/>
              </w:rPr>
              <m:t>CO</m:t>
            </m:r>
          </m:e>
          <m:sub>
            <m:r>
              <w:rPr>
                <w:rFonts w:ascii="Cambria Math" w:hAnsi="Cambria Math"/>
                <w:szCs w:val="24"/>
              </w:rPr>
              <m:t>2</m:t>
            </m:r>
          </m:sub>
        </m:sSub>
      </m:oMath>
      <w:r w:rsidR="000A43B2">
        <w:rPr>
          <w:rFonts w:eastAsiaTheme="minorEastAsia"/>
          <w:szCs w:val="24"/>
        </w:rPr>
        <w:t xml:space="preserve"> and reduce air pollution and saves non-renewable energy. </w:t>
      </w:r>
    </w:p>
    <w:p w14:paraId="4A87BC90" w14:textId="77777777" w:rsidR="0040655B" w:rsidRDefault="00EA110F" w:rsidP="008E7B0F">
      <w:r>
        <w:rPr>
          <w:noProof/>
          <w:szCs w:val="24"/>
          <w:lang w:val="en-US"/>
        </w:rPr>
        <w:drawing>
          <wp:anchor distT="0" distB="0" distL="114300" distR="114300" simplePos="0" relativeHeight="251658242" behindDoc="0" locked="0" layoutInCell="1" allowOverlap="1" wp14:anchorId="10B736A4" wp14:editId="5FB7E367">
            <wp:simplePos x="0" y="0"/>
            <wp:positionH relativeFrom="margin">
              <wp:posOffset>1198179</wp:posOffset>
            </wp:positionH>
            <wp:positionV relativeFrom="paragraph">
              <wp:posOffset>1152459</wp:posOffset>
            </wp:positionV>
            <wp:extent cx="3352800" cy="2626995"/>
            <wp:effectExtent l="0" t="0" r="0" b="20955"/>
            <wp:wrapTopAndBottom/>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r w:rsidR="003F7078" w:rsidRPr="008E7B0F">
        <w:rPr>
          <w:b/>
          <w:szCs w:val="24"/>
        </w:rPr>
        <w:t>Legal:</w:t>
      </w:r>
      <w:r w:rsidR="000A43B2">
        <w:rPr>
          <w:szCs w:val="24"/>
        </w:rPr>
        <w:t xml:space="preserve"> </w:t>
      </w:r>
      <w:r w:rsidR="00C01A35">
        <w:rPr>
          <w:szCs w:val="24"/>
        </w:rPr>
        <w:t xml:space="preserve">Legal factors are concerned about legal obligations and legislations. The most important legal fact was </w:t>
      </w:r>
      <w:r w:rsidR="008E7B0F">
        <w:rPr>
          <w:szCs w:val="24"/>
        </w:rPr>
        <w:t xml:space="preserve">the </w:t>
      </w:r>
      <w:r w:rsidR="008E7B0F">
        <w:t xml:space="preserve">2011 White Paper Roadmap "Towards a Single European Transport Area" where it was stated that the ICE cars should be concentrated half by 2030 and the greenhouse gas release should be concentrated by sixty per cent by 2050 </w:t>
      </w:r>
      <w:r w:rsidR="00AE2686">
        <w:t>(</w:t>
      </w:r>
      <w:r w:rsidR="00AE2686">
        <w:rPr>
          <w:rFonts w:cs="Times New Roman"/>
          <w:color w:val="000000"/>
          <w:szCs w:val="24"/>
          <w:shd w:val="clear" w:color="auto" w:fill="FFFFFF"/>
        </w:rPr>
        <w:t xml:space="preserve">Bablo, J., </w:t>
      </w:r>
      <w:r w:rsidR="00AE2686">
        <w:rPr>
          <w:rFonts w:cs="Times New Roman"/>
          <w:color w:val="000000"/>
          <w:szCs w:val="24"/>
          <w:shd w:val="clear" w:color="auto" w:fill="FFFFFF"/>
        </w:rPr>
        <w:lastRenderedPageBreak/>
        <w:t>2016)</w:t>
      </w:r>
      <w:r w:rsidR="008E7B0F">
        <w:t xml:space="preserve">. </w:t>
      </w:r>
    </w:p>
    <w:p w14:paraId="5459C132" w14:textId="77777777" w:rsidR="00BA05F9" w:rsidRDefault="00EA110F" w:rsidP="005D1BD9">
      <w:pPr>
        <w:pStyle w:val="Legend"/>
        <w:jc w:val="center"/>
        <w:rPr>
          <w:color w:val="auto"/>
          <w:sz w:val="20"/>
          <w:szCs w:val="20"/>
        </w:rPr>
      </w:pPr>
      <w:bookmarkStart w:id="6" w:name="_Toc39696091"/>
      <w:bookmarkStart w:id="7" w:name="_Toc39696125"/>
      <w:r w:rsidRPr="005D1BD9">
        <w:rPr>
          <w:color w:val="auto"/>
          <w:sz w:val="20"/>
          <w:szCs w:val="20"/>
        </w:rPr>
        <w:t xml:space="preserve">Figure </w:t>
      </w:r>
      <w:r w:rsidRPr="005D1BD9">
        <w:rPr>
          <w:color w:val="auto"/>
          <w:sz w:val="20"/>
          <w:szCs w:val="20"/>
        </w:rPr>
        <w:fldChar w:fldCharType="begin"/>
      </w:r>
      <w:r w:rsidRPr="005D1BD9">
        <w:rPr>
          <w:color w:val="auto"/>
          <w:sz w:val="20"/>
          <w:szCs w:val="20"/>
        </w:rPr>
        <w:instrText xml:space="preserve"> SEQ Figure \* ARABIC </w:instrText>
      </w:r>
      <w:r w:rsidRPr="005D1BD9">
        <w:rPr>
          <w:color w:val="auto"/>
          <w:sz w:val="20"/>
          <w:szCs w:val="20"/>
        </w:rPr>
        <w:fldChar w:fldCharType="separate"/>
      </w:r>
      <w:r>
        <w:rPr>
          <w:noProof/>
          <w:color w:val="auto"/>
          <w:sz w:val="20"/>
          <w:szCs w:val="20"/>
        </w:rPr>
        <w:t>3</w:t>
      </w:r>
      <w:r w:rsidRPr="005D1BD9">
        <w:rPr>
          <w:color w:val="auto"/>
          <w:sz w:val="20"/>
          <w:szCs w:val="20"/>
        </w:rPr>
        <w:fldChar w:fldCharType="end"/>
      </w:r>
      <w:r w:rsidRPr="005D1BD9">
        <w:rPr>
          <w:color w:val="auto"/>
          <w:sz w:val="20"/>
          <w:szCs w:val="20"/>
        </w:rPr>
        <w:t>:  PESTEL Analysis</w:t>
      </w:r>
      <w:bookmarkEnd w:id="6"/>
      <w:bookmarkEnd w:id="7"/>
    </w:p>
    <w:p w14:paraId="12556FB0" w14:textId="77777777" w:rsidR="00BA05F9" w:rsidRPr="00BA05F9" w:rsidRDefault="00EA110F" w:rsidP="00BA05F9">
      <w:pPr>
        <w:jc w:val="center"/>
        <w:rPr>
          <w:i/>
          <w:sz w:val="20"/>
          <w:szCs w:val="20"/>
        </w:rPr>
      </w:pPr>
      <w:r>
        <w:rPr>
          <w:i/>
          <w:sz w:val="20"/>
          <w:szCs w:val="20"/>
        </w:rPr>
        <w:t>Source:</w:t>
      </w:r>
      <w:r w:rsidR="005A1E67">
        <w:rPr>
          <w:i/>
          <w:sz w:val="20"/>
          <w:szCs w:val="20"/>
        </w:rPr>
        <w:t xml:space="preserve"> </w:t>
      </w:r>
      <w:r w:rsidR="005A1E67" w:rsidRPr="005A1E67">
        <w:rPr>
          <w:i/>
          <w:sz w:val="20"/>
          <w:szCs w:val="20"/>
        </w:rPr>
        <w:t>Qiao, F. and Lei, L., 2014.</w:t>
      </w:r>
    </w:p>
    <w:p w14:paraId="72AA6237" w14:textId="77777777" w:rsidR="00BA05F9" w:rsidRPr="00E36F52" w:rsidRDefault="00EA110F" w:rsidP="004F3F95">
      <w:pPr>
        <w:rPr>
          <w:i/>
          <w:sz w:val="20"/>
          <w:szCs w:val="20"/>
        </w:rPr>
      </w:pPr>
      <w:r>
        <w:t>From the above analysis, the whole macro environment of the E-vehicle can be described as positive for investment and it has the potential of market growth as most of the elements have positive effects on the industry. But the technological environment is not efficient to serve a large number of customers and this has to be developed and this situation can be improved by acquiring new business opportunities.</w:t>
      </w:r>
    </w:p>
    <w:p w14:paraId="0D86C96D" w14:textId="77777777" w:rsidR="004F3F95" w:rsidRPr="004F3F95" w:rsidRDefault="00EA110F" w:rsidP="004F3F95">
      <w:pPr>
        <w:rPr>
          <w:b/>
        </w:rPr>
      </w:pPr>
      <w:r w:rsidRPr="004F3F95">
        <w:rPr>
          <w:b/>
        </w:rPr>
        <w:t>Profitability Analysis of the Global Automotive Industry</w:t>
      </w:r>
    </w:p>
    <w:p w14:paraId="06EA0E60" w14:textId="77777777" w:rsidR="008B5DE4" w:rsidRDefault="00EA110F" w:rsidP="00985EC0">
      <w:r>
        <w:t xml:space="preserve">As the automotive industry is a cluster of business, there is much business that can lose profitability in future for the increasing demand of the electric vehicle. </w:t>
      </w:r>
      <w:r w:rsidR="00F86242">
        <w:t>In the product life cycle of the automotive industry is crucial because it is a part of system and transportation is not a product but infrastructure</w:t>
      </w:r>
      <w:r w:rsidR="00C71248" w:rsidRPr="00C71248">
        <w:t xml:space="preserve"> (Müller, 2019)</w:t>
      </w:r>
      <w:r w:rsidR="00C71248">
        <w:t xml:space="preserve">. </w:t>
      </w:r>
      <w:r w:rsidR="00F86242">
        <w:t xml:space="preserve">The industry tries to avoid the decline of the product life cycle by new and innovative and gains growth stage again. Most of the organisation jumped into the idea which is popular among customer and the market of people carriers is in the mature stage </w:t>
      </w:r>
      <w:r w:rsidR="001F05FC" w:rsidRPr="001F05FC">
        <w:t>(Mytna Kurekova, 2018)</w:t>
      </w:r>
      <w:r w:rsidR="001F05FC">
        <w:t>.</w:t>
      </w:r>
      <w:r w:rsidR="00F86242">
        <w:t xml:space="preserve"> Soon most of the car models will face the decline stage as the emerging electric vehicle is taking over the market for its new features and eco-friendly nature. For this reason, some new busines</w:t>
      </w:r>
      <w:r w:rsidR="000C2961">
        <w:t>ses will emerge along with this e-vehicle industry to support this industry and at the same time, some businesses will be less profitable as these businesses will be less functional. For instance, for promoting more e-vehicle, more charger station will be developed and more service station for repairing and disposing of the battery will emerge. But this will reduce the use of fuel stations for cars and the service for average cars will be lower than before. So, the profitability wil</w:t>
      </w:r>
      <w:r>
        <w:t>l be lower in these businesses.</w:t>
      </w:r>
    </w:p>
    <w:p w14:paraId="5C36400E" w14:textId="77777777" w:rsidR="00BB709E" w:rsidRDefault="00EA110F" w:rsidP="00985EC0">
      <w:r>
        <w:t xml:space="preserve">Though the great recession has affected the automobile industry a lot, it has come over the situation and doing great in the market. But at the same time, the market demand is changing which is more relying on the eco-friendliness and customer safety and this concept is changing the automobile market growth globally. Porter’s Five Forces Model developed by </w:t>
      </w:r>
      <w:r w:rsidRPr="008B5DE4">
        <w:t>Michael E Porter</w:t>
      </w:r>
      <w:r>
        <w:t xml:space="preserve">, is an analytical model which will help to identify the attractiveness and competitiveness of the global automobile business and this will show the profitability of being invested </w:t>
      </w:r>
      <w:r w:rsidR="008F3314" w:rsidRPr="008F3314">
        <w:t>(Norcliffe, 2016)</w:t>
      </w:r>
      <w:r>
        <w:t xml:space="preserve">. </w:t>
      </w:r>
    </w:p>
    <w:p w14:paraId="2844485B" w14:textId="77777777" w:rsidR="00BB709E" w:rsidRDefault="00EA110F" w:rsidP="00985EC0">
      <w:r w:rsidRPr="00BB709E">
        <w:rPr>
          <w:b/>
        </w:rPr>
        <w:t xml:space="preserve">The threat of </w:t>
      </w:r>
      <w:r w:rsidR="00663307" w:rsidRPr="00BB709E">
        <w:rPr>
          <w:b/>
        </w:rPr>
        <w:t>entering</w:t>
      </w:r>
      <w:r w:rsidR="00663307">
        <w:rPr>
          <w:b/>
        </w:rPr>
        <w:t xml:space="preserve"> a new business</w:t>
      </w:r>
      <w:r w:rsidRPr="00BB709E">
        <w:rPr>
          <w:b/>
        </w:rPr>
        <w:t>:</w:t>
      </w:r>
      <w:r>
        <w:t xml:space="preserve"> The threat of entering a new brand in the car industry is quite hard as it requires a huge investment to launch a new car in the market. But </w:t>
      </w:r>
      <w:r>
        <w:lastRenderedPageBreak/>
        <w:t xml:space="preserve">other businesses related to this automobile need quite low investment and low legal requirements. Innovative and new businesses with new technology like e-vehicle can easily take place in this industry.  </w:t>
      </w:r>
    </w:p>
    <w:p w14:paraId="5E989AC8" w14:textId="2EFA7C72" w:rsidR="00BB709E" w:rsidRDefault="00EA110F" w:rsidP="00985EC0">
      <w:r>
        <w:rPr>
          <w:b/>
        </w:rPr>
        <w:t>S</w:t>
      </w:r>
      <w:r w:rsidRPr="00C13AB8">
        <w:rPr>
          <w:b/>
        </w:rPr>
        <w:t>uppliers</w:t>
      </w:r>
      <w:r>
        <w:rPr>
          <w:b/>
        </w:rPr>
        <w:t>’ bargaining power</w:t>
      </w:r>
      <w:r w:rsidRPr="00C13AB8">
        <w:rPr>
          <w:b/>
        </w:rPr>
        <w:t xml:space="preserve">: </w:t>
      </w:r>
      <w:r>
        <w:t>the bargaining power of t</w:t>
      </w:r>
      <w:r w:rsidR="00C13AB8">
        <w:t xml:space="preserve">he suppliers is low because they are small players and their buyer </w:t>
      </w:r>
      <w:r>
        <w:t>can</w:t>
      </w:r>
      <w:r w:rsidR="00C13AB8">
        <w:t xml:space="preserve"> produce raw materials on their own. A brand like Ford, Volvo, BMW, Toyota, VW hold power to switch their present suppliers easily as the raw materials in the market is available and this makes the situation difficult for the suppliers</w:t>
      </w:r>
      <w:r w:rsidR="008F3314">
        <w:t xml:space="preserve"> </w:t>
      </w:r>
      <w:r w:rsidR="008F3314" w:rsidRPr="008F3314">
        <w:t>(Norcliffe, 2016)</w:t>
      </w:r>
      <w:r w:rsidR="00C13AB8">
        <w:t xml:space="preserve">. </w:t>
      </w:r>
    </w:p>
    <w:p w14:paraId="1F76CEB0" w14:textId="77777777" w:rsidR="00E54801" w:rsidRDefault="00EA110F" w:rsidP="00985EC0">
      <w:r>
        <w:rPr>
          <w:b/>
        </w:rPr>
        <w:t>Buyers’ b</w:t>
      </w:r>
      <w:r w:rsidR="00C13AB8" w:rsidRPr="00663307">
        <w:rPr>
          <w:b/>
        </w:rPr>
        <w:t>argaining power:</w:t>
      </w:r>
      <w:r w:rsidR="00C13AB8">
        <w:t xml:space="preserve"> The bargaining power of the buyer is high as they have immense power to switch off their suppliers for the availability of the raw materials. </w:t>
      </w:r>
      <w:r>
        <w:t>On the other hand from the seller perspective of the company, their customers or buyers have high price sensitivity, hold high bargaining power as the company have to manufacture according to the customer demand.</w:t>
      </w:r>
    </w:p>
    <w:p w14:paraId="2BE3FC39" w14:textId="77777777" w:rsidR="00663307" w:rsidRDefault="00EA110F" w:rsidP="00985EC0">
      <w:r w:rsidRPr="00BA05F9">
        <w:rPr>
          <w:b/>
        </w:rPr>
        <w:t>The threat of substitute:</w:t>
      </w:r>
      <w:r>
        <w:t xml:space="preserve"> There are many substitutes for the customers like bus, train, or two-wheelers etc. and these are low-cost substitutes for them. There are many competitors in the market offering different price ranged automobiles and customers can easily switch to these.   </w:t>
      </w:r>
    </w:p>
    <w:p w14:paraId="644FD8B8" w14:textId="77777777" w:rsidR="00BA05F9" w:rsidRDefault="00EA110F" w:rsidP="00985EC0">
      <w:r>
        <w:rPr>
          <w:noProof/>
          <w:lang w:val="en-US"/>
        </w:rPr>
        <w:drawing>
          <wp:anchor distT="0" distB="0" distL="114300" distR="114300" simplePos="0" relativeHeight="251658241" behindDoc="0" locked="0" layoutInCell="1" allowOverlap="1" wp14:anchorId="2C9BDE9B" wp14:editId="72B7A145">
            <wp:simplePos x="0" y="0"/>
            <wp:positionH relativeFrom="margin">
              <wp:align>center</wp:align>
            </wp:positionH>
            <wp:positionV relativeFrom="paragraph">
              <wp:posOffset>1112695</wp:posOffset>
            </wp:positionV>
            <wp:extent cx="2700655" cy="2625090"/>
            <wp:effectExtent l="38100" t="0" r="23495" b="3810"/>
            <wp:wrapTopAndBottom/>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margin">
              <wp14:pctWidth>0</wp14:pctWidth>
            </wp14:sizeRelH>
            <wp14:sizeRelV relativeFrom="margin">
              <wp14:pctHeight>0</wp14:pctHeight>
            </wp14:sizeRelV>
          </wp:anchor>
        </w:drawing>
      </w:r>
      <w:r w:rsidR="00663307" w:rsidRPr="00E54801">
        <w:rPr>
          <w:b/>
        </w:rPr>
        <w:t xml:space="preserve">Rivalry in the automobile industry: </w:t>
      </w:r>
      <w:r w:rsidR="00E54801">
        <w:t xml:space="preserve">As the industry is matured enough, the number of competitors are high and this industry needs huge investment to entre thus most of the company cannot exit easily as this cause huge loss. So, companies try to get new ideas and innovation in their vehicles for higher sales and maintain consumer loyalty. </w:t>
      </w:r>
    </w:p>
    <w:p w14:paraId="6639E5A8" w14:textId="77777777" w:rsidR="00BA05F9" w:rsidRPr="005D1BD9" w:rsidRDefault="00EA110F" w:rsidP="005D1BD9">
      <w:pPr>
        <w:pStyle w:val="Legend"/>
        <w:jc w:val="center"/>
        <w:rPr>
          <w:color w:val="auto"/>
          <w:sz w:val="20"/>
          <w:szCs w:val="20"/>
        </w:rPr>
      </w:pPr>
      <w:bookmarkStart w:id="8" w:name="_Toc39696092"/>
      <w:bookmarkStart w:id="9" w:name="_Toc39696126"/>
      <w:r w:rsidRPr="005D1BD9">
        <w:rPr>
          <w:color w:val="auto"/>
          <w:sz w:val="20"/>
          <w:szCs w:val="20"/>
        </w:rPr>
        <w:lastRenderedPageBreak/>
        <w:t xml:space="preserve">Figure </w:t>
      </w:r>
      <w:r w:rsidRPr="005D1BD9">
        <w:rPr>
          <w:color w:val="auto"/>
          <w:sz w:val="20"/>
          <w:szCs w:val="20"/>
        </w:rPr>
        <w:fldChar w:fldCharType="begin"/>
      </w:r>
      <w:r w:rsidRPr="005D1BD9">
        <w:rPr>
          <w:color w:val="auto"/>
          <w:sz w:val="20"/>
          <w:szCs w:val="20"/>
        </w:rPr>
        <w:instrText xml:space="preserve"> SEQ Figure \* ARABIC </w:instrText>
      </w:r>
      <w:r w:rsidRPr="005D1BD9">
        <w:rPr>
          <w:color w:val="auto"/>
          <w:sz w:val="20"/>
          <w:szCs w:val="20"/>
        </w:rPr>
        <w:fldChar w:fldCharType="separate"/>
      </w:r>
      <w:r w:rsidRPr="005D1BD9">
        <w:rPr>
          <w:noProof/>
          <w:color w:val="auto"/>
          <w:sz w:val="20"/>
          <w:szCs w:val="20"/>
        </w:rPr>
        <w:t>4</w:t>
      </w:r>
      <w:r w:rsidRPr="005D1BD9">
        <w:rPr>
          <w:color w:val="auto"/>
          <w:sz w:val="20"/>
          <w:szCs w:val="20"/>
        </w:rPr>
        <w:fldChar w:fldCharType="end"/>
      </w:r>
      <w:r w:rsidRPr="005D1BD9">
        <w:rPr>
          <w:color w:val="auto"/>
          <w:sz w:val="20"/>
          <w:szCs w:val="20"/>
        </w:rPr>
        <w:t>: Porter's Five Forces Model of Global Automobile Industry</w:t>
      </w:r>
      <w:bookmarkEnd w:id="8"/>
      <w:bookmarkEnd w:id="9"/>
    </w:p>
    <w:p w14:paraId="562C3D90" w14:textId="77777777" w:rsidR="005D1BD9" w:rsidRPr="00BA05F9" w:rsidRDefault="00EA110F" w:rsidP="005D1BD9">
      <w:pPr>
        <w:jc w:val="center"/>
        <w:rPr>
          <w:i/>
          <w:sz w:val="20"/>
          <w:szCs w:val="20"/>
        </w:rPr>
      </w:pPr>
      <w:r>
        <w:rPr>
          <w:i/>
          <w:sz w:val="20"/>
          <w:szCs w:val="20"/>
        </w:rPr>
        <w:t>Source:</w:t>
      </w:r>
      <w:r w:rsidR="00C71248">
        <w:rPr>
          <w:i/>
          <w:sz w:val="20"/>
          <w:szCs w:val="20"/>
        </w:rPr>
        <w:t xml:space="preserve"> </w:t>
      </w:r>
      <w:r w:rsidR="008F3314" w:rsidRPr="008F3314">
        <w:rPr>
          <w:i/>
          <w:sz w:val="20"/>
          <w:szCs w:val="20"/>
        </w:rPr>
        <w:t>Norcliffe, M., 2016.</w:t>
      </w:r>
    </w:p>
    <w:p w14:paraId="7A42ADDA" w14:textId="77777777" w:rsidR="006306A7" w:rsidRDefault="00EA110F" w:rsidP="00985EC0">
      <w:r>
        <w:t xml:space="preserve">From the above discussion, this is clear that the global automobile industry is not attractive enough for new business investment and over the situation and the increasing demand of the electric vehicles will reduce the production of the ICE vehicles drastically as well some businesses related to this industry like fuel stations for cars, service stations etc. </w:t>
      </w:r>
    </w:p>
    <w:p w14:paraId="6B147DA7" w14:textId="77777777" w:rsidR="006306A7" w:rsidRDefault="00EA110F" w:rsidP="006306A7">
      <w:pPr>
        <w:pStyle w:val="Titlu1"/>
      </w:pPr>
      <w:bookmarkStart w:id="10" w:name="_Toc39696024"/>
      <w:r>
        <w:t>Conclusion</w:t>
      </w:r>
      <w:bookmarkEnd w:id="10"/>
      <w:r>
        <w:t xml:space="preserve"> </w:t>
      </w:r>
    </w:p>
    <w:p w14:paraId="0C255A72" w14:textId="77777777" w:rsidR="006306A7" w:rsidRDefault="00EA110F" w:rsidP="006306A7">
      <w:r>
        <w:t xml:space="preserve">In the case study, the adoption of </w:t>
      </w:r>
      <w:r w:rsidR="00732F7B">
        <w:t>electric vehicles has been shown which makes a remarkable change in the automotive industry. Electric motors are taking place of the i</w:t>
      </w:r>
      <w:r w:rsidR="00732F7B" w:rsidRPr="00732F7B">
        <w:t>nternal combustion engine</w:t>
      </w:r>
      <w:r w:rsidR="00732F7B">
        <w:t xml:space="preserve"> or ICE which means the pattern of the industry is going to be changed where there is a chance of new business opportunities. This includes platform based charging stations which will provide free charging services to the customers and gain profit from the manufacturer, charge and chill facilities, battery disposal service etc. At the same time by adopting the new eco-friendly vehicle service, some traditional automotive business can be affected like fuel stations, average car parts fixing services etc. where the investment in this period will not be profitable for future. </w:t>
      </w:r>
    </w:p>
    <w:p w14:paraId="100B74C0" w14:textId="77777777" w:rsidR="00AE2686" w:rsidRDefault="00AE2686" w:rsidP="006306A7"/>
    <w:p w14:paraId="228A991B" w14:textId="77777777" w:rsidR="00AE2686" w:rsidRDefault="00AE2686" w:rsidP="006306A7"/>
    <w:p w14:paraId="3A2072DB" w14:textId="77777777" w:rsidR="00AE2686" w:rsidRDefault="00AE2686" w:rsidP="006306A7"/>
    <w:p w14:paraId="09E3116E" w14:textId="77777777" w:rsidR="00AE2686" w:rsidRDefault="00AE2686" w:rsidP="006306A7"/>
    <w:p w14:paraId="67206294" w14:textId="77777777" w:rsidR="00AE2686" w:rsidRDefault="00AE2686" w:rsidP="006306A7"/>
    <w:p w14:paraId="6072BBC1" w14:textId="77777777" w:rsidR="00AE2686" w:rsidRDefault="00AE2686" w:rsidP="006306A7"/>
    <w:p w14:paraId="2C99BBD9" w14:textId="77777777" w:rsidR="00AE2686" w:rsidRDefault="00AE2686" w:rsidP="006306A7"/>
    <w:p w14:paraId="20C83A6B" w14:textId="77777777" w:rsidR="00AE2686" w:rsidRDefault="00AE2686" w:rsidP="006306A7"/>
    <w:p w14:paraId="3C75D265" w14:textId="77777777" w:rsidR="00AE2686" w:rsidRDefault="00AE2686" w:rsidP="006306A7"/>
    <w:p w14:paraId="0F153706" w14:textId="77777777" w:rsidR="00AE2686" w:rsidRDefault="00AE2686" w:rsidP="006306A7"/>
    <w:p w14:paraId="3BEC9BD9" w14:textId="77777777" w:rsidR="00AE2686" w:rsidRDefault="00AE2686" w:rsidP="006306A7"/>
    <w:p w14:paraId="7F23B649" w14:textId="77777777" w:rsidR="00AE2686" w:rsidRDefault="00AE2686" w:rsidP="006306A7"/>
    <w:p w14:paraId="18150249" w14:textId="77777777" w:rsidR="00AE2686" w:rsidRPr="006306A7" w:rsidRDefault="00AE2686" w:rsidP="006306A7"/>
    <w:bookmarkStart w:id="11" w:name="_Toc39696025" w:displacedByCustomXml="next"/>
    <w:sdt>
      <w:sdtPr>
        <w:rPr>
          <w:rFonts w:eastAsiaTheme="minorHAnsi" w:cstheme="minorBidi"/>
          <w:b w:val="0"/>
          <w:sz w:val="24"/>
          <w:szCs w:val="22"/>
        </w:rPr>
        <w:id w:val="-1091777645"/>
        <w:docPartObj>
          <w:docPartGallery w:val="Bibliographies"/>
          <w:docPartUnique/>
        </w:docPartObj>
      </w:sdtPr>
      <w:sdtEndPr>
        <w:rPr>
          <w:rFonts w:cs="Times New Roman"/>
        </w:rPr>
      </w:sdtEndPr>
      <w:sdtContent>
        <w:p w14:paraId="4060067D" w14:textId="3EE5CEB7" w:rsidR="00EA110F" w:rsidRDefault="00EA110F" w:rsidP="00EA110F">
          <w:pPr>
            <w:pStyle w:val="Titlu1"/>
          </w:pPr>
        </w:p>
        <w:p w14:paraId="7905766B" w14:textId="12F79D73" w:rsidR="00AE2686" w:rsidRPr="00EA110F" w:rsidRDefault="00EA110F" w:rsidP="00AE2686">
          <w:pPr>
            <w:pStyle w:val="Titlu1"/>
            <w:rPr>
              <w:rFonts w:eastAsiaTheme="minorHAnsi" w:cstheme="minorBidi"/>
              <w:b w:val="0"/>
              <w:sz w:val="24"/>
              <w:szCs w:val="22"/>
            </w:rPr>
          </w:pPr>
          <w:r w:rsidRPr="009E69D6">
            <w:rPr>
              <w:rFonts w:cs="Times New Roman"/>
            </w:rPr>
            <w:t>References</w:t>
          </w:r>
          <w:bookmarkEnd w:id="11"/>
        </w:p>
        <w:sdt>
          <w:sdtPr>
            <w:rPr>
              <w:rFonts w:cs="Times New Roman"/>
            </w:rPr>
            <w:id w:val="-573587230"/>
            <w:bibliography/>
          </w:sdtPr>
          <w:sdtEndPr/>
          <w:sdtContent>
            <w:p w14:paraId="619CE726" w14:textId="77777777" w:rsidR="00AE2686" w:rsidRPr="009E69D6" w:rsidRDefault="00EA110F" w:rsidP="00AE2686">
              <w:pPr>
                <w:rPr>
                  <w:rFonts w:cs="Times New Roman"/>
                  <w:color w:val="000000"/>
                  <w:szCs w:val="24"/>
                  <w:shd w:val="clear" w:color="auto" w:fill="FFFFFF"/>
                </w:rPr>
              </w:pPr>
              <w:r w:rsidRPr="009E69D6">
                <w:rPr>
                  <w:rFonts w:cs="Times New Roman"/>
                  <w:color w:val="000000"/>
                  <w:szCs w:val="24"/>
                  <w:shd w:val="clear" w:color="auto" w:fill="FFFFFF"/>
                </w:rPr>
                <w:t>Bablo, J., 2016. Electric Vehicle Infrastructure Standardization.</w:t>
              </w:r>
              <w:r w:rsidRPr="009E69D6">
                <w:rPr>
                  <w:rStyle w:val="apple-converted-space"/>
                  <w:rFonts w:cs="Times New Roman"/>
                  <w:color w:val="000000"/>
                  <w:szCs w:val="24"/>
                  <w:shd w:val="clear" w:color="auto" w:fill="FFFFFF"/>
                </w:rPr>
                <w:t> </w:t>
              </w:r>
              <w:r>
                <w:rPr>
                  <w:rFonts w:cs="Times New Roman"/>
                  <w:i/>
                  <w:iCs/>
                  <w:color w:val="000000"/>
                  <w:szCs w:val="24"/>
                  <w:shd w:val="clear" w:color="auto" w:fill="FFFFFF"/>
                </w:rPr>
                <w:t xml:space="preserve">World Electric Vehicle </w:t>
              </w:r>
              <w:r w:rsidRPr="009E69D6">
                <w:rPr>
                  <w:rFonts w:cs="Times New Roman"/>
                  <w:i/>
                  <w:iCs/>
                  <w:color w:val="000000"/>
                  <w:szCs w:val="24"/>
                  <w:shd w:val="clear" w:color="auto" w:fill="FFFFFF"/>
                </w:rPr>
                <w:t>Journal</w:t>
              </w:r>
              <w:r w:rsidRPr="009E69D6">
                <w:rPr>
                  <w:rFonts w:cs="Times New Roman"/>
                  <w:color w:val="000000"/>
                  <w:szCs w:val="24"/>
                  <w:shd w:val="clear" w:color="auto" w:fill="FFFFFF"/>
                </w:rPr>
                <w:t>, 8(2), pp.576-586.</w:t>
              </w:r>
            </w:p>
            <w:p w14:paraId="5B5C7572" w14:textId="77777777" w:rsidR="00AE2686" w:rsidRPr="009E69D6" w:rsidRDefault="00EA110F" w:rsidP="00AE2686">
              <w:pPr>
                <w:rPr>
                  <w:rFonts w:cs="Times New Roman"/>
                  <w:color w:val="000000"/>
                  <w:szCs w:val="24"/>
                  <w:shd w:val="clear" w:color="auto" w:fill="FFFFFF"/>
                </w:rPr>
              </w:pPr>
              <w:r w:rsidRPr="009E69D6">
                <w:rPr>
                  <w:rFonts w:cs="Times New Roman"/>
                  <w:color w:val="000000"/>
                  <w:szCs w:val="24"/>
                  <w:shd w:val="clear" w:color="auto" w:fill="FFFFFF"/>
                </w:rPr>
                <w:t>Horizon 2020 - European Commission. 2020.</w:t>
              </w:r>
              <w:r w:rsidRPr="009E69D6">
                <w:rPr>
                  <w:rStyle w:val="apple-converted-space"/>
                  <w:rFonts w:cs="Times New Roman"/>
                  <w:color w:val="000000"/>
                  <w:szCs w:val="24"/>
                  <w:shd w:val="clear" w:color="auto" w:fill="FFFFFF"/>
                </w:rPr>
                <w:t> </w:t>
              </w:r>
              <w:r w:rsidRPr="009E69D6">
                <w:rPr>
                  <w:rFonts w:cs="Times New Roman"/>
                  <w:i/>
                  <w:iCs/>
                  <w:color w:val="000000"/>
                  <w:szCs w:val="24"/>
                  <w:shd w:val="clear" w:color="auto" w:fill="FFFFFF"/>
                </w:rPr>
                <w:t>Horizon 2020</w:t>
              </w:r>
              <w:r w:rsidRPr="009E69D6">
                <w:rPr>
                  <w:rFonts w:cs="Times New Roman"/>
                  <w:color w:val="000000"/>
                  <w:szCs w:val="24"/>
                  <w:shd w:val="clear" w:color="auto" w:fill="FFFFFF"/>
                </w:rPr>
                <w:t>. [online] Available at: &lt;https://ec.europa.eu/programmes/horizon2020/en&gt; [Accessed 6 May 2020].</w:t>
              </w:r>
            </w:p>
            <w:p w14:paraId="05126BB0" w14:textId="77777777" w:rsidR="00AE2686" w:rsidRPr="009E69D6" w:rsidRDefault="00EA110F" w:rsidP="00AE2686">
              <w:pPr>
                <w:rPr>
                  <w:rFonts w:cs="Times New Roman"/>
                  <w:color w:val="000000"/>
                  <w:szCs w:val="24"/>
                  <w:shd w:val="clear" w:color="auto" w:fill="FFFFFF"/>
                </w:rPr>
              </w:pPr>
              <w:r w:rsidRPr="009E69D6">
                <w:rPr>
                  <w:rFonts w:cs="Times New Roman"/>
                  <w:color w:val="000000"/>
                  <w:szCs w:val="24"/>
                  <w:shd w:val="clear" w:color="auto" w:fill="FFFFFF"/>
                </w:rPr>
                <w:t>Kosior, K., 2015.</w:t>
              </w:r>
              <w:r w:rsidRPr="009E69D6">
                <w:rPr>
                  <w:rStyle w:val="apple-converted-space"/>
                  <w:rFonts w:cs="Times New Roman"/>
                  <w:color w:val="000000"/>
                  <w:szCs w:val="24"/>
                  <w:shd w:val="clear" w:color="auto" w:fill="FFFFFF"/>
                </w:rPr>
                <w:t> </w:t>
              </w:r>
              <w:r w:rsidRPr="009E69D6">
                <w:rPr>
                  <w:rFonts w:cs="Times New Roman"/>
                  <w:i/>
                  <w:iCs/>
                  <w:color w:val="000000"/>
                  <w:szCs w:val="24"/>
                  <w:shd w:val="clear" w:color="auto" w:fill="FFFFFF"/>
                </w:rPr>
                <w:t>News Releases | IHS Markit Online Newsroom</w:t>
              </w:r>
              <w:r>
                <w:rPr>
                  <w:rFonts w:cs="Times New Roman"/>
                  <w:color w:val="000000"/>
                  <w:szCs w:val="24"/>
                  <w:shd w:val="clear" w:color="auto" w:fill="FFFFFF"/>
                </w:rPr>
                <w:t xml:space="preserve">. [online] </w:t>
              </w:r>
              <w:r w:rsidRPr="009E69D6">
                <w:rPr>
                  <w:rFonts w:cs="Times New Roman"/>
                  <w:color w:val="000000"/>
                  <w:szCs w:val="24"/>
                  <w:shd w:val="clear" w:color="auto" w:fill="FFFFFF"/>
                </w:rPr>
                <w:t>News.ihsmarkit.com. Available at: &lt;http://news.ihsmarkit.com/press-release/automotive/global-ev-charging-stations-skyrocket-2020-ihs-report-says&gt; [Accessed 6 May 2020].</w:t>
              </w:r>
            </w:p>
            <w:p w14:paraId="2EB9E72D" w14:textId="77777777" w:rsidR="00AE2686" w:rsidRPr="00AE2686" w:rsidRDefault="00EA110F" w:rsidP="00AE2686">
              <w:pPr>
                <w:rPr>
                  <w:rFonts w:cs="Times New Roman"/>
                  <w:color w:val="000000"/>
                  <w:szCs w:val="24"/>
                  <w:shd w:val="clear" w:color="auto" w:fill="FFFFFF"/>
                </w:rPr>
              </w:pPr>
              <w:r w:rsidRPr="00AE2686">
                <w:rPr>
                  <w:rFonts w:cs="Times New Roman"/>
                  <w:color w:val="000000"/>
                  <w:szCs w:val="24"/>
                  <w:shd w:val="clear" w:color="auto" w:fill="FFFFFF"/>
                </w:rPr>
                <w:t>Mathews, J. and Tan, H., 2014. China leads the way on renewables.</w:t>
              </w:r>
              <w:r w:rsidRPr="00AE2686">
                <w:rPr>
                  <w:rStyle w:val="apple-converted-space"/>
                  <w:rFonts w:cs="Times New Roman"/>
                  <w:color w:val="000000"/>
                  <w:szCs w:val="24"/>
                  <w:shd w:val="clear" w:color="auto" w:fill="FFFFFF"/>
                </w:rPr>
                <w:t> </w:t>
              </w:r>
              <w:r w:rsidRPr="00AE2686">
                <w:rPr>
                  <w:rFonts w:cs="Times New Roman"/>
                  <w:i/>
                  <w:iCs/>
                  <w:color w:val="000000"/>
                  <w:szCs w:val="24"/>
                  <w:shd w:val="clear" w:color="auto" w:fill="FFFFFF"/>
                </w:rPr>
                <w:t>Nature</w:t>
              </w:r>
              <w:r w:rsidRPr="00AE2686">
                <w:rPr>
                  <w:rFonts w:cs="Times New Roman"/>
                  <w:color w:val="000000"/>
                  <w:szCs w:val="24"/>
                  <w:shd w:val="clear" w:color="auto" w:fill="FFFFFF"/>
                </w:rPr>
                <w:t>, 508(7496), pp.319-319.</w:t>
              </w:r>
            </w:p>
            <w:p w14:paraId="2CE67194" w14:textId="77777777" w:rsidR="00AE2686" w:rsidRPr="00AE2686" w:rsidRDefault="00EA110F" w:rsidP="00AE2686">
              <w:pPr>
                <w:rPr>
                  <w:rFonts w:cs="Times New Roman"/>
                  <w:color w:val="000000"/>
                  <w:szCs w:val="24"/>
                  <w:shd w:val="clear" w:color="auto" w:fill="FFFFFF"/>
                </w:rPr>
              </w:pPr>
              <w:r w:rsidRPr="00AE2686">
                <w:rPr>
                  <w:rFonts w:cs="Times New Roman"/>
                  <w:color w:val="000000"/>
                  <w:szCs w:val="24"/>
                  <w:shd w:val="clear" w:color="auto" w:fill="FFFFFF"/>
                </w:rPr>
                <w:t>Müller, J., 2019. Comparing Technology Acceptance for Autonomous Vehicles, Battery Electric Vehicles, and Car Sharing—A Study across Europe, China, and North America.</w:t>
              </w:r>
              <w:r w:rsidRPr="00AE2686">
                <w:rPr>
                  <w:rStyle w:val="apple-converted-space"/>
                  <w:rFonts w:cs="Times New Roman"/>
                  <w:color w:val="000000"/>
                  <w:szCs w:val="24"/>
                  <w:shd w:val="clear" w:color="auto" w:fill="FFFFFF"/>
                </w:rPr>
                <w:t> </w:t>
              </w:r>
              <w:r w:rsidRPr="00AE2686">
                <w:rPr>
                  <w:rFonts w:cs="Times New Roman"/>
                  <w:i/>
                  <w:iCs/>
                  <w:color w:val="000000"/>
                  <w:szCs w:val="24"/>
                  <w:shd w:val="clear" w:color="auto" w:fill="FFFFFF"/>
                </w:rPr>
                <w:t>Sustainability</w:t>
              </w:r>
              <w:r w:rsidRPr="00AE2686">
                <w:rPr>
                  <w:rFonts w:cs="Times New Roman"/>
                  <w:color w:val="000000"/>
                  <w:szCs w:val="24"/>
                  <w:shd w:val="clear" w:color="auto" w:fill="FFFFFF"/>
                </w:rPr>
                <w:t>, 11(16).</w:t>
              </w:r>
            </w:p>
            <w:p w14:paraId="1FA01881" w14:textId="77777777" w:rsidR="00AE2686" w:rsidRPr="00AE2686" w:rsidRDefault="00EA110F" w:rsidP="00AE2686">
              <w:pPr>
                <w:rPr>
                  <w:rFonts w:cs="Times New Roman"/>
                  <w:color w:val="000000"/>
                  <w:szCs w:val="24"/>
                  <w:shd w:val="clear" w:color="auto" w:fill="FFFFFF"/>
                </w:rPr>
              </w:pPr>
              <w:r w:rsidRPr="00AE2686">
                <w:rPr>
                  <w:rFonts w:cs="Times New Roman"/>
                  <w:color w:val="000000"/>
                  <w:szCs w:val="24"/>
                  <w:shd w:val="clear" w:color="auto" w:fill="FFFFFF"/>
                </w:rPr>
                <w:t>Mytna Kurekova, L., 2018. The automotive industry in Central Europe: A success?.</w:t>
              </w:r>
              <w:r w:rsidRPr="00AE2686">
                <w:rPr>
                  <w:rStyle w:val="apple-converted-space"/>
                  <w:rFonts w:cs="Times New Roman"/>
                  <w:color w:val="000000"/>
                  <w:szCs w:val="24"/>
                  <w:shd w:val="clear" w:color="auto" w:fill="FFFFFF"/>
                </w:rPr>
                <w:t> </w:t>
              </w:r>
              <w:r w:rsidRPr="00AE2686">
                <w:rPr>
                  <w:rFonts w:cs="Times New Roman"/>
                  <w:i/>
                  <w:iCs/>
                  <w:color w:val="000000"/>
                  <w:szCs w:val="24"/>
                  <w:shd w:val="clear" w:color="auto" w:fill="FFFFFF"/>
                </w:rPr>
                <w:t>IZA World of Labor</w:t>
              </w:r>
              <w:r w:rsidRPr="00AE2686">
                <w:rPr>
                  <w:rFonts w:cs="Times New Roman"/>
                  <w:color w:val="000000"/>
                  <w:szCs w:val="24"/>
                  <w:shd w:val="clear" w:color="auto" w:fill="FFFFFF"/>
                </w:rPr>
                <w:t>, pp.60, 62.</w:t>
              </w:r>
            </w:p>
            <w:p w14:paraId="5BD8C941" w14:textId="77777777" w:rsidR="00AE2686" w:rsidRPr="00AE2686" w:rsidRDefault="00EA110F" w:rsidP="00AE2686">
              <w:pPr>
                <w:rPr>
                  <w:rFonts w:cs="Times New Roman"/>
                  <w:color w:val="000000"/>
                  <w:szCs w:val="24"/>
                  <w:shd w:val="clear" w:color="auto" w:fill="FFFFFF"/>
                </w:rPr>
              </w:pPr>
              <w:r w:rsidRPr="00AE2686">
                <w:rPr>
                  <w:rFonts w:cs="Times New Roman"/>
                  <w:color w:val="000000"/>
                  <w:szCs w:val="24"/>
                  <w:shd w:val="clear" w:color="auto" w:fill="FFFFFF"/>
                </w:rPr>
                <w:t>Norcliffe, M., 2016.</w:t>
              </w:r>
              <w:r w:rsidRPr="00AE2686">
                <w:rPr>
                  <w:rStyle w:val="apple-converted-space"/>
                  <w:rFonts w:cs="Times New Roman"/>
                  <w:color w:val="000000"/>
                  <w:szCs w:val="24"/>
                  <w:shd w:val="clear" w:color="auto" w:fill="FFFFFF"/>
                </w:rPr>
                <w:t> </w:t>
              </w:r>
              <w:r w:rsidRPr="00AE2686">
                <w:rPr>
                  <w:rFonts w:cs="Times New Roman"/>
                  <w:i/>
                  <w:iCs/>
                  <w:color w:val="000000"/>
                  <w:szCs w:val="24"/>
                  <w:shd w:val="clear" w:color="auto" w:fill="FFFFFF"/>
                </w:rPr>
                <w:t>The Automotive Industry In Emerging Markets</w:t>
              </w:r>
              <w:r w:rsidRPr="00AE2686">
                <w:rPr>
                  <w:rFonts w:cs="Times New Roman"/>
                  <w:color w:val="000000"/>
                  <w:szCs w:val="24"/>
                  <w:shd w:val="clear" w:color="auto" w:fill="FFFFFF"/>
                </w:rPr>
                <w:t>. 3rd ed. London: GMB.</w:t>
              </w:r>
            </w:p>
            <w:p w14:paraId="26ADABE4" w14:textId="77777777" w:rsidR="00AE2686" w:rsidRPr="009E69D6" w:rsidRDefault="00EA110F" w:rsidP="00AE2686">
              <w:pPr>
                <w:rPr>
                  <w:rFonts w:cs="Times New Roman"/>
                  <w:color w:val="000000"/>
                  <w:szCs w:val="24"/>
                  <w:shd w:val="clear" w:color="auto" w:fill="FFFFFF"/>
                </w:rPr>
              </w:pPr>
              <w:r w:rsidRPr="009E69D6">
                <w:rPr>
                  <w:rFonts w:cs="Times New Roman"/>
                  <w:color w:val="000000"/>
                  <w:szCs w:val="24"/>
                  <w:shd w:val="clear" w:color="auto" w:fill="FFFFFF"/>
                </w:rPr>
                <w:t>Qiao, F. and Lei, L., 2014. Environmental Analysis of Pure Electric Vehicle Battery Recycling and Utilization.</w:t>
              </w:r>
              <w:r w:rsidRPr="009E69D6">
                <w:rPr>
                  <w:rStyle w:val="apple-converted-space"/>
                  <w:rFonts w:cs="Times New Roman"/>
                  <w:color w:val="000000"/>
                  <w:szCs w:val="24"/>
                  <w:shd w:val="clear" w:color="auto" w:fill="FFFFFF"/>
                </w:rPr>
                <w:t> </w:t>
              </w:r>
              <w:r w:rsidRPr="009E69D6">
                <w:rPr>
                  <w:rFonts w:cs="Times New Roman"/>
                  <w:i/>
                  <w:iCs/>
                  <w:color w:val="000000"/>
                  <w:szCs w:val="24"/>
                  <w:shd w:val="clear" w:color="auto" w:fill="FFFFFF"/>
                </w:rPr>
                <w:t>Advanced Materials Research</w:t>
              </w:r>
              <w:r w:rsidRPr="009E69D6">
                <w:rPr>
                  <w:rFonts w:cs="Times New Roman"/>
                  <w:color w:val="000000"/>
                  <w:szCs w:val="24"/>
                  <w:shd w:val="clear" w:color="auto" w:fill="FFFFFF"/>
                </w:rPr>
                <w:t>, 955-959.</w:t>
              </w:r>
            </w:p>
            <w:p w14:paraId="6FA8052B" w14:textId="77777777" w:rsidR="00AE2686" w:rsidRPr="009E69D6" w:rsidRDefault="00EA110F" w:rsidP="00AE2686">
              <w:pPr>
                <w:rPr>
                  <w:rFonts w:cs="Times New Roman"/>
                  <w:color w:val="000000"/>
                  <w:szCs w:val="24"/>
                  <w:shd w:val="clear" w:color="auto" w:fill="FFFFFF"/>
                </w:rPr>
              </w:pPr>
              <w:r w:rsidRPr="009E69D6">
                <w:rPr>
                  <w:rFonts w:cs="Times New Roman"/>
                  <w:color w:val="000000"/>
                  <w:szCs w:val="24"/>
                  <w:shd w:val="clear" w:color="auto" w:fill="FFFFFF"/>
                </w:rPr>
                <w:t>Roy, P., Ménard, J. and Fallaha, S., 2016. Comparative life cycle assessment of electric and conventional vehicles used in Québec, Canada.</w:t>
              </w:r>
              <w:r w:rsidRPr="009E69D6">
                <w:rPr>
                  <w:rStyle w:val="apple-converted-space"/>
                  <w:rFonts w:cs="Times New Roman"/>
                  <w:color w:val="000000"/>
                  <w:szCs w:val="24"/>
                  <w:shd w:val="clear" w:color="auto" w:fill="FFFFFF"/>
                </w:rPr>
                <w:t> </w:t>
              </w:r>
              <w:r w:rsidRPr="009E69D6">
                <w:rPr>
                  <w:rFonts w:cs="Times New Roman"/>
                  <w:i/>
                  <w:iCs/>
                  <w:color w:val="000000"/>
                  <w:szCs w:val="24"/>
                  <w:shd w:val="clear" w:color="auto" w:fill="FFFFFF"/>
                </w:rPr>
                <w:t>World Electric Vehicle Journal</w:t>
              </w:r>
              <w:r w:rsidRPr="009E69D6">
                <w:rPr>
                  <w:rFonts w:cs="Times New Roman"/>
                  <w:color w:val="000000"/>
                  <w:szCs w:val="24"/>
                  <w:shd w:val="clear" w:color="auto" w:fill="FFFFFF"/>
                </w:rPr>
                <w:t>, 8(4), pp.983-986.</w:t>
              </w:r>
            </w:p>
            <w:p w14:paraId="1BDB3D6E" w14:textId="77777777" w:rsidR="00AE2686" w:rsidRDefault="00EA110F" w:rsidP="00AE2686">
              <w:pPr>
                <w:rPr>
                  <w:rFonts w:cs="Times New Roman"/>
                </w:rPr>
              </w:pPr>
              <w:r w:rsidRPr="009E69D6">
                <w:rPr>
                  <w:rFonts w:cs="Times New Roman"/>
                  <w:color w:val="000000"/>
                  <w:szCs w:val="24"/>
                  <w:shd w:val="clear" w:color="auto" w:fill="FFFFFF"/>
                </w:rPr>
                <w:t>Zhang, Q. and Crooks, R., 2018.</w:t>
              </w:r>
              <w:r w:rsidRPr="009E69D6">
                <w:rPr>
                  <w:rStyle w:val="apple-converted-space"/>
                  <w:rFonts w:cs="Times New Roman"/>
                  <w:color w:val="000000"/>
                  <w:szCs w:val="24"/>
                  <w:shd w:val="clear" w:color="auto" w:fill="FFFFFF"/>
                </w:rPr>
                <w:t> </w:t>
              </w:r>
              <w:r w:rsidRPr="009E69D6">
                <w:rPr>
                  <w:rFonts w:cs="Times New Roman"/>
                  <w:i/>
                  <w:iCs/>
                  <w:color w:val="000000"/>
                  <w:szCs w:val="24"/>
                  <w:shd w:val="clear" w:color="auto" w:fill="FFFFFF"/>
                </w:rPr>
                <w:t>Toward An Environmentally Sustainable Future</w:t>
              </w:r>
              <w:r w:rsidRPr="009E69D6">
                <w:rPr>
                  <w:rFonts w:cs="Times New Roman"/>
                  <w:color w:val="000000"/>
                  <w:szCs w:val="24"/>
                  <w:shd w:val="clear" w:color="auto" w:fill="FFFFFF"/>
                </w:rPr>
                <w:t>. 11th ed. New York, p.55</w:t>
              </w:r>
              <w:r w:rsidRPr="009E69D6">
                <w:rPr>
                  <w:rFonts w:cs="Times New Roman"/>
                  <w:color w:val="000000"/>
                  <w:sz w:val="20"/>
                  <w:szCs w:val="20"/>
                  <w:shd w:val="clear" w:color="auto" w:fill="FFFFFF"/>
                </w:rPr>
                <w:t>.</w:t>
              </w:r>
            </w:p>
          </w:sdtContent>
        </w:sdt>
      </w:sdtContent>
    </w:sdt>
    <w:p w14:paraId="44D073B6" w14:textId="77777777" w:rsidR="00142CB0" w:rsidRPr="009D638F" w:rsidRDefault="00142CB0" w:rsidP="00985EC0"/>
    <w:sectPr w:rsidR="00142CB0" w:rsidRPr="009D638F">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C45525" w14:textId="77777777" w:rsidR="006D022E" w:rsidRDefault="006D022E" w:rsidP="00043A1B">
      <w:pPr>
        <w:spacing w:after="0" w:line="240" w:lineRule="auto"/>
      </w:pPr>
      <w:r>
        <w:separator/>
      </w:r>
    </w:p>
  </w:endnote>
  <w:endnote w:type="continuationSeparator" w:id="0">
    <w:p w14:paraId="6229AA96" w14:textId="77777777" w:rsidR="006D022E" w:rsidRDefault="006D022E" w:rsidP="00043A1B">
      <w:pPr>
        <w:spacing w:after="0" w:line="240" w:lineRule="auto"/>
      </w:pPr>
      <w:r>
        <w:continuationSeparator/>
      </w:r>
    </w:p>
  </w:endnote>
  <w:endnote w:type="continuationNotice" w:id="1">
    <w:p w14:paraId="57FE72E5" w14:textId="77777777" w:rsidR="009E0318" w:rsidRDefault="009E031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29079385"/>
      <w:docPartObj>
        <w:docPartGallery w:val="Page Numbers (Bottom of Page)"/>
        <w:docPartUnique/>
      </w:docPartObj>
    </w:sdtPr>
    <w:sdtEndPr>
      <w:rPr>
        <w:noProof/>
      </w:rPr>
    </w:sdtEndPr>
    <w:sdtContent>
      <w:p w14:paraId="500CEBFF" w14:textId="4A8CC309" w:rsidR="00043A1B" w:rsidRDefault="00043A1B">
        <w:pPr>
          <w:pStyle w:val="Subsol"/>
          <w:jc w:val="right"/>
        </w:pPr>
        <w:r>
          <w:fldChar w:fldCharType="begin"/>
        </w:r>
        <w:r>
          <w:instrText xml:space="preserve"> PAGE   \* MERGEFORMAT </w:instrText>
        </w:r>
        <w:r>
          <w:fldChar w:fldCharType="separate"/>
        </w:r>
        <w:r>
          <w:rPr>
            <w:noProof/>
          </w:rPr>
          <w:t>1</w:t>
        </w:r>
        <w:r>
          <w:rPr>
            <w:noProof/>
          </w:rPr>
          <w:fldChar w:fldCharType="end"/>
        </w:r>
      </w:p>
    </w:sdtContent>
  </w:sdt>
  <w:p w14:paraId="51761EAE" w14:textId="77777777" w:rsidR="00043A1B" w:rsidRDefault="00043A1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D2C9D5" w14:textId="77777777" w:rsidR="006D022E" w:rsidRDefault="006D022E" w:rsidP="00043A1B">
      <w:pPr>
        <w:spacing w:after="0" w:line="240" w:lineRule="auto"/>
      </w:pPr>
      <w:r>
        <w:separator/>
      </w:r>
    </w:p>
  </w:footnote>
  <w:footnote w:type="continuationSeparator" w:id="0">
    <w:p w14:paraId="1567220E" w14:textId="77777777" w:rsidR="006D022E" w:rsidRDefault="006D022E" w:rsidP="00043A1B">
      <w:pPr>
        <w:spacing w:after="0" w:line="240" w:lineRule="auto"/>
      </w:pPr>
      <w:r>
        <w:continuationSeparator/>
      </w:r>
    </w:p>
  </w:footnote>
  <w:footnote w:type="continuationNotice" w:id="1">
    <w:p w14:paraId="7A31F5EF" w14:textId="77777777" w:rsidR="009E0318" w:rsidRDefault="009E031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a2NDY2MbI0MbE0NzFX0lEKTi0uzszPAykwrAUA+O63GiwAAAA="/>
  </w:docVars>
  <w:rsids>
    <w:rsidRoot w:val="00A15738"/>
    <w:rsid w:val="000303F1"/>
    <w:rsid w:val="0003320E"/>
    <w:rsid w:val="00041A2A"/>
    <w:rsid w:val="000429BA"/>
    <w:rsid w:val="00043A1B"/>
    <w:rsid w:val="00050E12"/>
    <w:rsid w:val="0008614F"/>
    <w:rsid w:val="000A43B2"/>
    <w:rsid w:val="000C2961"/>
    <w:rsid w:val="000F3634"/>
    <w:rsid w:val="00142CB0"/>
    <w:rsid w:val="0015417A"/>
    <w:rsid w:val="0018398E"/>
    <w:rsid w:val="001C2204"/>
    <w:rsid w:val="001E5929"/>
    <w:rsid w:val="001F05FC"/>
    <w:rsid w:val="001F22AD"/>
    <w:rsid w:val="00220C24"/>
    <w:rsid w:val="00240F3F"/>
    <w:rsid w:val="00263144"/>
    <w:rsid w:val="00265AF7"/>
    <w:rsid w:val="0027086C"/>
    <w:rsid w:val="002739AB"/>
    <w:rsid w:val="002C2533"/>
    <w:rsid w:val="002D08A8"/>
    <w:rsid w:val="002E1EC5"/>
    <w:rsid w:val="0036352A"/>
    <w:rsid w:val="003C2539"/>
    <w:rsid w:val="003C553B"/>
    <w:rsid w:val="003F7078"/>
    <w:rsid w:val="0040655B"/>
    <w:rsid w:val="00436B53"/>
    <w:rsid w:val="00456C64"/>
    <w:rsid w:val="004A6682"/>
    <w:rsid w:val="004F3F95"/>
    <w:rsid w:val="005542D8"/>
    <w:rsid w:val="005A1E67"/>
    <w:rsid w:val="005D1BD9"/>
    <w:rsid w:val="005D5651"/>
    <w:rsid w:val="006306A7"/>
    <w:rsid w:val="006608E4"/>
    <w:rsid w:val="00663307"/>
    <w:rsid w:val="006D022E"/>
    <w:rsid w:val="00732F7B"/>
    <w:rsid w:val="008A2668"/>
    <w:rsid w:val="008B5DE4"/>
    <w:rsid w:val="008D44D4"/>
    <w:rsid w:val="008E7B0F"/>
    <w:rsid w:val="008F3314"/>
    <w:rsid w:val="008F6B7F"/>
    <w:rsid w:val="00985EC0"/>
    <w:rsid w:val="009D638F"/>
    <w:rsid w:val="009E0318"/>
    <w:rsid w:val="009E69D6"/>
    <w:rsid w:val="00A14735"/>
    <w:rsid w:val="00A15738"/>
    <w:rsid w:val="00A20DDD"/>
    <w:rsid w:val="00AD429D"/>
    <w:rsid w:val="00AE2686"/>
    <w:rsid w:val="00B16EA0"/>
    <w:rsid w:val="00BA05F9"/>
    <w:rsid w:val="00BB50E5"/>
    <w:rsid w:val="00BB709E"/>
    <w:rsid w:val="00BD06C0"/>
    <w:rsid w:val="00C01A35"/>
    <w:rsid w:val="00C13AB8"/>
    <w:rsid w:val="00C71248"/>
    <w:rsid w:val="00C73A3A"/>
    <w:rsid w:val="00D17414"/>
    <w:rsid w:val="00D4294E"/>
    <w:rsid w:val="00DA7DEA"/>
    <w:rsid w:val="00DB0858"/>
    <w:rsid w:val="00DF0818"/>
    <w:rsid w:val="00DF0CFD"/>
    <w:rsid w:val="00E33CA8"/>
    <w:rsid w:val="00E36F52"/>
    <w:rsid w:val="00E54801"/>
    <w:rsid w:val="00E7591D"/>
    <w:rsid w:val="00EA110F"/>
    <w:rsid w:val="00F83EAB"/>
    <w:rsid w:val="00F86242"/>
    <w:rsid w:val="00FF3F3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D2C42"/>
  <w15:docId w15:val="{7DC0FE38-625A-3D47-92E6-BE513C91D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6682"/>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0F3634"/>
    <w:pPr>
      <w:keepNext/>
      <w:keepLines/>
      <w:spacing w:before="240" w:after="0"/>
      <w:outlineLvl w:val="0"/>
    </w:pPr>
    <w:rPr>
      <w:rFonts w:eastAsiaTheme="majorEastAsia" w:cstheme="majorBidi"/>
      <w:b/>
      <w:sz w:val="32"/>
      <w:szCs w:val="32"/>
    </w:rPr>
  </w:style>
  <w:style w:type="paragraph" w:styleId="Titlu2">
    <w:name w:val="heading 2"/>
    <w:basedOn w:val="Normal"/>
    <w:next w:val="Normal"/>
    <w:link w:val="Titlu2Caracter"/>
    <w:uiPriority w:val="9"/>
    <w:semiHidden/>
    <w:unhideWhenUsed/>
    <w:qFormat/>
    <w:rsid w:val="004A6682"/>
    <w:pPr>
      <w:keepNext/>
      <w:keepLines/>
      <w:spacing w:before="40" w:after="0"/>
      <w:outlineLvl w:val="1"/>
    </w:pPr>
    <w:rPr>
      <w:rFonts w:eastAsiaTheme="majorEastAsia" w:cstheme="majorBidi"/>
      <w:b/>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F3634"/>
    <w:rPr>
      <w:rFonts w:ascii="Times New Roman" w:eastAsiaTheme="majorEastAsia" w:hAnsi="Times New Roman" w:cstheme="majorBidi"/>
      <w:b/>
      <w:sz w:val="32"/>
      <w:szCs w:val="32"/>
    </w:rPr>
  </w:style>
  <w:style w:type="character" w:customStyle="1" w:styleId="Titlu2Caracter">
    <w:name w:val="Titlu 2 Caracter"/>
    <w:basedOn w:val="Fontdeparagrafimplicit"/>
    <w:link w:val="Titlu2"/>
    <w:uiPriority w:val="9"/>
    <w:semiHidden/>
    <w:rsid w:val="004A6682"/>
    <w:rPr>
      <w:rFonts w:ascii="Times New Roman" w:eastAsiaTheme="majorEastAsia" w:hAnsi="Times New Roman" w:cstheme="majorBidi"/>
      <w:b/>
      <w:sz w:val="28"/>
      <w:szCs w:val="26"/>
    </w:rPr>
  </w:style>
  <w:style w:type="character" w:customStyle="1" w:styleId="apple-converted-space">
    <w:name w:val="apple-converted-space"/>
    <w:basedOn w:val="Fontdeparagrafimplicit"/>
    <w:rsid w:val="0040655B"/>
  </w:style>
  <w:style w:type="character" w:styleId="Accentuat">
    <w:name w:val="Emphasis"/>
    <w:basedOn w:val="Fontdeparagrafimplicit"/>
    <w:uiPriority w:val="20"/>
    <w:qFormat/>
    <w:rsid w:val="0040655B"/>
    <w:rPr>
      <w:i/>
      <w:iCs/>
    </w:rPr>
  </w:style>
  <w:style w:type="character" w:styleId="Hyperlink">
    <w:name w:val="Hyperlink"/>
    <w:basedOn w:val="Fontdeparagrafimplicit"/>
    <w:uiPriority w:val="99"/>
    <w:unhideWhenUsed/>
    <w:rsid w:val="0040655B"/>
    <w:rPr>
      <w:color w:val="0000FF"/>
      <w:u w:val="single"/>
    </w:rPr>
  </w:style>
  <w:style w:type="paragraph" w:styleId="Legend">
    <w:name w:val="caption"/>
    <w:basedOn w:val="Normal"/>
    <w:next w:val="Normal"/>
    <w:uiPriority w:val="35"/>
    <w:unhideWhenUsed/>
    <w:qFormat/>
    <w:rsid w:val="00C73A3A"/>
    <w:pPr>
      <w:spacing w:after="200" w:line="240" w:lineRule="auto"/>
    </w:pPr>
    <w:rPr>
      <w:i/>
      <w:iCs/>
      <w:color w:val="44546A" w:themeColor="text2"/>
      <w:sz w:val="18"/>
      <w:szCs w:val="18"/>
    </w:rPr>
  </w:style>
  <w:style w:type="character" w:styleId="Textsubstituent">
    <w:name w:val="Placeholder Text"/>
    <w:basedOn w:val="Fontdeparagrafimplicit"/>
    <w:uiPriority w:val="99"/>
    <w:semiHidden/>
    <w:rsid w:val="000A43B2"/>
    <w:rPr>
      <w:color w:val="808080"/>
    </w:rPr>
  </w:style>
  <w:style w:type="paragraph" w:styleId="Titlucuprins">
    <w:name w:val="TOC Heading"/>
    <w:basedOn w:val="Titlu1"/>
    <w:next w:val="Normal"/>
    <w:uiPriority w:val="39"/>
    <w:unhideWhenUsed/>
    <w:qFormat/>
    <w:rsid w:val="008D44D4"/>
    <w:pPr>
      <w:spacing w:line="259" w:lineRule="auto"/>
      <w:jc w:val="left"/>
      <w:outlineLvl w:val="9"/>
    </w:pPr>
    <w:rPr>
      <w:rFonts w:asciiTheme="majorHAnsi" w:hAnsiTheme="majorHAnsi"/>
      <w:b w:val="0"/>
      <w:color w:val="2E74B5" w:themeColor="accent1" w:themeShade="BF"/>
      <w:lang w:val="en-US"/>
    </w:rPr>
  </w:style>
  <w:style w:type="paragraph" w:styleId="Cuprins1">
    <w:name w:val="toc 1"/>
    <w:basedOn w:val="Normal"/>
    <w:next w:val="Normal"/>
    <w:autoRedefine/>
    <w:uiPriority w:val="39"/>
    <w:unhideWhenUsed/>
    <w:rsid w:val="008D44D4"/>
    <w:pPr>
      <w:spacing w:after="100"/>
    </w:pPr>
  </w:style>
  <w:style w:type="paragraph" w:styleId="Tabeldefiguri">
    <w:name w:val="table of figures"/>
    <w:basedOn w:val="Normal"/>
    <w:next w:val="Normal"/>
    <w:uiPriority w:val="99"/>
    <w:unhideWhenUsed/>
    <w:rsid w:val="008D44D4"/>
    <w:pPr>
      <w:spacing w:after="0"/>
    </w:pPr>
  </w:style>
  <w:style w:type="paragraph" w:styleId="TextnBalon">
    <w:name w:val="Balloon Text"/>
    <w:basedOn w:val="Normal"/>
    <w:link w:val="TextnBalonCaracter"/>
    <w:uiPriority w:val="99"/>
    <w:semiHidden/>
    <w:unhideWhenUsed/>
    <w:rsid w:val="00043A1B"/>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43A1B"/>
    <w:rPr>
      <w:rFonts w:ascii="Tahoma" w:hAnsi="Tahoma" w:cs="Tahoma"/>
      <w:sz w:val="16"/>
      <w:szCs w:val="16"/>
    </w:rPr>
  </w:style>
  <w:style w:type="paragraph" w:styleId="Antet">
    <w:name w:val="header"/>
    <w:basedOn w:val="Normal"/>
    <w:link w:val="AntetCaracter"/>
    <w:uiPriority w:val="99"/>
    <w:unhideWhenUsed/>
    <w:rsid w:val="00043A1B"/>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043A1B"/>
    <w:rPr>
      <w:rFonts w:ascii="Times New Roman" w:hAnsi="Times New Roman"/>
      <w:sz w:val="24"/>
    </w:rPr>
  </w:style>
  <w:style w:type="paragraph" w:styleId="Subsol">
    <w:name w:val="footer"/>
    <w:basedOn w:val="Normal"/>
    <w:link w:val="SubsolCaracter"/>
    <w:uiPriority w:val="99"/>
    <w:unhideWhenUsed/>
    <w:rsid w:val="00043A1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43A1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diagramQuickStyle" Target="diagrams/quickStyle1.xml" /><Relationship Id="rId18" Type="http://schemas.openxmlformats.org/officeDocument/2006/relationships/diagramQuickStyle" Target="diagrams/quickStyle2.xml"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diagramLayout" Target="diagrams/layout1.xml" /><Relationship Id="rId17" Type="http://schemas.openxmlformats.org/officeDocument/2006/relationships/diagramLayout" Target="diagrams/layout2.xml" /><Relationship Id="rId2" Type="http://schemas.openxmlformats.org/officeDocument/2006/relationships/numbering" Target="numbering.xml" /><Relationship Id="rId16" Type="http://schemas.openxmlformats.org/officeDocument/2006/relationships/diagramData" Target="diagrams/data2.xml" /><Relationship Id="rId20" Type="http://schemas.microsoft.com/office/2007/relationships/diagramDrawing" Target="diagrams/drawing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Data" Target="diagrams/data1.xml" /><Relationship Id="rId5" Type="http://schemas.openxmlformats.org/officeDocument/2006/relationships/webSettings" Target="webSettings.xml" /><Relationship Id="rId15" Type="http://schemas.microsoft.com/office/2007/relationships/diagramDrawing" Target="diagrams/drawing1.xml" /><Relationship Id="rId23" Type="http://schemas.openxmlformats.org/officeDocument/2006/relationships/theme" Target="theme/theme1.xml" /><Relationship Id="rId10" Type="http://schemas.openxmlformats.org/officeDocument/2006/relationships/image" Target="media/image3.jpeg" /><Relationship Id="rId19" Type="http://schemas.openxmlformats.org/officeDocument/2006/relationships/diagramColors" Target="diagrams/colors2.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diagramColors" Target="diagrams/colors1.xml" /><Relationship Id="rId22"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accent5_4">
  <dgm:title val=""/>
  <dgm:desc val=""/>
  <dgm:catLst>
    <dgm:cat type="accent5" pri="11400"/>
  </dgm:catLst>
  <dgm:styleLbl name="node0">
    <dgm:fillClrLst meth="cycle">
      <a:schemeClr val="accent5">
        <a:shade val="60000"/>
      </a:schemeClr>
    </dgm:fillClrLst>
    <dgm:linClrLst meth="repeat">
      <a:schemeClr val="lt1"/>
    </dgm:linClrLst>
    <dgm:effectClrLst/>
    <dgm:txLinClrLst/>
    <dgm:txFillClrLst/>
    <dgm:txEffectClrLst/>
  </dgm:styleLbl>
  <dgm:styleLbl name="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alignNode1">
    <dgm:fillClrLst meth="cycle">
      <a:schemeClr val="accent5">
        <a:shade val="50000"/>
      </a:schemeClr>
      <a:schemeClr val="accent5">
        <a:tint val="55000"/>
      </a:schemeClr>
    </dgm:fillClrLst>
    <dgm:linClrLst meth="cycle">
      <a:schemeClr val="accent5">
        <a:shade val="50000"/>
      </a:schemeClr>
      <a:schemeClr val="accent5">
        <a:tint val="55000"/>
      </a:schemeClr>
    </dgm:linClrLst>
    <dgm:effectClrLst/>
    <dgm:txLinClrLst/>
    <dgm:txFillClrLst/>
    <dgm:txEffectClrLst/>
  </dgm:styleLbl>
  <dgm:styleLbl name="ln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vennNode1">
    <dgm:fillClrLst meth="cycle">
      <a:schemeClr val="accent5">
        <a:shade val="80000"/>
        <a:alpha val="50000"/>
      </a:schemeClr>
      <a:schemeClr val="accent5">
        <a:tint val="50000"/>
        <a:alpha val="50000"/>
      </a:schemeClr>
    </dgm:fillClrLst>
    <dgm:linClrLst meth="repeat">
      <a:schemeClr val="lt1"/>
    </dgm:linClrLst>
    <dgm:effectClrLst/>
    <dgm:txLinClrLst/>
    <dgm:txFillClrLst/>
    <dgm:txEffectClrLst/>
  </dgm:styleLbl>
  <dgm:styleLbl name="node2">
    <dgm:fillClrLst>
      <a:schemeClr val="accent5">
        <a:shade val="80000"/>
      </a:schemeClr>
    </dgm:fillClrLst>
    <dgm:linClrLst meth="repeat">
      <a:schemeClr val="lt1"/>
    </dgm:linClrLst>
    <dgm:effectClrLst/>
    <dgm:txLinClrLst/>
    <dgm:txFillClrLst/>
    <dgm:txEffectClrLst/>
  </dgm:styleLbl>
  <dgm:styleLbl name="node3">
    <dgm:fillClrLst>
      <a:schemeClr val="accent5">
        <a:tint val="99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b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sibTrans1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0000"/>
      </a:schemeClr>
    </dgm:fillClrLst>
    <dgm:linClrLst meth="repeat">
      <a:schemeClr val="lt1"/>
    </dgm:linClrLst>
    <dgm:effectClrLst/>
    <dgm:txLinClrLst/>
    <dgm:txFillClrLst/>
    <dgm:txEffectClrLst/>
  </dgm:styleLbl>
  <dgm:styleLbl name="asst3">
    <dgm:fillClrLst>
      <a:schemeClr val="accent5">
        <a:tint val="70000"/>
      </a:schemeClr>
    </dgm:fillClrLst>
    <dgm:linClrLst meth="repeat">
      <a:schemeClr val="lt1"/>
    </dgm:linClrLst>
    <dgm:effectClrLst/>
    <dgm:txLinClrLst/>
    <dgm:txFillClrLst/>
    <dgm:txEffectClrLst/>
  </dgm:styleLbl>
  <dgm:styleLbl name="asst4">
    <dgm:fillClrLst>
      <a:schemeClr val="accent5">
        <a:tint val="5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align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bgAccFollowNode1">
    <dgm:fillClrLst meth="repeat">
      <a:schemeClr val="accent5">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bgShp">
    <dgm:fillClrLst meth="repeat">
      <a:schemeClr val="accent5">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55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5_4">
  <dgm:title val=""/>
  <dgm:desc val=""/>
  <dgm:catLst>
    <dgm:cat type="accent5" pri="11400"/>
  </dgm:catLst>
  <dgm:styleLbl name="node0">
    <dgm:fillClrLst meth="cycle">
      <a:schemeClr val="accent5">
        <a:shade val="60000"/>
      </a:schemeClr>
    </dgm:fillClrLst>
    <dgm:linClrLst meth="repeat">
      <a:schemeClr val="lt1"/>
    </dgm:linClrLst>
    <dgm:effectClrLst/>
    <dgm:txLinClrLst/>
    <dgm:txFillClrLst/>
    <dgm:txEffectClrLst/>
  </dgm:styleLbl>
  <dgm:styleLbl name="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alignNode1">
    <dgm:fillClrLst meth="cycle">
      <a:schemeClr val="accent5">
        <a:shade val="50000"/>
      </a:schemeClr>
      <a:schemeClr val="accent5">
        <a:tint val="55000"/>
      </a:schemeClr>
    </dgm:fillClrLst>
    <dgm:linClrLst meth="cycle">
      <a:schemeClr val="accent5">
        <a:shade val="50000"/>
      </a:schemeClr>
      <a:schemeClr val="accent5">
        <a:tint val="55000"/>
      </a:schemeClr>
    </dgm:linClrLst>
    <dgm:effectClrLst/>
    <dgm:txLinClrLst/>
    <dgm:txFillClrLst/>
    <dgm:txEffectClrLst/>
  </dgm:styleLbl>
  <dgm:styleLbl name="ln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vennNode1">
    <dgm:fillClrLst meth="cycle">
      <a:schemeClr val="accent5">
        <a:shade val="80000"/>
        <a:alpha val="50000"/>
      </a:schemeClr>
      <a:schemeClr val="accent5">
        <a:tint val="50000"/>
        <a:alpha val="50000"/>
      </a:schemeClr>
    </dgm:fillClrLst>
    <dgm:linClrLst meth="repeat">
      <a:schemeClr val="lt1"/>
    </dgm:linClrLst>
    <dgm:effectClrLst/>
    <dgm:txLinClrLst/>
    <dgm:txFillClrLst/>
    <dgm:txEffectClrLst/>
  </dgm:styleLbl>
  <dgm:styleLbl name="node2">
    <dgm:fillClrLst>
      <a:schemeClr val="accent5">
        <a:shade val="80000"/>
      </a:schemeClr>
    </dgm:fillClrLst>
    <dgm:linClrLst meth="repeat">
      <a:schemeClr val="lt1"/>
    </dgm:linClrLst>
    <dgm:effectClrLst/>
    <dgm:txLinClrLst/>
    <dgm:txFillClrLst/>
    <dgm:txEffectClrLst/>
  </dgm:styleLbl>
  <dgm:styleLbl name="node3">
    <dgm:fillClrLst>
      <a:schemeClr val="accent5">
        <a:tint val="99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b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sibTrans1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0000"/>
      </a:schemeClr>
    </dgm:fillClrLst>
    <dgm:linClrLst meth="repeat">
      <a:schemeClr val="lt1"/>
    </dgm:linClrLst>
    <dgm:effectClrLst/>
    <dgm:txLinClrLst/>
    <dgm:txFillClrLst/>
    <dgm:txEffectClrLst/>
  </dgm:styleLbl>
  <dgm:styleLbl name="asst3">
    <dgm:fillClrLst>
      <a:schemeClr val="accent5">
        <a:tint val="70000"/>
      </a:schemeClr>
    </dgm:fillClrLst>
    <dgm:linClrLst meth="repeat">
      <a:schemeClr val="lt1"/>
    </dgm:linClrLst>
    <dgm:effectClrLst/>
    <dgm:txLinClrLst/>
    <dgm:txFillClrLst/>
    <dgm:txEffectClrLst/>
  </dgm:styleLbl>
  <dgm:styleLbl name="asst4">
    <dgm:fillClrLst>
      <a:schemeClr val="accent5">
        <a:tint val="5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align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bgAccFollowNode1">
    <dgm:fillClrLst meth="repeat">
      <a:schemeClr val="accent5">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bgShp">
    <dgm:fillClrLst meth="repeat">
      <a:schemeClr val="accent5">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55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5C4C893-E345-4A86-A7ED-FE0DFDF99561}" type="doc">
      <dgm:prSet loTypeId="urn:microsoft.com/office/officeart/2011/layout/HexagonRadial" loCatId="cycle" qsTypeId="urn:microsoft.com/office/officeart/2005/8/quickstyle/simple1" qsCatId="simple" csTypeId="urn:microsoft.com/office/officeart/2005/8/colors/accent5_4" csCatId="accent5" phldr="1"/>
      <dgm:spPr/>
      <dgm:t>
        <a:bodyPr/>
        <a:lstStyle/>
        <a:p>
          <a:endParaRPr lang="en-GB"/>
        </a:p>
      </dgm:t>
    </dgm:pt>
    <dgm:pt modelId="{1C07AA77-81E2-449D-82B5-AE20C43C361A}">
      <dgm:prSet phldrT="[Text]" custT="1"/>
      <dgm:spPr/>
      <dgm:t>
        <a:bodyPr/>
        <a:lstStyle/>
        <a:p>
          <a:r>
            <a:rPr lang="en-GB" sz="1000">
              <a:latin typeface="Times New Roman" panose="02020603050405020304" pitchFamily="18" charset="0"/>
              <a:cs typeface="Times New Roman" panose="02020603050405020304" pitchFamily="18" charset="0"/>
            </a:rPr>
            <a:t>PESTEL</a:t>
          </a:r>
        </a:p>
        <a:p>
          <a:r>
            <a:rPr lang="en-GB" sz="1000">
              <a:latin typeface="Times New Roman" panose="02020603050405020304" pitchFamily="18" charset="0"/>
              <a:cs typeface="Times New Roman" panose="02020603050405020304" pitchFamily="18" charset="0"/>
            </a:rPr>
            <a:t>Analysis</a:t>
          </a:r>
        </a:p>
      </dgm:t>
    </dgm:pt>
    <dgm:pt modelId="{9B67620F-813E-44E8-82CB-6AB4F28A278B}" type="parTrans" cxnId="{B868B075-94D3-405E-9470-1918296FD153}">
      <dgm:prSet/>
      <dgm:spPr/>
      <dgm:t>
        <a:bodyPr/>
        <a:lstStyle/>
        <a:p>
          <a:endParaRPr lang="en-GB" sz="1000">
            <a:latin typeface="Times New Roman" panose="02020603050405020304" pitchFamily="18" charset="0"/>
            <a:cs typeface="Times New Roman" panose="02020603050405020304" pitchFamily="18" charset="0"/>
          </a:endParaRPr>
        </a:p>
      </dgm:t>
    </dgm:pt>
    <dgm:pt modelId="{8FAA1CA3-D552-487C-8F8A-688A2F8A2140}" type="sibTrans" cxnId="{B868B075-94D3-405E-9470-1918296FD153}">
      <dgm:prSet/>
      <dgm:spPr/>
      <dgm:t>
        <a:bodyPr/>
        <a:lstStyle/>
        <a:p>
          <a:endParaRPr lang="en-GB" sz="1000">
            <a:latin typeface="Times New Roman" panose="02020603050405020304" pitchFamily="18" charset="0"/>
            <a:cs typeface="Times New Roman" panose="02020603050405020304" pitchFamily="18" charset="0"/>
          </a:endParaRPr>
        </a:p>
      </dgm:t>
    </dgm:pt>
    <dgm:pt modelId="{4DB093DA-81FE-4CEA-8151-C1EEBE943616}">
      <dgm:prSet phldrT="[Text]" custT="1"/>
      <dgm:spPr/>
      <dgm:t>
        <a:bodyPr/>
        <a:lstStyle/>
        <a:p>
          <a:r>
            <a:rPr lang="en-GB" sz="1000">
              <a:latin typeface="Times New Roman" panose="02020603050405020304" pitchFamily="18" charset="0"/>
              <a:cs typeface="Times New Roman" panose="02020603050405020304" pitchFamily="18" charset="0"/>
            </a:rPr>
            <a:t>Political</a:t>
          </a:r>
        </a:p>
        <a:p>
          <a:r>
            <a:rPr lang="en-GB" sz="1000">
              <a:latin typeface="Times New Roman" panose="02020603050405020304" pitchFamily="18" charset="0"/>
              <a:cs typeface="Times New Roman" panose="02020603050405020304" pitchFamily="18" charset="0"/>
            </a:rPr>
            <a:t>(Positive)</a:t>
          </a:r>
        </a:p>
      </dgm:t>
    </dgm:pt>
    <dgm:pt modelId="{87FC30A6-AFB7-47F6-847D-247A4C689F35}" type="parTrans" cxnId="{E3ED7E3A-8560-4D46-AAB9-17C61AAAAA26}">
      <dgm:prSet/>
      <dgm:spPr/>
      <dgm:t>
        <a:bodyPr/>
        <a:lstStyle/>
        <a:p>
          <a:endParaRPr lang="en-GB" sz="1000">
            <a:latin typeface="Times New Roman" panose="02020603050405020304" pitchFamily="18" charset="0"/>
            <a:cs typeface="Times New Roman" panose="02020603050405020304" pitchFamily="18" charset="0"/>
          </a:endParaRPr>
        </a:p>
      </dgm:t>
    </dgm:pt>
    <dgm:pt modelId="{7ED787F4-F985-4DA8-BB63-DF46218ACD3D}" type="sibTrans" cxnId="{E3ED7E3A-8560-4D46-AAB9-17C61AAAAA26}">
      <dgm:prSet/>
      <dgm:spPr/>
      <dgm:t>
        <a:bodyPr/>
        <a:lstStyle/>
        <a:p>
          <a:endParaRPr lang="en-GB" sz="1000">
            <a:latin typeface="Times New Roman" panose="02020603050405020304" pitchFamily="18" charset="0"/>
            <a:cs typeface="Times New Roman" panose="02020603050405020304" pitchFamily="18" charset="0"/>
          </a:endParaRPr>
        </a:p>
      </dgm:t>
    </dgm:pt>
    <dgm:pt modelId="{A7300B0F-316B-4235-AFB6-0F826748E2EC}">
      <dgm:prSet phldrT="[Text]" custT="1"/>
      <dgm:spPr/>
      <dgm:t>
        <a:bodyPr/>
        <a:lstStyle/>
        <a:p>
          <a:r>
            <a:rPr lang="en-GB" sz="1000">
              <a:latin typeface="Times New Roman" panose="02020603050405020304" pitchFamily="18" charset="0"/>
              <a:cs typeface="Times New Roman" panose="02020603050405020304" pitchFamily="18" charset="0"/>
            </a:rPr>
            <a:t>Economic</a:t>
          </a:r>
        </a:p>
        <a:p>
          <a:r>
            <a:rPr lang="en-GB" sz="1000">
              <a:latin typeface="Times New Roman" panose="02020603050405020304" pitchFamily="18" charset="0"/>
              <a:cs typeface="Times New Roman" panose="02020603050405020304" pitchFamily="18" charset="0"/>
            </a:rPr>
            <a:t>(Positive)</a:t>
          </a:r>
        </a:p>
      </dgm:t>
    </dgm:pt>
    <dgm:pt modelId="{8B38451C-2681-42F5-9B6E-E9BE749F0EBA}" type="parTrans" cxnId="{543FA600-BF2F-46F6-A37E-4488BC8EEDC9}">
      <dgm:prSet/>
      <dgm:spPr/>
      <dgm:t>
        <a:bodyPr/>
        <a:lstStyle/>
        <a:p>
          <a:endParaRPr lang="en-GB" sz="1000">
            <a:latin typeface="Times New Roman" panose="02020603050405020304" pitchFamily="18" charset="0"/>
            <a:cs typeface="Times New Roman" panose="02020603050405020304" pitchFamily="18" charset="0"/>
          </a:endParaRPr>
        </a:p>
      </dgm:t>
    </dgm:pt>
    <dgm:pt modelId="{C4427070-6981-45D0-8793-3899A94B2338}" type="sibTrans" cxnId="{543FA600-BF2F-46F6-A37E-4488BC8EEDC9}">
      <dgm:prSet/>
      <dgm:spPr/>
      <dgm:t>
        <a:bodyPr/>
        <a:lstStyle/>
        <a:p>
          <a:endParaRPr lang="en-GB" sz="1000">
            <a:latin typeface="Times New Roman" panose="02020603050405020304" pitchFamily="18" charset="0"/>
            <a:cs typeface="Times New Roman" panose="02020603050405020304" pitchFamily="18" charset="0"/>
          </a:endParaRPr>
        </a:p>
      </dgm:t>
    </dgm:pt>
    <dgm:pt modelId="{14BF203E-8310-49BB-9306-999AD513158E}">
      <dgm:prSet phldrT="[Text]" custT="1"/>
      <dgm:spPr/>
      <dgm:t>
        <a:bodyPr/>
        <a:lstStyle/>
        <a:p>
          <a:r>
            <a:rPr lang="en-GB" sz="1000">
              <a:latin typeface="Times New Roman" panose="02020603050405020304" pitchFamily="18" charset="0"/>
              <a:cs typeface="Times New Roman" panose="02020603050405020304" pitchFamily="18" charset="0"/>
            </a:rPr>
            <a:t>Social</a:t>
          </a:r>
        </a:p>
        <a:p>
          <a:r>
            <a:rPr lang="en-GB" sz="1000">
              <a:latin typeface="Times New Roman" panose="02020603050405020304" pitchFamily="18" charset="0"/>
              <a:cs typeface="Times New Roman" panose="02020603050405020304" pitchFamily="18" charset="0"/>
            </a:rPr>
            <a:t>(Positive)</a:t>
          </a:r>
        </a:p>
      </dgm:t>
    </dgm:pt>
    <dgm:pt modelId="{02C55FEB-5AD0-414B-BFD9-4BA145F617F8}" type="parTrans" cxnId="{4A98162D-2CCD-4E07-8969-2F12A5169282}">
      <dgm:prSet/>
      <dgm:spPr/>
      <dgm:t>
        <a:bodyPr/>
        <a:lstStyle/>
        <a:p>
          <a:endParaRPr lang="en-GB" sz="1000">
            <a:latin typeface="Times New Roman" panose="02020603050405020304" pitchFamily="18" charset="0"/>
            <a:cs typeface="Times New Roman" panose="02020603050405020304" pitchFamily="18" charset="0"/>
          </a:endParaRPr>
        </a:p>
      </dgm:t>
    </dgm:pt>
    <dgm:pt modelId="{ED7812B7-B6DD-40F9-BCDF-CBE1F53BAF05}" type="sibTrans" cxnId="{4A98162D-2CCD-4E07-8969-2F12A5169282}">
      <dgm:prSet/>
      <dgm:spPr/>
      <dgm:t>
        <a:bodyPr/>
        <a:lstStyle/>
        <a:p>
          <a:endParaRPr lang="en-GB" sz="1000">
            <a:latin typeface="Times New Roman" panose="02020603050405020304" pitchFamily="18" charset="0"/>
            <a:cs typeface="Times New Roman" panose="02020603050405020304" pitchFamily="18" charset="0"/>
          </a:endParaRPr>
        </a:p>
      </dgm:t>
    </dgm:pt>
    <dgm:pt modelId="{068E0A89-0FEB-47DC-9919-6266AE2F165C}">
      <dgm:prSet phldrT="[Text]" custT="1"/>
      <dgm:spPr/>
      <dgm:t>
        <a:bodyPr/>
        <a:lstStyle/>
        <a:p>
          <a:r>
            <a:rPr lang="en-GB" sz="1000">
              <a:latin typeface="Times New Roman" panose="02020603050405020304" pitchFamily="18" charset="0"/>
              <a:cs typeface="Times New Roman" panose="02020603050405020304" pitchFamily="18" charset="0"/>
            </a:rPr>
            <a:t>Environmental</a:t>
          </a:r>
        </a:p>
        <a:p>
          <a:r>
            <a:rPr lang="en-GB" sz="1000">
              <a:latin typeface="Times New Roman" panose="02020603050405020304" pitchFamily="18" charset="0"/>
              <a:cs typeface="Times New Roman" panose="02020603050405020304" pitchFamily="18" charset="0"/>
            </a:rPr>
            <a:t>(Positive)</a:t>
          </a:r>
        </a:p>
      </dgm:t>
    </dgm:pt>
    <dgm:pt modelId="{8812FCF2-3021-4BF4-BAD7-ECA800936CEE}" type="parTrans" cxnId="{6C6A2379-DEB5-45B9-8B51-8ECD17120E1D}">
      <dgm:prSet/>
      <dgm:spPr/>
      <dgm:t>
        <a:bodyPr/>
        <a:lstStyle/>
        <a:p>
          <a:endParaRPr lang="en-GB" sz="1000">
            <a:latin typeface="Times New Roman" panose="02020603050405020304" pitchFamily="18" charset="0"/>
            <a:cs typeface="Times New Roman" panose="02020603050405020304" pitchFamily="18" charset="0"/>
          </a:endParaRPr>
        </a:p>
      </dgm:t>
    </dgm:pt>
    <dgm:pt modelId="{4408B668-5B27-41D6-BBEB-5E3921610C23}" type="sibTrans" cxnId="{6C6A2379-DEB5-45B9-8B51-8ECD17120E1D}">
      <dgm:prSet/>
      <dgm:spPr/>
      <dgm:t>
        <a:bodyPr/>
        <a:lstStyle/>
        <a:p>
          <a:endParaRPr lang="en-GB" sz="1000">
            <a:latin typeface="Times New Roman" panose="02020603050405020304" pitchFamily="18" charset="0"/>
            <a:cs typeface="Times New Roman" panose="02020603050405020304" pitchFamily="18" charset="0"/>
          </a:endParaRPr>
        </a:p>
      </dgm:t>
    </dgm:pt>
    <dgm:pt modelId="{8A8A319B-1216-45C3-AF92-B5A396E3A97F}">
      <dgm:prSet phldrT="[Text]" custT="1"/>
      <dgm:spPr/>
      <dgm:t>
        <a:bodyPr/>
        <a:lstStyle/>
        <a:p>
          <a:r>
            <a:rPr lang="en-GB" sz="1000">
              <a:latin typeface="Times New Roman" panose="02020603050405020304" pitchFamily="18" charset="0"/>
              <a:cs typeface="Times New Roman" panose="02020603050405020304" pitchFamily="18" charset="0"/>
            </a:rPr>
            <a:t>Legal</a:t>
          </a:r>
        </a:p>
        <a:p>
          <a:r>
            <a:rPr lang="en-GB" sz="1000">
              <a:latin typeface="Times New Roman" panose="02020603050405020304" pitchFamily="18" charset="0"/>
              <a:cs typeface="Times New Roman" panose="02020603050405020304" pitchFamily="18" charset="0"/>
            </a:rPr>
            <a:t>(Positive)</a:t>
          </a:r>
        </a:p>
      </dgm:t>
    </dgm:pt>
    <dgm:pt modelId="{2DF6E42A-4363-48A0-B2E3-EA492F691843}" type="parTrans" cxnId="{83C6C38D-7C99-4B57-A02C-7C09D5EDE25C}">
      <dgm:prSet/>
      <dgm:spPr/>
      <dgm:t>
        <a:bodyPr/>
        <a:lstStyle/>
        <a:p>
          <a:endParaRPr lang="en-GB" sz="1000">
            <a:latin typeface="Times New Roman" panose="02020603050405020304" pitchFamily="18" charset="0"/>
            <a:cs typeface="Times New Roman" panose="02020603050405020304" pitchFamily="18" charset="0"/>
          </a:endParaRPr>
        </a:p>
      </dgm:t>
    </dgm:pt>
    <dgm:pt modelId="{8CF2BF5B-6675-4B94-B8C6-E2810041CA9A}" type="sibTrans" cxnId="{83C6C38D-7C99-4B57-A02C-7C09D5EDE25C}">
      <dgm:prSet/>
      <dgm:spPr/>
      <dgm:t>
        <a:bodyPr/>
        <a:lstStyle/>
        <a:p>
          <a:endParaRPr lang="en-GB" sz="1000">
            <a:latin typeface="Times New Roman" panose="02020603050405020304" pitchFamily="18" charset="0"/>
            <a:cs typeface="Times New Roman" panose="02020603050405020304" pitchFamily="18" charset="0"/>
          </a:endParaRPr>
        </a:p>
      </dgm:t>
    </dgm:pt>
    <dgm:pt modelId="{992C636C-F6A2-43A0-A2D9-E8D49278D8DE}">
      <dgm:prSet phldrT="[Text]" custT="1"/>
      <dgm:spPr/>
      <dgm:t>
        <a:bodyPr/>
        <a:lstStyle/>
        <a:p>
          <a:r>
            <a:rPr lang="en-GB" sz="1000">
              <a:latin typeface="Times New Roman" panose="02020603050405020304" pitchFamily="18" charset="0"/>
              <a:cs typeface="Times New Roman" panose="02020603050405020304" pitchFamily="18" charset="0"/>
            </a:rPr>
            <a:t>Technological</a:t>
          </a:r>
        </a:p>
        <a:p>
          <a:r>
            <a:rPr lang="en-GB" sz="1000">
              <a:latin typeface="Times New Roman" panose="02020603050405020304" pitchFamily="18" charset="0"/>
              <a:cs typeface="Times New Roman" panose="02020603050405020304" pitchFamily="18" charset="0"/>
            </a:rPr>
            <a:t>(Negative)</a:t>
          </a:r>
        </a:p>
      </dgm:t>
    </dgm:pt>
    <dgm:pt modelId="{0B3DD5E5-A26B-4959-A37C-35C43AD2AAD2}" type="sibTrans" cxnId="{5753A4AC-0784-4754-8732-87152E7713E5}">
      <dgm:prSet/>
      <dgm:spPr/>
      <dgm:t>
        <a:bodyPr/>
        <a:lstStyle/>
        <a:p>
          <a:endParaRPr lang="en-GB" sz="1000">
            <a:latin typeface="Times New Roman" panose="02020603050405020304" pitchFamily="18" charset="0"/>
            <a:cs typeface="Times New Roman" panose="02020603050405020304" pitchFamily="18" charset="0"/>
          </a:endParaRPr>
        </a:p>
      </dgm:t>
    </dgm:pt>
    <dgm:pt modelId="{F3EAAFE2-D703-4895-A028-CDFE22226F4A}" type="parTrans" cxnId="{5753A4AC-0784-4754-8732-87152E7713E5}">
      <dgm:prSet/>
      <dgm:spPr/>
      <dgm:t>
        <a:bodyPr/>
        <a:lstStyle/>
        <a:p>
          <a:endParaRPr lang="en-GB" sz="1000">
            <a:latin typeface="Times New Roman" panose="02020603050405020304" pitchFamily="18" charset="0"/>
            <a:cs typeface="Times New Roman" panose="02020603050405020304" pitchFamily="18" charset="0"/>
          </a:endParaRPr>
        </a:p>
      </dgm:t>
    </dgm:pt>
    <dgm:pt modelId="{7365687A-8F5F-4289-A692-F10B7A1C9D19}" type="pres">
      <dgm:prSet presAssocID="{65C4C893-E345-4A86-A7ED-FE0DFDF99561}" presName="Name0" presStyleCnt="0">
        <dgm:presLayoutVars>
          <dgm:chMax val="1"/>
          <dgm:chPref val="1"/>
          <dgm:dir/>
          <dgm:animOne val="branch"/>
          <dgm:animLvl val="lvl"/>
        </dgm:presLayoutVars>
      </dgm:prSet>
      <dgm:spPr/>
    </dgm:pt>
    <dgm:pt modelId="{85962D30-4B49-4C9B-83D4-B24871BD7836}" type="pres">
      <dgm:prSet presAssocID="{1C07AA77-81E2-449D-82B5-AE20C43C361A}" presName="Parent" presStyleLbl="node0" presStyleIdx="0" presStyleCnt="1">
        <dgm:presLayoutVars>
          <dgm:chMax val="6"/>
          <dgm:chPref val="6"/>
        </dgm:presLayoutVars>
      </dgm:prSet>
      <dgm:spPr/>
    </dgm:pt>
    <dgm:pt modelId="{EFDD52E0-F446-4A71-A787-362C616B44A2}" type="pres">
      <dgm:prSet presAssocID="{4DB093DA-81FE-4CEA-8151-C1EEBE943616}" presName="Accent1" presStyleCnt="0"/>
      <dgm:spPr/>
    </dgm:pt>
    <dgm:pt modelId="{94A192E7-88F1-45B7-8412-40D8A3EC3B33}" type="pres">
      <dgm:prSet presAssocID="{4DB093DA-81FE-4CEA-8151-C1EEBE943616}" presName="Accent" presStyleLbl="bgShp" presStyleIdx="0" presStyleCnt="6"/>
      <dgm:spPr/>
    </dgm:pt>
    <dgm:pt modelId="{E5FBE7BF-605C-48D6-926B-B7A460B8C833}" type="pres">
      <dgm:prSet presAssocID="{4DB093DA-81FE-4CEA-8151-C1EEBE943616}" presName="Child1" presStyleLbl="node1" presStyleIdx="0" presStyleCnt="6">
        <dgm:presLayoutVars>
          <dgm:chMax val="0"/>
          <dgm:chPref val="0"/>
          <dgm:bulletEnabled val="1"/>
        </dgm:presLayoutVars>
      </dgm:prSet>
      <dgm:spPr/>
    </dgm:pt>
    <dgm:pt modelId="{ECF1C000-F302-4D88-A664-EB8CBE88018C}" type="pres">
      <dgm:prSet presAssocID="{A7300B0F-316B-4235-AFB6-0F826748E2EC}" presName="Accent2" presStyleCnt="0"/>
      <dgm:spPr/>
    </dgm:pt>
    <dgm:pt modelId="{9371FF77-77F4-4607-BA90-F9C27B14987A}" type="pres">
      <dgm:prSet presAssocID="{A7300B0F-316B-4235-AFB6-0F826748E2EC}" presName="Accent" presStyleLbl="bgShp" presStyleIdx="1" presStyleCnt="6"/>
      <dgm:spPr/>
    </dgm:pt>
    <dgm:pt modelId="{5D249EBE-F763-4203-B763-F7EB7F77E883}" type="pres">
      <dgm:prSet presAssocID="{A7300B0F-316B-4235-AFB6-0F826748E2EC}" presName="Child2" presStyleLbl="node1" presStyleIdx="1" presStyleCnt="6">
        <dgm:presLayoutVars>
          <dgm:chMax val="0"/>
          <dgm:chPref val="0"/>
          <dgm:bulletEnabled val="1"/>
        </dgm:presLayoutVars>
      </dgm:prSet>
      <dgm:spPr/>
    </dgm:pt>
    <dgm:pt modelId="{01C8D45D-6013-413E-B4E8-1A988B2CF7C8}" type="pres">
      <dgm:prSet presAssocID="{14BF203E-8310-49BB-9306-999AD513158E}" presName="Accent3" presStyleCnt="0"/>
      <dgm:spPr/>
    </dgm:pt>
    <dgm:pt modelId="{EE215FD9-5545-412C-B062-5740785CA9E3}" type="pres">
      <dgm:prSet presAssocID="{14BF203E-8310-49BB-9306-999AD513158E}" presName="Accent" presStyleLbl="bgShp" presStyleIdx="2" presStyleCnt="6"/>
      <dgm:spPr/>
    </dgm:pt>
    <dgm:pt modelId="{F456B31E-9E42-4424-9ABE-2F51EF60F79A}" type="pres">
      <dgm:prSet presAssocID="{14BF203E-8310-49BB-9306-999AD513158E}" presName="Child3" presStyleLbl="node1" presStyleIdx="2" presStyleCnt="6">
        <dgm:presLayoutVars>
          <dgm:chMax val="0"/>
          <dgm:chPref val="0"/>
          <dgm:bulletEnabled val="1"/>
        </dgm:presLayoutVars>
      </dgm:prSet>
      <dgm:spPr/>
    </dgm:pt>
    <dgm:pt modelId="{9E7F4185-E0D6-4D6F-B1D5-3D5BF38F8886}" type="pres">
      <dgm:prSet presAssocID="{992C636C-F6A2-43A0-A2D9-E8D49278D8DE}" presName="Accent4" presStyleCnt="0"/>
      <dgm:spPr/>
    </dgm:pt>
    <dgm:pt modelId="{E017689D-C0F0-4BC9-B4EA-3A9A9A4C2C36}" type="pres">
      <dgm:prSet presAssocID="{992C636C-F6A2-43A0-A2D9-E8D49278D8DE}" presName="Accent" presStyleLbl="bgShp" presStyleIdx="3" presStyleCnt="6"/>
      <dgm:spPr/>
    </dgm:pt>
    <dgm:pt modelId="{4559FF95-9C9A-4603-B488-2047C5EA0BB6}" type="pres">
      <dgm:prSet presAssocID="{992C636C-F6A2-43A0-A2D9-E8D49278D8DE}" presName="Child4" presStyleLbl="node1" presStyleIdx="3" presStyleCnt="6">
        <dgm:presLayoutVars>
          <dgm:chMax val="0"/>
          <dgm:chPref val="0"/>
          <dgm:bulletEnabled val="1"/>
        </dgm:presLayoutVars>
      </dgm:prSet>
      <dgm:spPr/>
    </dgm:pt>
    <dgm:pt modelId="{72410130-25F4-4C99-A3D9-EEEADBE4A7C7}" type="pres">
      <dgm:prSet presAssocID="{068E0A89-0FEB-47DC-9919-6266AE2F165C}" presName="Accent5" presStyleCnt="0"/>
      <dgm:spPr/>
    </dgm:pt>
    <dgm:pt modelId="{DF9131A3-0801-4DDC-8714-2B8E441ABCCA}" type="pres">
      <dgm:prSet presAssocID="{068E0A89-0FEB-47DC-9919-6266AE2F165C}" presName="Accent" presStyleLbl="bgShp" presStyleIdx="4" presStyleCnt="6"/>
      <dgm:spPr/>
    </dgm:pt>
    <dgm:pt modelId="{811848E7-C4DF-4C83-A37C-116CD3A4BA6A}" type="pres">
      <dgm:prSet presAssocID="{068E0A89-0FEB-47DC-9919-6266AE2F165C}" presName="Child5" presStyleLbl="node1" presStyleIdx="4" presStyleCnt="6">
        <dgm:presLayoutVars>
          <dgm:chMax val="0"/>
          <dgm:chPref val="0"/>
          <dgm:bulletEnabled val="1"/>
        </dgm:presLayoutVars>
      </dgm:prSet>
      <dgm:spPr/>
    </dgm:pt>
    <dgm:pt modelId="{64A430BC-BE6F-494A-A1D8-8CDFA9A246D4}" type="pres">
      <dgm:prSet presAssocID="{8A8A319B-1216-45C3-AF92-B5A396E3A97F}" presName="Accent6" presStyleCnt="0"/>
      <dgm:spPr/>
    </dgm:pt>
    <dgm:pt modelId="{24025762-9D7A-47D4-8705-6C3F306FB059}" type="pres">
      <dgm:prSet presAssocID="{8A8A319B-1216-45C3-AF92-B5A396E3A97F}" presName="Accent" presStyleLbl="bgShp" presStyleIdx="5" presStyleCnt="6"/>
      <dgm:spPr/>
    </dgm:pt>
    <dgm:pt modelId="{B787C6B8-CA98-4FAD-BE3D-C676C620E920}" type="pres">
      <dgm:prSet presAssocID="{8A8A319B-1216-45C3-AF92-B5A396E3A97F}" presName="Child6" presStyleLbl="node1" presStyleIdx="5" presStyleCnt="6">
        <dgm:presLayoutVars>
          <dgm:chMax val="0"/>
          <dgm:chPref val="0"/>
          <dgm:bulletEnabled val="1"/>
        </dgm:presLayoutVars>
      </dgm:prSet>
      <dgm:spPr/>
    </dgm:pt>
  </dgm:ptLst>
  <dgm:cxnLst>
    <dgm:cxn modelId="{543FA600-BF2F-46F6-A37E-4488BC8EEDC9}" srcId="{1C07AA77-81E2-449D-82B5-AE20C43C361A}" destId="{A7300B0F-316B-4235-AFB6-0F826748E2EC}" srcOrd="1" destOrd="0" parTransId="{8B38451C-2681-42F5-9B6E-E9BE749F0EBA}" sibTransId="{C4427070-6981-45D0-8793-3899A94B2338}"/>
    <dgm:cxn modelId="{CD572A1C-7148-4DEE-86ED-A449F64F250A}" type="presOf" srcId="{992C636C-F6A2-43A0-A2D9-E8D49278D8DE}" destId="{4559FF95-9C9A-4603-B488-2047C5EA0BB6}" srcOrd="0" destOrd="0" presId="urn:microsoft.com/office/officeart/2011/layout/HexagonRadial"/>
    <dgm:cxn modelId="{B6A28721-CA2C-49C5-8A0A-64C18D0A30FA}" type="presOf" srcId="{1C07AA77-81E2-449D-82B5-AE20C43C361A}" destId="{85962D30-4B49-4C9B-83D4-B24871BD7836}" srcOrd="0" destOrd="0" presId="urn:microsoft.com/office/officeart/2011/layout/HexagonRadial"/>
    <dgm:cxn modelId="{4A98162D-2CCD-4E07-8969-2F12A5169282}" srcId="{1C07AA77-81E2-449D-82B5-AE20C43C361A}" destId="{14BF203E-8310-49BB-9306-999AD513158E}" srcOrd="2" destOrd="0" parTransId="{02C55FEB-5AD0-414B-BFD9-4BA145F617F8}" sibTransId="{ED7812B7-B6DD-40F9-BCDF-CBE1F53BAF05}"/>
    <dgm:cxn modelId="{88C5F730-B864-4F72-B6F3-185DB5AA8CFB}" type="presOf" srcId="{8A8A319B-1216-45C3-AF92-B5A396E3A97F}" destId="{B787C6B8-CA98-4FAD-BE3D-C676C620E920}" srcOrd="0" destOrd="0" presId="urn:microsoft.com/office/officeart/2011/layout/HexagonRadial"/>
    <dgm:cxn modelId="{E3ED7E3A-8560-4D46-AAB9-17C61AAAAA26}" srcId="{1C07AA77-81E2-449D-82B5-AE20C43C361A}" destId="{4DB093DA-81FE-4CEA-8151-C1EEBE943616}" srcOrd="0" destOrd="0" parTransId="{87FC30A6-AFB7-47F6-847D-247A4C689F35}" sibTransId="{7ED787F4-F985-4DA8-BB63-DF46218ACD3D}"/>
    <dgm:cxn modelId="{3BE6A33F-7C93-47FD-AACE-F19F2A34C7BE}" type="presOf" srcId="{65C4C893-E345-4A86-A7ED-FE0DFDF99561}" destId="{7365687A-8F5F-4289-A692-F10B7A1C9D19}" srcOrd="0" destOrd="0" presId="urn:microsoft.com/office/officeart/2011/layout/HexagonRadial"/>
    <dgm:cxn modelId="{5F62C55D-EB43-4536-BEB7-C27427AEC316}" type="presOf" srcId="{14BF203E-8310-49BB-9306-999AD513158E}" destId="{F456B31E-9E42-4424-9ABE-2F51EF60F79A}" srcOrd="0" destOrd="0" presId="urn:microsoft.com/office/officeart/2011/layout/HexagonRadial"/>
    <dgm:cxn modelId="{366F3160-CD48-49EC-A947-D8DE28C7DF01}" type="presOf" srcId="{A7300B0F-316B-4235-AFB6-0F826748E2EC}" destId="{5D249EBE-F763-4203-B763-F7EB7F77E883}" srcOrd="0" destOrd="0" presId="urn:microsoft.com/office/officeart/2011/layout/HexagonRadial"/>
    <dgm:cxn modelId="{B868B075-94D3-405E-9470-1918296FD153}" srcId="{65C4C893-E345-4A86-A7ED-FE0DFDF99561}" destId="{1C07AA77-81E2-449D-82B5-AE20C43C361A}" srcOrd="0" destOrd="0" parTransId="{9B67620F-813E-44E8-82CB-6AB4F28A278B}" sibTransId="{8FAA1CA3-D552-487C-8F8A-688A2F8A2140}"/>
    <dgm:cxn modelId="{D8CD9457-7909-4DAC-84E9-795E1DC30FF4}" type="presOf" srcId="{068E0A89-0FEB-47DC-9919-6266AE2F165C}" destId="{811848E7-C4DF-4C83-A37C-116CD3A4BA6A}" srcOrd="0" destOrd="0" presId="urn:microsoft.com/office/officeart/2011/layout/HexagonRadial"/>
    <dgm:cxn modelId="{6C6A2379-DEB5-45B9-8B51-8ECD17120E1D}" srcId="{1C07AA77-81E2-449D-82B5-AE20C43C361A}" destId="{068E0A89-0FEB-47DC-9919-6266AE2F165C}" srcOrd="4" destOrd="0" parTransId="{8812FCF2-3021-4BF4-BAD7-ECA800936CEE}" sibTransId="{4408B668-5B27-41D6-BBEB-5E3921610C23}"/>
    <dgm:cxn modelId="{31767C8A-D489-402A-B49E-35BFED1830F7}" type="presOf" srcId="{4DB093DA-81FE-4CEA-8151-C1EEBE943616}" destId="{E5FBE7BF-605C-48D6-926B-B7A460B8C833}" srcOrd="0" destOrd="0" presId="urn:microsoft.com/office/officeart/2011/layout/HexagonRadial"/>
    <dgm:cxn modelId="{83C6C38D-7C99-4B57-A02C-7C09D5EDE25C}" srcId="{1C07AA77-81E2-449D-82B5-AE20C43C361A}" destId="{8A8A319B-1216-45C3-AF92-B5A396E3A97F}" srcOrd="5" destOrd="0" parTransId="{2DF6E42A-4363-48A0-B2E3-EA492F691843}" sibTransId="{8CF2BF5B-6675-4B94-B8C6-E2810041CA9A}"/>
    <dgm:cxn modelId="{5753A4AC-0784-4754-8732-87152E7713E5}" srcId="{1C07AA77-81E2-449D-82B5-AE20C43C361A}" destId="{992C636C-F6A2-43A0-A2D9-E8D49278D8DE}" srcOrd="3" destOrd="0" parTransId="{F3EAAFE2-D703-4895-A028-CDFE22226F4A}" sibTransId="{0B3DD5E5-A26B-4959-A37C-35C43AD2AAD2}"/>
    <dgm:cxn modelId="{7DDD648E-A5EA-469D-B974-DDC4F3F83A5F}" type="presParOf" srcId="{7365687A-8F5F-4289-A692-F10B7A1C9D19}" destId="{85962D30-4B49-4C9B-83D4-B24871BD7836}" srcOrd="0" destOrd="0" presId="urn:microsoft.com/office/officeart/2011/layout/HexagonRadial"/>
    <dgm:cxn modelId="{C8275D02-C577-4153-A681-9417FED6CE00}" type="presParOf" srcId="{7365687A-8F5F-4289-A692-F10B7A1C9D19}" destId="{EFDD52E0-F446-4A71-A787-362C616B44A2}" srcOrd="1" destOrd="0" presId="urn:microsoft.com/office/officeart/2011/layout/HexagonRadial"/>
    <dgm:cxn modelId="{25604E6A-E882-4270-BDBA-0D48F58C4CD0}" type="presParOf" srcId="{EFDD52E0-F446-4A71-A787-362C616B44A2}" destId="{94A192E7-88F1-45B7-8412-40D8A3EC3B33}" srcOrd="0" destOrd="0" presId="urn:microsoft.com/office/officeart/2011/layout/HexagonRadial"/>
    <dgm:cxn modelId="{CE77BEF0-FB0C-4B1E-817A-97B3AF08FC96}" type="presParOf" srcId="{7365687A-8F5F-4289-A692-F10B7A1C9D19}" destId="{E5FBE7BF-605C-48D6-926B-B7A460B8C833}" srcOrd="2" destOrd="0" presId="urn:microsoft.com/office/officeart/2011/layout/HexagonRadial"/>
    <dgm:cxn modelId="{C27A286A-9DC4-42B3-8F93-C9E20F60E42F}" type="presParOf" srcId="{7365687A-8F5F-4289-A692-F10B7A1C9D19}" destId="{ECF1C000-F302-4D88-A664-EB8CBE88018C}" srcOrd="3" destOrd="0" presId="urn:microsoft.com/office/officeart/2011/layout/HexagonRadial"/>
    <dgm:cxn modelId="{C765E116-D05A-4F85-8C30-326FDC1F467D}" type="presParOf" srcId="{ECF1C000-F302-4D88-A664-EB8CBE88018C}" destId="{9371FF77-77F4-4607-BA90-F9C27B14987A}" srcOrd="0" destOrd="0" presId="urn:microsoft.com/office/officeart/2011/layout/HexagonRadial"/>
    <dgm:cxn modelId="{5DC5B3D9-00EB-4DE7-8A96-03BF9A2730DF}" type="presParOf" srcId="{7365687A-8F5F-4289-A692-F10B7A1C9D19}" destId="{5D249EBE-F763-4203-B763-F7EB7F77E883}" srcOrd="4" destOrd="0" presId="urn:microsoft.com/office/officeart/2011/layout/HexagonRadial"/>
    <dgm:cxn modelId="{44983200-71C1-478D-9A0D-600425141419}" type="presParOf" srcId="{7365687A-8F5F-4289-A692-F10B7A1C9D19}" destId="{01C8D45D-6013-413E-B4E8-1A988B2CF7C8}" srcOrd="5" destOrd="0" presId="urn:microsoft.com/office/officeart/2011/layout/HexagonRadial"/>
    <dgm:cxn modelId="{CDE26E5B-3E89-4E6A-8772-CF3E065339A6}" type="presParOf" srcId="{01C8D45D-6013-413E-B4E8-1A988B2CF7C8}" destId="{EE215FD9-5545-412C-B062-5740785CA9E3}" srcOrd="0" destOrd="0" presId="urn:microsoft.com/office/officeart/2011/layout/HexagonRadial"/>
    <dgm:cxn modelId="{49B9C014-B748-4713-A8FC-FDA6AFB495E3}" type="presParOf" srcId="{7365687A-8F5F-4289-A692-F10B7A1C9D19}" destId="{F456B31E-9E42-4424-9ABE-2F51EF60F79A}" srcOrd="6" destOrd="0" presId="urn:microsoft.com/office/officeart/2011/layout/HexagonRadial"/>
    <dgm:cxn modelId="{BE0CDC12-4FB2-48F6-995F-368B19195A32}" type="presParOf" srcId="{7365687A-8F5F-4289-A692-F10B7A1C9D19}" destId="{9E7F4185-E0D6-4D6F-B1D5-3D5BF38F8886}" srcOrd="7" destOrd="0" presId="urn:microsoft.com/office/officeart/2011/layout/HexagonRadial"/>
    <dgm:cxn modelId="{A7EE6B66-5E95-4C6A-82B5-4AF3AD1846CA}" type="presParOf" srcId="{9E7F4185-E0D6-4D6F-B1D5-3D5BF38F8886}" destId="{E017689D-C0F0-4BC9-B4EA-3A9A9A4C2C36}" srcOrd="0" destOrd="0" presId="urn:microsoft.com/office/officeart/2011/layout/HexagonRadial"/>
    <dgm:cxn modelId="{94108B99-A033-4E75-899A-C26E4C29EFEA}" type="presParOf" srcId="{7365687A-8F5F-4289-A692-F10B7A1C9D19}" destId="{4559FF95-9C9A-4603-B488-2047C5EA0BB6}" srcOrd="8" destOrd="0" presId="urn:microsoft.com/office/officeart/2011/layout/HexagonRadial"/>
    <dgm:cxn modelId="{1179E2EB-950B-4C7B-875E-6EDC263F7896}" type="presParOf" srcId="{7365687A-8F5F-4289-A692-F10B7A1C9D19}" destId="{72410130-25F4-4C99-A3D9-EEEADBE4A7C7}" srcOrd="9" destOrd="0" presId="urn:microsoft.com/office/officeart/2011/layout/HexagonRadial"/>
    <dgm:cxn modelId="{365057D4-625B-4322-B3A7-0D0A81518BC9}" type="presParOf" srcId="{72410130-25F4-4C99-A3D9-EEEADBE4A7C7}" destId="{DF9131A3-0801-4DDC-8714-2B8E441ABCCA}" srcOrd="0" destOrd="0" presId="urn:microsoft.com/office/officeart/2011/layout/HexagonRadial"/>
    <dgm:cxn modelId="{B1B31C80-2899-441C-8164-AABBF1F0A2B5}" type="presParOf" srcId="{7365687A-8F5F-4289-A692-F10B7A1C9D19}" destId="{811848E7-C4DF-4C83-A37C-116CD3A4BA6A}" srcOrd="10" destOrd="0" presId="urn:microsoft.com/office/officeart/2011/layout/HexagonRadial"/>
    <dgm:cxn modelId="{19CB9F52-4949-4A85-885F-7D195FD1736E}" type="presParOf" srcId="{7365687A-8F5F-4289-A692-F10B7A1C9D19}" destId="{64A430BC-BE6F-494A-A1D8-8CDFA9A246D4}" srcOrd="11" destOrd="0" presId="urn:microsoft.com/office/officeart/2011/layout/HexagonRadial"/>
    <dgm:cxn modelId="{6864B985-C74D-4C96-9BE5-04BE17B14CA7}" type="presParOf" srcId="{64A430BC-BE6F-494A-A1D8-8CDFA9A246D4}" destId="{24025762-9D7A-47D4-8705-6C3F306FB059}" srcOrd="0" destOrd="0" presId="urn:microsoft.com/office/officeart/2011/layout/HexagonRadial"/>
    <dgm:cxn modelId="{AE8C8F85-5354-43AC-BCDB-88F2B21B7268}" type="presParOf" srcId="{7365687A-8F5F-4289-A692-F10B7A1C9D19}" destId="{B787C6B8-CA98-4FAD-BE3D-C676C620E920}" srcOrd="12"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462A6DA7-DD87-49B6-B125-0128B9DAB686}" type="doc">
      <dgm:prSet loTypeId="urn:microsoft.com/office/officeart/2005/8/layout/default#1" loCatId="list" qsTypeId="urn:microsoft.com/office/officeart/2005/8/quickstyle/simple1" qsCatId="simple" csTypeId="urn:microsoft.com/office/officeart/2005/8/colors/accent5_4" csCatId="accent5" phldr="1"/>
      <dgm:spPr/>
      <dgm:t>
        <a:bodyPr/>
        <a:lstStyle/>
        <a:p>
          <a:endParaRPr lang="en-GB"/>
        </a:p>
      </dgm:t>
    </dgm:pt>
    <dgm:pt modelId="{5EEAAF25-E21B-4C6A-984D-BF794ABBDA8F}">
      <dgm:prSet phldrT="[Text]" custT="1"/>
      <dgm:spPr/>
      <dgm:t>
        <a:bodyPr/>
        <a:lstStyle/>
        <a:p>
          <a:r>
            <a:rPr lang="en-GB" sz="1200">
              <a:latin typeface="Times New Roman" panose="02020603050405020304" pitchFamily="18" charset="0"/>
              <a:cs typeface="Times New Roman" panose="02020603050405020304" pitchFamily="18" charset="0"/>
            </a:rPr>
            <a:t>Threat of New Entrance </a:t>
          </a:r>
        </a:p>
        <a:p>
          <a:r>
            <a:rPr lang="en-GB" sz="1200">
              <a:latin typeface="Times New Roman" panose="02020603050405020304" pitchFamily="18" charset="0"/>
              <a:cs typeface="Times New Roman" panose="02020603050405020304" pitchFamily="18" charset="0"/>
            </a:rPr>
            <a:t>(Medium)</a:t>
          </a:r>
        </a:p>
      </dgm:t>
    </dgm:pt>
    <dgm:pt modelId="{7BF705C5-77FD-47D0-ADC9-FF90DF3436DF}" type="parTrans" cxnId="{D7EA27E1-45A8-4F19-B1A5-34DB43C40D38}">
      <dgm:prSet/>
      <dgm:spPr/>
      <dgm:t>
        <a:bodyPr/>
        <a:lstStyle/>
        <a:p>
          <a:endParaRPr lang="en-GB" sz="1200">
            <a:latin typeface="Times New Roman" panose="02020603050405020304" pitchFamily="18" charset="0"/>
            <a:cs typeface="Times New Roman" panose="02020603050405020304" pitchFamily="18" charset="0"/>
          </a:endParaRPr>
        </a:p>
      </dgm:t>
    </dgm:pt>
    <dgm:pt modelId="{84220046-745E-477B-A6F4-1974FE6F36B5}" type="sibTrans" cxnId="{D7EA27E1-45A8-4F19-B1A5-34DB43C40D38}">
      <dgm:prSet/>
      <dgm:spPr/>
      <dgm:t>
        <a:bodyPr/>
        <a:lstStyle/>
        <a:p>
          <a:endParaRPr lang="en-GB" sz="1200">
            <a:latin typeface="Times New Roman" panose="02020603050405020304" pitchFamily="18" charset="0"/>
            <a:cs typeface="Times New Roman" panose="02020603050405020304" pitchFamily="18" charset="0"/>
          </a:endParaRPr>
        </a:p>
      </dgm:t>
    </dgm:pt>
    <dgm:pt modelId="{CB2897C3-2EC8-4557-B658-CF35FA16C8A4}">
      <dgm:prSet phldrT="[Text]" custT="1"/>
      <dgm:spPr/>
      <dgm:t>
        <a:bodyPr/>
        <a:lstStyle/>
        <a:p>
          <a:r>
            <a:rPr lang="en-GB" sz="1200">
              <a:latin typeface="Times New Roman" panose="02020603050405020304" pitchFamily="18" charset="0"/>
              <a:cs typeface="Times New Roman" panose="02020603050405020304" pitchFamily="18" charset="0"/>
            </a:rPr>
            <a:t>Suppliers' Bargaining Power</a:t>
          </a:r>
        </a:p>
        <a:p>
          <a:r>
            <a:rPr lang="en-GB" sz="1200">
              <a:latin typeface="Times New Roman" panose="02020603050405020304" pitchFamily="18" charset="0"/>
              <a:cs typeface="Times New Roman" panose="02020603050405020304" pitchFamily="18" charset="0"/>
            </a:rPr>
            <a:t>(Low)</a:t>
          </a:r>
        </a:p>
      </dgm:t>
    </dgm:pt>
    <dgm:pt modelId="{C4E35215-B73C-4BBD-B92C-ADF23D6C3252}" type="parTrans" cxnId="{54B1EBA5-5871-43D4-9856-2C34EEE02BED}">
      <dgm:prSet/>
      <dgm:spPr/>
      <dgm:t>
        <a:bodyPr/>
        <a:lstStyle/>
        <a:p>
          <a:endParaRPr lang="en-GB" sz="1200">
            <a:latin typeface="Times New Roman" panose="02020603050405020304" pitchFamily="18" charset="0"/>
            <a:cs typeface="Times New Roman" panose="02020603050405020304" pitchFamily="18" charset="0"/>
          </a:endParaRPr>
        </a:p>
      </dgm:t>
    </dgm:pt>
    <dgm:pt modelId="{6DE61162-D104-4989-B54B-28B2933EEA3F}" type="sibTrans" cxnId="{54B1EBA5-5871-43D4-9856-2C34EEE02BED}">
      <dgm:prSet/>
      <dgm:spPr/>
      <dgm:t>
        <a:bodyPr/>
        <a:lstStyle/>
        <a:p>
          <a:endParaRPr lang="en-GB" sz="1200">
            <a:latin typeface="Times New Roman" panose="02020603050405020304" pitchFamily="18" charset="0"/>
            <a:cs typeface="Times New Roman" panose="02020603050405020304" pitchFamily="18" charset="0"/>
          </a:endParaRPr>
        </a:p>
      </dgm:t>
    </dgm:pt>
    <dgm:pt modelId="{99340E23-E4D6-449F-B08D-1E64B93FBC3B}">
      <dgm:prSet phldrT="[Text]" custT="1"/>
      <dgm:spPr/>
      <dgm:t>
        <a:bodyPr/>
        <a:lstStyle/>
        <a:p>
          <a:r>
            <a:rPr lang="en-GB" sz="1200">
              <a:latin typeface="Times New Roman" panose="02020603050405020304" pitchFamily="18" charset="0"/>
              <a:cs typeface="Times New Roman" panose="02020603050405020304" pitchFamily="18" charset="0"/>
            </a:rPr>
            <a:t>Buyers' Bargaining Power</a:t>
          </a:r>
        </a:p>
        <a:p>
          <a:r>
            <a:rPr lang="en-GB" sz="1200">
              <a:latin typeface="Times New Roman" panose="02020603050405020304" pitchFamily="18" charset="0"/>
              <a:cs typeface="Times New Roman" panose="02020603050405020304" pitchFamily="18" charset="0"/>
            </a:rPr>
            <a:t>(High)</a:t>
          </a:r>
        </a:p>
      </dgm:t>
    </dgm:pt>
    <dgm:pt modelId="{0A67220D-864C-47A8-A0A2-CAEABFAF4DAA}" type="parTrans" cxnId="{0BB7BE8E-5AA7-4961-85BE-619FC4D760D9}">
      <dgm:prSet/>
      <dgm:spPr/>
      <dgm:t>
        <a:bodyPr/>
        <a:lstStyle/>
        <a:p>
          <a:endParaRPr lang="en-GB" sz="1200">
            <a:latin typeface="Times New Roman" panose="02020603050405020304" pitchFamily="18" charset="0"/>
            <a:cs typeface="Times New Roman" panose="02020603050405020304" pitchFamily="18" charset="0"/>
          </a:endParaRPr>
        </a:p>
      </dgm:t>
    </dgm:pt>
    <dgm:pt modelId="{049E4F5D-A309-4D86-9134-0A99F9495483}" type="sibTrans" cxnId="{0BB7BE8E-5AA7-4961-85BE-619FC4D760D9}">
      <dgm:prSet/>
      <dgm:spPr/>
      <dgm:t>
        <a:bodyPr/>
        <a:lstStyle/>
        <a:p>
          <a:endParaRPr lang="en-GB" sz="1200">
            <a:latin typeface="Times New Roman" panose="02020603050405020304" pitchFamily="18" charset="0"/>
            <a:cs typeface="Times New Roman" panose="02020603050405020304" pitchFamily="18" charset="0"/>
          </a:endParaRPr>
        </a:p>
      </dgm:t>
    </dgm:pt>
    <dgm:pt modelId="{A03298A2-C4BC-414E-AF7F-0A36E3B7B694}">
      <dgm:prSet phldrT="[Text]" custT="1"/>
      <dgm:spPr/>
      <dgm:t>
        <a:bodyPr/>
        <a:lstStyle/>
        <a:p>
          <a:r>
            <a:rPr lang="en-GB" sz="1200">
              <a:latin typeface="Times New Roman" panose="02020603050405020304" pitchFamily="18" charset="0"/>
              <a:cs typeface="Times New Roman" panose="02020603050405020304" pitchFamily="18" charset="0"/>
            </a:rPr>
            <a:t>Threat of Substitute</a:t>
          </a:r>
        </a:p>
        <a:p>
          <a:r>
            <a:rPr lang="en-GB" sz="1200">
              <a:latin typeface="Times New Roman" panose="02020603050405020304" pitchFamily="18" charset="0"/>
              <a:cs typeface="Times New Roman" panose="02020603050405020304" pitchFamily="18" charset="0"/>
            </a:rPr>
            <a:t>(High)</a:t>
          </a:r>
        </a:p>
      </dgm:t>
    </dgm:pt>
    <dgm:pt modelId="{9C86C429-A90A-40A4-A08C-171C868A1C20}" type="parTrans" cxnId="{EFBE3D07-EFEC-4064-B00D-35D8605599B7}">
      <dgm:prSet/>
      <dgm:spPr/>
      <dgm:t>
        <a:bodyPr/>
        <a:lstStyle/>
        <a:p>
          <a:endParaRPr lang="en-GB" sz="1200">
            <a:latin typeface="Times New Roman" panose="02020603050405020304" pitchFamily="18" charset="0"/>
            <a:cs typeface="Times New Roman" panose="02020603050405020304" pitchFamily="18" charset="0"/>
          </a:endParaRPr>
        </a:p>
      </dgm:t>
    </dgm:pt>
    <dgm:pt modelId="{5E1932B6-3638-4D52-A484-53F6AC2A1F27}" type="sibTrans" cxnId="{EFBE3D07-EFEC-4064-B00D-35D8605599B7}">
      <dgm:prSet/>
      <dgm:spPr/>
      <dgm:t>
        <a:bodyPr/>
        <a:lstStyle/>
        <a:p>
          <a:endParaRPr lang="en-GB" sz="1200">
            <a:latin typeface="Times New Roman" panose="02020603050405020304" pitchFamily="18" charset="0"/>
            <a:cs typeface="Times New Roman" panose="02020603050405020304" pitchFamily="18" charset="0"/>
          </a:endParaRPr>
        </a:p>
      </dgm:t>
    </dgm:pt>
    <dgm:pt modelId="{126F8C96-F831-4BD0-A1AC-D7DA917623F1}">
      <dgm:prSet phldrT="[Text]" custT="1"/>
      <dgm:spPr/>
      <dgm:t>
        <a:bodyPr/>
        <a:lstStyle/>
        <a:p>
          <a:r>
            <a:rPr lang="en-GB" sz="1200" b="0">
              <a:latin typeface="Times New Roman" panose="02020603050405020304" pitchFamily="18" charset="0"/>
              <a:cs typeface="Times New Roman" panose="02020603050405020304" pitchFamily="18" charset="0"/>
            </a:rPr>
            <a:t>Rivalry in the Industry</a:t>
          </a:r>
        </a:p>
        <a:p>
          <a:r>
            <a:rPr lang="en-GB" sz="1200" b="0">
              <a:latin typeface="Times New Roman" panose="02020603050405020304" pitchFamily="18" charset="0"/>
              <a:cs typeface="Times New Roman" panose="02020603050405020304" pitchFamily="18" charset="0"/>
            </a:rPr>
            <a:t>(High)</a:t>
          </a:r>
        </a:p>
      </dgm:t>
    </dgm:pt>
    <dgm:pt modelId="{C43B367D-40F9-4C21-8D7A-12A28C2D9DEE}" type="parTrans" cxnId="{56033DAD-1394-4206-844B-620D392B3179}">
      <dgm:prSet/>
      <dgm:spPr/>
      <dgm:t>
        <a:bodyPr/>
        <a:lstStyle/>
        <a:p>
          <a:endParaRPr lang="en-GB" sz="1200">
            <a:latin typeface="Times New Roman" panose="02020603050405020304" pitchFamily="18" charset="0"/>
            <a:cs typeface="Times New Roman" panose="02020603050405020304" pitchFamily="18" charset="0"/>
          </a:endParaRPr>
        </a:p>
      </dgm:t>
    </dgm:pt>
    <dgm:pt modelId="{73E5A26C-5E4C-4D9F-BD79-4F6325D556E4}" type="sibTrans" cxnId="{56033DAD-1394-4206-844B-620D392B3179}">
      <dgm:prSet/>
      <dgm:spPr/>
      <dgm:t>
        <a:bodyPr/>
        <a:lstStyle/>
        <a:p>
          <a:endParaRPr lang="en-GB" sz="1200">
            <a:latin typeface="Times New Roman" panose="02020603050405020304" pitchFamily="18" charset="0"/>
            <a:cs typeface="Times New Roman" panose="02020603050405020304" pitchFamily="18" charset="0"/>
          </a:endParaRPr>
        </a:p>
      </dgm:t>
    </dgm:pt>
    <dgm:pt modelId="{ACB43ED3-7418-435C-9196-F48533D360CB}" type="pres">
      <dgm:prSet presAssocID="{462A6DA7-DD87-49B6-B125-0128B9DAB686}" presName="diagram" presStyleCnt="0">
        <dgm:presLayoutVars>
          <dgm:dir/>
          <dgm:resizeHandles val="exact"/>
        </dgm:presLayoutVars>
      </dgm:prSet>
      <dgm:spPr/>
    </dgm:pt>
    <dgm:pt modelId="{3CA7BE81-57A0-45A5-8266-4CEED88D6D98}" type="pres">
      <dgm:prSet presAssocID="{5EEAAF25-E21B-4C6A-984D-BF794ABBDA8F}" presName="node" presStyleLbl="node1" presStyleIdx="0" presStyleCnt="5">
        <dgm:presLayoutVars>
          <dgm:bulletEnabled val="1"/>
        </dgm:presLayoutVars>
      </dgm:prSet>
      <dgm:spPr/>
    </dgm:pt>
    <dgm:pt modelId="{13DB195F-99CA-4E7F-9C65-B94460CA44F3}" type="pres">
      <dgm:prSet presAssocID="{84220046-745E-477B-A6F4-1974FE6F36B5}" presName="sibTrans" presStyleCnt="0"/>
      <dgm:spPr/>
    </dgm:pt>
    <dgm:pt modelId="{B3E7AEF9-DA7F-4308-ACBB-44E70BE86FF5}" type="pres">
      <dgm:prSet presAssocID="{CB2897C3-2EC8-4557-B658-CF35FA16C8A4}" presName="node" presStyleLbl="node1" presStyleIdx="1" presStyleCnt="5">
        <dgm:presLayoutVars>
          <dgm:bulletEnabled val="1"/>
        </dgm:presLayoutVars>
      </dgm:prSet>
      <dgm:spPr/>
    </dgm:pt>
    <dgm:pt modelId="{593A7897-9A3A-48F4-9064-C7077C8E4508}" type="pres">
      <dgm:prSet presAssocID="{6DE61162-D104-4989-B54B-28B2933EEA3F}" presName="sibTrans" presStyleCnt="0"/>
      <dgm:spPr/>
    </dgm:pt>
    <dgm:pt modelId="{CAE58C94-92CC-4E44-8168-7BBD1E2E6DDB}" type="pres">
      <dgm:prSet presAssocID="{99340E23-E4D6-449F-B08D-1E64B93FBC3B}" presName="node" presStyleLbl="node1" presStyleIdx="2" presStyleCnt="5">
        <dgm:presLayoutVars>
          <dgm:bulletEnabled val="1"/>
        </dgm:presLayoutVars>
      </dgm:prSet>
      <dgm:spPr/>
    </dgm:pt>
    <dgm:pt modelId="{366C7F8E-AA54-4A64-B487-61AFF4D3D041}" type="pres">
      <dgm:prSet presAssocID="{049E4F5D-A309-4D86-9134-0A99F9495483}" presName="sibTrans" presStyleCnt="0"/>
      <dgm:spPr/>
    </dgm:pt>
    <dgm:pt modelId="{66E0A778-1A2D-44F0-859A-DB0D3876A9C2}" type="pres">
      <dgm:prSet presAssocID="{A03298A2-C4BC-414E-AF7F-0A36E3B7B694}" presName="node" presStyleLbl="node1" presStyleIdx="3" presStyleCnt="5">
        <dgm:presLayoutVars>
          <dgm:bulletEnabled val="1"/>
        </dgm:presLayoutVars>
      </dgm:prSet>
      <dgm:spPr/>
    </dgm:pt>
    <dgm:pt modelId="{C622C47B-FF7F-4870-906F-BF0BE0E66BCD}" type="pres">
      <dgm:prSet presAssocID="{5E1932B6-3638-4D52-A484-53F6AC2A1F27}" presName="sibTrans" presStyleCnt="0"/>
      <dgm:spPr/>
    </dgm:pt>
    <dgm:pt modelId="{2595B6D8-5B22-4064-B08E-03022E500EA4}" type="pres">
      <dgm:prSet presAssocID="{126F8C96-F831-4BD0-A1AC-D7DA917623F1}" presName="node" presStyleLbl="node1" presStyleIdx="4" presStyleCnt="5">
        <dgm:presLayoutVars>
          <dgm:bulletEnabled val="1"/>
        </dgm:presLayoutVars>
      </dgm:prSet>
      <dgm:spPr/>
    </dgm:pt>
  </dgm:ptLst>
  <dgm:cxnLst>
    <dgm:cxn modelId="{EFBE3D07-EFEC-4064-B00D-35D8605599B7}" srcId="{462A6DA7-DD87-49B6-B125-0128B9DAB686}" destId="{A03298A2-C4BC-414E-AF7F-0A36E3B7B694}" srcOrd="3" destOrd="0" parTransId="{9C86C429-A90A-40A4-A08C-171C868A1C20}" sibTransId="{5E1932B6-3638-4D52-A484-53F6AC2A1F27}"/>
    <dgm:cxn modelId="{B2F12817-B032-4ABE-B0F8-95ABD9BF9A6B}" type="presOf" srcId="{A03298A2-C4BC-414E-AF7F-0A36E3B7B694}" destId="{66E0A778-1A2D-44F0-859A-DB0D3876A9C2}" srcOrd="0" destOrd="0" presId="urn:microsoft.com/office/officeart/2005/8/layout/default#1"/>
    <dgm:cxn modelId="{B346C519-227B-498A-964A-0F1A17982FC9}" type="presOf" srcId="{99340E23-E4D6-449F-B08D-1E64B93FBC3B}" destId="{CAE58C94-92CC-4E44-8168-7BBD1E2E6DDB}" srcOrd="0" destOrd="0" presId="urn:microsoft.com/office/officeart/2005/8/layout/default#1"/>
    <dgm:cxn modelId="{A085FD3C-CF9D-452A-AF31-9DDE46B15B56}" type="presOf" srcId="{126F8C96-F831-4BD0-A1AC-D7DA917623F1}" destId="{2595B6D8-5B22-4064-B08E-03022E500EA4}" srcOrd="0" destOrd="0" presId="urn:microsoft.com/office/officeart/2005/8/layout/default#1"/>
    <dgm:cxn modelId="{65D5EE42-1F6B-4262-90FB-2539B07EB2D2}" type="presOf" srcId="{CB2897C3-2EC8-4557-B658-CF35FA16C8A4}" destId="{B3E7AEF9-DA7F-4308-ACBB-44E70BE86FF5}" srcOrd="0" destOrd="0" presId="urn:microsoft.com/office/officeart/2005/8/layout/default#1"/>
    <dgm:cxn modelId="{0BB7BE8E-5AA7-4961-85BE-619FC4D760D9}" srcId="{462A6DA7-DD87-49B6-B125-0128B9DAB686}" destId="{99340E23-E4D6-449F-B08D-1E64B93FBC3B}" srcOrd="2" destOrd="0" parTransId="{0A67220D-864C-47A8-A0A2-CAEABFAF4DAA}" sibTransId="{049E4F5D-A309-4D86-9134-0A99F9495483}"/>
    <dgm:cxn modelId="{54B1EBA5-5871-43D4-9856-2C34EEE02BED}" srcId="{462A6DA7-DD87-49B6-B125-0128B9DAB686}" destId="{CB2897C3-2EC8-4557-B658-CF35FA16C8A4}" srcOrd="1" destOrd="0" parTransId="{C4E35215-B73C-4BBD-B92C-ADF23D6C3252}" sibTransId="{6DE61162-D104-4989-B54B-28B2933EEA3F}"/>
    <dgm:cxn modelId="{56033DAD-1394-4206-844B-620D392B3179}" srcId="{462A6DA7-DD87-49B6-B125-0128B9DAB686}" destId="{126F8C96-F831-4BD0-A1AC-D7DA917623F1}" srcOrd="4" destOrd="0" parTransId="{C43B367D-40F9-4C21-8D7A-12A28C2D9DEE}" sibTransId="{73E5A26C-5E4C-4D9F-BD79-4F6325D556E4}"/>
    <dgm:cxn modelId="{A316D2B6-F75F-4389-A988-FFBD5272261C}" type="presOf" srcId="{5EEAAF25-E21B-4C6A-984D-BF794ABBDA8F}" destId="{3CA7BE81-57A0-45A5-8266-4CEED88D6D98}" srcOrd="0" destOrd="0" presId="urn:microsoft.com/office/officeart/2005/8/layout/default#1"/>
    <dgm:cxn modelId="{70971CCE-609F-4FBB-8C6A-A0917C9B35E6}" type="presOf" srcId="{462A6DA7-DD87-49B6-B125-0128B9DAB686}" destId="{ACB43ED3-7418-435C-9196-F48533D360CB}" srcOrd="0" destOrd="0" presId="urn:microsoft.com/office/officeart/2005/8/layout/default#1"/>
    <dgm:cxn modelId="{D7EA27E1-45A8-4F19-B1A5-34DB43C40D38}" srcId="{462A6DA7-DD87-49B6-B125-0128B9DAB686}" destId="{5EEAAF25-E21B-4C6A-984D-BF794ABBDA8F}" srcOrd="0" destOrd="0" parTransId="{7BF705C5-77FD-47D0-ADC9-FF90DF3436DF}" sibTransId="{84220046-745E-477B-A6F4-1974FE6F36B5}"/>
    <dgm:cxn modelId="{914CD8A4-4C39-409E-B59C-CC6C5722BBB3}" type="presParOf" srcId="{ACB43ED3-7418-435C-9196-F48533D360CB}" destId="{3CA7BE81-57A0-45A5-8266-4CEED88D6D98}" srcOrd="0" destOrd="0" presId="urn:microsoft.com/office/officeart/2005/8/layout/default#1"/>
    <dgm:cxn modelId="{BEBF2CAF-8112-4657-8F64-FC8D9EF9F392}" type="presParOf" srcId="{ACB43ED3-7418-435C-9196-F48533D360CB}" destId="{13DB195F-99CA-4E7F-9C65-B94460CA44F3}" srcOrd="1" destOrd="0" presId="urn:microsoft.com/office/officeart/2005/8/layout/default#1"/>
    <dgm:cxn modelId="{65A37A3D-6338-4681-A842-A2B3C8B160E2}" type="presParOf" srcId="{ACB43ED3-7418-435C-9196-F48533D360CB}" destId="{B3E7AEF9-DA7F-4308-ACBB-44E70BE86FF5}" srcOrd="2" destOrd="0" presId="urn:microsoft.com/office/officeart/2005/8/layout/default#1"/>
    <dgm:cxn modelId="{4F4F3BA6-359B-4806-8D1B-AD1791765C03}" type="presParOf" srcId="{ACB43ED3-7418-435C-9196-F48533D360CB}" destId="{593A7897-9A3A-48F4-9064-C7077C8E4508}" srcOrd="3" destOrd="0" presId="urn:microsoft.com/office/officeart/2005/8/layout/default#1"/>
    <dgm:cxn modelId="{C45C67E3-59D5-4AF5-946B-28F634465686}" type="presParOf" srcId="{ACB43ED3-7418-435C-9196-F48533D360CB}" destId="{CAE58C94-92CC-4E44-8168-7BBD1E2E6DDB}" srcOrd="4" destOrd="0" presId="urn:microsoft.com/office/officeart/2005/8/layout/default#1"/>
    <dgm:cxn modelId="{2822DB19-AEE0-4BD5-9441-AF72DEAB1116}" type="presParOf" srcId="{ACB43ED3-7418-435C-9196-F48533D360CB}" destId="{366C7F8E-AA54-4A64-B487-61AFF4D3D041}" srcOrd="5" destOrd="0" presId="urn:microsoft.com/office/officeart/2005/8/layout/default#1"/>
    <dgm:cxn modelId="{8BAD5565-AD3D-484A-B91F-0ADE1312E29A}" type="presParOf" srcId="{ACB43ED3-7418-435C-9196-F48533D360CB}" destId="{66E0A778-1A2D-44F0-859A-DB0D3876A9C2}" srcOrd="6" destOrd="0" presId="urn:microsoft.com/office/officeart/2005/8/layout/default#1"/>
    <dgm:cxn modelId="{AE853540-9769-4866-B991-F8051F418994}" type="presParOf" srcId="{ACB43ED3-7418-435C-9196-F48533D360CB}" destId="{C622C47B-FF7F-4870-906F-BF0BE0E66BCD}" srcOrd="7" destOrd="0" presId="urn:microsoft.com/office/officeart/2005/8/layout/default#1"/>
    <dgm:cxn modelId="{C945347C-CDD1-46EE-9264-833A06162495}" type="presParOf" srcId="{ACB43ED3-7418-435C-9196-F48533D360CB}" destId="{2595B6D8-5B22-4064-B08E-03022E500EA4}" srcOrd="8" destOrd="0" presId="urn:microsoft.com/office/officeart/2005/8/layout/defaul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962D30-4B49-4C9B-83D4-B24871BD7836}">
      <dsp:nvSpPr>
        <dsp:cNvPr id="0" name=""/>
        <dsp:cNvSpPr/>
      </dsp:nvSpPr>
      <dsp:spPr>
        <a:xfrm>
          <a:off x="1137690" y="847468"/>
          <a:ext cx="1077169" cy="931795"/>
        </a:xfrm>
        <a:prstGeom prst="hexagon">
          <a:avLst>
            <a:gd name="adj" fmla="val 28570"/>
            <a:gd name="vf" fmla="val 115470"/>
          </a:avLst>
        </a:prstGeom>
        <a:solidFill>
          <a:schemeClr val="accent5">
            <a:shade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PESTEL</a:t>
          </a:r>
        </a:p>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Analysis</a:t>
          </a:r>
        </a:p>
      </dsp:txBody>
      <dsp:txXfrm>
        <a:off x="1316192" y="1001880"/>
        <a:ext cx="720165" cy="622971"/>
      </dsp:txXfrm>
    </dsp:sp>
    <dsp:sp modelId="{9371FF77-77F4-4607-BA90-F9C27B14987A}">
      <dsp:nvSpPr>
        <dsp:cNvPr id="0" name=""/>
        <dsp:cNvSpPr/>
      </dsp:nvSpPr>
      <dsp:spPr>
        <a:xfrm>
          <a:off x="1812205" y="401667"/>
          <a:ext cx="406412" cy="350178"/>
        </a:xfrm>
        <a:prstGeom prst="hexagon">
          <a:avLst>
            <a:gd name="adj" fmla="val 28900"/>
            <a:gd name="vf" fmla="val 115470"/>
          </a:avLst>
        </a:prstGeom>
        <a:solidFill>
          <a:schemeClr val="accent5">
            <a:tint val="5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5FBE7BF-605C-48D6-926B-B7A460B8C833}">
      <dsp:nvSpPr>
        <dsp:cNvPr id="0" name=""/>
        <dsp:cNvSpPr/>
      </dsp:nvSpPr>
      <dsp:spPr>
        <a:xfrm>
          <a:off x="1236912" y="0"/>
          <a:ext cx="882732" cy="763667"/>
        </a:xfrm>
        <a:prstGeom prst="hexagon">
          <a:avLst>
            <a:gd name="adj" fmla="val 28570"/>
            <a:gd name="vf" fmla="val 115470"/>
          </a:avLst>
        </a:prstGeom>
        <a:solidFill>
          <a:schemeClr val="accent5">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Political</a:t>
          </a:r>
        </a:p>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(Positive)</a:t>
          </a:r>
        </a:p>
      </dsp:txBody>
      <dsp:txXfrm>
        <a:off x="1383200" y="126556"/>
        <a:ext cx="590156" cy="510555"/>
      </dsp:txXfrm>
    </dsp:sp>
    <dsp:sp modelId="{EE215FD9-5545-412C-B062-5740785CA9E3}">
      <dsp:nvSpPr>
        <dsp:cNvPr id="0" name=""/>
        <dsp:cNvSpPr/>
      </dsp:nvSpPr>
      <dsp:spPr>
        <a:xfrm>
          <a:off x="2286520" y="1056314"/>
          <a:ext cx="406412" cy="350178"/>
        </a:xfrm>
        <a:prstGeom prst="hexagon">
          <a:avLst>
            <a:gd name="adj" fmla="val 28900"/>
            <a:gd name="vf" fmla="val 115470"/>
          </a:avLst>
        </a:prstGeom>
        <a:solidFill>
          <a:schemeClr val="accent5">
            <a:tint val="5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D249EBE-F763-4203-B763-F7EB7F77E883}">
      <dsp:nvSpPr>
        <dsp:cNvPr id="0" name=""/>
        <dsp:cNvSpPr/>
      </dsp:nvSpPr>
      <dsp:spPr>
        <a:xfrm>
          <a:off x="2046481" y="469706"/>
          <a:ext cx="882732" cy="763667"/>
        </a:xfrm>
        <a:prstGeom prst="hexagon">
          <a:avLst>
            <a:gd name="adj" fmla="val 28570"/>
            <a:gd name="vf" fmla="val 115470"/>
          </a:avLst>
        </a:prstGeom>
        <a:solidFill>
          <a:schemeClr val="accent5">
            <a:shade val="50000"/>
            <a:hueOff val="134164"/>
            <a:satOff val="-3267"/>
            <a:lumOff val="1429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Economic</a:t>
          </a:r>
        </a:p>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(Positive)</a:t>
          </a:r>
        </a:p>
      </dsp:txBody>
      <dsp:txXfrm>
        <a:off x="2192769" y="596262"/>
        <a:ext cx="590156" cy="510555"/>
      </dsp:txXfrm>
    </dsp:sp>
    <dsp:sp modelId="{E017689D-C0F0-4BC9-B4EA-3A9A9A4C2C36}">
      <dsp:nvSpPr>
        <dsp:cNvPr id="0" name=""/>
        <dsp:cNvSpPr/>
      </dsp:nvSpPr>
      <dsp:spPr>
        <a:xfrm>
          <a:off x="1957030" y="1795288"/>
          <a:ext cx="406412" cy="350178"/>
        </a:xfrm>
        <a:prstGeom prst="hexagon">
          <a:avLst>
            <a:gd name="adj" fmla="val 28900"/>
            <a:gd name="vf" fmla="val 115470"/>
          </a:avLst>
        </a:prstGeom>
        <a:solidFill>
          <a:schemeClr val="accent5">
            <a:tint val="5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456B31E-9E42-4424-9ABE-2F51EF60F79A}">
      <dsp:nvSpPr>
        <dsp:cNvPr id="0" name=""/>
        <dsp:cNvSpPr/>
      </dsp:nvSpPr>
      <dsp:spPr>
        <a:xfrm>
          <a:off x="2046481" y="1393095"/>
          <a:ext cx="882732" cy="763667"/>
        </a:xfrm>
        <a:prstGeom prst="hexagon">
          <a:avLst>
            <a:gd name="adj" fmla="val 28570"/>
            <a:gd name="vf" fmla="val 115470"/>
          </a:avLst>
        </a:prstGeom>
        <a:solidFill>
          <a:schemeClr val="accent5">
            <a:shade val="50000"/>
            <a:hueOff val="268329"/>
            <a:satOff val="-6535"/>
            <a:lumOff val="2859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Social</a:t>
          </a:r>
        </a:p>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(Positive)</a:t>
          </a:r>
        </a:p>
      </dsp:txBody>
      <dsp:txXfrm>
        <a:off x="2192769" y="1519651"/>
        <a:ext cx="590156" cy="510555"/>
      </dsp:txXfrm>
    </dsp:sp>
    <dsp:sp modelId="{DF9131A3-0801-4DDC-8714-2B8E441ABCCA}">
      <dsp:nvSpPr>
        <dsp:cNvPr id="0" name=""/>
        <dsp:cNvSpPr/>
      </dsp:nvSpPr>
      <dsp:spPr>
        <a:xfrm>
          <a:off x="1139694" y="1871996"/>
          <a:ext cx="406412" cy="350178"/>
        </a:xfrm>
        <a:prstGeom prst="hexagon">
          <a:avLst>
            <a:gd name="adj" fmla="val 28900"/>
            <a:gd name="vf" fmla="val 115470"/>
          </a:avLst>
        </a:prstGeom>
        <a:solidFill>
          <a:schemeClr val="accent5">
            <a:tint val="5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559FF95-9C9A-4603-B488-2047C5EA0BB6}">
      <dsp:nvSpPr>
        <dsp:cNvPr id="0" name=""/>
        <dsp:cNvSpPr/>
      </dsp:nvSpPr>
      <dsp:spPr>
        <a:xfrm>
          <a:off x="1236912" y="1863327"/>
          <a:ext cx="882732" cy="763667"/>
        </a:xfrm>
        <a:prstGeom prst="hexagon">
          <a:avLst>
            <a:gd name="adj" fmla="val 28570"/>
            <a:gd name="vf" fmla="val 115470"/>
          </a:avLst>
        </a:prstGeom>
        <a:solidFill>
          <a:schemeClr val="accent5">
            <a:shade val="50000"/>
            <a:hueOff val="402493"/>
            <a:satOff val="-9802"/>
            <a:lumOff val="4289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Technological</a:t>
          </a:r>
        </a:p>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(Negative)</a:t>
          </a:r>
        </a:p>
      </dsp:txBody>
      <dsp:txXfrm>
        <a:off x="1383200" y="1989883"/>
        <a:ext cx="590156" cy="510555"/>
      </dsp:txXfrm>
    </dsp:sp>
    <dsp:sp modelId="{24025762-9D7A-47D4-8705-6C3F306FB059}">
      <dsp:nvSpPr>
        <dsp:cNvPr id="0" name=""/>
        <dsp:cNvSpPr/>
      </dsp:nvSpPr>
      <dsp:spPr>
        <a:xfrm>
          <a:off x="657611" y="1217612"/>
          <a:ext cx="406412" cy="350178"/>
        </a:xfrm>
        <a:prstGeom prst="hexagon">
          <a:avLst>
            <a:gd name="adj" fmla="val 28900"/>
            <a:gd name="vf" fmla="val 115470"/>
          </a:avLst>
        </a:prstGeom>
        <a:solidFill>
          <a:schemeClr val="accent5">
            <a:tint val="5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11848E7-C4DF-4C83-A37C-116CD3A4BA6A}">
      <dsp:nvSpPr>
        <dsp:cNvPr id="0" name=""/>
        <dsp:cNvSpPr/>
      </dsp:nvSpPr>
      <dsp:spPr>
        <a:xfrm>
          <a:off x="423586" y="1393620"/>
          <a:ext cx="882732" cy="763667"/>
        </a:xfrm>
        <a:prstGeom prst="hexagon">
          <a:avLst>
            <a:gd name="adj" fmla="val 28570"/>
            <a:gd name="vf" fmla="val 115470"/>
          </a:avLst>
        </a:prstGeom>
        <a:solidFill>
          <a:schemeClr val="accent5">
            <a:shade val="50000"/>
            <a:hueOff val="268329"/>
            <a:satOff val="-6535"/>
            <a:lumOff val="2859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Environmental</a:t>
          </a:r>
        </a:p>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(Positive)</a:t>
          </a:r>
        </a:p>
      </dsp:txBody>
      <dsp:txXfrm>
        <a:off x="569874" y="1520176"/>
        <a:ext cx="590156" cy="510555"/>
      </dsp:txXfrm>
    </dsp:sp>
    <dsp:sp modelId="{B787C6B8-CA98-4FAD-BE3D-C676C620E920}">
      <dsp:nvSpPr>
        <dsp:cNvPr id="0" name=""/>
        <dsp:cNvSpPr/>
      </dsp:nvSpPr>
      <dsp:spPr>
        <a:xfrm>
          <a:off x="423586" y="468655"/>
          <a:ext cx="882732" cy="763667"/>
        </a:xfrm>
        <a:prstGeom prst="hexagon">
          <a:avLst>
            <a:gd name="adj" fmla="val 28570"/>
            <a:gd name="vf" fmla="val 115470"/>
          </a:avLst>
        </a:prstGeom>
        <a:solidFill>
          <a:schemeClr val="accent5">
            <a:shade val="50000"/>
            <a:hueOff val="134164"/>
            <a:satOff val="-3267"/>
            <a:lumOff val="1429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Legal</a:t>
          </a:r>
        </a:p>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(Positive)</a:t>
          </a:r>
        </a:p>
      </dsp:txBody>
      <dsp:txXfrm>
        <a:off x="569874" y="595211"/>
        <a:ext cx="590156" cy="51055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A7BE81-57A0-45A5-8266-4CEED88D6D98}">
      <dsp:nvSpPr>
        <dsp:cNvPr id="0" name=""/>
        <dsp:cNvSpPr/>
      </dsp:nvSpPr>
      <dsp:spPr>
        <a:xfrm>
          <a:off x="329" y="26832"/>
          <a:ext cx="1285712" cy="771427"/>
        </a:xfrm>
        <a:prstGeom prst="rect">
          <a:avLst/>
        </a:prstGeom>
        <a:solidFill>
          <a:schemeClr val="accent5">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Threat of New Entrance </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(Medium)</a:t>
          </a:r>
        </a:p>
      </dsp:txBody>
      <dsp:txXfrm>
        <a:off x="329" y="26832"/>
        <a:ext cx="1285712" cy="771427"/>
      </dsp:txXfrm>
    </dsp:sp>
    <dsp:sp modelId="{B3E7AEF9-DA7F-4308-ACBB-44E70BE86FF5}">
      <dsp:nvSpPr>
        <dsp:cNvPr id="0" name=""/>
        <dsp:cNvSpPr/>
      </dsp:nvSpPr>
      <dsp:spPr>
        <a:xfrm>
          <a:off x="1414613" y="26832"/>
          <a:ext cx="1285712" cy="771427"/>
        </a:xfrm>
        <a:prstGeom prst="rect">
          <a:avLst/>
        </a:prstGeom>
        <a:solidFill>
          <a:schemeClr val="accent5">
            <a:shade val="50000"/>
            <a:hueOff val="160997"/>
            <a:satOff val="-3921"/>
            <a:lumOff val="1715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Suppliers' Bargaining Power</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(Low)</a:t>
          </a:r>
        </a:p>
      </dsp:txBody>
      <dsp:txXfrm>
        <a:off x="1414613" y="26832"/>
        <a:ext cx="1285712" cy="771427"/>
      </dsp:txXfrm>
    </dsp:sp>
    <dsp:sp modelId="{CAE58C94-92CC-4E44-8168-7BBD1E2E6DDB}">
      <dsp:nvSpPr>
        <dsp:cNvPr id="0" name=""/>
        <dsp:cNvSpPr/>
      </dsp:nvSpPr>
      <dsp:spPr>
        <a:xfrm>
          <a:off x="329" y="926831"/>
          <a:ext cx="1285712" cy="771427"/>
        </a:xfrm>
        <a:prstGeom prst="rect">
          <a:avLst/>
        </a:prstGeom>
        <a:solidFill>
          <a:schemeClr val="accent5">
            <a:shade val="50000"/>
            <a:hueOff val="321995"/>
            <a:satOff val="-7842"/>
            <a:lumOff val="3431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Buyers' Bargaining Power</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(High)</a:t>
          </a:r>
        </a:p>
      </dsp:txBody>
      <dsp:txXfrm>
        <a:off x="329" y="926831"/>
        <a:ext cx="1285712" cy="771427"/>
      </dsp:txXfrm>
    </dsp:sp>
    <dsp:sp modelId="{66E0A778-1A2D-44F0-859A-DB0D3876A9C2}">
      <dsp:nvSpPr>
        <dsp:cNvPr id="0" name=""/>
        <dsp:cNvSpPr/>
      </dsp:nvSpPr>
      <dsp:spPr>
        <a:xfrm>
          <a:off x="1414613" y="926831"/>
          <a:ext cx="1285712" cy="771427"/>
        </a:xfrm>
        <a:prstGeom prst="rect">
          <a:avLst/>
        </a:prstGeom>
        <a:solidFill>
          <a:schemeClr val="accent5">
            <a:shade val="50000"/>
            <a:hueOff val="321995"/>
            <a:satOff val="-7842"/>
            <a:lumOff val="3431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Threat of Substitute</a:t>
          </a:r>
        </a:p>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(High)</a:t>
          </a:r>
        </a:p>
      </dsp:txBody>
      <dsp:txXfrm>
        <a:off x="1414613" y="926831"/>
        <a:ext cx="1285712" cy="771427"/>
      </dsp:txXfrm>
    </dsp:sp>
    <dsp:sp modelId="{2595B6D8-5B22-4064-B08E-03022E500EA4}">
      <dsp:nvSpPr>
        <dsp:cNvPr id="0" name=""/>
        <dsp:cNvSpPr/>
      </dsp:nvSpPr>
      <dsp:spPr>
        <a:xfrm>
          <a:off x="707471" y="1826829"/>
          <a:ext cx="1285712" cy="771427"/>
        </a:xfrm>
        <a:prstGeom prst="rect">
          <a:avLst/>
        </a:prstGeom>
        <a:solidFill>
          <a:schemeClr val="accent5">
            <a:shade val="50000"/>
            <a:hueOff val="160997"/>
            <a:satOff val="-3921"/>
            <a:lumOff val="1715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Rivalry in the Industry</a:t>
          </a:r>
        </a:p>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(High)</a:t>
          </a:r>
        </a:p>
      </dsp:txBody>
      <dsp:txXfrm>
        <a:off x="707471" y="1826829"/>
        <a:ext cx="1285712" cy="771427"/>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6167AC-33B6-214F-9788-FAE6B0F411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2142</Words>
  <Characters>12426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precup.alina21@gmail.com</cp:lastModifiedBy>
  <cp:revision>3</cp:revision>
  <dcterms:created xsi:type="dcterms:W3CDTF">2020-05-18T21:04:00Z</dcterms:created>
  <dcterms:modified xsi:type="dcterms:W3CDTF">2020-05-18T22:06:00Z</dcterms:modified>
</cp:coreProperties>
</file>