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000000" w:themeColor="text1"/>
  <w:body>
    <w:p w:rsidR="708E89FF" w:rsidP="304DBEEC" w:rsidRDefault="708E89FF" w14:paraId="5C8A443A" w14:textId="317960BF">
      <w:pPr>
        <w:pStyle w:val="Normal"/>
        <w:suppressLineNumbers w:val="0"/>
        <w:bidi w:val="0"/>
        <w:spacing w:before="220" w:beforeAutospacing="off" w:after="220" w:afterAutospacing="off" w:line="360" w:lineRule="auto"/>
        <w:ind/>
        <w:rPr>
          <w:sz w:val="36"/>
          <w:szCs w:val="36"/>
        </w:rPr>
      </w:pPr>
      <w:r w:rsidRPr="304DBEEC" w:rsidR="24C1D065">
        <w:rPr>
          <w:sz w:val="36"/>
          <w:szCs w:val="36"/>
        </w:rPr>
        <w:t>Module Title: Introduction to Public Health</w:t>
      </w:r>
    </w:p>
    <w:p w:rsidR="708E89FF" w:rsidP="304DBEEC" w:rsidRDefault="708E89FF" w14:paraId="76F48E87" w14:textId="2FAD4AE8">
      <w:pPr>
        <w:pStyle w:val="Normal"/>
        <w:suppressLineNumbers w:val="0"/>
        <w:spacing w:before="220" w:beforeAutospacing="off" w:after="220" w:afterAutospacing="off" w:line="360" w:lineRule="auto"/>
        <w:ind/>
        <w:rPr>
          <w:sz w:val="36"/>
          <w:szCs w:val="36"/>
        </w:rPr>
      </w:pPr>
      <w:r w:rsidRPr="304DBEEC" w:rsidR="24C1D065">
        <w:rPr>
          <w:sz w:val="36"/>
          <w:szCs w:val="36"/>
        </w:rPr>
        <w:t>MODULE COD (LCHS4008_BIRM</w:t>
      </w:r>
      <w:r w:rsidRPr="304DBEEC" w:rsidR="24C1D065">
        <w:rPr>
          <w:sz w:val="36"/>
          <w:szCs w:val="36"/>
        </w:rPr>
        <w:t>)</w:t>
      </w:r>
    </w:p>
    <w:p w:rsidR="708E89FF" w:rsidP="304DBEEC" w:rsidRDefault="708E89FF" w14:paraId="7710CD95" w14:textId="362A3694">
      <w:pPr>
        <w:pStyle w:val="Normal"/>
        <w:suppressLineNumbers w:val="0"/>
        <w:spacing w:before="220" w:beforeAutospacing="off" w:after="220" w:afterAutospacing="off" w:line="360" w:lineRule="auto"/>
        <w:ind/>
        <w:rPr>
          <w:sz w:val="36"/>
          <w:szCs w:val="36"/>
        </w:rPr>
      </w:pPr>
      <w:r w:rsidRPr="304DBEEC" w:rsidR="24C1D065">
        <w:rPr>
          <w:sz w:val="36"/>
          <w:szCs w:val="36"/>
        </w:rPr>
        <w:t>Assignment Title</w:t>
      </w:r>
      <w:r w:rsidRPr="304DBEEC" w:rsidR="24C1D065">
        <w:rPr>
          <w:sz w:val="36"/>
          <w:szCs w:val="36"/>
        </w:rPr>
        <w:t xml:space="preserve"> </w:t>
      </w:r>
      <w:r w:rsidRPr="304DBEEC" w:rsidR="24C1D065">
        <w:rPr>
          <w:sz w:val="36"/>
          <w:szCs w:val="36"/>
        </w:rPr>
        <w:t>Assessment 2-Report on a Health Issue</w:t>
      </w:r>
    </w:p>
    <w:p w:rsidR="708E89FF" w:rsidP="304DBEEC" w:rsidRDefault="708E89FF" w14:paraId="731B73BE" w14:textId="202288EA">
      <w:pPr>
        <w:pStyle w:val="ListParagraph"/>
        <w:spacing w:before="240" w:beforeAutospacing="off" w:after="240" w:afterAutospacing="off" w:line="360" w:lineRule="auto"/>
        <w:ind/>
        <w:rPr>
          <w:sz w:val="36"/>
          <w:szCs w:val="36"/>
        </w:rPr>
      </w:pPr>
      <w:r w:rsidRPr="304DBEEC" w:rsidR="24C1D065">
        <w:rPr>
          <w:sz w:val="36"/>
          <w:szCs w:val="36"/>
        </w:rPr>
        <w:t>Lecturer Name: Aishat Bakre</w:t>
      </w:r>
      <w:r>
        <w:br/>
      </w:r>
      <w:r w:rsidRPr="304DBEEC" w:rsidR="24C1D065">
        <w:rPr>
          <w:sz w:val="36"/>
          <w:szCs w:val="36"/>
        </w:rPr>
        <w:t>Student Name: Elisabeta Kadar</w:t>
      </w:r>
      <w:r>
        <w:br/>
      </w:r>
      <w:r w:rsidRPr="304DBEEC" w:rsidR="24C1D065">
        <w:rPr>
          <w:sz w:val="36"/>
          <w:szCs w:val="36"/>
        </w:rPr>
        <w:t>Student ID:2522578</w:t>
      </w:r>
      <w:r>
        <w:br/>
      </w:r>
      <w:r w:rsidRPr="304DBEEC" w:rsidR="24C1D065">
        <w:rPr>
          <w:sz w:val="36"/>
          <w:szCs w:val="36"/>
        </w:rPr>
        <w:t>Submission Date 24th</w:t>
      </w:r>
      <w:r w:rsidRPr="304DBEEC" w:rsidR="24C1D065">
        <w:rPr>
          <w:sz w:val="36"/>
          <w:szCs w:val="36"/>
        </w:rPr>
        <w:t xml:space="preserve"> </w:t>
      </w:r>
      <w:r w:rsidRPr="304DBEEC" w:rsidR="24C1D065">
        <w:rPr>
          <w:sz w:val="36"/>
          <w:szCs w:val="36"/>
        </w:rPr>
        <w:t>July 2026</w:t>
      </w:r>
    </w:p>
    <w:p w:rsidR="708E89FF" w:rsidP="304DBEEC" w:rsidRDefault="708E89FF" w14:paraId="3EF2A80D" w14:textId="06B0B3DC">
      <w:pPr>
        <w:pStyle w:val="Heading1"/>
        <w:bidi w:val="0"/>
        <w:spacing w:before="220" w:beforeAutospacing="off" w:after="220" w:afterAutospacing="off" w:line="360" w:lineRule="auto"/>
        <w:ind/>
      </w:pPr>
      <w:r>
        <w:br/>
      </w:r>
    </w:p>
    <w:p w:rsidR="708E89FF" w:rsidP="304DBEEC" w:rsidRDefault="708E89FF" w14:paraId="06FA71A9" w14:textId="1CD7C988">
      <w:pPr>
        <w:spacing w:before="240" w:beforeAutospacing="off" w:after="240" w:afterAutospacing="off" w:line="360" w:lineRule="auto"/>
        <w:ind/>
      </w:pPr>
      <w:r>
        <w:br w:type="page"/>
      </w:r>
    </w:p>
    <w:p w:rsidR="708E89FF" w:rsidP="304DBEEC" w:rsidRDefault="708E89FF" w14:paraId="5050AA6F" w14:textId="331FF57E">
      <w:pPr>
        <w:pStyle w:val="NoSpacing"/>
        <w:bidi w:val="0"/>
        <w:spacing w:before="220" w:beforeAutospacing="off" w:after="220" w:afterAutospacing="off" w:line="360" w:lineRule="auto"/>
        <w:ind/>
      </w:pPr>
      <w:r w:rsidRPr="304DBEEC" w:rsidR="24C1D065">
        <w:rPr>
          <w:sz w:val="40"/>
          <w:szCs w:val="40"/>
          <w:highlight w:val="black"/>
        </w:rPr>
        <w:t>Coronary Heart Disease</w:t>
      </w:r>
    </w:p>
    <w:p w:rsidR="708E89FF" w:rsidP="304DBEEC" w:rsidRDefault="708E89FF" w14:paraId="250EA7F2" w14:textId="7A1A217C">
      <w:pPr>
        <w:pStyle w:val="NoSpacing"/>
        <w:bidi w:val="0"/>
        <w:spacing w:before="240" w:beforeAutospacing="off" w:after="240" w:afterAutospacing="off" w:line="360" w:lineRule="auto"/>
        <w:ind/>
        <w:rPr>
          <w:sz w:val="20"/>
          <w:szCs w:val="20"/>
        </w:rPr>
      </w:pPr>
      <w:r>
        <w:br/>
      </w:r>
      <w:r>
        <w:br/>
      </w:r>
      <w:r w:rsidRPr="304DBEEC" w:rsidR="24C1D065">
        <w:rPr>
          <w:sz w:val="22"/>
          <w:szCs w:val="22"/>
        </w:rPr>
        <w:t>Coronary heart disease (CHD) is a cardiovascular condition characterised by the narrowing or blockage of the coronary arteries due to the accumulation of fatty deposits, a process known as atherosclerosis (World Health Organisation, 2025). This reduces blood flow to the heart muscle and can lead to angina, myocardial infarction, and death (World Health Organization, 2025). CHD is a major public health issue, and part of the wider group of cardiovascular diseases, which remain the leading cause of death globally (World Health Organization, 2025). In England, around 1.9 million people were recorded as having a GP diagnosis of CHD (Organisation, financial year ending March 2025 (</w:t>
      </w:r>
      <w:hyperlink r:id="R37b7a27c5f4843e9">
        <w:r w:rsidRPr="304DBEEC" w:rsidR="24C1D065">
          <w:rPr>
            <w:rStyle w:val="Hyperlink"/>
            <w:sz w:val="22"/>
            <w:szCs w:val="22"/>
          </w:rPr>
          <w:t>GOV.UK</w:t>
        </w:r>
      </w:hyperlink>
      <w:r w:rsidRPr="304DBEEC" w:rsidR="24C1D065">
        <w:rPr>
          <w:sz w:val="22"/>
          <w:szCs w:val="22"/>
        </w:rPr>
        <w:t>, 2025). Common symptoms include chest pain, shortness of breath, and fatigue (World Health Organization, 2025)</w:t>
      </w:r>
    </w:p>
    <w:p w:rsidR="708E89FF" w:rsidP="304DBEEC" w:rsidRDefault="708E89FF" w14:paraId="3034716C" w14:textId="167F179B">
      <w:pPr>
        <w:pStyle w:val="NoSpacing"/>
        <w:suppressLineNumbers w:val="0"/>
        <w:bidi w:val="0"/>
        <w:spacing w:before="0" w:beforeAutospacing="off" w:after="0" w:afterAutospacing="off" w:line="360" w:lineRule="auto"/>
        <w:ind w:left="720" w:right="0" w:hanging="360"/>
        <w:jc w:val="left"/>
        <w:rPr>
          <w:sz w:val="22"/>
          <w:szCs w:val="22"/>
        </w:rPr>
      </w:pPr>
      <w:r>
        <w:br/>
      </w:r>
      <w:r w:rsidRPr="304DBEEC" w:rsidR="24C1D065">
        <w:rPr>
          <w:rFonts w:ascii="Aptos" w:hAnsi="Aptos" w:eastAsia="" w:cs="" w:asciiTheme="minorAscii" w:hAnsiTheme="minorAscii" w:eastAsiaTheme="minorEastAsia" w:cstheme="minorBidi"/>
          <w:color w:val="auto"/>
          <w:sz w:val="22"/>
          <w:szCs w:val="22"/>
          <w:lang w:eastAsia="en-US" w:bidi="ar-SA"/>
        </w:rPr>
        <w:t>Approaches to Measurement</w:t>
      </w:r>
      <w:r>
        <w:br/>
      </w:r>
      <w:r w:rsidRPr="304DBEEC" w:rsidR="24C1D065">
        <w:rPr>
          <w:sz w:val="22"/>
          <w:szCs w:val="22"/>
        </w:rPr>
        <w:t>Monitoring CHD is essential for understanding its prevalence and impact on populations. Measures such as prevalence, incidence, morbidity, and mortality are commonly used to assess disease burden, while surveillance systems provide the data needed to track trends over time. In England, the Cardiovascular Disease Profiles developed by the Office for Health Improvement and Disparities combine primary care, hospital admissions, and mortality records to support public health planning (</w:t>
      </w:r>
      <w:hyperlink r:id="R0f8a030de51f4870">
        <w:r w:rsidRPr="304DBEEC" w:rsidR="24C1D065">
          <w:rPr>
            <w:rStyle w:val="Hyperlink"/>
            <w:sz w:val="22"/>
            <w:szCs w:val="22"/>
          </w:rPr>
          <w:t>GOV.UK</w:t>
        </w:r>
      </w:hyperlink>
      <w:r w:rsidRPr="304DBEEC" w:rsidR="24C1D065">
        <w:rPr>
          <w:sz w:val="22"/>
          <w:szCs w:val="22"/>
        </w:rPr>
        <w:t>, 2025). Primary care data is especially important because GP records capture diagnosed cases. Around 3% of the English population was recorded as living with CHD in the financial year ending March 2025 (</w:t>
      </w:r>
      <w:hyperlink r:id="Rd9b4aaff8b39444e">
        <w:r w:rsidRPr="304DBEEC" w:rsidR="24C1D065">
          <w:rPr>
            <w:rStyle w:val="Hyperlink"/>
            <w:sz w:val="22"/>
            <w:szCs w:val="22"/>
          </w:rPr>
          <w:t>GOV.UK</w:t>
        </w:r>
      </w:hyperlink>
      <w:r w:rsidRPr="304DBEEC" w:rsidR="24C1D065">
        <w:rPr>
          <w:sz w:val="22"/>
          <w:szCs w:val="22"/>
        </w:rPr>
        <w:t>, 2025). Hospital data is also vital because it records acute events such as heart attacks and complications. Over time, these datasets show that CHD hospital admission rates fell by 46% between the financial year ending March 2005 and the financial year ending March 2025 (</w:t>
      </w:r>
      <w:hyperlink r:id="Rb17bb1ab13244590">
        <w:r w:rsidRPr="304DBEEC" w:rsidR="24C1D065">
          <w:rPr>
            <w:rStyle w:val="Hyperlink"/>
            <w:sz w:val="22"/>
            <w:szCs w:val="22"/>
          </w:rPr>
          <w:t>GOV.UK</w:t>
        </w:r>
      </w:hyperlink>
      <w:r w:rsidRPr="304DBEEC" w:rsidR="24C1D065">
        <w:rPr>
          <w:sz w:val="22"/>
          <w:szCs w:val="22"/>
        </w:rPr>
        <w:t xml:space="preserve">, </w:t>
      </w:r>
      <w:r w:rsidRPr="304DBEEC" w:rsidR="24C1D065">
        <w:rPr>
          <w:sz w:val="22"/>
          <w:szCs w:val="22"/>
        </w:rPr>
        <w:t xml:space="preserve">2025) National surveillance programmes such as CVDPREVENT also monitor risk factors including hypertension and cholesterol, both strongly linked to CHD. These systems help identify individuals at high risk and support early intervention. </w:t>
      </w:r>
    </w:p>
    <w:p w:rsidR="708E89FF" w:rsidP="304DBEEC" w:rsidRDefault="708E89FF" w14:paraId="24F86296" w14:textId="30950564">
      <w:pPr>
        <w:pStyle w:val="NoSpacing"/>
        <w:suppressLineNumbers w:val="0"/>
        <w:bidi w:val="0"/>
        <w:spacing w:before="0" w:beforeAutospacing="off" w:after="0" w:afterAutospacing="off" w:line="360" w:lineRule="auto"/>
        <w:ind w:left="360" w:right="0" w:hanging="0"/>
        <w:jc w:val="left"/>
      </w:pPr>
      <w:r w:rsidRPr="304DBEEC" w:rsidR="24C1D065">
        <w:rPr>
          <w:sz w:val="22"/>
          <w:szCs w:val="22"/>
        </w:rPr>
        <w:t xml:space="preserve">At a global level, the World Health Organization uses mortality and burden measures such as disability-adjusted life years to compare </w:t>
      </w:r>
      <w:r w:rsidRPr="304DBEEC" w:rsidR="24C1D065">
        <w:rPr>
          <w:sz w:val="22"/>
          <w:szCs w:val="22"/>
        </w:rPr>
        <w:t>cardio</w:t>
      </w:r>
      <w:r w:rsidRPr="304DBEEC" w:rsidR="24C1D065">
        <w:rPr>
          <w:sz w:val="22"/>
          <w:szCs w:val="22"/>
        </w:rPr>
        <w:t xml:space="preserve"> </w:t>
      </w:r>
      <w:r w:rsidRPr="304DBEEC" w:rsidR="24C1D065">
        <w:rPr>
          <w:sz w:val="22"/>
          <w:szCs w:val="22"/>
        </w:rPr>
        <w:t>Organisation ease</w:t>
      </w:r>
      <w:r w:rsidRPr="304DBEEC" w:rsidR="24C1D065">
        <w:rPr>
          <w:sz w:val="22"/>
          <w:szCs w:val="22"/>
        </w:rPr>
        <w:t xml:space="preserve"> across countries (World Health Organization, 2025). Research using electronic health records also contributes to understanding CHD trends. Overall, combining local, national, and international data sources gives a detailed picture of CHD and supports evidence-based decision-making.</w:t>
      </w:r>
      <w:r>
        <w:br/>
      </w:r>
      <w:r>
        <w:br/>
      </w:r>
      <w:r w:rsidRPr="304DBEEC" w:rsidR="24C1D065">
        <w:rPr>
          <w:rFonts w:ascii="Aptos" w:hAnsi="Aptos" w:eastAsia="" w:cs="" w:asciiTheme="minorAscii" w:hAnsiTheme="minorAscii" w:eastAsiaTheme="minorEastAsia" w:cstheme="minorBidi"/>
          <w:color w:val="auto"/>
          <w:sz w:val="22"/>
          <w:szCs w:val="22"/>
          <w:lang w:eastAsia="en-US" w:bidi="ar-SA"/>
        </w:rPr>
        <w:t>Control</w:t>
      </w:r>
      <w:r w:rsidRPr="304DBEEC" w:rsidR="24C1D065">
        <w:rPr>
          <w:sz w:val="22"/>
          <w:szCs w:val="22"/>
        </w:rPr>
        <w:t xml:space="preserve"> and Prevention</w:t>
      </w:r>
      <w:r>
        <w:br/>
      </w:r>
      <w:r w:rsidRPr="304DBEEC" w:rsidR="24C1D065">
        <w:rPr>
          <w:sz w:val="22"/>
          <w:szCs w:val="22"/>
        </w:rPr>
        <w:t>CHD can be controlled through lifestyle change, medical treatment, and public health intervention. Prevention focuses on reducing modifiable risk factors and preventing disease progression. The NHS states that a healthy diet, regular physical activity, maintaining a healthy weight, stopping smoking, and reducing alcohol intake all lower the risk of CHD (NHS, 2024a). A diet low in saturated fat and high in fruit, vegetables, and whole grains is recommended, while regular exercise improves heart and circulatory function, lowers cholesterol, and helps control blood pressure and weight (NHS, 2024a). Smoking cessation is particularly important because smoking is a major risk factor for atherosclerosis and CHD (NHS, 2024a).</w:t>
      </w:r>
      <w:r>
        <w:br/>
      </w:r>
      <w:r w:rsidRPr="304DBEEC" w:rsidR="24C1D065">
        <w:rPr>
          <w:sz w:val="22"/>
          <w:szCs w:val="22"/>
        </w:rPr>
        <w:t>Medical treatment is also important in managing CHD. The NHS explains that treatment may include statins, beta-blockers, and antiplatelet drugs to reduce symptoms and lower the risk of further complications (NHS, 2024b). In more severe cases, angioplasty or coronary artery bypass grafting may be needed to restore blood flow to the heart (NHS, 2024b). Screening and early detection are central to prevention. Regular checks for blood pressure, cholesterol, and diabetes allow healthcare professionals to identify risk early and intervene before CHD develops or worsens (CDC, 2026). Community-based interventions are also effective because they combine education, support, and lifestyle advice. Heart Research UK provides community health checks and prevention programmes aimed at improving heart health and identifying risk factors early (Heart Research UK, 2025). Evidence also suggests that community cardiovascular services can reduce emergency admissions and improve outcomes, especially in deprived areas (Downing et al., 2018).</w:t>
      </w:r>
    </w:p>
    <w:p w:rsidR="708E89FF" w:rsidP="304DBEEC" w:rsidRDefault="708E89FF" w14:paraId="014B9502" w14:textId="1FE266BC">
      <w:pPr>
        <w:pStyle w:val="NoSpacing"/>
        <w:suppressLineNumbers w:val="0"/>
        <w:bidi w:val="0"/>
        <w:spacing w:before="0" w:beforeAutospacing="off" w:after="0" w:afterAutospacing="off" w:line="360" w:lineRule="auto"/>
        <w:ind w:left="360" w:right="0" w:hanging="0"/>
        <w:jc w:val="left"/>
        <w:rPr>
          <w:sz w:val="22"/>
          <w:szCs w:val="22"/>
        </w:rPr>
      </w:pPr>
    </w:p>
    <w:p w:rsidR="708E89FF" w:rsidP="304DBEEC" w:rsidRDefault="708E89FF" w14:paraId="6E0B6D68" w14:textId="2F786FCA">
      <w:pPr>
        <w:pStyle w:val="NoSpacing"/>
        <w:suppressLineNumbers w:val="0"/>
        <w:bidi w:val="0"/>
        <w:spacing w:before="0" w:beforeAutospacing="off" w:after="0" w:afterAutospacing="off" w:line="360" w:lineRule="auto"/>
        <w:ind w:left="360" w:right="0" w:hanging="0"/>
        <w:jc w:val="left"/>
        <w:rPr>
          <w:sz w:val="22"/>
          <w:szCs w:val="22"/>
        </w:rPr>
      </w:pPr>
      <w:r>
        <w:br/>
      </w:r>
      <w:r>
        <w:br/>
      </w:r>
      <w:r w:rsidRPr="304DBEEC" w:rsidR="24C1D065">
        <w:rPr>
          <w:rFonts w:ascii="Aptos" w:hAnsi="Aptos" w:eastAsia="" w:cs="" w:asciiTheme="minorAscii" w:hAnsiTheme="minorAscii" w:eastAsiaTheme="minorEastAsia" w:cstheme="minorBidi"/>
          <w:color w:val="auto"/>
          <w:sz w:val="24"/>
          <w:szCs w:val="24"/>
          <w:lang w:eastAsia="en-US" w:bidi="ar-SA"/>
        </w:rPr>
        <w:t>Community</w:t>
      </w:r>
      <w:r w:rsidRPr="304DBEEC" w:rsidR="24C1D065">
        <w:rPr>
          <w:sz w:val="24"/>
          <w:szCs w:val="24"/>
        </w:rPr>
        <w:t xml:space="preserve"> Impact</w:t>
      </w:r>
      <w:r>
        <w:br/>
      </w:r>
      <w:r w:rsidRPr="304DBEEC" w:rsidR="24C1D065">
        <w:rPr>
          <w:sz w:val="22"/>
          <w:szCs w:val="22"/>
        </w:rPr>
        <w:t>CHD has wide-ranging effects on individuals, families, and communities. One of the most serious consequences is premature death. Cardiovascular diseases account for a substantial share of deaths in the UK, showing the scale of the burden they place on health services and society (British Heart Foundation, 2025). Beyond mortality, CHD can cause long-term disability, reduced physical function, and diminished quality of life. Individuals may struggle with daily activities, experience persistent symptoms, and require ongoing medication or rehabilitation. CHD often occurs alongside other conditions such as diabetes and hypertension, which can further worsen health outcomes (British Heart Foundation, 2025).</w:t>
      </w:r>
      <w:r>
        <w:br/>
      </w:r>
      <w:r w:rsidRPr="304DBEEC" w:rsidR="24C1D065">
        <w:rPr>
          <w:sz w:val="22"/>
          <w:szCs w:val="22"/>
        </w:rPr>
        <w:t>The economic impact is also significant. CHD contributes to healthcare costs, hospital admissions, long-term treatment, and reduced productivity through sickness absence and early retirement. The King’s Fund notes that cardiovascular disease is a major driver of economic inactivity in England, increasing pressure on both the NHS and wider social support systems (The King’s Fund, 2025). CHD also reflects wider health inequalities. People living in deprived areas are more likely to be exposed to risk factors such as smoking, poor diet, obesity, and physical inactivity, and are therefore more likely to develop CHD and experience poorer outcomes (British Heart Foundation, 2025). Psychological effects should not be overlooked. Living with CHD can lead to anxiety, depression, and stress, particularly after a heart attack or major cardiac event.</w:t>
      </w:r>
    </w:p>
    <w:p w:rsidR="708E89FF" w:rsidP="304DBEEC" w:rsidRDefault="708E89FF" w14:paraId="4260EE32" w14:textId="27D2A7F0">
      <w:pPr>
        <w:pStyle w:val="NoSpacing"/>
        <w:suppressLineNumbers w:val="0"/>
        <w:bidi w:val="0"/>
        <w:spacing w:before="0" w:beforeAutospacing="off" w:after="0" w:afterAutospacing="off" w:line="360" w:lineRule="auto"/>
        <w:ind w:left="720" w:right="0" w:hanging="360"/>
        <w:jc w:val="left"/>
        <w:rPr>
          <w:sz w:val="20"/>
          <w:szCs w:val="20"/>
        </w:rPr>
      </w:pPr>
      <w:r>
        <w:br/>
      </w:r>
      <w:r>
        <w:br/>
      </w:r>
      <w:r w:rsidRPr="304DBEEC" w:rsidR="24C1D065">
        <w:rPr>
          <w:rFonts w:ascii="Aptos" w:hAnsi="Aptos" w:eastAsia="" w:cs="" w:asciiTheme="minorAscii" w:hAnsiTheme="minorAscii" w:eastAsiaTheme="minorEastAsia" w:cstheme="minorBidi"/>
          <w:color w:val="auto"/>
          <w:sz w:val="24"/>
          <w:szCs w:val="24"/>
          <w:lang w:eastAsia="en-US" w:bidi="ar-SA"/>
        </w:rPr>
        <w:t>Health</w:t>
      </w:r>
      <w:r w:rsidRPr="304DBEEC" w:rsidR="24C1D065">
        <w:rPr>
          <w:sz w:val="24"/>
          <w:szCs w:val="24"/>
        </w:rPr>
        <w:t xml:space="preserve"> and Social Care Support</w:t>
      </w:r>
      <w:r>
        <w:br/>
      </w:r>
      <w:r w:rsidRPr="304DBEEC" w:rsidR="24C1D065">
        <w:rPr>
          <w:sz w:val="22"/>
          <w:szCs w:val="22"/>
        </w:rPr>
        <w:t>People with CHD require support across primary, secondary, and community care. GPs play a central role in early detection, prescribing medication, monitoring risk factors, and providing lifestyle advice. They also coordinate referrals to specialist services when needed. Hospital-based care is provided in secondary services. This includes diagnosis, emergency treatment, and specialist procedures carried out by cardiologists and multidisciplinary teams. Cardiac rehabilitation is another important part of treatment because it combines supervised exercise, education, and emotional support to help patients recover and reduce the risk of future events.</w:t>
      </w:r>
      <w:r>
        <w:br/>
      </w:r>
      <w:r w:rsidRPr="304DBEEC" w:rsidR="24C1D065">
        <w:rPr>
          <w:sz w:val="22"/>
          <w:szCs w:val="22"/>
        </w:rPr>
        <w:t>Community services are increasingly important in long-term care. Local health checks, exercise programmes, and support groups help people manage CHD outside hospital and improve self-management. Heart Research UK highlights the value of community health initiatives in promoting healthier behaviours and early detection of risk factors (Heart Research UK, 2025). Social care also has a role, especially for people with severe disease or related disability. Support may include help at home, assistance with daily tasks, and carer support. Coordinating health and social care is essential for delivering person-centred support.</w:t>
      </w:r>
      <w:r>
        <w:br/>
      </w:r>
      <w:r>
        <w:br/>
      </w:r>
      <w:r w:rsidRPr="304DBEEC" w:rsidR="24C1D065">
        <w:rPr>
          <w:sz w:val="24"/>
          <w:szCs w:val="24"/>
        </w:rPr>
        <w:t>NHS Impact</w:t>
      </w:r>
      <w:r>
        <w:br/>
      </w:r>
      <w:r w:rsidRPr="304DBEEC" w:rsidR="24C1D065">
        <w:rPr>
          <w:sz w:val="22"/>
          <w:szCs w:val="22"/>
        </w:rPr>
        <w:t>Coronary heart disease places a substantial burden on the NHS because it requires continuous investment in prevention, diagnosis, treatment, and long-term management. NHS England states that cardiovascular disease causes a quarter of all deaths in the UK and is the largest cause of premature mortality in deprived areas, making it one of the most important conditions for the health service to address (NHS England, 2022). The NHS is therefore not only responsible for treating acute cardiac events, but also for restoring routine monitoring and management of high-risk conditions such as hypertension Nd high cholesterol, which are major drivers of CHD (NHS England, 2022). In addition, NHS England highlights the importance of high-impact interventions such as public education, system leadership, and targeted use of data to reduce inequalities and identify people at risk earlier (NHS England, 2022). This shows that CHD affects the NHS both clinically and operationally, increasing demand for hospital care while also requiring stronger prevention strategies in primary care and community settings.</w:t>
      </w:r>
    </w:p>
    <w:p w:rsidR="708E89FF" w:rsidP="304DBEEC" w:rsidRDefault="708E89FF" w14:paraId="6FFC9255" w14:textId="3BBA8B3E">
      <w:pPr>
        <w:pStyle w:val="NoSpacing"/>
        <w:suppressLineNumbers w:val="0"/>
        <w:bidi w:val="0"/>
        <w:spacing w:before="0" w:beforeAutospacing="off" w:after="0" w:afterAutospacing="off" w:line="360" w:lineRule="auto"/>
        <w:ind w:left="720" w:right="0" w:hanging="360"/>
        <w:jc w:val="left"/>
        <w:rPr>
          <w:sz w:val="22"/>
          <w:szCs w:val="22"/>
        </w:rPr>
      </w:pPr>
    </w:p>
    <w:p w:rsidR="708E89FF" w:rsidP="304DBEEC" w:rsidRDefault="708E89FF" w14:paraId="772304D2" w14:textId="2691510B">
      <w:pPr>
        <w:pStyle w:val="NoSpacing"/>
        <w:suppressLineNumbers w:val="0"/>
        <w:bidi w:val="0"/>
        <w:spacing w:before="0" w:beforeAutospacing="off" w:after="0" w:afterAutospacing="off" w:line="360" w:lineRule="auto"/>
        <w:ind w:left="720" w:right="0" w:hanging="360"/>
        <w:jc w:val="left"/>
        <w:rPr>
          <w:sz w:val="22"/>
          <w:szCs w:val="22"/>
        </w:rPr>
      </w:pPr>
    </w:p>
    <w:p w:rsidR="708E89FF" w:rsidP="304DBEEC" w:rsidRDefault="708E89FF" w14:paraId="08468E57" w14:textId="7DCB588F">
      <w:pPr>
        <w:pStyle w:val="NoSpacing"/>
        <w:suppressLineNumbers w:val="0"/>
        <w:bidi w:val="0"/>
        <w:spacing w:before="0" w:beforeAutospacing="off" w:after="0" w:afterAutospacing="off" w:line="360" w:lineRule="auto"/>
        <w:ind w:left="720" w:right="0" w:hanging="360"/>
        <w:jc w:val="left"/>
        <w:rPr>
          <w:sz w:val="22"/>
          <w:szCs w:val="22"/>
        </w:rPr>
      </w:pPr>
    </w:p>
    <w:p w:rsidR="708E89FF" w:rsidP="304DBEEC" w:rsidRDefault="708E89FF" w14:paraId="2F74BB1B" w14:textId="3929EAA5">
      <w:pPr>
        <w:pStyle w:val="NoSpacing"/>
        <w:suppressLineNumbers w:val="0"/>
        <w:bidi w:val="0"/>
        <w:spacing w:before="0" w:beforeAutospacing="off" w:after="0" w:afterAutospacing="off" w:line="360" w:lineRule="auto"/>
        <w:ind w:left="720" w:right="0" w:hanging="360"/>
        <w:jc w:val="left"/>
        <w:rPr>
          <w:sz w:val="22"/>
          <w:szCs w:val="22"/>
        </w:rPr>
      </w:pPr>
    </w:p>
    <w:p w:rsidR="708E89FF" w:rsidP="304DBEEC" w:rsidRDefault="708E89FF" w14:paraId="59822103" w14:textId="783ECB55">
      <w:pPr>
        <w:pStyle w:val="NoSpacing"/>
        <w:suppressLineNumbers w:val="0"/>
        <w:bidi w:val="0"/>
        <w:spacing w:before="0" w:beforeAutospacing="off" w:after="0" w:afterAutospacing="off" w:line="360" w:lineRule="auto"/>
        <w:ind w:left="720" w:right="0" w:hanging="360"/>
        <w:jc w:val="left"/>
        <w:rPr>
          <w:sz w:val="22"/>
          <w:szCs w:val="22"/>
        </w:rPr>
      </w:pPr>
    </w:p>
    <w:p w:rsidR="708E89FF" w:rsidP="304DBEEC" w:rsidRDefault="708E89FF" w14:paraId="6270A6DA" w14:textId="40C70668">
      <w:pPr>
        <w:pStyle w:val="NoSpacing"/>
        <w:suppressLineNumbers w:val="0"/>
        <w:bidi w:val="0"/>
        <w:spacing w:before="0" w:beforeAutospacing="off" w:after="0" w:afterAutospacing="off" w:line="360" w:lineRule="auto"/>
        <w:ind w:left="720" w:right="0" w:hanging="360"/>
        <w:jc w:val="left"/>
        <w:rPr>
          <w:sz w:val="22"/>
          <w:szCs w:val="22"/>
        </w:rPr>
      </w:pPr>
    </w:p>
    <w:p w:rsidR="708E89FF" w:rsidP="304DBEEC" w:rsidRDefault="708E89FF" w14:paraId="4E3B10AD" w14:textId="2D931030">
      <w:pPr>
        <w:pStyle w:val="NoSpacing"/>
        <w:suppressLineNumbers w:val="0"/>
        <w:bidi w:val="0"/>
        <w:spacing w:before="0" w:beforeAutospacing="off" w:after="0" w:afterAutospacing="off" w:line="360" w:lineRule="auto"/>
        <w:ind w:left="0" w:right="0" w:hanging="0"/>
        <w:jc w:val="left"/>
        <w:rPr>
          <w:rFonts w:ascii="Aptos" w:hAnsi="Aptos" w:eastAsia="" w:cs="" w:asciiTheme="minorAscii" w:hAnsiTheme="minorAscii" w:eastAsiaTheme="minorEastAsia" w:cstheme="minorBidi"/>
          <w:color w:val="auto"/>
          <w:sz w:val="28"/>
          <w:szCs w:val="28"/>
          <w:highlight w:val="darkCyan"/>
          <w:lang w:eastAsia="en-US" w:bidi="ar-SA"/>
        </w:rPr>
      </w:pPr>
      <w:r>
        <w:br/>
      </w:r>
      <w:r w:rsidRPr="304DBEEC" w:rsidR="24C1D065">
        <w:rPr>
          <w:rFonts w:ascii="Aptos" w:hAnsi="Aptos" w:eastAsia="" w:cs="" w:asciiTheme="minorAscii" w:hAnsiTheme="minorAscii" w:eastAsiaTheme="minorEastAsia" w:cstheme="minorBidi"/>
          <w:color w:val="auto"/>
          <w:sz w:val="28"/>
          <w:szCs w:val="28"/>
          <w:lang w:eastAsia="en-US" w:bidi="ar-SA"/>
        </w:rPr>
        <w:t>Conclusion</w:t>
      </w:r>
      <w:r>
        <w:br/>
      </w:r>
      <w:r w:rsidRPr="304DBEEC" w:rsidR="24C1D065">
        <w:rPr>
          <w:sz w:val="22"/>
          <w:szCs w:val="22"/>
        </w:rPr>
        <w:t>In conclusion, coronary heart disease remains a major health problem with serious consequences for individuals and communities. It is caused by narrowing of the coronary arteries and can lead to angina, heart attack, and death (World Health Organization, 2025). Monitoring systems in England provide useful data on prevalence, admissions, and mortality. Prevention depends on lifestyle change, screening, medication, and public health action (</w:t>
      </w:r>
      <w:hyperlink r:id="R53a2d4c3c09742b0">
        <w:r w:rsidRPr="304DBEEC" w:rsidR="24C1D065">
          <w:rPr>
            <w:rStyle w:val="Hyperlink"/>
            <w:sz w:val="22"/>
            <w:szCs w:val="22"/>
          </w:rPr>
          <w:t>GOV.UK</w:t>
        </w:r>
      </w:hyperlink>
      <w:r w:rsidRPr="304DBEEC" w:rsidR="24C1D065">
        <w:rPr>
          <w:sz w:val="22"/>
          <w:szCs w:val="22"/>
        </w:rPr>
        <w:t>, 2025; NHS, 2024a; NHS, 2024b). CHD also creates major social, economic, and psychological burdens, particularly in deprived communities (British Heart Foundation, 2025; The King’s Fund, 2025). A coordinated approach involving healthcare, social care, and community support is therefore essential to reduce its impact.</w:t>
      </w:r>
      <w:r>
        <w:br/>
      </w:r>
      <w:r>
        <w:br/>
      </w:r>
    </w:p>
    <w:p w:rsidR="708E89FF" w:rsidP="304DBEEC" w:rsidRDefault="708E89FF" w14:paraId="19D45A25" w14:textId="320DA745">
      <w:pPr>
        <w:spacing w:before="240" w:beforeAutospacing="off" w:after="240" w:afterAutospacing="off" w:line="360" w:lineRule="auto"/>
        <w:ind/>
        <w:rPr>
          <w:sz w:val="22"/>
          <w:szCs w:val="22"/>
        </w:rPr>
      </w:pPr>
      <w:r w:rsidRPr="304DBEEC">
        <w:rPr>
          <w:sz w:val="22"/>
          <w:szCs w:val="22"/>
        </w:rPr>
        <w:br w:type="page"/>
      </w:r>
    </w:p>
    <w:p w:rsidR="708E89FF" w:rsidP="304DBEEC" w:rsidRDefault="708E89FF" w14:paraId="6D9EA36D" w14:textId="3476D4E7">
      <w:pPr>
        <w:pStyle w:val="NoSpacing"/>
        <w:spacing w:before="240" w:beforeAutospacing="off" w:after="240" w:afterAutospacing="on" w:line="360" w:lineRule="auto"/>
        <w:ind/>
        <w:rPr>
          <w:rFonts w:eastAsia="Times New Roman"/>
          <w:sz w:val="22"/>
          <w:szCs w:val="22"/>
        </w:rPr>
      </w:pPr>
      <w:r>
        <w:br/>
      </w:r>
      <w:r w:rsidRPr="304DBEEC" w:rsidR="24C1D065">
        <w:rPr>
          <w:rFonts w:eastAsia="Times New Roman"/>
          <w:sz w:val="36"/>
          <w:szCs w:val="36"/>
          <w:highlight w:val="black"/>
        </w:rPr>
        <w:t>References</w:t>
      </w:r>
      <w:r>
        <w:br/>
      </w:r>
      <w:r w:rsidRPr="304DBEEC" w:rsidR="24C1D065">
        <w:rPr>
          <w:rFonts w:eastAsia="Times New Roman"/>
          <w:sz w:val="22"/>
          <w:szCs w:val="22"/>
        </w:rPr>
        <w:t>British Heart Foundation (2025) Cardiovascular Disease Statistics 2025. Available at: </w:t>
      </w:r>
      <w:hyperlink r:id="Rc4977a5fa1ad491e">
        <w:r w:rsidRPr="304DBEEC" w:rsidR="24C1D065">
          <w:rPr>
            <w:rStyle w:val="Hyperlink"/>
            <w:rFonts w:ascii="Arial" w:hAnsi="Arial" w:eastAsia="Times New Roman" w:cs="Arial"/>
            <w:color w:val="0B57D0"/>
            <w:sz w:val="18"/>
            <w:szCs w:val="18"/>
            <w:u w:val="none"/>
          </w:rPr>
          <w:t>https://www.bhf.org.uk/what-we-do/our-research/heart-statistics/heart-statistics-publications/cardiovascular-disease-statistics-2025</w:t>
        </w:r>
      </w:hyperlink>
      <w:r w:rsidRPr="304DBEEC" w:rsidR="24C1D065">
        <w:rPr>
          <w:rFonts w:eastAsia="Times New Roman"/>
          <w:sz w:val="22"/>
          <w:szCs w:val="22"/>
        </w:rPr>
        <w:t> (Accessed: 18 July 2026).</w:t>
      </w:r>
      <w:r>
        <w:br/>
      </w:r>
      <w:r w:rsidRPr="304DBEEC" w:rsidR="24C1D065">
        <w:rPr>
          <w:rFonts w:eastAsia="Times New Roman"/>
          <w:sz w:val="22"/>
          <w:szCs w:val="22"/>
        </w:rPr>
        <w:t>CDC (2026) Preventing Heart Disease. Available at: </w:t>
      </w:r>
      <w:hyperlink r:id="R9c08de9e78e14478">
        <w:r w:rsidRPr="304DBEEC" w:rsidR="24C1D065">
          <w:rPr>
            <w:rStyle w:val="Hyperlink"/>
            <w:rFonts w:ascii="Arial" w:hAnsi="Arial" w:eastAsia="Times New Roman" w:cs="Arial"/>
            <w:color w:val="0B57D0"/>
            <w:sz w:val="18"/>
            <w:szCs w:val="18"/>
            <w:u w:val="none"/>
          </w:rPr>
          <w:t>https://www.cdc.gov/heart-disease/prevention/index.html</w:t>
        </w:r>
      </w:hyperlink>
      <w:r w:rsidRPr="304DBEEC" w:rsidR="24C1D065">
        <w:rPr>
          <w:rFonts w:eastAsia="Times New Roman"/>
          <w:sz w:val="22"/>
          <w:szCs w:val="22"/>
        </w:rPr>
        <w:t> (Accessed: 18 July 2026).</w:t>
      </w:r>
      <w:r>
        <w:br/>
      </w:r>
      <w:r w:rsidRPr="304DBEEC" w:rsidR="24C1D065">
        <w:rPr>
          <w:rFonts w:eastAsia="Times New Roman"/>
          <w:sz w:val="22"/>
          <w:szCs w:val="22"/>
        </w:rPr>
        <w:t>Downing, J. et al. (2018) ‘Impact of a community-based cardiovascular disease service intervention’, Heart.</w:t>
      </w:r>
      <w:r>
        <w:br/>
      </w:r>
      <w:hyperlink r:id="R6ba59ab28fae4a04">
        <w:r w:rsidRPr="304DBEEC" w:rsidR="24C1D065">
          <w:rPr>
            <w:rStyle w:val="Hyperlink"/>
            <w:rFonts w:ascii="Arial" w:hAnsi="Arial" w:eastAsia="Times New Roman" w:cs="Arial"/>
            <w:color w:val="0B57D0"/>
            <w:sz w:val="18"/>
            <w:szCs w:val="18"/>
            <w:u w:val="none"/>
          </w:rPr>
          <w:t>GOV.UK</w:t>
        </w:r>
      </w:hyperlink>
      <w:r w:rsidRPr="304DBEEC" w:rsidR="24C1D065">
        <w:rPr>
          <w:rFonts w:eastAsia="Times New Roman"/>
          <w:sz w:val="22"/>
          <w:szCs w:val="22"/>
        </w:rPr>
        <w:t> (2025) cardiovascular disease profiles: short statistical commentary. Available at: </w:t>
      </w:r>
      <w:hyperlink r:id="R59269ca2b3fc40dc">
        <w:r w:rsidRPr="304DBEEC" w:rsidR="24C1D065">
          <w:rPr>
            <w:rStyle w:val="Hyperlink"/>
            <w:rFonts w:ascii="Arial" w:hAnsi="Arial" w:eastAsia="Times New Roman" w:cs="Arial"/>
            <w:color w:val="0B57D0"/>
            <w:sz w:val="18"/>
            <w:szCs w:val="18"/>
            <w:u w:val="none"/>
          </w:rPr>
          <w:t>https://www.gov.uk/government/statistics/cardiovascular-disease-profiles-december-2025-update/cardiovascular-disease-profiles-short-statistical-commentary</w:t>
        </w:r>
      </w:hyperlink>
      <w:r>
        <w:br/>
      </w:r>
      <w:hyperlink r:id="R82470c08e2cd46b9">
        <w:r w:rsidRPr="304DBEEC" w:rsidR="24C1D065">
          <w:rPr>
            <w:rStyle w:val="Hyperlink"/>
            <w:rFonts w:ascii="Arial" w:hAnsi="Arial" w:eastAsia="Times New Roman" w:cs="Arial"/>
            <w:color w:val="0B57D0"/>
            <w:sz w:val="18"/>
            <w:szCs w:val="18"/>
            <w:u w:val="none"/>
          </w:rPr>
          <w:t>GOV.UK</w:t>
        </w:r>
      </w:hyperlink>
      <w:r w:rsidRPr="304DBEEC" w:rsidR="24C1D065">
        <w:rPr>
          <w:rFonts w:eastAsia="Times New Roman"/>
          <w:sz w:val="22"/>
          <w:szCs w:val="22"/>
        </w:rPr>
        <w:t> (2025) cardiovascular disease profiles: December 2025 update. Available at: </w:t>
      </w:r>
      <w:hyperlink r:id="Rca2838f7a48b42cb">
        <w:r w:rsidRPr="304DBEEC" w:rsidR="24C1D065">
          <w:rPr>
            <w:rStyle w:val="Hyperlink"/>
            <w:rFonts w:ascii="Arial" w:hAnsi="Arial" w:eastAsia="Times New Roman" w:cs="Arial"/>
            <w:color w:val="0B57D0"/>
            <w:sz w:val="18"/>
            <w:szCs w:val="18"/>
            <w:u w:val="none"/>
          </w:rPr>
          <w:t>https://www.gov.uk/government/statistics/cardiovascular-disease-profiles-december-2025-update</w:t>
        </w:r>
      </w:hyperlink>
      <w:r>
        <w:br/>
      </w:r>
      <w:r w:rsidRPr="304DBEEC" w:rsidR="24C1D065">
        <w:rPr>
          <w:rFonts w:eastAsia="Times New Roman"/>
          <w:sz w:val="22"/>
          <w:szCs w:val="22"/>
        </w:rPr>
        <w:t>Heart Research UK (2025) Community Health. Available at: </w:t>
      </w:r>
      <w:hyperlink r:id="R726dae75a79b4c92">
        <w:r w:rsidRPr="304DBEEC" w:rsidR="24C1D065">
          <w:rPr>
            <w:rStyle w:val="Hyperlink"/>
            <w:rFonts w:ascii="Arial" w:hAnsi="Arial" w:eastAsia="Times New Roman" w:cs="Arial"/>
            <w:color w:val="0B57D0"/>
            <w:sz w:val="18"/>
            <w:szCs w:val="18"/>
            <w:u w:val="none"/>
          </w:rPr>
          <w:t>https://heartresearch.org.uk/what-we-do/community-health</w:t>
        </w:r>
      </w:hyperlink>
      <w:r>
        <w:br/>
      </w:r>
      <w:r w:rsidRPr="304DBEEC" w:rsidR="24C1D065">
        <w:rPr>
          <w:rFonts w:eastAsia="Times New Roman"/>
          <w:sz w:val="22"/>
          <w:szCs w:val="22"/>
        </w:rPr>
        <w:t>NHS (2024a) Prevention: coronary heart disease. Available at: </w:t>
      </w:r>
      <w:hyperlink r:id="R679a0b222ca24ca7">
        <w:r w:rsidRPr="304DBEEC" w:rsidR="24C1D065">
          <w:rPr>
            <w:rStyle w:val="Hyperlink"/>
            <w:rFonts w:ascii="Arial" w:hAnsi="Arial" w:eastAsia="Times New Roman" w:cs="Arial"/>
            <w:color w:val="0B57D0"/>
            <w:sz w:val="18"/>
            <w:szCs w:val="18"/>
            <w:u w:val="none"/>
          </w:rPr>
          <w:t>https://www.nhs.uk/conditions/coronary-heart-disease/prevention/</w:t>
        </w:r>
      </w:hyperlink>
      <w:r>
        <w:br/>
      </w:r>
      <w:r w:rsidRPr="304DBEEC" w:rsidR="24C1D065">
        <w:rPr>
          <w:rFonts w:eastAsia="Times New Roman"/>
          <w:sz w:val="22"/>
          <w:szCs w:val="22"/>
        </w:rPr>
        <w:t>NHS (2024b) coronary heart disease - Treatment. Available at: </w:t>
      </w:r>
      <w:hyperlink r:id="R90d3e0d98f6f4ed9">
        <w:r w:rsidRPr="304DBEEC" w:rsidR="24C1D065">
          <w:rPr>
            <w:rStyle w:val="Hyperlink"/>
            <w:rFonts w:ascii="Arial" w:hAnsi="Arial" w:eastAsia="Times New Roman" w:cs="Arial"/>
            <w:color w:val="0B57D0"/>
            <w:sz w:val="18"/>
            <w:szCs w:val="18"/>
            <w:u w:val="none"/>
          </w:rPr>
          <w:t>https://www.nhs.uk/conditions/coronary-heart-disease/treatment/</w:t>
        </w:r>
      </w:hyperlink>
      <w:r>
        <w:br/>
      </w:r>
      <w:r w:rsidRPr="304DBEEC" w:rsidR="24C1D065">
        <w:rPr>
          <w:rFonts w:eastAsia="Times New Roman"/>
          <w:sz w:val="22"/>
          <w:szCs w:val="22"/>
        </w:rPr>
        <w:t>NHS England (2022) cardiovascular disease (CVD) prevention recovery. Available at: </w:t>
      </w:r>
      <w:hyperlink r:id="R8e217b3aafb749b0">
        <w:r w:rsidRPr="304DBEEC" w:rsidR="24C1D065">
          <w:rPr>
            <w:rStyle w:val="Hyperlink"/>
            <w:rFonts w:ascii="Arial" w:hAnsi="Arial" w:eastAsia="Times New Roman" w:cs="Arial"/>
            <w:color w:val="0B57D0"/>
            <w:sz w:val="18"/>
            <w:szCs w:val="18"/>
            <w:u w:val="none"/>
          </w:rPr>
          <w:t>https://www.england.nhs.uk/publication/cardiovascular-disease-prevention</w:t>
        </w:r>
      </w:hyperlink>
      <w:r>
        <w:br/>
      </w:r>
      <w:r w:rsidRPr="304DBEEC" w:rsidR="24C1D065">
        <w:rPr>
          <w:rFonts w:eastAsia="Times New Roman"/>
          <w:sz w:val="22"/>
          <w:szCs w:val="22"/>
        </w:rPr>
        <w:t>The King’s Fund (2025) How Integrated Care Systems Can Prevent Cardiovascular Disease. Available at: </w:t>
      </w:r>
      <w:hyperlink r:id="R05b5e558fe4d4b31">
        <w:r w:rsidRPr="304DBEEC" w:rsidR="24C1D065">
          <w:rPr>
            <w:rStyle w:val="Hyperlink"/>
            <w:rFonts w:ascii="Arial" w:hAnsi="Arial" w:eastAsia="Times New Roman" w:cs="Arial"/>
            <w:color w:val="0B57D0"/>
            <w:sz w:val="18"/>
            <w:szCs w:val="18"/>
            <w:u w:val="none"/>
          </w:rPr>
          <w:t>https://www.kingsfund.org.uk/insight-and-analysis/long-reads/shifting-prevention-integrated-care-systems-tackle-cardiovascular-disease</w:t>
        </w:r>
      </w:hyperlink>
      <w:r>
        <w:br/>
      </w:r>
      <w:r w:rsidRPr="304DBEEC" w:rsidR="24C1D065">
        <w:rPr>
          <w:rFonts w:eastAsia="Times New Roman"/>
          <w:sz w:val="22"/>
          <w:szCs w:val="22"/>
        </w:rPr>
        <w:t>World Health Organisation (2025) cardiovascular diseases (CVDs). Available at: </w:t>
      </w:r>
      <w:hyperlink r:id="R933fb3334c5347c4">
        <w:r w:rsidRPr="304DBEEC" w:rsidR="24C1D065">
          <w:rPr>
            <w:rStyle w:val="Hyperlink"/>
            <w:rFonts w:ascii="Arial" w:hAnsi="Arial" w:eastAsia="Times New Roman" w:cs="Arial"/>
            <w:color w:val="0B57D0"/>
            <w:sz w:val="18"/>
            <w:szCs w:val="18"/>
            <w:u w:val="none"/>
          </w:rPr>
          <w:t>https://www.who.int/news-room/fact-sheets/detail/cardiovascular-diseases-(cvds)</w:t>
        </w:r>
      </w:hyperlink>
    </w:p>
    <w:p w:rsidR="708E89FF" w:rsidP="708E89FF" w:rsidRDefault="708E89FF" w14:paraId="77D7519A" w14:textId="1AE0B322">
      <w:pPr>
        <w:pStyle w:val="Normal"/>
        <w:spacing w:before="240" w:beforeAutospacing="off" w:after="240" w:afterAutospacing="off" w:line="360" w:lineRule="auto"/>
        <w:ind w:left="0"/>
        <w:rPr>
          <w:sz w:val="22"/>
          <w:szCs w:val="22"/>
        </w:rPr>
      </w:pPr>
    </w:p>
    <w:p w:rsidR="708E89FF" w:rsidP="304DBEEC" w:rsidRDefault="708E89FF" w14:paraId="6E11D235" w14:textId="44305549">
      <w:pPr>
        <w:pStyle w:val="Heading2"/>
        <w:spacing w:before="120" w:beforeAutospacing="off"/>
        <w:ind/>
      </w:pPr>
    </w:p>
    <w:p w:rsidR="000F45D7" w:rsidP="304DBEEC" w:rsidRDefault="000F45D7" w14:paraId="7B3E7DA0" w14:textId="4D7239EA">
      <w:pPr>
        <w:pStyle w:val="Normal"/>
      </w:pPr>
    </w:p>
    <w:sectPr w:rsidR="000F45D7">
      <w:pgSz w:w="15840" w:h="12240" w:orient="landscape"/>
      <w:pgMar w:top="1440" w:right="1440" w:bottom="1440" w:left="1440" w:header="708" w:footer="708" w:gutter="0"/>
      <w:cols w:equalWidth="1" w:space="708" w:num="1"/>
      <w:docGrid w:linePitch="360"/>
      <w:pgBorders w:offsetFrom="page">
        <w:top w:val="single" w:color="000000" w:sz="8" w:space="24"/>
        <w:left w:val="single" w:color="000000" w:sz="8" w:space="24"/>
        <w:bottom w:val="single" w:color="000000" w:sz="8" w:space="24"/>
        <w:right w:val="single" w:color="000000" w:sz="8" w:space="24"/>
      </w:pgBorders>
      <w:headerReference w:type="default" r:id="R1b078cebf15e4048"/>
      <w:footerReference w:type="default" r:id="R508a6a7f67a74a8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4320"/>
      <w:gridCol w:w="4320"/>
      <w:gridCol w:w="4320"/>
    </w:tblGrid>
    <w:tr w:rsidR="708E89FF" w:rsidTr="304DBEEC" w14:paraId="148504EB">
      <w:trPr>
        <w:trHeight w:val="300"/>
      </w:trPr>
      <w:tc>
        <w:tcPr>
          <w:tcW w:w="4320" w:type="dxa"/>
          <w:tcMar/>
        </w:tcPr>
        <w:p w:rsidR="708E89FF" w:rsidP="708E89FF" w:rsidRDefault="708E89FF" w14:paraId="1DF88B86" w14:textId="1866919D">
          <w:pPr>
            <w:pStyle w:val="Header"/>
            <w:bidi w:val="0"/>
            <w:ind w:left="-115"/>
            <w:jc w:val="left"/>
          </w:pPr>
        </w:p>
      </w:tc>
      <w:tc>
        <w:tcPr>
          <w:tcW w:w="4320" w:type="dxa"/>
          <w:tcMar/>
        </w:tcPr>
        <w:p w:rsidR="708E89FF" w:rsidP="708E89FF" w:rsidRDefault="708E89FF" w14:paraId="60560C20" w14:textId="3ACD44DD">
          <w:pPr>
            <w:pStyle w:val="Header"/>
            <w:bidi w:val="0"/>
            <w:jc w:val="center"/>
          </w:pPr>
          <w:r>
            <w:fldChar w:fldCharType="begin"/>
          </w:r>
          <w:r>
            <w:instrText xml:space="preserve">PAGE</w:instrText>
          </w:r>
          <w:r>
            <w:fldChar w:fldCharType="separate"/>
          </w:r>
          <w:r>
            <w:fldChar w:fldCharType="end"/>
          </w:r>
        </w:p>
      </w:tc>
      <w:tc>
        <w:tcPr>
          <w:tcW w:w="4320" w:type="dxa"/>
          <w:tcMar/>
        </w:tcPr>
        <w:p w:rsidR="708E89FF" w:rsidP="708E89FF" w:rsidRDefault="708E89FF" w14:paraId="35802D16" w14:textId="07ACA818">
          <w:pPr>
            <w:pStyle w:val="Header"/>
            <w:bidi w:val="0"/>
            <w:ind w:right="-115"/>
            <w:jc w:val="right"/>
          </w:pPr>
        </w:p>
      </w:tc>
    </w:tr>
  </w:tbl>
  <w:p w:rsidR="708E89FF" w:rsidP="708E89FF" w:rsidRDefault="708E89FF" w14:paraId="33D7487F" w14:textId="08C62F4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4320"/>
      <w:gridCol w:w="4320"/>
      <w:gridCol w:w="4320"/>
    </w:tblGrid>
    <w:tr w:rsidR="708E89FF" w:rsidTr="708E89FF" w14:paraId="44E82F1E">
      <w:trPr>
        <w:trHeight w:val="300"/>
      </w:trPr>
      <w:tc>
        <w:tcPr>
          <w:tcW w:w="4320" w:type="dxa"/>
          <w:tcMar/>
        </w:tcPr>
        <w:p w:rsidR="708E89FF" w:rsidP="708E89FF" w:rsidRDefault="708E89FF" w14:paraId="25C7DD67" w14:textId="7F804784">
          <w:pPr>
            <w:pStyle w:val="Header"/>
            <w:bidi w:val="0"/>
            <w:ind w:left="-115"/>
            <w:jc w:val="left"/>
          </w:pPr>
          <w:r>
            <w:fldChar w:fldCharType="begin"/>
          </w:r>
          <w:r>
            <w:instrText xml:space="preserve">PAGE</w:instrText>
          </w:r>
          <w:r>
            <w:fldChar w:fldCharType="separate"/>
          </w:r>
          <w:r>
            <w:fldChar w:fldCharType="end"/>
          </w:r>
          <w:r w:rsidR="708E89FF">
            <w:rPr/>
            <w:t xml:space="preserve"> of </w:t>
          </w:r>
          <w:r>
            <w:fldChar w:fldCharType="begin"/>
          </w:r>
          <w:r>
            <w:instrText xml:space="preserve">NUMPAGES</w:instrText>
          </w:r>
          <w:r>
            <w:fldChar w:fldCharType="separate"/>
          </w:r>
          <w:r>
            <w:fldChar w:fldCharType="end"/>
          </w:r>
        </w:p>
      </w:tc>
      <w:tc>
        <w:tcPr>
          <w:tcW w:w="4320" w:type="dxa"/>
          <w:tcMar/>
        </w:tcPr>
        <w:p w:rsidR="708E89FF" w:rsidP="708E89FF" w:rsidRDefault="708E89FF" w14:paraId="5E6BDA2C" w14:textId="349106D1">
          <w:pPr>
            <w:pStyle w:val="Header"/>
            <w:bidi w:val="0"/>
            <w:jc w:val="center"/>
          </w:pPr>
        </w:p>
      </w:tc>
      <w:tc>
        <w:tcPr>
          <w:tcW w:w="4320" w:type="dxa"/>
          <w:tcMar/>
        </w:tcPr>
        <w:p w:rsidR="708E89FF" w:rsidP="708E89FF" w:rsidRDefault="708E89FF" w14:paraId="2DE1AAB9" w14:textId="4B60205B">
          <w:pPr>
            <w:pStyle w:val="Header"/>
            <w:bidi w:val="0"/>
            <w:ind w:right="-115"/>
            <w:jc w:val="right"/>
          </w:pPr>
        </w:p>
      </w:tc>
    </w:tr>
  </w:tbl>
  <w:p w:rsidR="708E89FF" w:rsidP="708E89FF" w:rsidRDefault="708E89FF" w14:paraId="611BA1D5" w14:textId="5C3B5DFA">
    <w:pPr>
      <w:pStyle w:val="Header"/>
      <w:bidi w:val="0"/>
    </w:pPr>
  </w:p>
</w:hdr>
</file>

<file path=word/intelligence2.xml><?xml version="1.0" encoding="utf-8"?>
<int2:intelligence xmlns:int2="http://schemas.microsoft.com/office/intelligence/2020/intelligence">
  <int2:observations>
    <int2:bookmark int2:bookmarkName="_Int_WcbBmtPL" int2:invalidationBookmarkName="" int2:hashCode="eSVFOq8/WteLlf" int2:id="v4vEjCLR">
      <int2:state int2:type="spell"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5">
    <w:nsid w:val="5e57f7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d645d20"/>
    <w:multiLevelType xmlns:w="http://schemas.openxmlformats.org/wordprocessingml/2006/main" w:val="hybridMultilevel"/>
    <w:lvl xmlns:w="http://schemas.openxmlformats.org/wordprocessingml/2006/main" w:ilvl="0">
      <w:start w:val="1"/>
      <w:numFmt w:val="decimal"/>
      <w:lvlText w:val="%1."/>
      <w:lvlJc w:val="left"/>
      <w:pPr>
        <w:ind w:left="360" w:hanging="360"/>
      </w:p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w:abstractNumId="0" w15:restartNumberingAfterBreak="0">
    <w:nsid w:val="373D522D"/>
    <w:multiLevelType w:val="hybridMultilevel"/>
    <w:tmpl w:val="B726DD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3487475"/>
    <w:multiLevelType w:val="hybridMultilevel"/>
    <w:tmpl w:val="0680C9CC"/>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5E873895"/>
    <w:multiLevelType w:val="hybridMultilevel"/>
    <w:tmpl w:val="E0E2EE7A"/>
    <w:lvl w:ilvl="0" w:tplc="04090001">
      <w:start w:val="1"/>
      <w:numFmt w:val="bullet"/>
      <w:lvlText w:val=""/>
      <w:lvlJc w:val="left"/>
      <w:pPr>
        <w:ind w:left="2160" w:hanging="360"/>
      </w:pPr>
      <w:rPr>
        <w:rFonts w:hint="default" w:ascii="Symbol" w:hAnsi="Symbol"/>
      </w:rPr>
    </w:lvl>
    <w:lvl w:ilvl="1" w:tplc="04090003" w:tentative="1">
      <w:start w:val="1"/>
      <w:numFmt w:val="bullet"/>
      <w:lvlText w:val="o"/>
      <w:lvlJc w:val="left"/>
      <w:pPr>
        <w:ind w:left="2880" w:hanging="360"/>
      </w:pPr>
      <w:rPr>
        <w:rFonts w:hint="default" w:ascii="Courier New" w:hAnsi="Courier New" w:cs="Courier New"/>
      </w:rPr>
    </w:lvl>
    <w:lvl w:ilvl="2" w:tplc="04090005" w:tentative="1">
      <w:start w:val="1"/>
      <w:numFmt w:val="bullet"/>
      <w:lvlText w:val=""/>
      <w:lvlJc w:val="left"/>
      <w:pPr>
        <w:ind w:left="3600" w:hanging="360"/>
      </w:pPr>
      <w:rPr>
        <w:rFonts w:hint="default" w:ascii="Wingdings" w:hAnsi="Wingdings"/>
      </w:rPr>
    </w:lvl>
    <w:lvl w:ilvl="3" w:tplc="04090001" w:tentative="1">
      <w:start w:val="1"/>
      <w:numFmt w:val="bullet"/>
      <w:lvlText w:val=""/>
      <w:lvlJc w:val="left"/>
      <w:pPr>
        <w:ind w:left="4320" w:hanging="360"/>
      </w:pPr>
      <w:rPr>
        <w:rFonts w:hint="default" w:ascii="Symbol" w:hAnsi="Symbol"/>
      </w:rPr>
    </w:lvl>
    <w:lvl w:ilvl="4" w:tplc="04090003" w:tentative="1">
      <w:start w:val="1"/>
      <w:numFmt w:val="bullet"/>
      <w:lvlText w:val="o"/>
      <w:lvlJc w:val="left"/>
      <w:pPr>
        <w:ind w:left="5040" w:hanging="360"/>
      </w:pPr>
      <w:rPr>
        <w:rFonts w:hint="default" w:ascii="Courier New" w:hAnsi="Courier New" w:cs="Courier New"/>
      </w:rPr>
    </w:lvl>
    <w:lvl w:ilvl="5" w:tplc="04090005" w:tentative="1">
      <w:start w:val="1"/>
      <w:numFmt w:val="bullet"/>
      <w:lvlText w:val=""/>
      <w:lvlJc w:val="left"/>
      <w:pPr>
        <w:ind w:left="5760" w:hanging="360"/>
      </w:pPr>
      <w:rPr>
        <w:rFonts w:hint="default" w:ascii="Wingdings" w:hAnsi="Wingdings"/>
      </w:rPr>
    </w:lvl>
    <w:lvl w:ilvl="6" w:tplc="04090001" w:tentative="1">
      <w:start w:val="1"/>
      <w:numFmt w:val="bullet"/>
      <w:lvlText w:val=""/>
      <w:lvlJc w:val="left"/>
      <w:pPr>
        <w:ind w:left="6480" w:hanging="360"/>
      </w:pPr>
      <w:rPr>
        <w:rFonts w:hint="default" w:ascii="Symbol" w:hAnsi="Symbol"/>
      </w:rPr>
    </w:lvl>
    <w:lvl w:ilvl="7" w:tplc="04090003" w:tentative="1">
      <w:start w:val="1"/>
      <w:numFmt w:val="bullet"/>
      <w:lvlText w:val="o"/>
      <w:lvlJc w:val="left"/>
      <w:pPr>
        <w:ind w:left="7200" w:hanging="360"/>
      </w:pPr>
      <w:rPr>
        <w:rFonts w:hint="default" w:ascii="Courier New" w:hAnsi="Courier New" w:cs="Courier New"/>
      </w:rPr>
    </w:lvl>
    <w:lvl w:ilvl="8" w:tplc="04090005" w:tentative="1">
      <w:start w:val="1"/>
      <w:numFmt w:val="bullet"/>
      <w:lvlText w:val=""/>
      <w:lvlJc w:val="left"/>
      <w:pPr>
        <w:ind w:left="7920" w:hanging="360"/>
      </w:pPr>
      <w:rPr>
        <w:rFonts w:hint="default" w:ascii="Wingdings" w:hAnsi="Wingdings"/>
      </w:rPr>
    </w:lvl>
  </w:abstractNum>
  <w:abstractNum w:abstractNumId="3" w15:restartNumberingAfterBreak="0">
    <w:nsid w:val="6FC1144C"/>
    <w:multiLevelType w:val="hybridMultilevel"/>
    <w:tmpl w:val="DAF8EC4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6">
    <w:abstractNumId w:val="5"/>
  </w:num>
  <w:num w:numId="5">
    <w:abstractNumId w:val="4"/>
  </w:num>
  <w:num w:numId="1" w16cid:durableId="210580732">
    <w:abstractNumId w:val="3"/>
  </w:num>
  <w:num w:numId="2" w16cid:durableId="94908827">
    <w:abstractNumId w:val="0"/>
  </w:num>
  <w:num w:numId="3" w16cid:durableId="1928617542">
    <w:abstractNumId w:val="2"/>
  </w:num>
  <w:num w:numId="4" w16cid:durableId="1743914385">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web"/>
  <w:zoom w:percent="68"/>
  <w:displayBackgroundShape/>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5D7"/>
    <w:rsid w:val="000F45D7"/>
    <w:rsid w:val="004C733B"/>
    <w:rsid w:val="00516B45"/>
    <w:rsid w:val="005C4107"/>
    <w:rsid w:val="00655E71"/>
    <w:rsid w:val="006B490E"/>
    <w:rsid w:val="00751495"/>
    <w:rsid w:val="007D98A0"/>
    <w:rsid w:val="008F6BD3"/>
    <w:rsid w:val="00933C37"/>
    <w:rsid w:val="00AB06DB"/>
    <w:rsid w:val="00B74B91"/>
    <w:rsid w:val="00BA6A3D"/>
    <w:rsid w:val="00F8E7CB"/>
    <w:rsid w:val="00FD75C3"/>
    <w:rsid w:val="019E972F"/>
    <w:rsid w:val="01AA490A"/>
    <w:rsid w:val="0244691E"/>
    <w:rsid w:val="026712C7"/>
    <w:rsid w:val="0269262E"/>
    <w:rsid w:val="02AD9F74"/>
    <w:rsid w:val="035BFD94"/>
    <w:rsid w:val="03B46DAE"/>
    <w:rsid w:val="0434F1AE"/>
    <w:rsid w:val="0561C52B"/>
    <w:rsid w:val="063B0052"/>
    <w:rsid w:val="063B0052"/>
    <w:rsid w:val="063DFD44"/>
    <w:rsid w:val="06697689"/>
    <w:rsid w:val="0680F2B2"/>
    <w:rsid w:val="0699A7EE"/>
    <w:rsid w:val="06C26D2E"/>
    <w:rsid w:val="0756D932"/>
    <w:rsid w:val="0756D932"/>
    <w:rsid w:val="078BF5E9"/>
    <w:rsid w:val="08512417"/>
    <w:rsid w:val="08645628"/>
    <w:rsid w:val="08840061"/>
    <w:rsid w:val="0A65C336"/>
    <w:rsid w:val="0AE1650F"/>
    <w:rsid w:val="0AE8D8F8"/>
    <w:rsid w:val="0BA0FB5C"/>
    <w:rsid w:val="0D023C02"/>
    <w:rsid w:val="0D17C65F"/>
    <w:rsid w:val="0DF9E17B"/>
    <w:rsid w:val="0EFD7E41"/>
    <w:rsid w:val="0F8BEDA0"/>
    <w:rsid w:val="0FBB7040"/>
    <w:rsid w:val="0FFDD497"/>
    <w:rsid w:val="1014AA3A"/>
    <w:rsid w:val="120F7279"/>
    <w:rsid w:val="12E0C855"/>
    <w:rsid w:val="12E590CD"/>
    <w:rsid w:val="13717E79"/>
    <w:rsid w:val="13C33936"/>
    <w:rsid w:val="15849E88"/>
    <w:rsid w:val="159635C9"/>
    <w:rsid w:val="16776134"/>
    <w:rsid w:val="16776134"/>
    <w:rsid w:val="1703CF91"/>
    <w:rsid w:val="17510CA2"/>
    <w:rsid w:val="17FBCF2B"/>
    <w:rsid w:val="1888F2FF"/>
    <w:rsid w:val="1A5685BC"/>
    <w:rsid w:val="1ACE1148"/>
    <w:rsid w:val="1B5FC71C"/>
    <w:rsid w:val="1B775D0D"/>
    <w:rsid w:val="1BA650DD"/>
    <w:rsid w:val="1D78F2D5"/>
    <w:rsid w:val="1EABA2F7"/>
    <w:rsid w:val="1FE54D5A"/>
    <w:rsid w:val="1FF60166"/>
    <w:rsid w:val="20CFD0BA"/>
    <w:rsid w:val="224BCD1B"/>
    <w:rsid w:val="224BCD1B"/>
    <w:rsid w:val="22E305CC"/>
    <w:rsid w:val="22E305CC"/>
    <w:rsid w:val="2304F257"/>
    <w:rsid w:val="2304F257"/>
    <w:rsid w:val="24ABB8F5"/>
    <w:rsid w:val="24C1D065"/>
    <w:rsid w:val="252724C8"/>
    <w:rsid w:val="254B51B4"/>
    <w:rsid w:val="254B51B4"/>
    <w:rsid w:val="26908C8E"/>
    <w:rsid w:val="274F4F60"/>
    <w:rsid w:val="274F4F60"/>
    <w:rsid w:val="275BE34B"/>
    <w:rsid w:val="28934747"/>
    <w:rsid w:val="2989A004"/>
    <w:rsid w:val="29D6D4D3"/>
    <w:rsid w:val="29EE863A"/>
    <w:rsid w:val="2ABE6787"/>
    <w:rsid w:val="2B23A3F9"/>
    <w:rsid w:val="2B2E9FC2"/>
    <w:rsid w:val="2B990975"/>
    <w:rsid w:val="2BD81607"/>
    <w:rsid w:val="2C52F14B"/>
    <w:rsid w:val="2C7F548E"/>
    <w:rsid w:val="2C8FA0AB"/>
    <w:rsid w:val="2C9B87B9"/>
    <w:rsid w:val="2E3CB9AE"/>
    <w:rsid w:val="2EBD858C"/>
    <w:rsid w:val="304DBEEC"/>
    <w:rsid w:val="31F368C8"/>
    <w:rsid w:val="31F368C8"/>
    <w:rsid w:val="3207355D"/>
    <w:rsid w:val="33385A9C"/>
    <w:rsid w:val="34E5C997"/>
    <w:rsid w:val="34E5C997"/>
    <w:rsid w:val="34F092C6"/>
    <w:rsid w:val="351AC0AB"/>
    <w:rsid w:val="351F65F7"/>
    <w:rsid w:val="3524A735"/>
    <w:rsid w:val="3601C4CB"/>
    <w:rsid w:val="365181B4"/>
    <w:rsid w:val="3667F8C6"/>
    <w:rsid w:val="3754CE85"/>
    <w:rsid w:val="3754CE85"/>
    <w:rsid w:val="38287DF4"/>
    <w:rsid w:val="38287DF4"/>
    <w:rsid w:val="3869DC45"/>
    <w:rsid w:val="38CA18EB"/>
    <w:rsid w:val="3A33827E"/>
    <w:rsid w:val="3B262DFF"/>
    <w:rsid w:val="3D440531"/>
    <w:rsid w:val="3D440531"/>
    <w:rsid w:val="3D7F9DA1"/>
    <w:rsid w:val="3DC94379"/>
    <w:rsid w:val="408D22E0"/>
    <w:rsid w:val="40CB64A4"/>
    <w:rsid w:val="40D0EDAB"/>
    <w:rsid w:val="40F084EA"/>
    <w:rsid w:val="429292B7"/>
    <w:rsid w:val="43F2ABA8"/>
    <w:rsid w:val="4448939B"/>
    <w:rsid w:val="444C1251"/>
    <w:rsid w:val="451434E6"/>
    <w:rsid w:val="48C72270"/>
    <w:rsid w:val="48C72270"/>
    <w:rsid w:val="48E83A1C"/>
    <w:rsid w:val="498653F6"/>
    <w:rsid w:val="49DAD20E"/>
    <w:rsid w:val="4A76EF96"/>
    <w:rsid w:val="4AA352DD"/>
    <w:rsid w:val="4AA5E5F0"/>
    <w:rsid w:val="4AE5F595"/>
    <w:rsid w:val="4B2C071E"/>
    <w:rsid w:val="4B71F018"/>
    <w:rsid w:val="4BD7585A"/>
    <w:rsid w:val="4BF4EBCA"/>
    <w:rsid w:val="4C1D9A70"/>
    <w:rsid w:val="4C2D8BCE"/>
    <w:rsid w:val="4C2D8BCE"/>
    <w:rsid w:val="4CD82E3B"/>
    <w:rsid w:val="4CF34BC3"/>
    <w:rsid w:val="4E171BC6"/>
    <w:rsid w:val="4FF27CED"/>
    <w:rsid w:val="500BCC6A"/>
    <w:rsid w:val="50919EAA"/>
    <w:rsid w:val="520209EC"/>
    <w:rsid w:val="527F46E7"/>
    <w:rsid w:val="52973209"/>
    <w:rsid w:val="53E7B1FB"/>
    <w:rsid w:val="53E7B1FB"/>
    <w:rsid w:val="53E7DBBF"/>
    <w:rsid w:val="5400389C"/>
    <w:rsid w:val="541D66C2"/>
    <w:rsid w:val="547A2050"/>
    <w:rsid w:val="55052728"/>
    <w:rsid w:val="55084AC6"/>
    <w:rsid w:val="55B52F76"/>
    <w:rsid w:val="55B52F76"/>
    <w:rsid w:val="55B57FA7"/>
    <w:rsid w:val="55B57FA7"/>
    <w:rsid w:val="55E3F05E"/>
    <w:rsid w:val="55E3F05E"/>
    <w:rsid w:val="57B729E8"/>
    <w:rsid w:val="57DE7F6C"/>
    <w:rsid w:val="5844F273"/>
    <w:rsid w:val="5972D785"/>
    <w:rsid w:val="5972D785"/>
    <w:rsid w:val="5A099E43"/>
    <w:rsid w:val="5B1CCD99"/>
    <w:rsid w:val="5CF304B9"/>
    <w:rsid w:val="5CF304B9"/>
    <w:rsid w:val="5D2C96D3"/>
    <w:rsid w:val="5DA96D1E"/>
    <w:rsid w:val="5DBA353C"/>
    <w:rsid w:val="5DC5C2E0"/>
    <w:rsid w:val="5E545F96"/>
    <w:rsid w:val="609CE238"/>
    <w:rsid w:val="623C4532"/>
    <w:rsid w:val="6302E902"/>
    <w:rsid w:val="630CF584"/>
    <w:rsid w:val="631FE691"/>
    <w:rsid w:val="63C8210E"/>
    <w:rsid w:val="64AC1700"/>
    <w:rsid w:val="64AE7BC8"/>
    <w:rsid w:val="64EFE644"/>
    <w:rsid w:val="64EFE644"/>
    <w:rsid w:val="659AE670"/>
    <w:rsid w:val="672B7C1D"/>
    <w:rsid w:val="6732DFCA"/>
    <w:rsid w:val="69FD6DD8"/>
    <w:rsid w:val="6A304E2E"/>
    <w:rsid w:val="6A3A13C3"/>
    <w:rsid w:val="6B62DC64"/>
    <w:rsid w:val="6C455BE2"/>
    <w:rsid w:val="6CD1E092"/>
    <w:rsid w:val="6D40D891"/>
    <w:rsid w:val="6D4DBEC5"/>
    <w:rsid w:val="6D60E229"/>
    <w:rsid w:val="6E0C50F5"/>
    <w:rsid w:val="708E89FF"/>
    <w:rsid w:val="71A118BB"/>
    <w:rsid w:val="71E27E89"/>
    <w:rsid w:val="71E27E89"/>
    <w:rsid w:val="71E8A925"/>
    <w:rsid w:val="71E8A925"/>
    <w:rsid w:val="7272FE96"/>
    <w:rsid w:val="72902BC6"/>
    <w:rsid w:val="73108AC6"/>
    <w:rsid w:val="733A53A5"/>
    <w:rsid w:val="733A53A5"/>
    <w:rsid w:val="7583A109"/>
    <w:rsid w:val="75DC0C8C"/>
    <w:rsid w:val="76A4DF4B"/>
    <w:rsid w:val="76B6BA43"/>
    <w:rsid w:val="77A05B52"/>
    <w:rsid w:val="79750D16"/>
    <w:rsid w:val="7D806723"/>
    <w:rsid w:val="7F68D8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58A1933"/>
  <w15:chartTrackingRefBased/>
  <w15:docId w15:val="{E5D7545A-5C96-924E-A2A0-CA77D3A7EA9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F45D7"/>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F45D7"/>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45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45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45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45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45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45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45D7"/>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F45D7"/>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0F45D7"/>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F45D7"/>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F45D7"/>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F45D7"/>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F45D7"/>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F45D7"/>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F45D7"/>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F45D7"/>
    <w:rPr>
      <w:rFonts w:eastAsiaTheme="majorEastAsia" w:cstheme="majorBidi"/>
      <w:color w:val="272727" w:themeColor="text1" w:themeTint="D8"/>
    </w:rPr>
  </w:style>
  <w:style w:type="paragraph" w:styleId="Title">
    <w:name w:val="Title"/>
    <w:basedOn w:val="Normal"/>
    <w:next w:val="Normal"/>
    <w:link w:val="TitleChar"/>
    <w:uiPriority w:val="10"/>
    <w:qFormat/>
    <w:rsid w:val="000F45D7"/>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F45D7"/>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F45D7"/>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F45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45D7"/>
    <w:pPr>
      <w:spacing w:before="160"/>
      <w:jc w:val="center"/>
    </w:pPr>
    <w:rPr>
      <w:i/>
      <w:iCs/>
      <w:color w:val="404040" w:themeColor="text1" w:themeTint="BF"/>
    </w:rPr>
  </w:style>
  <w:style w:type="character" w:styleId="QuoteChar" w:customStyle="1">
    <w:name w:val="Quote Char"/>
    <w:basedOn w:val="DefaultParagraphFont"/>
    <w:link w:val="Quote"/>
    <w:uiPriority w:val="29"/>
    <w:rsid w:val="000F45D7"/>
    <w:rPr>
      <w:i/>
      <w:iCs/>
      <w:color w:val="404040" w:themeColor="text1" w:themeTint="BF"/>
    </w:rPr>
  </w:style>
  <w:style w:type="paragraph" w:styleId="ListParagraph">
    <w:name w:val="List Paragraph"/>
    <w:basedOn w:val="Normal"/>
    <w:uiPriority w:val="34"/>
    <w:qFormat/>
    <w:rsid w:val="000F45D7"/>
    <w:pPr>
      <w:ind w:left="720"/>
      <w:contextualSpacing/>
    </w:pPr>
  </w:style>
  <w:style w:type="character" w:styleId="IntenseEmphasis">
    <w:name w:val="Intense Emphasis"/>
    <w:basedOn w:val="DefaultParagraphFont"/>
    <w:uiPriority w:val="21"/>
    <w:qFormat/>
    <w:rsid w:val="000F45D7"/>
    <w:rPr>
      <w:i/>
      <w:iCs/>
      <w:color w:val="0F4761" w:themeColor="accent1" w:themeShade="BF"/>
    </w:rPr>
  </w:style>
  <w:style w:type="paragraph" w:styleId="IntenseQuote">
    <w:name w:val="Intense Quote"/>
    <w:basedOn w:val="Normal"/>
    <w:next w:val="Normal"/>
    <w:link w:val="IntenseQuoteChar"/>
    <w:uiPriority w:val="30"/>
    <w:qFormat/>
    <w:rsid w:val="000F45D7"/>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F45D7"/>
    <w:rPr>
      <w:i/>
      <w:iCs/>
      <w:color w:val="0F4761" w:themeColor="accent1" w:themeShade="BF"/>
    </w:rPr>
  </w:style>
  <w:style w:type="character" w:styleId="IntenseReference">
    <w:name w:val="Intense Reference"/>
    <w:basedOn w:val="DefaultParagraphFont"/>
    <w:uiPriority w:val="32"/>
    <w:qFormat/>
    <w:rsid w:val="000F45D7"/>
    <w:rPr>
      <w:b/>
      <w:bCs/>
      <w:smallCaps/>
      <w:color w:val="0F4761" w:themeColor="accent1" w:themeShade="BF"/>
      <w:spacing w:val="5"/>
    </w:rPr>
  </w:style>
  <w:style w:type="character" w:styleId="Hyperlink">
    <w:name w:val="Hyperlink"/>
    <w:basedOn w:val="DefaultParagraphFont"/>
    <w:uiPriority w:val="99"/>
    <w:semiHidden/>
    <w:unhideWhenUsed/>
    <w:rsid w:val="000F45D7"/>
    <w:rPr>
      <w:color w:val="0000FF"/>
      <w:u w:val="single"/>
    </w:rPr>
  </w:style>
  <w:style w:type="paragraph" w:styleId="NoSpacing">
    <w:name w:val="No Spacing"/>
    <w:uiPriority w:val="1"/>
    <w:qFormat/>
    <w:rsid w:val="00933C37"/>
    <w:pPr>
      <w:spacing w:after="0" w:line="240" w:lineRule="auto"/>
    </w:pPr>
  </w:style>
  <w:style w:type="paragraph" w:styleId="Header">
    <w:uiPriority w:val="99"/>
    <w:name w:val="header"/>
    <w:basedOn w:val="Normal"/>
    <w:unhideWhenUsed/>
    <w:rsid w:val="708E89FF"/>
    <w:pPr>
      <w:tabs>
        <w:tab w:val="center" w:leader="none" w:pos="4680"/>
        <w:tab w:val="right" w:leader="none" w:pos="9360"/>
      </w:tabs>
      <w:spacing w:after="0" w:line="240" w:lineRule="auto"/>
    </w:pPr>
  </w:style>
  <w:style w:type="paragraph" w:styleId="Footer">
    <w:uiPriority w:val="99"/>
    <w:name w:val="footer"/>
    <w:basedOn w:val="Normal"/>
    <w:unhideWhenUsed/>
    <w:rsid w:val="708E89FF"/>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23" /><Relationship Type="http://schemas.openxmlformats.org/officeDocument/2006/relationships/webSettings" Target="webSettings.xml" Id="rId4" /><Relationship Type="http://schemas.openxmlformats.org/officeDocument/2006/relationships/fontTable" Target="fontTable.xml" Id="rId22" /><Relationship Type="http://schemas.openxmlformats.org/officeDocument/2006/relationships/header" Target="header.xml" Id="R1b078cebf15e4048" /><Relationship Type="http://schemas.openxmlformats.org/officeDocument/2006/relationships/footer" Target="footer.xml" Id="R508a6a7f67a74a83" /><Relationship Type="http://schemas.microsoft.com/office/2020/10/relationships/intelligence" Target="intelligence2.xml" Id="R3c33a93f24eb4448" /><Relationship Type="http://schemas.openxmlformats.org/officeDocument/2006/relationships/hyperlink" Target="http://gov.uk/" TargetMode="External" Id="R37b7a27c5f4843e9" /><Relationship Type="http://schemas.openxmlformats.org/officeDocument/2006/relationships/hyperlink" Target="http://gov.uk/" TargetMode="External" Id="R0f8a030de51f4870" /><Relationship Type="http://schemas.openxmlformats.org/officeDocument/2006/relationships/hyperlink" Target="http://gov.uk/" TargetMode="External" Id="Rd9b4aaff8b39444e" /><Relationship Type="http://schemas.openxmlformats.org/officeDocument/2006/relationships/hyperlink" Target="http://gov.uk/" TargetMode="External" Id="Rb17bb1ab13244590" /><Relationship Type="http://schemas.openxmlformats.org/officeDocument/2006/relationships/hyperlink" Target="http://gov.uk/" TargetMode="External" Id="R53a2d4c3c09742b0" /><Relationship Type="http://schemas.openxmlformats.org/officeDocument/2006/relationships/hyperlink" Target="https://www.bhf.org.uk/what-we-do/our-research/heart-statistics/heart-statistics-publications/cardiovascular-disease-statistics-2025" TargetMode="External" Id="Rc4977a5fa1ad491e" /><Relationship Type="http://schemas.openxmlformats.org/officeDocument/2006/relationships/hyperlink" Target="https://www.cdc.gov/heart-disease/prevention/index.html" TargetMode="External" Id="R9c08de9e78e14478" /><Relationship Type="http://schemas.openxmlformats.org/officeDocument/2006/relationships/hyperlink" Target="http://gov.uk/" TargetMode="External" Id="R6ba59ab28fae4a04" /><Relationship Type="http://schemas.openxmlformats.org/officeDocument/2006/relationships/hyperlink" Target="https://www.gov.uk/government/statistics/cardiovascular-disease-profiles-december-2025-update/cardiovascular-disease-profiles-short-statistical-commentary" TargetMode="External" Id="R59269ca2b3fc40dc" /><Relationship Type="http://schemas.openxmlformats.org/officeDocument/2006/relationships/hyperlink" Target="http://gov.uk/" TargetMode="External" Id="R82470c08e2cd46b9" /><Relationship Type="http://schemas.openxmlformats.org/officeDocument/2006/relationships/hyperlink" Target="https://www.gov.uk/government/statistics/cardiovascular-disease-profiles-december-2025-update" TargetMode="External" Id="Rca2838f7a48b42cb" /><Relationship Type="http://schemas.openxmlformats.org/officeDocument/2006/relationships/hyperlink" Target="https://heartresearch.org.uk/what-we-do/community-health" TargetMode="External" Id="R726dae75a79b4c92" /><Relationship Type="http://schemas.openxmlformats.org/officeDocument/2006/relationships/hyperlink" Target="https://www.nhs.uk/conditions/coronary-heart-disease/prevention/" TargetMode="External" Id="R679a0b222ca24ca7" /><Relationship Type="http://schemas.openxmlformats.org/officeDocument/2006/relationships/hyperlink" Target="https://www.nhs.uk/conditions/coronary-heart-disease/treatment/" TargetMode="External" Id="R90d3e0d98f6f4ed9" /><Relationship Type="http://schemas.openxmlformats.org/officeDocument/2006/relationships/hyperlink" Target="https://www.england.nhs.uk/publication/cardiovascular-disease-prevention" TargetMode="External" Id="R8e217b3aafb749b0" /><Relationship Type="http://schemas.openxmlformats.org/officeDocument/2006/relationships/hyperlink" Target="https://www.kingsfund.org.uk/insight-and-analysis/long-reads/shifting-prevention-integrated-care-systems-tackle-cardiovascular-disease" TargetMode="External" Id="R05b5e558fe4d4b31" /><Relationship Type="http://schemas.openxmlformats.org/officeDocument/2006/relationships/hyperlink" Target="https://www.who.int/news-room/fact-sheets/detail/cardiovascular-diseases-(cvds)" TargetMode="External" Id="R933fb3334c5347c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Elisabeta Ramona Kadar (2522578)</dc:creator>
  <keywords/>
  <dc:description/>
  <lastModifiedBy>Elisabeta Ramona Kadar (2522578)</lastModifiedBy>
  <revision>16</revision>
  <dcterms:created xsi:type="dcterms:W3CDTF">2026-07-18T21:26:00.0000000Z</dcterms:created>
  <dcterms:modified xsi:type="dcterms:W3CDTF">2026-07-19T17:19:05.1539781Z</dcterms:modified>
</coreProperties>
</file>