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3FA0F" w14:textId="77777777" w:rsidR="006042A3" w:rsidRPr="006042A3" w:rsidRDefault="006042A3" w:rsidP="006042A3">
      <w:pPr>
        <w:jc w:val="right"/>
        <w:rPr>
          <w:rFonts w:ascii="Felix Titling" w:hAnsi="Felix Titling"/>
          <w:sz w:val="36"/>
          <w:szCs w:val="40"/>
        </w:rPr>
      </w:pPr>
      <w:bookmarkStart w:id="0" w:name="_GoBack"/>
      <w:bookmarkEnd w:id="0"/>
      <w:r w:rsidRPr="006042A3">
        <w:rPr>
          <w:rFonts w:ascii="Felix Titling" w:hAnsi="Felix Titling"/>
          <w:sz w:val="36"/>
          <w:szCs w:val="40"/>
        </w:rPr>
        <w:t>HPEN6008/5008: MODERNISM &amp; MODERNISMS</w:t>
      </w:r>
    </w:p>
    <w:p w14:paraId="4E054F30" w14:textId="57282477" w:rsidR="007A27F0" w:rsidRPr="00640C7B" w:rsidRDefault="00801D43" w:rsidP="005522A9">
      <w:pPr>
        <w:jc w:val="right"/>
        <w:rPr>
          <w:rFonts w:ascii="Century Gothic" w:hAnsi="Century Gothic"/>
          <w:szCs w:val="28"/>
        </w:rPr>
      </w:pPr>
      <w:r w:rsidRPr="00640C7B">
        <w:rPr>
          <w:rFonts w:ascii="Century Gothic" w:hAnsi="Century Gothic"/>
          <w:szCs w:val="28"/>
        </w:rPr>
        <w:t>Disjunctions</w:t>
      </w:r>
      <w:r w:rsidR="00337E23" w:rsidRPr="00640C7B">
        <w:rPr>
          <w:rFonts w:ascii="Century Gothic" w:hAnsi="Century Gothic"/>
          <w:szCs w:val="28"/>
        </w:rPr>
        <w:t>: Virginia Woolf</w:t>
      </w:r>
      <w:r w:rsidRPr="00640C7B">
        <w:rPr>
          <w:rFonts w:ascii="Century Gothic" w:hAnsi="Century Gothic"/>
          <w:szCs w:val="28"/>
        </w:rPr>
        <w:t>,</w:t>
      </w:r>
      <w:r w:rsidR="00337E23" w:rsidRPr="00640C7B">
        <w:rPr>
          <w:rFonts w:ascii="Century Gothic" w:hAnsi="Century Gothic"/>
          <w:szCs w:val="28"/>
        </w:rPr>
        <w:t xml:space="preserve"> </w:t>
      </w:r>
      <w:r w:rsidR="00BD5DA2" w:rsidRPr="00640C7B">
        <w:rPr>
          <w:rFonts w:ascii="Century Gothic" w:hAnsi="Century Gothic"/>
          <w:i/>
          <w:szCs w:val="28"/>
        </w:rPr>
        <w:t>To the Lighthouse</w:t>
      </w:r>
    </w:p>
    <w:p w14:paraId="3CBBB5CF" w14:textId="77777777" w:rsidR="007A27F0" w:rsidRPr="00640C7B" w:rsidRDefault="007A27F0" w:rsidP="005522A9">
      <w:pPr>
        <w:jc w:val="both"/>
        <w:rPr>
          <w:rFonts w:ascii="Century Gothic" w:hAnsi="Century Gothic"/>
          <w:sz w:val="22"/>
        </w:rPr>
      </w:pPr>
    </w:p>
    <w:p w14:paraId="083AAA15" w14:textId="77777777" w:rsidR="00436B2C" w:rsidRPr="00640C7B" w:rsidRDefault="00436B2C" w:rsidP="005522A9">
      <w:pPr>
        <w:jc w:val="both"/>
        <w:rPr>
          <w:rFonts w:ascii="Century Gothic" w:hAnsi="Century Gothic"/>
          <w:sz w:val="22"/>
        </w:rPr>
      </w:pPr>
    </w:p>
    <w:p w14:paraId="4D9B9FF9" w14:textId="77777777" w:rsidR="007A27F0" w:rsidRPr="00640C7B" w:rsidRDefault="00337E23" w:rsidP="005522A9">
      <w:pPr>
        <w:numPr>
          <w:ilvl w:val="0"/>
          <w:numId w:val="1"/>
        </w:numPr>
        <w:jc w:val="both"/>
        <w:rPr>
          <w:rFonts w:ascii="Felix Titling" w:hAnsi="Felix Titling"/>
          <w:sz w:val="22"/>
        </w:rPr>
      </w:pPr>
      <w:r w:rsidRPr="00640C7B">
        <w:rPr>
          <w:rFonts w:ascii="Felix Titling" w:hAnsi="Felix Titling"/>
          <w:sz w:val="22"/>
        </w:rPr>
        <w:t>Woolf on Modern Fiction</w:t>
      </w:r>
    </w:p>
    <w:p w14:paraId="66550412" w14:textId="77777777" w:rsidR="00337E23" w:rsidRPr="00640C7B" w:rsidRDefault="00337E23" w:rsidP="005522A9">
      <w:pPr>
        <w:jc w:val="both"/>
        <w:rPr>
          <w:rFonts w:ascii="Century Gothic" w:hAnsi="Century Gothic"/>
          <w:sz w:val="22"/>
        </w:rPr>
      </w:pPr>
      <w:r w:rsidRPr="00640C7B">
        <w:rPr>
          <w:rFonts w:ascii="Century Gothic" w:hAnsi="Century Gothic"/>
          <w:sz w:val="22"/>
        </w:rPr>
        <w:t>Woolf as novelist and critic – her essays, reviews and lectures compose a fragmentary theory of the modern novel.</w:t>
      </w:r>
    </w:p>
    <w:p w14:paraId="668A26F7" w14:textId="77777777" w:rsidR="00337E23" w:rsidRPr="00640C7B" w:rsidRDefault="00337E23" w:rsidP="005522A9">
      <w:pPr>
        <w:jc w:val="both"/>
        <w:rPr>
          <w:rFonts w:ascii="Century Gothic" w:hAnsi="Century Gothic"/>
          <w:sz w:val="22"/>
        </w:rPr>
      </w:pPr>
    </w:p>
    <w:p w14:paraId="5D05B84E" w14:textId="77777777" w:rsidR="00337E23" w:rsidRPr="00640C7B" w:rsidRDefault="00337E23" w:rsidP="00640C7B">
      <w:pPr>
        <w:numPr>
          <w:ilvl w:val="0"/>
          <w:numId w:val="2"/>
        </w:numPr>
        <w:jc w:val="both"/>
        <w:rPr>
          <w:rFonts w:ascii="Century Gothic" w:hAnsi="Century Gothic"/>
          <w:sz w:val="22"/>
        </w:rPr>
      </w:pPr>
      <w:r w:rsidRPr="00640C7B">
        <w:rPr>
          <w:rFonts w:ascii="Century Gothic" w:hAnsi="Century Gothic"/>
          <w:sz w:val="22"/>
        </w:rPr>
        <w:t>‘Mr Bennett and Mrs Brown’ (1924) – distinctions between Realist ‘Edwardians’ (Wells, Galsworthy, Bennett) and Modernist ‘Georgians’ (Forster, Lawrence, Joyce, Eliot).</w:t>
      </w:r>
    </w:p>
    <w:p w14:paraId="3F7C7BBA" w14:textId="77777777" w:rsidR="00337E23" w:rsidRPr="00640C7B" w:rsidRDefault="00337E23" w:rsidP="005522A9">
      <w:pPr>
        <w:jc w:val="both"/>
        <w:rPr>
          <w:rFonts w:ascii="Century Gothic" w:hAnsi="Century Gothic"/>
          <w:sz w:val="22"/>
        </w:rPr>
      </w:pPr>
    </w:p>
    <w:p w14:paraId="25A35DEC" w14:textId="77777777" w:rsidR="00337E23" w:rsidRPr="00640C7B" w:rsidRDefault="00D64B00" w:rsidP="00640C7B">
      <w:pPr>
        <w:numPr>
          <w:ilvl w:val="0"/>
          <w:numId w:val="2"/>
        </w:numPr>
        <w:jc w:val="both"/>
        <w:rPr>
          <w:rFonts w:ascii="Century Gothic" w:hAnsi="Century Gothic"/>
          <w:sz w:val="22"/>
        </w:rPr>
      </w:pPr>
      <w:r w:rsidRPr="00640C7B">
        <w:rPr>
          <w:rFonts w:ascii="Century Gothic" w:hAnsi="Century Gothic"/>
          <w:sz w:val="22"/>
        </w:rPr>
        <w:t>Seismic shift in ‘human character’ – epistemological break:</w:t>
      </w:r>
    </w:p>
    <w:p w14:paraId="0756E7ED" w14:textId="77777777" w:rsidR="00D64B00" w:rsidRPr="00640C7B" w:rsidRDefault="00D64B00" w:rsidP="005522A9">
      <w:pPr>
        <w:jc w:val="both"/>
        <w:rPr>
          <w:rFonts w:ascii="Century Gothic" w:hAnsi="Century Gothic"/>
          <w:sz w:val="22"/>
        </w:rPr>
      </w:pPr>
    </w:p>
    <w:p w14:paraId="2C0C23A0" w14:textId="77777777" w:rsidR="00D64B00" w:rsidRPr="00640C7B" w:rsidRDefault="00801D43" w:rsidP="005522A9">
      <w:pPr>
        <w:ind w:left="720"/>
        <w:jc w:val="both"/>
        <w:rPr>
          <w:rFonts w:ascii="Century Gothic" w:hAnsi="Century Gothic"/>
          <w:sz w:val="20"/>
          <w:szCs w:val="22"/>
        </w:rPr>
      </w:pPr>
      <w:r w:rsidRPr="00640C7B">
        <w:rPr>
          <w:rFonts w:ascii="Century Gothic" w:hAnsi="Century Gothic"/>
          <w:sz w:val="20"/>
          <w:szCs w:val="22"/>
        </w:rPr>
        <w:t>‘</w:t>
      </w:r>
      <w:r w:rsidR="00D64B00" w:rsidRPr="00640C7B">
        <w:rPr>
          <w:rFonts w:ascii="Century Gothic" w:hAnsi="Century Gothic"/>
          <w:sz w:val="20"/>
          <w:szCs w:val="22"/>
        </w:rPr>
        <w:t xml:space="preserve">And now I will hazard a second assertion, which is more disputable perhaps, to the effect that in or about </w:t>
      </w:r>
      <w:proofErr w:type="gramStart"/>
      <w:r w:rsidR="00D64B00" w:rsidRPr="00640C7B">
        <w:rPr>
          <w:rFonts w:ascii="Century Gothic" w:hAnsi="Century Gothic"/>
          <w:sz w:val="20"/>
          <w:szCs w:val="22"/>
        </w:rPr>
        <w:t>December,</w:t>
      </w:r>
      <w:proofErr w:type="gramEnd"/>
      <w:r w:rsidR="00D64B00" w:rsidRPr="00640C7B">
        <w:rPr>
          <w:rFonts w:ascii="Century Gothic" w:hAnsi="Century Gothic"/>
          <w:sz w:val="20"/>
          <w:szCs w:val="22"/>
        </w:rPr>
        <w:t xml:space="preserve"> 1910, human character changed. […] All human relations have shifted – those between masters and servants, husbands and wives, parents and children. And when human relations change there is at the same time a change in religion, conduct, politics, and literature. Let us agree to place one of these changes about the year 1910.</w:t>
      </w:r>
      <w:r w:rsidRPr="00640C7B">
        <w:rPr>
          <w:rFonts w:ascii="Century Gothic" w:hAnsi="Century Gothic"/>
          <w:sz w:val="20"/>
          <w:szCs w:val="22"/>
        </w:rPr>
        <w:t>’</w:t>
      </w:r>
      <w:r w:rsidR="00E1247E" w:rsidRPr="00640C7B">
        <w:rPr>
          <w:rFonts w:ascii="Century Gothic" w:hAnsi="Century Gothic"/>
          <w:sz w:val="20"/>
          <w:szCs w:val="22"/>
        </w:rPr>
        <w:t xml:space="preserve"> Virginia Woolf, ‘Mr. Bennett and Mrs. Brown’ in</w:t>
      </w:r>
      <w:r w:rsidR="00D64B00" w:rsidRPr="00640C7B">
        <w:rPr>
          <w:rFonts w:ascii="Century Gothic" w:hAnsi="Century Gothic"/>
          <w:sz w:val="20"/>
          <w:szCs w:val="22"/>
        </w:rPr>
        <w:t xml:space="preserve"> </w:t>
      </w:r>
      <w:r w:rsidR="00D64B00" w:rsidRPr="00640C7B">
        <w:rPr>
          <w:rFonts w:ascii="Century Gothic" w:hAnsi="Century Gothic"/>
          <w:i/>
          <w:sz w:val="20"/>
          <w:szCs w:val="22"/>
        </w:rPr>
        <w:t>Collected Essays</w:t>
      </w:r>
      <w:r w:rsidR="00E1247E" w:rsidRPr="00640C7B">
        <w:rPr>
          <w:rFonts w:ascii="Century Gothic" w:hAnsi="Century Gothic"/>
          <w:sz w:val="20"/>
          <w:szCs w:val="22"/>
        </w:rPr>
        <w:t>, Vol. 1</w:t>
      </w:r>
      <w:r w:rsidR="00D64B00" w:rsidRPr="00640C7B">
        <w:rPr>
          <w:rFonts w:ascii="Century Gothic" w:hAnsi="Century Gothic"/>
          <w:sz w:val="20"/>
          <w:szCs w:val="22"/>
        </w:rPr>
        <w:t xml:space="preserve"> </w:t>
      </w:r>
      <w:r w:rsidR="00E1247E" w:rsidRPr="00640C7B">
        <w:rPr>
          <w:rFonts w:ascii="Century Gothic" w:hAnsi="Century Gothic"/>
          <w:sz w:val="20"/>
          <w:szCs w:val="22"/>
        </w:rPr>
        <w:t>(</w:t>
      </w:r>
      <w:r w:rsidR="00D64B00" w:rsidRPr="00640C7B">
        <w:rPr>
          <w:rFonts w:ascii="Century Gothic" w:hAnsi="Century Gothic"/>
          <w:sz w:val="20"/>
          <w:szCs w:val="22"/>
        </w:rPr>
        <w:t>London</w:t>
      </w:r>
      <w:r w:rsidR="00E1247E" w:rsidRPr="00640C7B">
        <w:rPr>
          <w:rFonts w:ascii="Century Gothic" w:hAnsi="Century Gothic"/>
          <w:sz w:val="20"/>
          <w:szCs w:val="22"/>
        </w:rPr>
        <w:t>: The Hogarth Press, 1971),</w:t>
      </w:r>
      <w:r w:rsidR="00D64B00" w:rsidRPr="00640C7B">
        <w:rPr>
          <w:rFonts w:ascii="Century Gothic" w:hAnsi="Century Gothic"/>
          <w:sz w:val="20"/>
          <w:szCs w:val="22"/>
        </w:rPr>
        <w:t xml:space="preserve"> </w:t>
      </w:r>
      <w:r w:rsidR="00E1247E" w:rsidRPr="00640C7B">
        <w:rPr>
          <w:rFonts w:ascii="Century Gothic" w:hAnsi="Century Gothic"/>
          <w:sz w:val="20"/>
          <w:szCs w:val="22"/>
        </w:rPr>
        <w:t>p.</w:t>
      </w:r>
      <w:r w:rsidR="00D64B00" w:rsidRPr="00640C7B">
        <w:rPr>
          <w:rFonts w:ascii="Century Gothic" w:hAnsi="Century Gothic"/>
          <w:sz w:val="20"/>
          <w:szCs w:val="22"/>
        </w:rPr>
        <w:t>320-1.</w:t>
      </w:r>
    </w:p>
    <w:p w14:paraId="68BF7143" w14:textId="77777777" w:rsidR="00D64B00" w:rsidRPr="00640C7B" w:rsidRDefault="00D64B00" w:rsidP="005522A9">
      <w:pPr>
        <w:jc w:val="both"/>
        <w:rPr>
          <w:rFonts w:ascii="Century Gothic" w:hAnsi="Century Gothic"/>
          <w:sz w:val="22"/>
        </w:rPr>
      </w:pPr>
    </w:p>
    <w:p w14:paraId="136903C4" w14:textId="77777777" w:rsidR="00D64B00" w:rsidRPr="00640C7B" w:rsidRDefault="00D64B00" w:rsidP="00640C7B">
      <w:pPr>
        <w:numPr>
          <w:ilvl w:val="0"/>
          <w:numId w:val="2"/>
        </w:numPr>
        <w:jc w:val="both"/>
        <w:rPr>
          <w:rFonts w:ascii="Century Gothic" w:hAnsi="Century Gothic"/>
          <w:sz w:val="22"/>
        </w:rPr>
      </w:pPr>
      <w:r w:rsidRPr="00640C7B">
        <w:rPr>
          <w:rFonts w:ascii="Century Gothic" w:hAnsi="Century Gothic"/>
          <w:sz w:val="22"/>
        </w:rPr>
        <w:t>Material (external) approaches to character replaced by subjective/psychological (internal) perspectives:</w:t>
      </w:r>
    </w:p>
    <w:p w14:paraId="3EC2234F" w14:textId="77777777" w:rsidR="00D64B00" w:rsidRPr="00640C7B" w:rsidRDefault="00D64B00" w:rsidP="005522A9">
      <w:pPr>
        <w:jc w:val="both"/>
        <w:rPr>
          <w:rFonts w:ascii="Century Gothic" w:hAnsi="Century Gothic"/>
          <w:sz w:val="22"/>
        </w:rPr>
      </w:pPr>
    </w:p>
    <w:p w14:paraId="38D174E0" w14:textId="77777777" w:rsidR="00D64B00" w:rsidRPr="00640C7B" w:rsidRDefault="00801D43" w:rsidP="005522A9">
      <w:pPr>
        <w:ind w:left="720"/>
        <w:jc w:val="both"/>
        <w:rPr>
          <w:rFonts w:ascii="Century Gothic" w:hAnsi="Century Gothic"/>
          <w:sz w:val="20"/>
          <w:szCs w:val="22"/>
        </w:rPr>
      </w:pPr>
      <w:r w:rsidRPr="00640C7B">
        <w:rPr>
          <w:rFonts w:ascii="Century Gothic" w:hAnsi="Century Gothic"/>
          <w:sz w:val="20"/>
          <w:szCs w:val="22"/>
        </w:rPr>
        <w:t>‘</w:t>
      </w:r>
      <w:r w:rsidR="00D64B00" w:rsidRPr="00640C7B">
        <w:rPr>
          <w:rFonts w:ascii="Century Gothic" w:hAnsi="Century Gothic"/>
          <w:sz w:val="20"/>
          <w:szCs w:val="22"/>
        </w:rPr>
        <w:t xml:space="preserve">Look within and life, it seems, is very far from being ‘like this’. Examine for a moment an ordinary mind on an ordinary day. The mind receives a </w:t>
      </w:r>
      <w:proofErr w:type="gramStart"/>
      <w:r w:rsidR="00D64B00" w:rsidRPr="00640C7B">
        <w:rPr>
          <w:rFonts w:ascii="Century Gothic" w:hAnsi="Century Gothic"/>
          <w:sz w:val="20"/>
          <w:szCs w:val="22"/>
        </w:rPr>
        <w:t>myriad impressions</w:t>
      </w:r>
      <w:proofErr w:type="gramEnd"/>
      <w:r w:rsidR="00D64B00" w:rsidRPr="00640C7B">
        <w:rPr>
          <w:rFonts w:ascii="Century Gothic" w:hAnsi="Century Gothic"/>
          <w:sz w:val="20"/>
          <w:szCs w:val="22"/>
        </w:rPr>
        <w:t xml:space="preserve"> – trivial, fantastic, evanescent, or engraved with the sharpness of steel. […] Life is not a series of gig-lamps symmetrically arranged; life is luminous halo, a semi-transparent envelope surrounding us from the beginning of consciousness to the end. Is it not the task of the novelist to convey this varying, this unknown and uncircumscribed spirit, whatever aberration or complexity it may display, with as little mixture of the alien and external as </w:t>
      </w:r>
      <w:r w:rsidR="00E1247E" w:rsidRPr="00640C7B">
        <w:rPr>
          <w:rFonts w:ascii="Century Gothic" w:hAnsi="Century Gothic"/>
          <w:sz w:val="20"/>
          <w:szCs w:val="22"/>
        </w:rPr>
        <w:t>possible?</w:t>
      </w:r>
      <w:r w:rsidRPr="00640C7B">
        <w:rPr>
          <w:rFonts w:ascii="Century Gothic" w:hAnsi="Century Gothic"/>
          <w:sz w:val="20"/>
          <w:szCs w:val="22"/>
        </w:rPr>
        <w:t>’</w:t>
      </w:r>
      <w:r w:rsidR="00E1247E" w:rsidRPr="00640C7B">
        <w:rPr>
          <w:rFonts w:ascii="Century Gothic" w:hAnsi="Century Gothic"/>
          <w:sz w:val="20"/>
          <w:szCs w:val="22"/>
        </w:rPr>
        <w:t xml:space="preserve"> Virginia Woolf, ‘Modern Fiction’ in</w:t>
      </w:r>
      <w:r w:rsidR="00D64B00" w:rsidRPr="00640C7B">
        <w:rPr>
          <w:rFonts w:ascii="Century Gothic" w:hAnsi="Century Gothic"/>
          <w:sz w:val="20"/>
          <w:szCs w:val="22"/>
        </w:rPr>
        <w:t xml:space="preserve"> </w:t>
      </w:r>
      <w:r w:rsidR="00D64B00" w:rsidRPr="00640C7B">
        <w:rPr>
          <w:rFonts w:ascii="Century Gothic" w:hAnsi="Century Gothic"/>
          <w:i/>
          <w:sz w:val="20"/>
          <w:szCs w:val="22"/>
        </w:rPr>
        <w:t>Collected Essays</w:t>
      </w:r>
      <w:r w:rsidR="00E1247E" w:rsidRPr="00640C7B">
        <w:rPr>
          <w:rFonts w:ascii="Century Gothic" w:hAnsi="Century Gothic"/>
          <w:sz w:val="20"/>
          <w:szCs w:val="22"/>
        </w:rPr>
        <w:t>, Vol. 2</w:t>
      </w:r>
      <w:r w:rsidR="00D64B00" w:rsidRPr="00640C7B">
        <w:rPr>
          <w:rFonts w:ascii="Century Gothic" w:hAnsi="Century Gothic"/>
          <w:sz w:val="20"/>
          <w:szCs w:val="22"/>
        </w:rPr>
        <w:t xml:space="preserve"> </w:t>
      </w:r>
      <w:r w:rsidR="00E1247E" w:rsidRPr="00640C7B">
        <w:rPr>
          <w:rFonts w:ascii="Century Gothic" w:hAnsi="Century Gothic"/>
          <w:sz w:val="20"/>
          <w:szCs w:val="22"/>
        </w:rPr>
        <w:t>(</w:t>
      </w:r>
      <w:r w:rsidR="00D64B00" w:rsidRPr="00640C7B">
        <w:rPr>
          <w:rFonts w:ascii="Century Gothic" w:hAnsi="Century Gothic"/>
          <w:sz w:val="20"/>
          <w:szCs w:val="22"/>
        </w:rPr>
        <w:t>London</w:t>
      </w:r>
      <w:r w:rsidR="00E1247E" w:rsidRPr="00640C7B">
        <w:rPr>
          <w:rFonts w:ascii="Century Gothic" w:hAnsi="Century Gothic"/>
          <w:sz w:val="20"/>
          <w:szCs w:val="22"/>
        </w:rPr>
        <w:t>: The Hogarth Press, 1966), p.</w:t>
      </w:r>
      <w:r w:rsidR="00D64B00" w:rsidRPr="00640C7B">
        <w:rPr>
          <w:rFonts w:ascii="Century Gothic" w:hAnsi="Century Gothic"/>
          <w:sz w:val="20"/>
          <w:szCs w:val="22"/>
        </w:rPr>
        <w:t>106.</w:t>
      </w:r>
    </w:p>
    <w:p w14:paraId="567D93C9" w14:textId="77777777" w:rsidR="00D64B00" w:rsidRDefault="00D64B00" w:rsidP="005522A9">
      <w:pPr>
        <w:jc w:val="both"/>
        <w:rPr>
          <w:rFonts w:ascii="Century Gothic" w:hAnsi="Century Gothic"/>
          <w:sz w:val="22"/>
        </w:rPr>
      </w:pPr>
    </w:p>
    <w:p w14:paraId="2A9B5AC4" w14:textId="77777777" w:rsidR="00640C7B" w:rsidRPr="00640C7B" w:rsidRDefault="00640C7B" w:rsidP="005522A9">
      <w:pPr>
        <w:jc w:val="both"/>
        <w:rPr>
          <w:rFonts w:ascii="Century Gothic" w:hAnsi="Century Gothic"/>
          <w:sz w:val="22"/>
        </w:rPr>
      </w:pPr>
    </w:p>
    <w:p w14:paraId="24F5D564" w14:textId="77777777" w:rsidR="00D64B00" w:rsidRPr="00640C7B" w:rsidRDefault="00D64B00" w:rsidP="005522A9">
      <w:pPr>
        <w:numPr>
          <w:ilvl w:val="0"/>
          <w:numId w:val="1"/>
        </w:numPr>
        <w:jc w:val="both"/>
        <w:rPr>
          <w:rFonts w:ascii="Felix Titling" w:hAnsi="Felix Titling"/>
          <w:sz w:val="22"/>
        </w:rPr>
      </w:pPr>
      <w:r w:rsidRPr="00640C7B">
        <w:rPr>
          <w:rFonts w:ascii="Felix Titling" w:hAnsi="Felix Titling"/>
          <w:sz w:val="22"/>
        </w:rPr>
        <w:t>Narrative Technique</w:t>
      </w:r>
    </w:p>
    <w:p w14:paraId="06081C0C" w14:textId="77777777" w:rsidR="00D64B00" w:rsidRPr="00640C7B" w:rsidRDefault="00BD5DA2" w:rsidP="005522A9">
      <w:pPr>
        <w:jc w:val="both"/>
        <w:rPr>
          <w:rFonts w:ascii="Century Gothic" w:hAnsi="Century Gothic"/>
          <w:sz w:val="22"/>
        </w:rPr>
      </w:pPr>
      <w:r w:rsidRPr="00640C7B">
        <w:rPr>
          <w:rFonts w:ascii="Century Gothic" w:hAnsi="Century Gothic"/>
          <w:i/>
          <w:sz w:val="22"/>
        </w:rPr>
        <w:t>To the Lighthouse</w:t>
      </w:r>
      <w:r w:rsidR="00D64B00" w:rsidRPr="00640C7B">
        <w:rPr>
          <w:rFonts w:ascii="Century Gothic" w:hAnsi="Century Gothic"/>
          <w:sz w:val="22"/>
        </w:rPr>
        <w:t xml:space="preserve"> as a </w:t>
      </w:r>
      <w:r w:rsidR="00801D43" w:rsidRPr="00640C7B">
        <w:rPr>
          <w:rFonts w:ascii="Century Gothic" w:hAnsi="Century Gothic"/>
          <w:sz w:val="22"/>
        </w:rPr>
        <w:t>‘</w:t>
      </w:r>
      <w:r w:rsidR="00D64B00" w:rsidRPr="00640C7B">
        <w:rPr>
          <w:rFonts w:ascii="Century Gothic" w:hAnsi="Century Gothic"/>
          <w:sz w:val="22"/>
        </w:rPr>
        <w:t>novel of fine consciousness</w:t>
      </w:r>
      <w:r w:rsidR="00801D43" w:rsidRPr="00640C7B">
        <w:rPr>
          <w:rFonts w:ascii="Century Gothic" w:hAnsi="Century Gothic"/>
          <w:sz w:val="22"/>
        </w:rPr>
        <w:t>’</w:t>
      </w:r>
      <w:r w:rsidR="00D64B00" w:rsidRPr="00640C7B">
        <w:rPr>
          <w:rFonts w:ascii="Century Gothic" w:hAnsi="Century Gothic"/>
          <w:sz w:val="22"/>
        </w:rPr>
        <w:t xml:space="preserve"> which uses a variety of techniques in order to look (from) within its characters.</w:t>
      </w:r>
    </w:p>
    <w:p w14:paraId="0028AD1D" w14:textId="77777777" w:rsidR="00D64B00" w:rsidRPr="00640C7B" w:rsidRDefault="00D64B00" w:rsidP="005522A9">
      <w:pPr>
        <w:jc w:val="both"/>
        <w:rPr>
          <w:rFonts w:ascii="Century Gothic" w:hAnsi="Century Gothic"/>
          <w:sz w:val="22"/>
        </w:rPr>
      </w:pPr>
    </w:p>
    <w:p w14:paraId="3385E037" w14:textId="77777777" w:rsidR="00960AC3" w:rsidRPr="00640C7B" w:rsidRDefault="00960AC3" w:rsidP="005522A9">
      <w:pPr>
        <w:jc w:val="both"/>
        <w:rPr>
          <w:rFonts w:ascii="Century Gothic" w:hAnsi="Century Gothic"/>
          <w:sz w:val="22"/>
        </w:rPr>
      </w:pPr>
      <w:r w:rsidRPr="00640C7B">
        <w:rPr>
          <w:rFonts w:ascii="Century Gothic" w:hAnsi="Century Gothic"/>
          <w:sz w:val="22"/>
        </w:rPr>
        <w:t>Attempts to convey the fickle movements of thought through a combination of indirect discourse, free indirect s</w:t>
      </w:r>
      <w:r w:rsidR="00E1247E" w:rsidRPr="00640C7B">
        <w:rPr>
          <w:rFonts w:ascii="Century Gothic" w:hAnsi="Century Gothic"/>
          <w:sz w:val="22"/>
        </w:rPr>
        <w:t>tyle and interior monologue</w:t>
      </w:r>
      <w:r w:rsidR="00550FC5" w:rsidRPr="00640C7B">
        <w:rPr>
          <w:rFonts w:ascii="Century Gothic" w:hAnsi="Century Gothic"/>
          <w:sz w:val="22"/>
        </w:rPr>
        <w:t>.</w:t>
      </w:r>
    </w:p>
    <w:p w14:paraId="31F77E0B" w14:textId="77777777" w:rsidR="00247E6F" w:rsidRPr="00640C7B" w:rsidRDefault="00247E6F" w:rsidP="005522A9">
      <w:pPr>
        <w:jc w:val="both"/>
        <w:rPr>
          <w:rFonts w:ascii="Century Gothic" w:hAnsi="Century Gothic"/>
          <w:sz w:val="22"/>
        </w:rPr>
      </w:pPr>
    </w:p>
    <w:p w14:paraId="7EAB289C" w14:textId="77777777" w:rsidR="00247E6F" w:rsidRPr="00640C7B" w:rsidRDefault="00247E6F" w:rsidP="005522A9">
      <w:pPr>
        <w:jc w:val="both"/>
        <w:rPr>
          <w:rFonts w:ascii="Century Gothic" w:hAnsi="Century Gothic"/>
          <w:sz w:val="22"/>
        </w:rPr>
      </w:pPr>
      <w:r w:rsidRPr="00640C7B">
        <w:rPr>
          <w:rFonts w:ascii="Century Gothic" w:hAnsi="Century Gothic"/>
          <w:sz w:val="22"/>
        </w:rPr>
        <w:t>Contrast with Joyce’s</w:t>
      </w:r>
      <w:r w:rsidR="00801D43" w:rsidRPr="00640C7B">
        <w:rPr>
          <w:rFonts w:ascii="Century Gothic" w:hAnsi="Century Gothic"/>
          <w:sz w:val="22"/>
        </w:rPr>
        <w:t xml:space="preserve"> episodic</w:t>
      </w:r>
      <w:r w:rsidRPr="00640C7B">
        <w:rPr>
          <w:rFonts w:ascii="Century Gothic" w:hAnsi="Century Gothic"/>
          <w:sz w:val="22"/>
        </w:rPr>
        <w:t xml:space="preserve"> </w:t>
      </w:r>
      <w:r w:rsidR="00801D43" w:rsidRPr="00640C7B">
        <w:rPr>
          <w:rFonts w:ascii="Century Gothic" w:hAnsi="Century Gothic"/>
          <w:i/>
          <w:sz w:val="22"/>
        </w:rPr>
        <w:t>Dubliners</w:t>
      </w:r>
      <w:r w:rsidR="00801D43" w:rsidRPr="00640C7B">
        <w:rPr>
          <w:rFonts w:ascii="Century Gothic" w:hAnsi="Century Gothic"/>
          <w:sz w:val="22"/>
        </w:rPr>
        <w:t>, or Kafka’s blinkered</w:t>
      </w:r>
      <w:r w:rsidR="00801D43" w:rsidRPr="00640C7B">
        <w:rPr>
          <w:rFonts w:ascii="Century Gothic" w:hAnsi="Century Gothic"/>
          <w:i/>
          <w:sz w:val="22"/>
        </w:rPr>
        <w:t xml:space="preserve"> Metamorphosis</w:t>
      </w:r>
      <w:r w:rsidRPr="00640C7B">
        <w:rPr>
          <w:rFonts w:ascii="Century Gothic" w:hAnsi="Century Gothic"/>
          <w:sz w:val="22"/>
        </w:rPr>
        <w:t>: Woolf’s narrative uses multiple focalisation, moving fluidly between the thoughts and perceptions of many different characters. Individual/Community:</w:t>
      </w:r>
    </w:p>
    <w:p w14:paraId="0741E6DB" w14:textId="77777777" w:rsidR="00247E6F" w:rsidRPr="00640C7B" w:rsidRDefault="00247E6F" w:rsidP="005522A9">
      <w:pPr>
        <w:jc w:val="both"/>
        <w:rPr>
          <w:rFonts w:ascii="Century Gothic" w:hAnsi="Century Gothic"/>
          <w:sz w:val="22"/>
        </w:rPr>
      </w:pPr>
    </w:p>
    <w:p w14:paraId="06420E8B" w14:textId="77777777" w:rsidR="00247E6F" w:rsidRPr="00640C7B" w:rsidRDefault="00801D43" w:rsidP="005522A9">
      <w:pPr>
        <w:ind w:left="720"/>
        <w:jc w:val="both"/>
        <w:rPr>
          <w:rFonts w:ascii="Century Gothic" w:hAnsi="Century Gothic"/>
          <w:sz w:val="20"/>
          <w:szCs w:val="22"/>
        </w:rPr>
      </w:pPr>
      <w:r w:rsidRPr="00640C7B">
        <w:rPr>
          <w:rFonts w:ascii="Century Gothic" w:hAnsi="Century Gothic"/>
          <w:sz w:val="20"/>
          <w:szCs w:val="22"/>
        </w:rPr>
        <w:t>‘</w:t>
      </w:r>
      <w:r w:rsidR="00247E6F" w:rsidRPr="00640C7B">
        <w:rPr>
          <w:rFonts w:ascii="Century Gothic" w:hAnsi="Century Gothic"/>
          <w:sz w:val="20"/>
          <w:szCs w:val="22"/>
        </w:rPr>
        <w:t xml:space="preserve">Woolf’s sense of interaction with the world is designedly tenuous, a matter of intermittent intensities which seem to befall the perceiver. But the implied passivity is not the only difference, for this ‘halo’ is also a liminal space in which the self may experience an openness to others, and </w:t>
      </w:r>
      <w:r w:rsidR="00E1247E" w:rsidRPr="00640C7B">
        <w:rPr>
          <w:rFonts w:ascii="Century Gothic" w:hAnsi="Century Gothic"/>
          <w:sz w:val="20"/>
          <w:szCs w:val="22"/>
        </w:rPr>
        <w:t xml:space="preserve">a </w:t>
      </w:r>
      <w:r w:rsidR="00247E6F" w:rsidRPr="00640C7B">
        <w:rPr>
          <w:rFonts w:ascii="Century Gothic" w:hAnsi="Century Gothic"/>
          <w:sz w:val="20"/>
          <w:szCs w:val="22"/>
        </w:rPr>
        <w:t>temporary relaxing of those psychic defences which had seemed essential to one type of modernist aesthetic. […] For the dominant temporal structures of</w:t>
      </w:r>
      <w:r w:rsidR="00E1247E" w:rsidRPr="00640C7B">
        <w:rPr>
          <w:rFonts w:ascii="Century Gothic" w:hAnsi="Century Gothic"/>
          <w:sz w:val="20"/>
          <w:szCs w:val="22"/>
        </w:rPr>
        <w:t xml:space="preserve"> Woolf’s fiction are ones which produce a sort of loosening of the self’s boundaries. Interior monologues and exterior description flow into one another, just as </w:t>
      </w:r>
      <w:r w:rsidR="00E1247E" w:rsidRPr="00640C7B">
        <w:rPr>
          <w:rFonts w:ascii="Century Gothic" w:hAnsi="Century Gothic"/>
          <w:sz w:val="20"/>
          <w:szCs w:val="22"/>
        </w:rPr>
        <w:lastRenderedPageBreak/>
        <w:t>different times merge together.</w:t>
      </w:r>
      <w:r w:rsidRPr="00640C7B">
        <w:rPr>
          <w:rFonts w:ascii="Century Gothic" w:hAnsi="Century Gothic"/>
          <w:sz w:val="20"/>
          <w:szCs w:val="22"/>
        </w:rPr>
        <w:t>’</w:t>
      </w:r>
      <w:r w:rsidR="00E1247E" w:rsidRPr="00640C7B">
        <w:rPr>
          <w:rFonts w:ascii="Century Gothic" w:hAnsi="Century Gothic"/>
          <w:sz w:val="20"/>
          <w:szCs w:val="22"/>
        </w:rPr>
        <w:t xml:space="preserve"> Peter Nicholls, </w:t>
      </w:r>
      <w:r w:rsidR="00E1247E" w:rsidRPr="00640C7B">
        <w:rPr>
          <w:rFonts w:ascii="Century Gothic" w:hAnsi="Century Gothic"/>
          <w:i/>
          <w:sz w:val="20"/>
          <w:szCs w:val="22"/>
        </w:rPr>
        <w:t>Modernisms: A Literary Guide</w:t>
      </w:r>
      <w:r w:rsidR="00E1247E" w:rsidRPr="00640C7B">
        <w:rPr>
          <w:rFonts w:ascii="Century Gothic" w:hAnsi="Century Gothic"/>
          <w:sz w:val="20"/>
          <w:szCs w:val="22"/>
        </w:rPr>
        <w:t xml:space="preserve"> (</w:t>
      </w:r>
      <w:proofErr w:type="spellStart"/>
      <w:r w:rsidR="00E1247E" w:rsidRPr="00640C7B">
        <w:rPr>
          <w:rFonts w:ascii="Century Gothic" w:hAnsi="Century Gothic"/>
          <w:sz w:val="20"/>
          <w:szCs w:val="22"/>
        </w:rPr>
        <w:t>Houndmills</w:t>
      </w:r>
      <w:proofErr w:type="spellEnd"/>
      <w:r w:rsidR="00E1247E" w:rsidRPr="00640C7B">
        <w:rPr>
          <w:rFonts w:ascii="Century Gothic" w:hAnsi="Century Gothic"/>
          <w:sz w:val="20"/>
          <w:szCs w:val="22"/>
        </w:rPr>
        <w:t>: Macmillan, 1995), p. 264-5.</w:t>
      </w:r>
    </w:p>
    <w:p w14:paraId="2F3499B4" w14:textId="77777777" w:rsidR="00E1247E" w:rsidRPr="00640C7B" w:rsidRDefault="00E1247E" w:rsidP="005522A9">
      <w:pPr>
        <w:jc w:val="both"/>
        <w:rPr>
          <w:rFonts w:ascii="Century Gothic" w:hAnsi="Century Gothic"/>
          <w:sz w:val="22"/>
        </w:rPr>
      </w:pPr>
    </w:p>
    <w:p w14:paraId="0FF95281" w14:textId="77777777" w:rsidR="00E1247E" w:rsidRPr="00640C7B" w:rsidRDefault="00E1247E" w:rsidP="005522A9">
      <w:pPr>
        <w:jc w:val="both"/>
        <w:rPr>
          <w:rFonts w:ascii="Century Gothic" w:hAnsi="Century Gothic"/>
          <w:sz w:val="22"/>
        </w:rPr>
      </w:pPr>
      <w:r w:rsidRPr="00640C7B">
        <w:rPr>
          <w:rFonts w:ascii="Century Gothic" w:hAnsi="Century Gothic"/>
          <w:sz w:val="22"/>
        </w:rPr>
        <w:t>Functions of ubiquitous, omniscient narrator – encompassing ‘state of mind’ in which characters’ are united. Narrator as all-pervasive – ‘life’ or ‘memory’ itself? (J. Hillis Miller)</w:t>
      </w:r>
    </w:p>
    <w:p w14:paraId="6ADED69C" w14:textId="77777777" w:rsidR="00E1247E" w:rsidRPr="00640C7B" w:rsidRDefault="00E1247E" w:rsidP="005522A9">
      <w:pPr>
        <w:jc w:val="both"/>
        <w:rPr>
          <w:rFonts w:ascii="Century Gothic" w:hAnsi="Century Gothic"/>
          <w:sz w:val="22"/>
        </w:rPr>
      </w:pPr>
    </w:p>
    <w:p w14:paraId="01DBFDE9" w14:textId="77777777" w:rsidR="00E1247E" w:rsidRPr="00640C7B" w:rsidRDefault="00550FC5" w:rsidP="005522A9">
      <w:pPr>
        <w:jc w:val="both"/>
        <w:rPr>
          <w:rFonts w:ascii="Century Gothic" w:hAnsi="Century Gothic"/>
          <w:sz w:val="22"/>
        </w:rPr>
      </w:pPr>
      <w:r w:rsidRPr="00640C7B">
        <w:rPr>
          <w:rFonts w:ascii="Century Gothic" w:hAnsi="Century Gothic"/>
          <w:sz w:val="22"/>
        </w:rPr>
        <w:t>Woolf’s use of external events/objects to produce a tissue of connections between characters:</w:t>
      </w:r>
      <w:r w:rsidR="00BD5DA2" w:rsidRPr="00640C7B">
        <w:rPr>
          <w:rFonts w:ascii="Century Gothic" w:hAnsi="Century Gothic"/>
          <w:sz w:val="22"/>
        </w:rPr>
        <w:t xml:space="preserve"> the window; the lighthouse; the act of painting; water, candles, the shawl</w:t>
      </w:r>
    </w:p>
    <w:p w14:paraId="6FA88206" w14:textId="77777777" w:rsidR="00550FC5" w:rsidRPr="00640C7B" w:rsidRDefault="00550FC5" w:rsidP="005522A9">
      <w:pPr>
        <w:jc w:val="both"/>
        <w:rPr>
          <w:rFonts w:ascii="Century Gothic" w:hAnsi="Century Gothic"/>
          <w:sz w:val="22"/>
        </w:rPr>
      </w:pPr>
    </w:p>
    <w:p w14:paraId="2E910ABB" w14:textId="77777777" w:rsidR="00550FC5" w:rsidRPr="00640C7B" w:rsidRDefault="00550FC5" w:rsidP="005522A9">
      <w:pPr>
        <w:numPr>
          <w:ilvl w:val="0"/>
          <w:numId w:val="1"/>
        </w:numPr>
        <w:jc w:val="both"/>
        <w:rPr>
          <w:rFonts w:ascii="Felix Titling" w:hAnsi="Felix Titling"/>
          <w:sz w:val="22"/>
        </w:rPr>
      </w:pPr>
      <w:r w:rsidRPr="00640C7B">
        <w:rPr>
          <w:rFonts w:ascii="Felix Titling" w:hAnsi="Felix Titling"/>
          <w:sz w:val="22"/>
        </w:rPr>
        <w:t>Time</w:t>
      </w:r>
    </w:p>
    <w:p w14:paraId="0D557DBB" w14:textId="77777777" w:rsidR="00296207" w:rsidRPr="00640C7B" w:rsidRDefault="00550FC5" w:rsidP="00640C7B">
      <w:pPr>
        <w:numPr>
          <w:ilvl w:val="0"/>
          <w:numId w:val="2"/>
        </w:numPr>
        <w:jc w:val="both"/>
        <w:rPr>
          <w:rFonts w:ascii="Century Gothic" w:hAnsi="Century Gothic"/>
          <w:sz w:val="22"/>
        </w:rPr>
      </w:pPr>
      <w:r w:rsidRPr="00640C7B">
        <w:rPr>
          <w:rFonts w:ascii="Century Gothic" w:hAnsi="Century Gothic"/>
          <w:sz w:val="22"/>
        </w:rPr>
        <w:t xml:space="preserve">Interpenetration (simultaneity) of past and present </w:t>
      </w:r>
      <w:r w:rsidR="00BD5DA2" w:rsidRPr="00640C7B">
        <w:rPr>
          <w:rFonts w:ascii="Century Gothic" w:hAnsi="Century Gothic"/>
          <w:sz w:val="22"/>
        </w:rPr>
        <w:t>…</w:t>
      </w:r>
      <w:r w:rsidRPr="00640C7B">
        <w:rPr>
          <w:rFonts w:ascii="Century Gothic" w:hAnsi="Century Gothic"/>
          <w:sz w:val="22"/>
        </w:rPr>
        <w:t xml:space="preserve"> and as wider Modernist preoccupation. </w:t>
      </w:r>
      <w:r w:rsidR="00296207" w:rsidRPr="00640C7B">
        <w:rPr>
          <w:rFonts w:ascii="Century Gothic" w:hAnsi="Century Gothic"/>
          <w:sz w:val="22"/>
        </w:rPr>
        <w:t>(Stephen Kern)</w:t>
      </w:r>
    </w:p>
    <w:p w14:paraId="23C52196" w14:textId="77777777" w:rsidR="00296207" w:rsidRPr="00640C7B" w:rsidRDefault="00296207" w:rsidP="005522A9">
      <w:pPr>
        <w:jc w:val="both"/>
        <w:rPr>
          <w:rFonts w:ascii="Century Gothic" w:hAnsi="Century Gothic"/>
          <w:sz w:val="22"/>
        </w:rPr>
      </w:pPr>
    </w:p>
    <w:p w14:paraId="5CA6493D" w14:textId="77777777" w:rsidR="00550FC5" w:rsidRPr="00640C7B" w:rsidRDefault="00550FC5" w:rsidP="00640C7B">
      <w:pPr>
        <w:numPr>
          <w:ilvl w:val="0"/>
          <w:numId w:val="2"/>
        </w:numPr>
        <w:jc w:val="both"/>
        <w:rPr>
          <w:rFonts w:ascii="Century Gothic" w:hAnsi="Century Gothic"/>
          <w:sz w:val="22"/>
        </w:rPr>
      </w:pPr>
      <w:r w:rsidRPr="00640C7B">
        <w:rPr>
          <w:rFonts w:ascii="Century Gothic" w:hAnsi="Century Gothic"/>
          <w:sz w:val="22"/>
        </w:rPr>
        <w:t>Homogeneous/heterogeneous; atomistic/flux; irreversible/revers</w:t>
      </w:r>
      <w:r w:rsidR="00296207" w:rsidRPr="00640C7B">
        <w:rPr>
          <w:rFonts w:ascii="Century Gothic" w:hAnsi="Century Gothic"/>
          <w:sz w:val="22"/>
        </w:rPr>
        <w:t>ible. Standard, universal time vs. time understood as relative to the system by which it is measured. Public vs. private time:</w:t>
      </w:r>
    </w:p>
    <w:p w14:paraId="72548984" w14:textId="77777777" w:rsidR="00296207" w:rsidRPr="00640C7B" w:rsidRDefault="00296207" w:rsidP="005522A9">
      <w:pPr>
        <w:jc w:val="both"/>
        <w:rPr>
          <w:rFonts w:ascii="Century Gothic" w:hAnsi="Century Gothic"/>
          <w:sz w:val="22"/>
        </w:rPr>
      </w:pPr>
    </w:p>
    <w:p w14:paraId="302C7D6C" w14:textId="77777777" w:rsidR="00296207" w:rsidRPr="00640C7B" w:rsidRDefault="00801D43" w:rsidP="005522A9">
      <w:pPr>
        <w:ind w:left="720"/>
        <w:jc w:val="both"/>
        <w:rPr>
          <w:rFonts w:ascii="Century Gothic" w:hAnsi="Century Gothic"/>
          <w:sz w:val="22"/>
        </w:rPr>
      </w:pPr>
      <w:r w:rsidRPr="00640C7B">
        <w:rPr>
          <w:rFonts w:ascii="Century Gothic" w:hAnsi="Century Gothic"/>
          <w:sz w:val="22"/>
        </w:rPr>
        <w:t>‘</w:t>
      </w:r>
      <w:r w:rsidR="00296207" w:rsidRPr="00640C7B">
        <w:rPr>
          <w:rFonts w:ascii="Century Gothic" w:hAnsi="Century Gothic"/>
          <w:sz w:val="20"/>
          <w:szCs w:val="22"/>
        </w:rPr>
        <w:t>Modernist characters’ hostility to clockwork can be seen as a figuration, a symbolic focus, of a changed attitude to time more generally evident in the texts in which they appear – in their structure particularly. Hostility to clocks, within modernist texts, is matched by novelists’ reluctance to rely on chronological sequence as the basis of their construction. […] Much of [Woolf’s] fiction […</w:t>
      </w:r>
      <w:r w:rsidR="0079454C" w:rsidRPr="00640C7B">
        <w:rPr>
          <w:rFonts w:ascii="Century Gothic" w:hAnsi="Century Gothic"/>
          <w:sz w:val="20"/>
          <w:szCs w:val="22"/>
        </w:rPr>
        <w:t>]</w:t>
      </w:r>
      <w:r w:rsidR="00296207" w:rsidRPr="00640C7B">
        <w:rPr>
          <w:rFonts w:ascii="Century Gothic" w:hAnsi="Century Gothic"/>
          <w:sz w:val="20"/>
          <w:szCs w:val="22"/>
        </w:rPr>
        <w:t>, and modernist writing generally, gave up, amended</w:t>
      </w:r>
      <w:r w:rsidR="0079454C" w:rsidRPr="00640C7B">
        <w:rPr>
          <w:rFonts w:ascii="Century Gothic" w:hAnsi="Century Gothic"/>
          <w:sz w:val="20"/>
          <w:szCs w:val="22"/>
        </w:rPr>
        <w:t xml:space="preserve"> or abbreviated the chronological sequence, the vision of life as a series, which had conventionally structured the novel in the nineteenth century.</w:t>
      </w:r>
      <w:r w:rsidRPr="00640C7B">
        <w:rPr>
          <w:rFonts w:ascii="Century Gothic" w:hAnsi="Century Gothic"/>
          <w:sz w:val="20"/>
          <w:szCs w:val="22"/>
        </w:rPr>
        <w:t>’</w:t>
      </w:r>
      <w:r w:rsidR="0079454C" w:rsidRPr="00640C7B">
        <w:rPr>
          <w:rFonts w:ascii="Century Gothic" w:hAnsi="Century Gothic"/>
          <w:sz w:val="20"/>
          <w:szCs w:val="22"/>
        </w:rPr>
        <w:t xml:space="preserve"> Randall Stevenson, </w:t>
      </w:r>
      <w:r w:rsidR="0079454C" w:rsidRPr="00640C7B">
        <w:rPr>
          <w:rFonts w:ascii="Century Gothic" w:hAnsi="Century Gothic"/>
          <w:i/>
          <w:sz w:val="20"/>
          <w:szCs w:val="22"/>
        </w:rPr>
        <w:t>Modernist Fiction: An Introduction</w:t>
      </w:r>
      <w:r w:rsidR="0079454C" w:rsidRPr="00640C7B">
        <w:rPr>
          <w:rFonts w:ascii="Century Gothic" w:hAnsi="Century Gothic"/>
          <w:sz w:val="20"/>
          <w:szCs w:val="22"/>
        </w:rPr>
        <w:t xml:space="preserve"> (Hemel Hempstead: Harvester Wheatsheaf, 1992), p.86-7.</w:t>
      </w:r>
    </w:p>
    <w:p w14:paraId="35D46470" w14:textId="77777777" w:rsidR="0079454C" w:rsidRPr="00640C7B" w:rsidRDefault="0079454C" w:rsidP="005522A9">
      <w:pPr>
        <w:jc w:val="both"/>
        <w:rPr>
          <w:rFonts w:ascii="Century Gothic" w:hAnsi="Century Gothic"/>
          <w:sz w:val="22"/>
        </w:rPr>
      </w:pPr>
    </w:p>
    <w:p w14:paraId="301DEC1D" w14:textId="77777777" w:rsidR="00FC6959" w:rsidRPr="00640C7B" w:rsidRDefault="00FC6959" w:rsidP="00640C7B">
      <w:pPr>
        <w:numPr>
          <w:ilvl w:val="0"/>
          <w:numId w:val="2"/>
        </w:numPr>
        <w:jc w:val="both"/>
        <w:rPr>
          <w:rFonts w:ascii="Century Gothic" w:hAnsi="Century Gothic"/>
          <w:sz w:val="22"/>
        </w:rPr>
      </w:pPr>
      <w:r w:rsidRPr="00640C7B">
        <w:rPr>
          <w:rFonts w:ascii="Century Gothic" w:hAnsi="Century Gothic"/>
          <w:sz w:val="22"/>
        </w:rPr>
        <w:t>Gendering of public (</w:t>
      </w:r>
      <w:r w:rsidR="00BD5DA2" w:rsidRPr="00640C7B">
        <w:rPr>
          <w:rFonts w:ascii="Century Gothic" w:hAnsi="Century Gothic"/>
          <w:sz w:val="22"/>
        </w:rPr>
        <w:t>Mr Ramsay/</w:t>
      </w:r>
      <w:r w:rsidRPr="00640C7B">
        <w:rPr>
          <w:rFonts w:ascii="Century Gothic" w:hAnsi="Century Gothic"/>
          <w:sz w:val="22"/>
        </w:rPr>
        <w:t>masculine) and private (</w:t>
      </w:r>
      <w:r w:rsidR="00BD5DA2" w:rsidRPr="00640C7B">
        <w:rPr>
          <w:rFonts w:ascii="Century Gothic" w:hAnsi="Century Gothic"/>
          <w:sz w:val="22"/>
        </w:rPr>
        <w:t>Mrs Ramsay/</w:t>
      </w:r>
      <w:r w:rsidRPr="00640C7B">
        <w:rPr>
          <w:rFonts w:ascii="Century Gothic" w:hAnsi="Century Gothic"/>
          <w:sz w:val="22"/>
        </w:rPr>
        <w:t>feminine) times. Memory and growing old (mortality</w:t>
      </w:r>
      <w:r w:rsidR="00BD5DA2" w:rsidRPr="00640C7B">
        <w:rPr>
          <w:rFonts w:ascii="Century Gothic" w:hAnsi="Century Gothic"/>
          <w:sz w:val="22"/>
        </w:rPr>
        <w:t xml:space="preserve"> – will things last?</w:t>
      </w:r>
      <w:r w:rsidRPr="00640C7B">
        <w:rPr>
          <w:rFonts w:ascii="Century Gothic" w:hAnsi="Century Gothic"/>
          <w:sz w:val="22"/>
        </w:rPr>
        <w:t>) as themes throughout the novel.</w:t>
      </w:r>
    </w:p>
    <w:p w14:paraId="06F7DCB2" w14:textId="77777777" w:rsidR="00FC6959" w:rsidRPr="00640C7B" w:rsidRDefault="00FC6959" w:rsidP="005522A9">
      <w:pPr>
        <w:jc w:val="both"/>
        <w:rPr>
          <w:rFonts w:ascii="Century Gothic" w:hAnsi="Century Gothic"/>
          <w:sz w:val="22"/>
        </w:rPr>
      </w:pPr>
    </w:p>
    <w:p w14:paraId="6DDA4911" w14:textId="77777777" w:rsidR="00BB436B" w:rsidRPr="00640C7B" w:rsidRDefault="00BB436B" w:rsidP="005522A9">
      <w:pPr>
        <w:pStyle w:val="BodyText"/>
        <w:ind w:left="720"/>
        <w:rPr>
          <w:rFonts w:ascii="Century Gothic" w:hAnsi="Century Gothic"/>
          <w:sz w:val="20"/>
        </w:rPr>
      </w:pPr>
      <w:r w:rsidRPr="00640C7B">
        <w:rPr>
          <w:rFonts w:ascii="Century Gothic" w:hAnsi="Century Gothic"/>
          <w:sz w:val="20"/>
        </w:rPr>
        <w:t xml:space="preserve">That was all—a simple question; one that tended to close in on one with years. The great revelation had never come. The great revelation perhaps never did come. Instead there were little daily miracles, illuminations, matches struck unexpectedly in the dark; here was one. This, that, and the other; herself and Charles </w:t>
      </w:r>
      <w:proofErr w:type="spellStart"/>
      <w:r w:rsidRPr="00640C7B">
        <w:rPr>
          <w:rFonts w:ascii="Century Gothic" w:hAnsi="Century Gothic"/>
          <w:sz w:val="20"/>
        </w:rPr>
        <w:t>Tansley</w:t>
      </w:r>
      <w:proofErr w:type="spellEnd"/>
      <w:r w:rsidRPr="00640C7B">
        <w:rPr>
          <w:rFonts w:ascii="Century Gothic" w:hAnsi="Century Gothic"/>
          <w:sz w:val="20"/>
        </w:rPr>
        <w:t xml:space="preserve"> and the breaking wave; Mrs Ramsay bringing them together; Mrs Ramsay saying, “Life stand still here”; Mrs Ramsay making of the moment something permanent (as in another sphere Lily herself tried to make of the moment something permanent)—this was of the nature of a revelation. In the midst of chaos there was shape; this eternal passing and flowing (she looked at the clouds going and the leaves shaking) was struck into stability. Life stand still here, Mrs Ramsay said. “Mrs Ramsay! Mrs Ramsay!” she repeated. She owed it all to her.</w:t>
      </w:r>
    </w:p>
    <w:p w14:paraId="6A31F80D" w14:textId="77777777" w:rsidR="00BB436B" w:rsidRPr="00640C7B" w:rsidRDefault="00BB436B" w:rsidP="005522A9">
      <w:pPr>
        <w:jc w:val="both"/>
        <w:rPr>
          <w:rFonts w:ascii="Century Gothic" w:hAnsi="Century Gothic"/>
          <w:sz w:val="22"/>
        </w:rPr>
      </w:pPr>
    </w:p>
    <w:p w14:paraId="1A05F3B3" w14:textId="77777777" w:rsidR="00FC6959" w:rsidRPr="00640C7B" w:rsidRDefault="00FC6959" w:rsidP="005522A9">
      <w:pPr>
        <w:numPr>
          <w:ilvl w:val="0"/>
          <w:numId w:val="1"/>
        </w:numPr>
        <w:jc w:val="both"/>
        <w:rPr>
          <w:rFonts w:ascii="Felix Titling" w:hAnsi="Felix Titling"/>
          <w:sz w:val="22"/>
        </w:rPr>
      </w:pPr>
      <w:r w:rsidRPr="00640C7B">
        <w:rPr>
          <w:rFonts w:ascii="Felix Titling" w:hAnsi="Felix Titling"/>
          <w:sz w:val="22"/>
        </w:rPr>
        <w:t>Space</w:t>
      </w:r>
    </w:p>
    <w:p w14:paraId="7162DFDC" w14:textId="77777777" w:rsidR="003745BE" w:rsidRPr="00640C7B" w:rsidRDefault="00BD5DA2" w:rsidP="005522A9">
      <w:pPr>
        <w:jc w:val="both"/>
        <w:rPr>
          <w:rFonts w:ascii="Century Gothic" w:hAnsi="Century Gothic"/>
          <w:sz w:val="22"/>
        </w:rPr>
      </w:pPr>
      <w:r w:rsidRPr="00640C7B">
        <w:rPr>
          <w:rFonts w:ascii="Century Gothic" w:hAnsi="Century Gothic"/>
          <w:sz w:val="22"/>
        </w:rPr>
        <w:t xml:space="preserve">The spaces inside and outside the house – a version of </w:t>
      </w:r>
      <w:r w:rsidRPr="00640C7B">
        <w:rPr>
          <w:rFonts w:ascii="Century Gothic" w:hAnsi="Century Gothic"/>
          <w:i/>
          <w:sz w:val="22"/>
        </w:rPr>
        <w:t>The Tempest</w:t>
      </w:r>
      <w:r w:rsidRPr="00640C7B">
        <w:rPr>
          <w:rFonts w:ascii="Century Gothic" w:hAnsi="Century Gothic"/>
          <w:sz w:val="22"/>
        </w:rPr>
        <w:t xml:space="preserve"> – constant references to translation of the ordinary into something rich and strange</w:t>
      </w:r>
    </w:p>
    <w:p w14:paraId="7932DFD9" w14:textId="77777777" w:rsidR="003519FD" w:rsidRPr="00640C7B" w:rsidRDefault="003519FD" w:rsidP="005522A9">
      <w:pPr>
        <w:jc w:val="both"/>
        <w:rPr>
          <w:rFonts w:ascii="Century Gothic" w:hAnsi="Century Gothic"/>
          <w:sz w:val="22"/>
        </w:rPr>
      </w:pPr>
    </w:p>
    <w:p w14:paraId="2FC27B73" w14:textId="77777777" w:rsidR="003519FD" w:rsidRPr="00640C7B" w:rsidRDefault="003519FD" w:rsidP="005522A9">
      <w:pPr>
        <w:numPr>
          <w:ilvl w:val="0"/>
          <w:numId w:val="1"/>
        </w:numPr>
        <w:jc w:val="both"/>
        <w:rPr>
          <w:rFonts w:ascii="Felix Titling" w:hAnsi="Felix Titling"/>
          <w:sz w:val="22"/>
        </w:rPr>
      </w:pPr>
      <w:r w:rsidRPr="00640C7B">
        <w:rPr>
          <w:rFonts w:ascii="Felix Titling" w:hAnsi="Felix Titling"/>
          <w:sz w:val="22"/>
        </w:rPr>
        <w:t>War</w:t>
      </w:r>
    </w:p>
    <w:p w14:paraId="5306A8BE" w14:textId="77777777" w:rsidR="00787380" w:rsidRPr="00640C7B" w:rsidRDefault="00787380" w:rsidP="005522A9">
      <w:pPr>
        <w:pStyle w:val="NormalWeb"/>
        <w:spacing w:before="0" w:beforeAutospacing="0" w:after="0" w:afterAutospacing="0"/>
        <w:rPr>
          <w:rFonts w:ascii="Century Gothic" w:hAnsi="Century Gothic"/>
          <w:sz w:val="22"/>
        </w:rPr>
      </w:pPr>
      <w:r w:rsidRPr="00640C7B">
        <w:rPr>
          <w:rFonts w:ascii="Century Gothic" w:hAnsi="Century Gothic"/>
          <w:sz w:val="22"/>
        </w:rPr>
        <w:t xml:space="preserve">There is a bareness and abruptness in their literature which grates upon a taste accustomed to the intricacy and finish of printed books. We have to stretch our minds to grasp a whole devoid of the prettiness of detail or the emphasis of eloquence. Accustomed to look directly and largely rather than minutely and aslant, it was safe for them to step into the thick of emotions which blind and bewilder an age like our own. </w:t>
      </w:r>
      <w:r w:rsidRPr="00640C7B">
        <w:rPr>
          <w:rFonts w:ascii="Century Gothic" w:hAnsi="Century Gothic"/>
          <w:sz w:val="22"/>
          <w:u w:val="single"/>
        </w:rPr>
        <w:t xml:space="preserve">In the vast catastrophe of the European war our emotions had to be broken up for us, and put at an angle from us, before we could allow ourselves to feel them in poetry or fiction. </w:t>
      </w:r>
      <w:r w:rsidRPr="00640C7B">
        <w:rPr>
          <w:rFonts w:ascii="Century Gothic" w:hAnsi="Century Gothic"/>
          <w:sz w:val="22"/>
          <w:u w:val="single"/>
        </w:rPr>
        <w:lastRenderedPageBreak/>
        <w:t>The only poets who spoke to the purpose spoke in the sidelong, satiric manner of Wilfrid Owen and Siegfried Sassoon. It was not possible for them to be direct without being clumsy; or to speak simply of emotion without being sentimental. But the Greeks could say, as if for the first time, “Yet being dead they have not died”.</w:t>
      </w:r>
      <w:r w:rsidRPr="00640C7B">
        <w:rPr>
          <w:rFonts w:ascii="Century Gothic" w:hAnsi="Century Gothic"/>
          <w:sz w:val="22"/>
        </w:rPr>
        <w:t xml:space="preserve"> They could say, “If to die nobly is the chief part of excellence, to us out of all men Fortune gave this lot; for hastening to set a crown of freedom on Greece we lie possessed of praise that grows not old”. They could march straight up, with their eyes open; and </w:t>
      </w:r>
      <w:proofErr w:type="gramStart"/>
      <w:r w:rsidRPr="00640C7B">
        <w:rPr>
          <w:rFonts w:ascii="Century Gothic" w:hAnsi="Century Gothic"/>
          <w:sz w:val="22"/>
        </w:rPr>
        <w:t>thus</w:t>
      </w:r>
      <w:proofErr w:type="gramEnd"/>
      <w:r w:rsidRPr="00640C7B">
        <w:rPr>
          <w:rFonts w:ascii="Century Gothic" w:hAnsi="Century Gothic"/>
          <w:sz w:val="22"/>
        </w:rPr>
        <w:t xml:space="preserve"> fearlessly approached, emotions stand still and suffer themselves to be looked at.</w:t>
      </w:r>
    </w:p>
    <w:p w14:paraId="4184632E" w14:textId="77777777" w:rsidR="00E16D37" w:rsidRPr="00640C7B" w:rsidRDefault="00787380" w:rsidP="005522A9">
      <w:pPr>
        <w:ind w:left="1440"/>
        <w:rPr>
          <w:rFonts w:ascii="Century Gothic" w:hAnsi="Century Gothic"/>
          <w:i/>
          <w:iCs/>
          <w:sz w:val="22"/>
        </w:rPr>
      </w:pPr>
      <w:r w:rsidRPr="00640C7B">
        <w:rPr>
          <w:rFonts w:ascii="Century Gothic" w:hAnsi="Century Gothic"/>
          <w:bCs/>
          <w:sz w:val="20"/>
        </w:rPr>
        <w:t>Virginia Woolf, ‘On not knowing Greek’</w:t>
      </w:r>
      <w:r w:rsidRPr="00640C7B">
        <w:rPr>
          <w:rFonts w:ascii="Century Gothic" w:hAnsi="Century Gothic"/>
          <w:b/>
          <w:bCs/>
          <w:sz w:val="20"/>
        </w:rPr>
        <w:t xml:space="preserve"> </w:t>
      </w:r>
      <w:hyperlink r:id="rId5" w:history="1">
        <w:r w:rsidRPr="00640C7B">
          <w:rPr>
            <w:rStyle w:val="Hyperlink"/>
            <w:rFonts w:ascii="Century Gothic" w:hAnsi="Century Gothic"/>
            <w:sz w:val="22"/>
          </w:rPr>
          <w:t>http://ebooks.adelaide.edu.au/w/woolf/virginia/w91c/chapter3.html</w:t>
        </w:r>
      </w:hyperlink>
      <w:r w:rsidR="00E16D37" w:rsidRPr="00640C7B">
        <w:rPr>
          <w:rFonts w:ascii="Century Gothic" w:hAnsi="Century Gothic"/>
          <w:i/>
          <w:iCs/>
          <w:sz w:val="22"/>
        </w:rPr>
        <w:t xml:space="preserve"> </w:t>
      </w:r>
    </w:p>
    <w:p w14:paraId="0EDDB39B" w14:textId="77777777" w:rsidR="005522A9" w:rsidRPr="00640C7B" w:rsidRDefault="005522A9" w:rsidP="005522A9">
      <w:pPr>
        <w:jc w:val="both"/>
        <w:rPr>
          <w:rFonts w:ascii="Century Gothic" w:hAnsi="Century Gothic"/>
          <w:i/>
          <w:iCs/>
          <w:sz w:val="22"/>
        </w:rPr>
      </w:pPr>
    </w:p>
    <w:p w14:paraId="6A3FF741" w14:textId="77777777" w:rsidR="00E16D37" w:rsidRPr="00640C7B" w:rsidRDefault="00E16D37" w:rsidP="005522A9">
      <w:pPr>
        <w:jc w:val="both"/>
        <w:rPr>
          <w:rFonts w:ascii="Century Gothic" w:hAnsi="Century Gothic"/>
          <w:sz w:val="22"/>
        </w:rPr>
      </w:pPr>
      <w:r w:rsidRPr="00640C7B">
        <w:rPr>
          <w:rFonts w:ascii="Century Gothic" w:hAnsi="Century Gothic"/>
          <w:i/>
          <w:iCs/>
          <w:sz w:val="22"/>
        </w:rPr>
        <w:t>To the Lighthouse</w:t>
      </w:r>
      <w:r w:rsidRPr="00640C7B">
        <w:rPr>
          <w:rFonts w:ascii="Century Gothic" w:hAnsi="Century Gothic"/>
          <w:sz w:val="22"/>
        </w:rPr>
        <w:t>: a novel that sketches the culture before and after the war with a central dark section that mirrors its dehumanising effects.</w:t>
      </w:r>
    </w:p>
    <w:p w14:paraId="32FD706D" w14:textId="77777777" w:rsidR="00E16D37" w:rsidRPr="00640C7B" w:rsidRDefault="00E16D37" w:rsidP="005522A9">
      <w:pPr>
        <w:jc w:val="both"/>
        <w:rPr>
          <w:rFonts w:ascii="Century Gothic" w:hAnsi="Century Gothic"/>
          <w:sz w:val="22"/>
        </w:rPr>
      </w:pPr>
    </w:p>
    <w:p w14:paraId="3FCECA15" w14:textId="77777777" w:rsidR="00640C7B" w:rsidRPr="00640C7B" w:rsidRDefault="00640C7B" w:rsidP="00640C7B">
      <w:pPr>
        <w:numPr>
          <w:ilvl w:val="0"/>
          <w:numId w:val="1"/>
        </w:numPr>
        <w:jc w:val="both"/>
        <w:rPr>
          <w:rFonts w:ascii="Felix Titling" w:hAnsi="Felix Titling"/>
          <w:sz w:val="22"/>
        </w:rPr>
      </w:pPr>
      <w:r w:rsidRPr="00640C7B">
        <w:rPr>
          <w:rFonts w:ascii="Felix Titling" w:hAnsi="Felix Titling"/>
          <w:sz w:val="22"/>
        </w:rPr>
        <w:t xml:space="preserve">Art and philosophy </w:t>
      </w:r>
    </w:p>
    <w:p w14:paraId="7B2B6237" w14:textId="77777777" w:rsidR="00640C7B" w:rsidRPr="00640C7B" w:rsidRDefault="00640C7B" w:rsidP="005522A9">
      <w:pPr>
        <w:jc w:val="both"/>
        <w:rPr>
          <w:rFonts w:ascii="Century Gothic" w:hAnsi="Century Gothic"/>
          <w:sz w:val="22"/>
        </w:rPr>
      </w:pPr>
    </w:p>
    <w:p w14:paraId="4A63C8F9" w14:textId="77777777" w:rsidR="00640C7B" w:rsidRPr="00640C7B" w:rsidRDefault="00640C7B" w:rsidP="00640C7B">
      <w:pPr>
        <w:rPr>
          <w:rFonts w:ascii="Century Gothic" w:hAnsi="Century Gothic"/>
          <w:sz w:val="22"/>
          <w:lang w:eastAsia="en-US"/>
        </w:rPr>
      </w:pPr>
      <w:r w:rsidRPr="00640C7B">
        <w:rPr>
          <w:rFonts w:ascii="Century Gothic" w:hAnsi="Century Gothic"/>
          <w:sz w:val="22"/>
          <w:lang w:eastAsia="en-US"/>
        </w:rPr>
        <w:t>Oh, but,” said Lily, “think of his work!”</w:t>
      </w:r>
    </w:p>
    <w:p w14:paraId="7121CEFF" w14:textId="77777777" w:rsidR="00640C7B" w:rsidRPr="00640C7B" w:rsidRDefault="00640C7B" w:rsidP="00640C7B">
      <w:pPr>
        <w:rPr>
          <w:rFonts w:ascii="Century Gothic" w:hAnsi="Century Gothic"/>
          <w:sz w:val="22"/>
          <w:lang w:eastAsia="en-US"/>
        </w:rPr>
      </w:pPr>
      <w:r w:rsidRPr="00640C7B">
        <w:rPr>
          <w:rFonts w:ascii="Century Gothic" w:hAnsi="Century Gothic"/>
          <w:sz w:val="22"/>
          <w:lang w:eastAsia="en-US"/>
        </w:rPr>
        <w:t xml:space="preserve">Whenever she “thought of his work” she always saw clearly before her a large kitchen table. It was Andrew’s doing. She asked him what his father’s books were about. </w:t>
      </w:r>
      <w:r w:rsidRPr="00640C7B">
        <w:rPr>
          <w:rFonts w:ascii="Century Gothic" w:hAnsi="Century Gothic"/>
          <w:sz w:val="22"/>
          <w:u w:val="single"/>
          <w:lang w:eastAsia="en-US"/>
        </w:rPr>
        <w:t>“Subject and object and the nature of reality,”</w:t>
      </w:r>
      <w:r w:rsidRPr="00640C7B">
        <w:rPr>
          <w:rFonts w:ascii="Century Gothic" w:hAnsi="Century Gothic"/>
          <w:sz w:val="22"/>
          <w:lang w:eastAsia="en-US"/>
        </w:rPr>
        <w:t xml:space="preserve"> Andrew had said. And when she said Heavens, she had no notion what that meant. “Think of a kitchen table then,” he told her, “when you’re not there.”</w:t>
      </w:r>
    </w:p>
    <w:p w14:paraId="390F04F9" w14:textId="77777777" w:rsidR="00640C7B" w:rsidRPr="00640C7B" w:rsidRDefault="00640C7B" w:rsidP="00640C7B">
      <w:pPr>
        <w:rPr>
          <w:rFonts w:ascii="Century Gothic" w:hAnsi="Century Gothic"/>
          <w:sz w:val="22"/>
          <w:lang w:eastAsia="en-US"/>
        </w:rPr>
      </w:pPr>
      <w:r w:rsidRPr="00640C7B">
        <w:rPr>
          <w:rFonts w:ascii="Century Gothic" w:hAnsi="Century Gothic"/>
          <w:sz w:val="22"/>
          <w:lang w:eastAsia="en-US"/>
        </w:rPr>
        <w:t xml:space="preserve">So now she always saw, when she thought of Mr. Ramsay’s work, a scrubbed kitchen table. It lodged now in the </w:t>
      </w:r>
      <w:proofErr w:type="spellStart"/>
      <w:r w:rsidRPr="00640C7B">
        <w:rPr>
          <w:rFonts w:ascii="Century Gothic" w:hAnsi="Century Gothic"/>
          <w:sz w:val="22"/>
          <w:lang w:eastAsia="en-US"/>
        </w:rPr>
        <w:t>fork</w:t>
      </w:r>
      <w:proofErr w:type="spellEnd"/>
      <w:r w:rsidRPr="00640C7B">
        <w:rPr>
          <w:rFonts w:ascii="Century Gothic" w:hAnsi="Century Gothic"/>
          <w:sz w:val="22"/>
          <w:lang w:eastAsia="en-US"/>
        </w:rPr>
        <w:t xml:space="preserve"> of a pear tree, for they had reached the orchard. And with a painful effort of concentration, she focused her mind, not upon the silver-bossed bark of the tree, or upon its fish-shaped leaves, but upon a phantom kitchen table, one of those scrubbed board tables, grained and knotted, whose virtue seems to have been laid bare by years of muscular integrity, which stuck there, its four legs in air. Naturally, if one’s days were passed in this seeing of angular essences, this reducing of lovely evenings, with all their flamingo clouds and blue and silver to a white deal four-legged table (and it was a mark of the finest minds to do so), naturally one could not be judged like an ordinary person.</w:t>
      </w:r>
    </w:p>
    <w:p w14:paraId="103E9382" w14:textId="77777777" w:rsidR="00640C7B" w:rsidRDefault="00640C7B" w:rsidP="00640C7B">
      <w:pPr>
        <w:ind w:left="426"/>
        <w:jc w:val="both"/>
        <w:rPr>
          <w:rFonts w:ascii="Century Gothic" w:hAnsi="Century Gothic"/>
          <w:sz w:val="22"/>
          <w:lang w:eastAsia="en-US"/>
        </w:rPr>
      </w:pPr>
    </w:p>
    <w:p w14:paraId="4BADADE7" w14:textId="77777777" w:rsidR="00640C7B" w:rsidRDefault="00640C7B" w:rsidP="00640C7B">
      <w:pPr>
        <w:pBdr>
          <w:bottom w:val="single" w:sz="6" w:space="1" w:color="auto"/>
        </w:pBdr>
        <w:jc w:val="center"/>
        <w:rPr>
          <w:rFonts w:ascii="Century Gothic" w:hAnsi="Century Gothic"/>
          <w:sz w:val="22"/>
          <w:lang w:eastAsia="en-US"/>
        </w:rPr>
      </w:pPr>
    </w:p>
    <w:p w14:paraId="60F5624A" w14:textId="77777777" w:rsidR="00640C7B" w:rsidRPr="00640C7B" w:rsidRDefault="00640C7B" w:rsidP="00640C7B">
      <w:pPr>
        <w:ind w:left="426"/>
        <w:jc w:val="both"/>
        <w:rPr>
          <w:rFonts w:ascii="Century Gothic" w:hAnsi="Century Gothic"/>
          <w:sz w:val="22"/>
          <w:lang w:eastAsia="en-US"/>
        </w:rPr>
      </w:pPr>
    </w:p>
    <w:p w14:paraId="40C895E3" w14:textId="77777777" w:rsidR="00640C7B" w:rsidRPr="00640C7B" w:rsidRDefault="00640C7B" w:rsidP="00640C7B">
      <w:pPr>
        <w:jc w:val="both"/>
        <w:rPr>
          <w:rFonts w:ascii="Felix Titling" w:hAnsi="Felix Titling"/>
        </w:rPr>
      </w:pPr>
      <w:r w:rsidRPr="00640C7B">
        <w:rPr>
          <w:rFonts w:ascii="Felix Titling" w:hAnsi="Felix Titling"/>
        </w:rPr>
        <w:t>Links</w:t>
      </w:r>
    </w:p>
    <w:p w14:paraId="6A2AF99B" w14:textId="77777777" w:rsidR="00640C7B" w:rsidRDefault="00640C7B" w:rsidP="00640C7B">
      <w:pPr>
        <w:jc w:val="both"/>
        <w:rPr>
          <w:rFonts w:ascii="Century Gothic" w:hAnsi="Century Gothic"/>
          <w:sz w:val="22"/>
        </w:rPr>
      </w:pPr>
    </w:p>
    <w:p w14:paraId="0DB6AED7" w14:textId="77777777" w:rsidR="00640C7B" w:rsidRDefault="00640C7B" w:rsidP="00640C7B">
      <w:pPr>
        <w:jc w:val="both"/>
        <w:rPr>
          <w:rFonts w:ascii="Century Gothic" w:hAnsi="Century Gothic"/>
          <w:sz w:val="22"/>
        </w:rPr>
      </w:pPr>
      <w:r>
        <w:rPr>
          <w:rFonts w:ascii="Century Gothic" w:hAnsi="Century Gothic"/>
          <w:sz w:val="22"/>
        </w:rPr>
        <w:t>Lily and Chinese Eyes (</w:t>
      </w:r>
      <w:r w:rsidRPr="00640C7B">
        <w:rPr>
          <w:rFonts w:ascii="Century Gothic" w:hAnsi="Century Gothic"/>
          <w:i/>
          <w:sz w:val="22"/>
        </w:rPr>
        <w:t>Cathay</w:t>
      </w:r>
      <w:r>
        <w:rPr>
          <w:rFonts w:ascii="Century Gothic" w:hAnsi="Century Gothic"/>
          <w:sz w:val="22"/>
        </w:rPr>
        <w:t>)</w:t>
      </w:r>
    </w:p>
    <w:p w14:paraId="345E276D" w14:textId="77777777" w:rsidR="00640C7B" w:rsidRDefault="00640C7B" w:rsidP="00640C7B">
      <w:pPr>
        <w:jc w:val="both"/>
        <w:rPr>
          <w:rFonts w:ascii="Century Gothic" w:hAnsi="Century Gothic"/>
          <w:sz w:val="22"/>
        </w:rPr>
      </w:pPr>
      <w:r>
        <w:rPr>
          <w:rFonts w:ascii="Century Gothic" w:hAnsi="Century Gothic"/>
          <w:sz w:val="22"/>
        </w:rPr>
        <w:t>Mr Carmichael and India (</w:t>
      </w:r>
      <w:r w:rsidRPr="00640C7B">
        <w:rPr>
          <w:rFonts w:ascii="Century Gothic" w:hAnsi="Century Gothic"/>
          <w:i/>
          <w:sz w:val="22"/>
        </w:rPr>
        <w:t>Wasteland</w:t>
      </w:r>
      <w:r>
        <w:rPr>
          <w:rFonts w:ascii="Century Gothic" w:hAnsi="Century Gothic"/>
          <w:sz w:val="22"/>
        </w:rPr>
        <w:t>)</w:t>
      </w:r>
    </w:p>
    <w:p w14:paraId="1B1B58B7" w14:textId="77777777" w:rsidR="00640C7B" w:rsidRDefault="00640C7B" w:rsidP="00640C7B">
      <w:pPr>
        <w:jc w:val="both"/>
        <w:rPr>
          <w:rFonts w:ascii="Century Gothic" w:hAnsi="Century Gothic"/>
          <w:sz w:val="22"/>
        </w:rPr>
      </w:pPr>
    </w:p>
    <w:p w14:paraId="03272F56" w14:textId="77777777" w:rsidR="00640C7B" w:rsidRPr="00640C7B" w:rsidRDefault="00640C7B" w:rsidP="00640C7B">
      <w:pPr>
        <w:jc w:val="both"/>
        <w:rPr>
          <w:rFonts w:ascii="Century Gothic" w:hAnsi="Century Gothic"/>
          <w:sz w:val="22"/>
          <w:u w:val="single"/>
        </w:rPr>
      </w:pPr>
      <w:r w:rsidRPr="00640C7B">
        <w:rPr>
          <w:rFonts w:ascii="Century Gothic" w:hAnsi="Century Gothic"/>
          <w:sz w:val="22"/>
        </w:rPr>
        <w:t xml:space="preserve">Mrs Ramsay in part 3: </w:t>
      </w:r>
      <w:r w:rsidRPr="00640C7B">
        <w:rPr>
          <w:rFonts w:ascii="Century Gothic" w:hAnsi="Century Gothic"/>
          <w:sz w:val="22"/>
          <w:u w:val="single"/>
        </w:rPr>
        <w:t xml:space="preserve">an uncanny return of the dead to haunt the living. (Consider Eliot’s </w:t>
      </w:r>
      <w:r w:rsidRPr="00640C7B">
        <w:rPr>
          <w:rFonts w:ascii="Century Gothic" w:hAnsi="Century Gothic"/>
          <w:i/>
          <w:sz w:val="22"/>
          <w:u w:val="single"/>
        </w:rPr>
        <w:t>Wasteland</w:t>
      </w:r>
      <w:r w:rsidRPr="00640C7B">
        <w:rPr>
          <w:rFonts w:ascii="Century Gothic" w:hAnsi="Century Gothic"/>
          <w:sz w:val="22"/>
          <w:u w:val="single"/>
        </w:rPr>
        <w:t xml:space="preserve"> and ‘Tradition and the Individual Talent’; links to </w:t>
      </w:r>
      <w:r w:rsidRPr="00640C7B">
        <w:rPr>
          <w:rFonts w:ascii="Century Gothic" w:hAnsi="Century Gothic"/>
          <w:i/>
          <w:sz w:val="22"/>
          <w:u w:val="single"/>
        </w:rPr>
        <w:t xml:space="preserve">Heart of </w:t>
      </w:r>
      <w:proofErr w:type="gramStart"/>
      <w:r w:rsidRPr="00640C7B">
        <w:rPr>
          <w:rFonts w:ascii="Century Gothic" w:hAnsi="Century Gothic"/>
          <w:i/>
          <w:sz w:val="22"/>
          <w:u w:val="single"/>
        </w:rPr>
        <w:t>Darkness</w:t>
      </w:r>
      <w:r w:rsidRPr="00640C7B">
        <w:rPr>
          <w:rFonts w:ascii="Century Gothic" w:hAnsi="Century Gothic"/>
          <w:sz w:val="22"/>
          <w:u w:val="single"/>
        </w:rPr>
        <w:t xml:space="preserve"> )</w:t>
      </w:r>
      <w:proofErr w:type="gramEnd"/>
    </w:p>
    <w:p w14:paraId="114FBB54" w14:textId="77777777" w:rsidR="00640C7B" w:rsidRPr="00640C7B" w:rsidRDefault="00640C7B" w:rsidP="00640C7B">
      <w:pPr>
        <w:jc w:val="both"/>
        <w:rPr>
          <w:rFonts w:ascii="Century Gothic" w:hAnsi="Century Gothic"/>
          <w:sz w:val="22"/>
          <w:u w:val="single"/>
        </w:rPr>
      </w:pPr>
    </w:p>
    <w:p w14:paraId="3AD24B21" w14:textId="77777777" w:rsidR="00640C7B" w:rsidRPr="00640C7B" w:rsidRDefault="00640C7B" w:rsidP="00640C7B">
      <w:pPr>
        <w:jc w:val="both"/>
        <w:rPr>
          <w:rFonts w:ascii="Century Gothic" w:hAnsi="Century Gothic"/>
          <w:sz w:val="22"/>
        </w:rPr>
      </w:pPr>
      <w:r w:rsidRPr="00640C7B">
        <w:rPr>
          <w:rFonts w:ascii="Century Gothic" w:hAnsi="Century Gothic"/>
          <w:sz w:val="22"/>
          <w:u w:val="single"/>
        </w:rPr>
        <w:t xml:space="preserve">Light and dark: </w:t>
      </w:r>
      <w:r w:rsidRPr="00640C7B">
        <w:rPr>
          <w:rFonts w:ascii="Century Gothic" w:hAnsi="Century Gothic"/>
          <w:sz w:val="22"/>
        </w:rPr>
        <w:t>night and day, lighthouse, candles, art, water as destruction and drowning and as fertility</w:t>
      </w:r>
    </w:p>
    <w:p w14:paraId="3098F1A7" w14:textId="77777777" w:rsidR="00640C7B" w:rsidRPr="00640C7B" w:rsidRDefault="00640C7B" w:rsidP="00640C7B">
      <w:pPr>
        <w:ind w:left="426"/>
        <w:jc w:val="both"/>
        <w:rPr>
          <w:rFonts w:ascii="Century Gothic" w:hAnsi="Century Gothic"/>
          <w:sz w:val="22"/>
        </w:rPr>
      </w:pPr>
    </w:p>
    <w:sectPr w:rsidR="00640C7B" w:rsidRPr="00640C7B" w:rsidSect="007A27F0">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Felix Titling">
    <w:panose1 w:val="04060505060202020A04"/>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64A13"/>
    <w:multiLevelType w:val="hybridMultilevel"/>
    <w:tmpl w:val="D00AA65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7A08B6"/>
    <w:multiLevelType w:val="hybridMultilevel"/>
    <w:tmpl w:val="C7F8EB22"/>
    <w:lvl w:ilvl="0" w:tplc="59F6AC76">
      <w:start w:val="1"/>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C85EFE"/>
    <w:rsid w:val="00007617"/>
    <w:rsid w:val="00013008"/>
    <w:rsid w:val="000249A2"/>
    <w:rsid w:val="00052419"/>
    <w:rsid w:val="0007410A"/>
    <w:rsid w:val="00076ED8"/>
    <w:rsid w:val="000A2301"/>
    <w:rsid w:val="000B30AD"/>
    <w:rsid w:val="00105995"/>
    <w:rsid w:val="001238C6"/>
    <w:rsid w:val="00131BE0"/>
    <w:rsid w:val="00142014"/>
    <w:rsid w:val="00142BAE"/>
    <w:rsid w:val="00146815"/>
    <w:rsid w:val="00166381"/>
    <w:rsid w:val="00167B05"/>
    <w:rsid w:val="001909BA"/>
    <w:rsid w:val="001C04C1"/>
    <w:rsid w:val="001C434B"/>
    <w:rsid w:val="001D7200"/>
    <w:rsid w:val="001E36D0"/>
    <w:rsid w:val="001E571C"/>
    <w:rsid w:val="001F2D3C"/>
    <w:rsid w:val="001F72F9"/>
    <w:rsid w:val="00203732"/>
    <w:rsid w:val="002078C6"/>
    <w:rsid w:val="002130D9"/>
    <w:rsid w:val="002168FF"/>
    <w:rsid w:val="0023238F"/>
    <w:rsid w:val="00245037"/>
    <w:rsid w:val="00247E6F"/>
    <w:rsid w:val="002577EE"/>
    <w:rsid w:val="00262903"/>
    <w:rsid w:val="002728DD"/>
    <w:rsid w:val="00276FF0"/>
    <w:rsid w:val="002905AE"/>
    <w:rsid w:val="002913E6"/>
    <w:rsid w:val="00296207"/>
    <w:rsid w:val="002A52C7"/>
    <w:rsid w:val="002B68B5"/>
    <w:rsid w:val="002F2EA4"/>
    <w:rsid w:val="002F478D"/>
    <w:rsid w:val="00316822"/>
    <w:rsid w:val="00323C2E"/>
    <w:rsid w:val="003245A3"/>
    <w:rsid w:val="00337E23"/>
    <w:rsid w:val="00341473"/>
    <w:rsid w:val="0034617B"/>
    <w:rsid w:val="003519FD"/>
    <w:rsid w:val="00364BA5"/>
    <w:rsid w:val="003745BE"/>
    <w:rsid w:val="00393972"/>
    <w:rsid w:val="003A49BD"/>
    <w:rsid w:val="003C3392"/>
    <w:rsid w:val="004011EB"/>
    <w:rsid w:val="00402A60"/>
    <w:rsid w:val="00414CD5"/>
    <w:rsid w:val="00436B2C"/>
    <w:rsid w:val="00444F69"/>
    <w:rsid w:val="00471A58"/>
    <w:rsid w:val="004936BB"/>
    <w:rsid w:val="004961E7"/>
    <w:rsid w:val="00496482"/>
    <w:rsid w:val="004A350E"/>
    <w:rsid w:val="004C6C37"/>
    <w:rsid w:val="004D0D3A"/>
    <w:rsid w:val="004D7E71"/>
    <w:rsid w:val="004E013B"/>
    <w:rsid w:val="004E48A3"/>
    <w:rsid w:val="004E73FA"/>
    <w:rsid w:val="004F7E67"/>
    <w:rsid w:val="00534A6D"/>
    <w:rsid w:val="00536710"/>
    <w:rsid w:val="00550FC5"/>
    <w:rsid w:val="005522A9"/>
    <w:rsid w:val="0056297F"/>
    <w:rsid w:val="005743C8"/>
    <w:rsid w:val="00581FBC"/>
    <w:rsid w:val="0059197C"/>
    <w:rsid w:val="005B7934"/>
    <w:rsid w:val="005D03D6"/>
    <w:rsid w:val="005E42D2"/>
    <w:rsid w:val="005F15DA"/>
    <w:rsid w:val="005F218C"/>
    <w:rsid w:val="00603759"/>
    <w:rsid w:val="006042A3"/>
    <w:rsid w:val="00605E85"/>
    <w:rsid w:val="00614C92"/>
    <w:rsid w:val="006240F1"/>
    <w:rsid w:val="00627BA9"/>
    <w:rsid w:val="00631C7A"/>
    <w:rsid w:val="006322B9"/>
    <w:rsid w:val="00634584"/>
    <w:rsid w:val="00640C7B"/>
    <w:rsid w:val="00646027"/>
    <w:rsid w:val="006535B3"/>
    <w:rsid w:val="00670011"/>
    <w:rsid w:val="006745B7"/>
    <w:rsid w:val="0068300E"/>
    <w:rsid w:val="006855D0"/>
    <w:rsid w:val="006B318C"/>
    <w:rsid w:val="006B588C"/>
    <w:rsid w:val="006C0FEE"/>
    <w:rsid w:val="006E4F3C"/>
    <w:rsid w:val="006E5479"/>
    <w:rsid w:val="006E683B"/>
    <w:rsid w:val="006F4CE6"/>
    <w:rsid w:val="00712A13"/>
    <w:rsid w:val="00714473"/>
    <w:rsid w:val="007242EA"/>
    <w:rsid w:val="0072681E"/>
    <w:rsid w:val="00747E94"/>
    <w:rsid w:val="00753D34"/>
    <w:rsid w:val="00753DE6"/>
    <w:rsid w:val="007558BD"/>
    <w:rsid w:val="00787380"/>
    <w:rsid w:val="00792BE5"/>
    <w:rsid w:val="0079454C"/>
    <w:rsid w:val="00797CDA"/>
    <w:rsid w:val="007A01D9"/>
    <w:rsid w:val="007A27F0"/>
    <w:rsid w:val="007A288E"/>
    <w:rsid w:val="007A49E3"/>
    <w:rsid w:val="007D77DA"/>
    <w:rsid w:val="007E64B2"/>
    <w:rsid w:val="00801D43"/>
    <w:rsid w:val="0080717C"/>
    <w:rsid w:val="00811B9F"/>
    <w:rsid w:val="0081785F"/>
    <w:rsid w:val="00851A84"/>
    <w:rsid w:val="008653EF"/>
    <w:rsid w:val="0086648F"/>
    <w:rsid w:val="008677B5"/>
    <w:rsid w:val="00876ED9"/>
    <w:rsid w:val="008860BF"/>
    <w:rsid w:val="008930A8"/>
    <w:rsid w:val="008A4047"/>
    <w:rsid w:val="008B7101"/>
    <w:rsid w:val="008B7F46"/>
    <w:rsid w:val="008E421D"/>
    <w:rsid w:val="008F35C9"/>
    <w:rsid w:val="008F421C"/>
    <w:rsid w:val="008F6D8E"/>
    <w:rsid w:val="009037EA"/>
    <w:rsid w:val="00960AC3"/>
    <w:rsid w:val="009733A1"/>
    <w:rsid w:val="009779F6"/>
    <w:rsid w:val="00984CF7"/>
    <w:rsid w:val="00986FC5"/>
    <w:rsid w:val="009912B2"/>
    <w:rsid w:val="00A0552E"/>
    <w:rsid w:val="00A1296E"/>
    <w:rsid w:val="00A2279E"/>
    <w:rsid w:val="00A276E6"/>
    <w:rsid w:val="00A46340"/>
    <w:rsid w:val="00A50180"/>
    <w:rsid w:val="00A717ED"/>
    <w:rsid w:val="00AA05D0"/>
    <w:rsid w:val="00AB60DC"/>
    <w:rsid w:val="00AD09D9"/>
    <w:rsid w:val="00AD1B9F"/>
    <w:rsid w:val="00AE383D"/>
    <w:rsid w:val="00AE653D"/>
    <w:rsid w:val="00B30E25"/>
    <w:rsid w:val="00B75B77"/>
    <w:rsid w:val="00B80155"/>
    <w:rsid w:val="00BA12FD"/>
    <w:rsid w:val="00BA4B89"/>
    <w:rsid w:val="00BB2E1D"/>
    <w:rsid w:val="00BB436B"/>
    <w:rsid w:val="00BC4E42"/>
    <w:rsid w:val="00BD5DA2"/>
    <w:rsid w:val="00C14F0E"/>
    <w:rsid w:val="00C23FDC"/>
    <w:rsid w:val="00C54B60"/>
    <w:rsid w:val="00C60123"/>
    <w:rsid w:val="00C607C8"/>
    <w:rsid w:val="00C651A8"/>
    <w:rsid w:val="00C85EFE"/>
    <w:rsid w:val="00C862EB"/>
    <w:rsid w:val="00C90ED8"/>
    <w:rsid w:val="00CA421D"/>
    <w:rsid w:val="00CD7A1C"/>
    <w:rsid w:val="00CE0F1C"/>
    <w:rsid w:val="00CE30CD"/>
    <w:rsid w:val="00D07423"/>
    <w:rsid w:val="00D32D5C"/>
    <w:rsid w:val="00D64B00"/>
    <w:rsid w:val="00D7043A"/>
    <w:rsid w:val="00D7165A"/>
    <w:rsid w:val="00DA7231"/>
    <w:rsid w:val="00DB5CFE"/>
    <w:rsid w:val="00DB6F59"/>
    <w:rsid w:val="00DC69F4"/>
    <w:rsid w:val="00DF45B4"/>
    <w:rsid w:val="00E1247E"/>
    <w:rsid w:val="00E13297"/>
    <w:rsid w:val="00E16D37"/>
    <w:rsid w:val="00E24D1E"/>
    <w:rsid w:val="00E62252"/>
    <w:rsid w:val="00E8647D"/>
    <w:rsid w:val="00E90186"/>
    <w:rsid w:val="00EC168B"/>
    <w:rsid w:val="00ED7587"/>
    <w:rsid w:val="00EE7A97"/>
    <w:rsid w:val="00F30A23"/>
    <w:rsid w:val="00F63882"/>
    <w:rsid w:val="00F74096"/>
    <w:rsid w:val="00F83D4F"/>
    <w:rsid w:val="00F946CF"/>
    <w:rsid w:val="00FC6959"/>
    <w:rsid w:val="00FE11A6"/>
    <w:rsid w:val="00FF1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D9610"/>
  <w15:docId w15:val="{FF14C1F9-4173-4CE2-9597-11A705B0E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rPr>
  </w:style>
  <w:style w:type="paragraph" w:styleId="Heading2">
    <w:name w:val="heading 2"/>
    <w:basedOn w:val="Normal"/>
    <w:link w:val="Heading2Char"/>
    <w:uiPriority w:val="9"/>
    <w:qFormat/>
    <w:rsid w:val="0078738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C4E42"/>
    <w:rPr>
      <w:rFonts w:ascii="Tahoma" w:hAnsi="Tahoma" w:cs="Tahoma"/>
      <w:sz w:val="16"/>
      <w:szCs w:val="16"/>
    </w:rPr>
  </w:style>
  <w:style w:type="paragraph" w:styleId="NormalWeb">
    <w:name w:val="Normal (Web)"/>
    <w:basedOn w:val="Normal"/>
    <w:uiPriority w:val="99"/>
    <w:semiHidden/>
    <w:rsid w:val="00787380"/>
    <w:pPr>
      <w:spacing w:before="100" w:beforeAutospacing="1" w:after="100" w:afterAutospacing="1"/>
    </w:pPr>
    <w:rPr>
      <w:lang w:eastAsia="en-US"/>
    </w:rPr>
  </w:style>
  <w:style w:type="character" w:styleId="Hyperlink">
    <w:name w:val="Hyperlink"/>
    <w:basedOn w:val="DefaultParagraphFont"/>
    <w:uiPriority w:val="99"/>
    <w:semiHidden/>
    <w:unhideWhenUsed/>
    <w:rsid w:val="00787380"/>
    <w:rPr>
      <w:color w:val="0000FF"/>
      <w:u w:val="single"/>
    </w:rPr>
  </w:style>
  <w:style w:type="character" w:customStyle="1" w:styleId="Heading2Char">
    <w:name w:val="Heading 2 Char"/>
    <w:basedOn w:val="DefaultParagraphFont"/>
    <w:link w:val="Heading2"/>
    <w:uiPriority w:val="9"/>
    <w:rsid w:val="00787380"/>
    <w:rPr>
      <w:b/>
      <w:bCs/>
      <w:sz w:val="36"/>
      <w:szCs w:val="36"/>
    </w:rPr>
  </w:style>
  <w:style w:type="paragraph" w:styleId="BodyText">
    <w:name w:val="Body Text"/>
    <w:basedOn w:val="Normal"/>
    <w:link w:val="BodyTextChar"/>
    <w:semiHidden/>
    <w:rsid w:val="00BB436B"/>
    <w:rPr>
      <w:rFonts w:ascii="Garamond" w:hAnsi="Garamond"/>
      <w:sz w:val="22"/>
      <w:lang w:eastAsia="en-US"/>
    </w:rPr>
  </w:style>
  <w:style w:type="character" w:customStyle="1" w:styleId="BodyTextChar">
    <w:name w:val="Body Text Char"/>
    <w:basedOn w:val="DefaultParagraphFont"/>
    <w:link w:val="BodyText"/>
    <w:semiHidden/>
    <w:rsid w:val="00BB436B"/>
    <w:rPr>
      <w:rFonts w:ascii="Garamond" w:hAnsi="Garamond"/>
      <w:sz w:val="22"/>
      <w:szCs w:val="24"/>
      <w:lang w:eastAsia="en-US"/>
    </w:rPr>
  </w:style>
  <w:style w:type="paragraph" w:styleId="NoSpacing">
    <w:name w:val="No Spacing"/>
    <w:uiPriority w:val="1"/>
    <w:qFormat/>
    <w:rsid w:val="00BB43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876701">
      <w:bodyDiv w:val="1"/>
      <w:marLeft w:val="0"/>
      <w:marRight w:val="0"/>
      <w:marTop w:val="0"/>
      <w:marBottom w:val="0"/>
      <w:divBdr>
        <w:top w:val="none" w:sz="0" w:space="0" w:color="auto"/>
        <w:left w:val="none" w:sz="0" w:space="0" w:color="auto"/>
        <w:bottom w:val="none" w:sz="0" w:space="0" w:color="auto"/>
        <w:right w:val="none" w:sz="0" w:space="0" w:color="auto"/>
      </w:divBdr>
      <w:divsChild>
        <w:div w:id="349377754">
          <w:marLeft w:val="0"/>
          <w:marRight w:val="0"/>
          <w:marTop w:val="0"/>
          <w:marBottom w:val="0"/>
          <w:divBdr>
            <w:top w:val="none" w:sz="0" w:space="0" w:color="auto"/>
            <w:left w:val="none" w:sz="0" w:space="0" w:color="auto"/>
            <w:bottom w:val="none" w:sz="0" w:space="0" w:color="auto"/>
            <w:right w:val="none" w:sz="0" w:space="0" w:color="auto"/>
          </w:divBdr>
        </w:div>
        <w:div w:id="2083286758">
          <w:marLeft w:val="0"/>
          <w:marRight w:val="0"/>
          <w:marTop w:val="0"/>
          <w:marBottom w:val="0"/>
          <w:divBdr>
            <w:top w:val="none" w:sz="0" w:space="0" w:color="auto"/>
            <w:left w:val="none" w:sz="0" w:space="0" w:color="auto"/>
            <w:bottom w:val="none" w:sz="0" w:space="0" w:color="auto"/>
            <w:right w:val="none" w:sz="0" w:space="0" w:color="auto"/>
          </w:divBdr>
        </w:div>
      </w:divsChild>
    </w:div>
    <w:div w:id="443578746">
      <w:bodyDiv w:val="1"/>
      <w:marLeft w:val="0"/>
      <w:marRight w:val="0"/>
      <w:marTop w:val="0"/>
      <w:marBottom w:val="0"/>
      <w:divBdr>
        <w:top w:val="none" w:sz="0" w:space="0" w:color="auto"/>
        <w:left w:val="none" w:sz="0" w:space="0" w:color="auto"/>
        <w:bottom w:val="none" w:sz="0" w:space="0" w:color="auto"/>
        <w:right w:val="none" w:sz="0" w:space="0" w:color="auto"/>
      </w:divBdr>
      <w:divsChild>
        <w:div w:id="259725181">
          <w:marLeft w:val="0"/>
          <w:marRight w:val="0"/>
          <w:marTop w:val="0"/>
          <w:marBottom w:val="0"/>
          <w:divBdr>
            <w:top w:val="none" w:sz="0" w:space="0" w:color="auto"/>
            <w:left w:val="none" w:sz="0" w:space="0" w:color="auto"/>
            <w:bottom w:val="none" w:sz="0" w:space="0" w:color="auto"/>
            <w:right w:val="none" w:sz="0" w:space="0" w:color="auto"/>
          </w:divBdr>
        </w:div>
        <w:div w:id="1001349684">
          <w:marLeft w:val="0"/>
          <w:marRight w:val="0"/>
          <w:marTop w:val="0"/>
          <w:marBottom w:val="0"/>
          <w:divBdr>
            <w:top w:val="none" w:sz="0" w:space="0" w:color="auto"/>
            <w:left w:val="none" w:sz="0" w:space="0" w:color="auto"/>
            <w:bottom w:val="none" w:sz="0" w:space="0" w:color="auto"/>
            <w:right w:val="none" w:sz="0" w:space="0" w:color="auto"/>
          </w:divBdr>
        </w:div>
      </w:divsChild>
    </w:div>
    <w:div w:id="556546947">
      <w:bodyDiv w:val="1"/>
      <w:marLeft w:val="0"/>
      <w:marRight w:val="0"/>
      <w:marTop w:val="0"/>
      <w:marBottom w:val="0"/>
      <w:divBdr>
        <w:top w:val="none" w:sz="0" w:space="0" w:color="auto"/>
        <w:left w:val="none" w:sz="0" w:space="0" w:color="auto"/>
        <w:bottom w:val="none" w:sz="0" w:space="0" w:color="auto"/>
        <w:right w:val="none" w:sz="0" w:space="0" w:color="auto"/>
      </w:divBdr>
    </w:div>
    <w:div w:id="818422880">
      <w:bodyDiv w:val="1"/>
      <w:marLeft w:val="0"/>
      <w:marRight w:val="0"/>
      <w:marTop w:val="0"/>
      <w:marBottom w:val="0"/>
      <w:divBdr>
        <w:top w:val="none" w:sz="0" w:space="0" w:color="auto"/>
        <w:left w:val="none" w:sz="0" w:space="0" w:color="auto"/>
        <w:bottom w:val="none" w:sz="0" w:space="0" w:color="auto"/>
        <w:right w:val="none" w:sz="0" w:space="0" w:color="auto"/>
      </w:divBdr>
    </w:div>
    <w:div w:id="1762683588">
      <w:bodyDiv w:val="1"/>
      <w:marLeft w:val="0"/>
      <w:marRight w:val="0"/>
      <w:marTop w:val="0"/>
      <w:marBottom w:val="0"/>
      <w:divBdr>
        <w:top w:val="none" w:sz="0" w:space="0" w:color="auto"/>
        <w:left w:val="none" w:sz="0" w:space="0" w:color="auto"/>
        <w:bottom w:val="none" w:sz="0" w:space="0" w:color="auto"/>
        <w:right w:val="none" w:sz="0" w:space="0" w:color="auto"/>
      </w:divBdr>
    </w:div>
    <w:div w:id="176699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books.adelaide.edu.au/w/woolf/virginia/w91c/chapter3.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CAH 666 Modernism</vt:lpstr>
    </vt:vector>
  </TitlesOfParts>
  <Company> </Company>
  <LinksUpToDate>false</LinksUpToDate>
  <CharactersWithSpaces>8889</CharactersWithSpaces>
  <SharedDoc>false</SharedDoc>
  <HLinks>
    <vt:vector size="6" baseType="variant">
      <vt:variant>
        <vt:i4>1966145</vt:i4>
      </vt:variant>
      <vt:variant>
        <vt:i4>0</vt:i4>
      </vt:variant>
      <vt:variant>
        <vt:i4>0</vt:i4>
      </vt:variant>
      <vt:variant>
        <vt:i4>5</vt:i4>
      </vt:variant>
      <vt:variant>
        <vt:lpwstr>http://ebooks.adelaide.edu.au/w/woolf/virginia/w91c/chapter3.html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666 Modernism</dc:title>
  <dc:subject/>
  <dc:creator> </dc:creator>
  <cp:keywords/>
  <cp:lastModifiedBy>Admin</cp:lastModifiedBy>
  <cp:revision>2</cp:revision>
  <cp:lastPrinted>2014-11-27T13:58:00Z</cp:lastPrinted>
  <dcterms:created xsi:type="dcterms:W3CDTF">2020-03-08T18:33:00Z</dcterms:created>
  <dcterms:modified xsi:type="dcterms:W3CDTF">2020-03-08T18:33:00Z</dcterms:modified>
</cp:coreProperties>
</file>