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C9AC1" w14:textId="77777777" w:rsidR="003E4E01" w:rsidRDefault="003E4E01">
      <w:pPr>
        <w:jc w:val="left"/>
        <w:rPr>
          <w:b/>
          <w:bCs/>
          <w:sz w:val="36"/>
          <w:szCs w:val="36"/>
        </w:rPr>
      </w:pPr>
    </w:p>
    <w:p w14:paraId="0979AF30" w14:textId="77777777" w:rsidR="003E4E01" w:rsidRDefault="00000000">
      <w:pPr>
        <w:jc w:val="right"/>
        <w:rPr>
          <w:b/>
          <w:bCs/>
          <w:sz w:val="36"/>
          <w:szCs w:val="36"/>
        </w:rPr>
      </w:pPr>
      <w:r>
        <w:rPr>
          <w:b/>
          <w:bCs/>
          <w:noProof/>
          <w:sz w:val="36"/>
          <w:szCs w:val="36"/>
        </w:rPr>
        <mc:AlternateContent>
          <mc:Choice Requires="wpg">
            <w:drawing>
              <wp:inline distT="0" distB="0" distL="0" distR="0" wp14:anchorId="1FC7B973" wp14:editId="4C22388F">
                <wp:extent cx="2152650" cy="828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7"/>
                        <a:srcRect/>
                        <a:stretch/>
                      </pic:blipFill>
                      <pic:spPr bwMode="auto">
                        <a:xfrm>
                          <a:off x="0" y="0"/>
                          <a:ext cx="2152650" cy="828675"/>
                        </a:xfrm>
                        <a:prstGeom prst="rect">
                          <a:avLst/>
                        </a:prstGeom>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9.50pt;height:65.25pt;mso-wrap-distance-left:0.00pt;mso-wrap-distance-top:0.00pt;mso-wrap-distance-right:0.00pt;mso-wrap-distance-bottom:0.00pt;z-index:1;">
                <v:imagedata r:id="rId12" o:title="" croptop="0f" cropleft="0f" cropbottom="0f" cropright="0f"/>
                <o:lock v:ext="edit" rotation="t"/>
              </v:shape>
            </w:pict>
          </mc:Fallback>
        </mc:AlternateContent>
      </w:r>
    </w:p>
    <w:p w14:paraId="1C428C72" w14:textId="77777777" w:rsidR="003E4E01" w:rsidRDefault="003E4E01">
      <w:pPr>
        <w:jc w:val="center"/>
        <w:rPr>
          <w:b/>
          <w:bCs/>
          <w:sz w:val="36"/>
          <w:szCs w:val="36"/>
        </w:rPr>
      </w:pPr>
    </w:p>
    <w:p w14:paraId="4012BA3F" w14:textId="77777777" w:rsidR="003E4E01" w:rsidRDefault="00000000">
      <w:pPr>
        <w:jc w:val="center"/>
        <w:rPr>
          <w:b/>
          <w:bCs/>
          <w:sz w:val="36"/>
          <w:szCs w:val="36"/>
        </w:rPr>
      </w:pPr>
      <w:r>
        <w:rPr>
          <w:b/>
          <w:bCs/>
          <w:sz w:val="36"/>
          <w:szCs w:val="36"/>
        </w:rPr>
        <w:t xml:space="preserve">Programme: BA (Hons) Business Management </w:t>
      </w:r>
    </w:p>
    <w:p w14:paraId="297FCBA5" w14:textId="77777777" w:rsidR="003E4E01" w:rsidRDefault="003E4E01">
      <w:pPr>
        <w:jc w:val="center"/>
        <w:rPr>
          <w:b/>
          <w:bCs/>
          <w:sz w:val="36"/>
          <w:szCs w:val="36"/>
        </w:rPr>
      </w:pPr>
    </w:p>
    <w:p w14:paraId="26B43ABB" w14:textId="77777777" w:rsidR="003E4E01" w:rsidRDefault="00000000">
      <w:pPr>
        <w:jc w:val="center"/>
        <w:rPr>
          <w:b/>
          <w:bCs/>
          <w:sz w:val="36"/>
          <w:szCs w:val="36"/>
        </w:rPr>
      </w:pPr>
      <w:r>
        <w:rPr>
          <w:b/>
          <w:bCs/>
          <w:sz w:val="36"/>
          <w:szCs w:val="36"/>
        </w:rPr>
        <w:t xml:space="preserve">Module: Stakeholder Engagement </w:t>
      </w:r>
    </w:p>
    <w:p w14:paraId="6B3DDDD7" w14:textId="77777777" w:rsidR="003E4E01" w:rsidRDefault="003E4E01">
      <w:pPr>
        <w:jc w:val="center"/>
        <w:rPr>
          <w:b/>
          <w:bCs/>
          <w:sz w:val="36"/>
          <w:szCs w:val="36"/>
        </w:rPr>
      </w:pPr>
    </w:p>
    <w:p w14:paraId="4DD03F02" w14:textId="77777777" w:rsidR="000B58DE" w:rsidRDefault="00000000">
      <w:pPr>
        <w:jc w:val="center"/>
        <w:rPr>
          <w:b/>
          <w:bCs/>
          <w:sz w:val="36"/>
          <w:szCs w:val="36"/>
        </w:rPr>
      </w:pPr>
      <w:r>
        <w:rPr>
          <w:b/>
          <w:bCs/>
          <w:sz w:val="36"/>
          <w:szCs w:val="36"/>
        </w:rPr>
        <w:t>Module code: LCBB4013</w:t>
      </w:r>
    </w:p>
    <w:p w14:paraId="1053CCB8" w14:textId="77777777" w:rsidR="000B58DE" w:rsidRDefault="000B58DE" w:rsidP="000B58DE">
      <w:pPr>
        <w:spacing w:before="240" w:after="240"/>
        <w:jc w:val="center"/>
        <w:rPr>
          <w:b/>
          <w:bCs/>
        </w:rPr>
      </w:pPr>
      <w:r>
        <w:rPr>
          <w:b/>
          <w:bCs/>
        </w:rPr>
        <w:t xml:space="preserve">Student Name: </w:t>
      </w:r>
      <w:r w:rsidRPr="00560709">
        <w:rPr>
          <w:b/>
          <w:bCs/>
        </w:rPr>
        <w:t xml:space="preserve">Xenia Costea </w:t>
      </w:r>
    </w:p>
    <w:p w14:paraId="3F746D01" w14:textId="79E16B62" w:rsidR="003E4E01" w:rsidRDefault="000B58DE" w:rsidP="000B58DE">
      <w:pPr>
        <w:jc w:val="center"/>
      </w:pPr>
      <w:r>
        <w:rPr>
          <w:b/>
          <w:bCs/>
        </w:rPr>
        <w:t xml:space="preserve">ID: </w:t>
      </w:r>
      <w:r w:rsidRPr="00560709">
        <w:rPr>
          <w:b/>
          <w:bCs/>
        </w:rPr>
        <w:t>2422705</w:t>
      </w:r>
      <w:r w:rsidR="00000000">
        <w:br w:type="page" w:clear="all"/>
      </w:r>
    </w:p>
    <w:sdt>
      <w:sdtPr>
        <w:id w:val="-888496441"/>
        <w:placeholder>
          <w:docPart w:val="DefaultPlaceholder_TEXT"/>
        </w:placeholder>
        <w:docPartObj>
          <w:docPartGallery w:val="Table of Contents"/>
          <w:docPartUnique/>
        </w:docPartObj>
      </w:sdtPr>
      <w:sdtContent>
        <w:p w14:paraId="7086886A" w14:textId="77777777" w:rsidR="003E4E01" w:rsidRDefault="00000000">
          <w:pPr>
            <w:pStyle w:val="TOC1"/>
            <w:tabs>
              <w:tab w:val="right" w:leader="dot" w:pos="9360"/>
            </w:tabs>
            <w:jc w:val="center"/>
          </w:pPr>
          <w:r>
            <w:rPr>
              <w:b/>
              <w:bCs/>
              <w:sz w:val="28"/>
              <w:szCs w:val="28"/>
            </w:rPr>
            <w:fldChar w:fldCharType="begin"/>
          </w:r>
          <w:r>
            <w:rPr>
              <w:b/>
              <w:bCs/>
              <w:sz w:val="28"/>
              <w:szCs w:val="28"/>
            </w:rPr>
            <w:instrText xml:space="preserve">TOC \o "1-9" \h </w:instrText>
          </w:r>
          <w:r>
            <w:rPr>
              <w:b/>
              <w:bCs/>
              <w:sz w:val="28"/>
              <w:szCs w:val="28"/>
            </w:rPr>
            <w:fldChar w:fldCharType="separate"/>
          </w:r>
          <w:hyperlink w:anchor="_Toc1" w:tooltip="#_Toc1" w:history="1">
            <w:r>
              <w:rPr>
                <w:rStyle w:val="Hyperlink"/>
                <w:b/>
                <w:bCs/>
                <w:sz w:val="28"/>
                <w:szCs w:val="28"/>
              </w:rPr>
              <w:t xml:space="preserve">Table Of Contents </w:t>
            </w:r>
            <w:r>
              <w:rPr>
                <w:rStyle w:val="Hyperlink"/>
              </w:rPr>
              <w:t xml:space="preserve">                                                                                                                                        Stakeholder Management Plan: Docklands Light Railway (DLR) Thamesmead Extension</w:t>
            </w:r>
            <w:r>
              <w:tab/>
            </w:r>
            <w:r>
              <w:fldChar w:fldCharType="begin"/>
            </w:r>
            <w:r>
              <w:instrText>PAGEREF _Toc1 \h</w:instrText>
            </w:r>
            <w:r>
              <w:fldChar w:fldCharType="separate"/>
            </w:r>
            <w:r>
              <w:t>2</w:t>
            </w:r>
            <w:r>
              <w:fldChar w:fldCharType="end"/>
            </w:r>
          </w:hyperlink>
        </w:p>
        <w:p w14:paraId="742C4E87" w14:textId="77777777" w:rsidR="003E4E01" w:rsidRDefault="00000000">
          <w:pPr>
            <w:pStyle w:val="TOC1"/>
            <w:tabs>
              <w:tab w:val="right" w:leader="dot" w:pos="9360"/>
            </w:tabs>
          </w:pPr>
          <w:hyperlink w:anchor="_Toc2" w:tooltip="#_Toc2" w:history="1">
            <w:r>
              <w:rPr>
                <w:rStyle w:val="Hyperlink"/>
              </w:rPr>
              <w:t>1.0 Element 1: Introduction</w:t>
            </w:r>
            <w:r>
              <w:tab/>
            </w:r>
            <w:r>
              <w:fldChar w:fldCharType="begin"/>
            </w:r>
            <w:r>
              <w:instrText>PAGEREF _Toc2 \h</w:instrText>
            </w:r>
            <w:r>
              <w:fldChar w:fldCharType="separate"/>
            </w:r>
            <w:r>
              <w:t>2</w:t>
            </w:r>
            <w:r>
              <w:fldChar w:fldCharType="end"/>
            </w:r>
          </w:hyperlink>
        </w:p>
        <w:p w14:paraId="62CD9357" w14:textId="77777777" w:rsidR="003E4E01" w:rsidRDefault="00000000">
          <w:pPr>
            <w:pStyle w:val="TOC1"/>
            <w:tabs>
              <w:tab w:val="right" w:leader="dot" w:pos="9360"/>
            </w:tabs>
          </w:pPr>
          <w:hyperlink w:anchor="_Toc3" w:tooltip="#_Toc3" w:history="1">
            <w:r>
              <w:rPr>
                <w:rStyle w:val="Hyperlink"/>
              </w:rPr>
              <w:t>2.0 Element 2: Stakeholder Engagement and Communication Strategies</w:t>
            </w:r>
            <w:r>
              <w:tab/>
            </w:r>
            <w:r>
              <w:fldChar w:fldCharType="begin"/>
            </w:r>
            <w:r>
              <w:instrText>PAGEREF _Toc3 \h</w:instrText>
            </w:r>
            <w:r>
              <w:fldChar w:fldCharType="separate"/>
            </w:r>
            <w:r>
              <w:t>3</w:t>
            </w:r>
            <w:r>
              <w:fldChar w:fldCharType="end"/>
            </w:r>
          </w:hyperlink>
        </w:p>
        <w:p w14:paraId="039A6C04" w14:textId="77777777" w:rsidR="003E4E01" w:rsidRDefault="00000000">
          <w:pPr>
            <w:pStyle w:val="TOC2"/>
            <w:tabs>
              <w:tab w:val="right" w:leader="dot" w:pos="9360"/>
            </w:tabs>
          </w:pPr>
          <w:hyperlink w:anchor="_Toc4" w:tooltip="#_Toc4" w:history="1">
            <w:r>
              <w:rPr>
                <w:rStyle w:val="Hyperlink"/>
              </w:rPr>
              <w:t>2.1 Power, Influence, and Interest Analysis</w:t>
            </w:r>
            <w:r>
              <w:tab/>
            </w:r>
            <w:r>
              <w:fldChar w:fldCharType="begin"/>
            </w:r>
            <w:r>
              <w:instrText>PAGEREF _Toc4 \h</w:instrText>
            </w:r>
            <w:r>
              <w:fldChar w:fldCharType="separate"/>
            </w:r>
            <w:r>
              <w:t>4</w:t>
            </w:r>
            <w:r>
              <w:fldChar w:fldCharType="end"/>
            </w:r>
          </w:hyperlink>
        </w:p>
        <w:p w14:paraId="562E8F26" w14:textId="77777777" w:rsidR="003E4E01" w:rsidRDefault="00000000">
          <w:pPr>
            <w:pStyle w:val="TOC2"/>
            <w:tabs>
              <w:tab w:val="right" w:leader="dot" w:pos="9360"/>
            </w:tabs>
          </w:pPr>
          <w:hyperlink w:anchor="_Toc5" w:tooltip="#_Toc5" w:history="1">
            <w:r>
              <w:rPr>
                <w:rStyle w:val="Hyperlink"/>
              </w:rPr>
              <w:t>2.2 Stakeholder Map and Strategic Positioning</w:t>
            </w:r>
            <w:r>
              <w:tab/>
            </w:r>
            <w:r>
              <w:fldChar w:fldCharType="begin"/>
            </w:r>
            <w:r>
              <w:instrText>PAGEREF _Toc5 \h</w:instrText>
            </w:r>
            <w:r>
              <w:fldChar w:fldCharType="separate"/>
            </w:r>
            <w:r>
              <w:t>6</w:t>
            </w:r>
            <w:r>
              <w:fldChar w:fldCharType="end"/>
            </w:r>
          </w:hyperlink>
        </w:p>
        <w:p w14:paraId="53367966" w14:textId="77777777" w:rsidR="003E4E01" w:rsidRDefault="00000000">
          <w:pPr>
            <w:pStyle w:val="TOC2"/>
            <w:tabs>
              <w:tab w:val="right" w:leader="dot" w:pos="9360"/>
            </w:tabs>
          </w:pPr>
          <w:hyperlink w:anchor="_Toc6" w:tooltip="#_Toc6" w:history="1">
            <w:r>
              <w:rPr>
                <w:rStyle w:val="Hyperlink"/>
              </w:rPr>
              <w:t>2.3 Communication and Consultation Plan</w:t>
            </w:r>
            <w:r>
              <w:tab/>
            </w:r>
            <w:r>
              <w:fldChar w:fldCharType="begin"/>
            </w:r>
            <w:r>
              <w:instrText>PAGEREF _Toc6 \h</w:instrText>
            </w:r>
            <w:r>
              <w:fldChar w:fldCharType="separate"/>
            </w:r>
            <w:r>
              <w:t>8</w:t>
            </w:r>
            <w:r>
              <w:fldChar w:fldCharType="end"/>
            </w:r>
          </w:hyperlink>
        </w:p>
        <w:p w14:paraId="6BDC1AAA" w14:textId="77777777" w:rsidR="003E4E01" w:rsidRDefault="00000000">
          <w:pPr>
            <w:pStyle w:val="TOC1"/>
            <w:tabs>
              <w:tab w:val="right" w:leader="dot" w:pos="9360"/>
            </w:tabs>
          </w:pPr>
          <w:hyperlink w:anchor="_Toc7" w:tooltip="#_Toc7" w:history="1">
            <w:r>
              <w:rPr>
                <w:rStyle w:val="Hyperlink"/>
              </w:rPr>
              <w:t>3.0 Element 3: Ethical Considerations in Stakeholder Consultation</w:t>
            </w:r>
            <w:r>
              <w:tab/>
            </w:r>
            <w:r>
              <w:fldChar w:fldCharType="begin"/>
            </w:r>
            <w:r>
              <w:instrText>PAGEREF _Toc7 \h</w:instrText>
            </w:r>
            <w:r>
              <w:fldChar w:fldCharType="separate"/>
            </w:r>
            <w:r>
              <w:t>10</w:t>
            </w:r>
            <w:r>
              <w:fldChar w:fldCharType="end"/>
            </w:r>
          </w:hyperlink>
        </w:p>
        <w:p w14:paraId="75F7D913" w14:textId="77777777" w:rsidR="003E4E01" w:rsidRDefault="00000000">
          <w:pPr>
            <w:pStyle w:val="TOC1"/>
            <w:tabs>
              <w:tab w:val="right" w:leader="dot" w:pos="9360"/>
            </w:tabs>
          </w:pPr>
          <w:hyperlink w:anchor="_Toc8" w:tooltip="#_Toc8" w:history="1">
            <w:r>
              <w:rPr>
                <w:rStyle w:val="Hyperlink"/>
              </w:rPr>
              <w:t>4.0 Element 4: Conclusion and Reflection</w:t>
            </w:r>
            <w:r>
              <w:tab/>
            </w:r>
            <w:r>
              <w:fldChar w:fldCharType="begin"/>
            </w:r>
            <w:r>
              <w:instrText>PAGEREF _Toc8 \h</w:instrText>
            </w:r>
            <w:r>
              <w:fldChar w:fldCharType="separate"/>
            </w:r>
            <w:r>
              <w:t>11</w:t>
            </w:r>
            <w:r>
              <w:fldChar w:fldCharType="end"/>
            </w:r>
          </w:hyperlink>
        </w:p>
        <w:p w14:paraId="404FAEB4" w14:textId="77777777" w:rsidR="003E4E01" w:rsidRDefault="00000000">
          <w:pPr>
            <w:pStyle w:val="TOC1"/>
            <w:tabs>
              <w:tab w:val="right" w:leader="dot" w:pos="9360"/>
            </w:tabs>
          </w:pPr>
          <w:hyperlink w:anchor="_Toc9" w:tooltip="#_Toc9" w:history="1">
            <w:r>
              <w:rPr>
                <w:rStyle w:val="Hyperlink"/>
              </w:rPr>
              <w:t>Reference</w:t>
            </w:r>
            <w:r>
              <w:tab/>
            </w:r>
            <w:r>
              <w:fldChar w:fldCharType="begin"/>
            </w:r>
            <w:r>
              <w:instrText>PAGEREF _Toc9 \h</w:instrText>
            </w:r>
            <w:r>
              <w:fldChar w:fldCharType="separate"/>
            </w:r>
            <w:r>
              <w:t>14</w:t>
            </w:r>
            <w:r>
              <w:fldChar w:fldCharType="end"/>
            </w:r>
          </w:hyperlink>
        </w:p>
        <w:p w14:paraId="4BEE1285" w14:textId="77777777" w:rsidR="003E4E01" w:rsidRDefault="00000000">
          <w:r>
            <w:fldChar w:fldCharType="end"/>
          </w:r>
        </w:p>
      </w:sdtContent>
    </w:sdt>
    <w:p w14:paraId="07495E13" w14:textId="77777777" w:rsidR="003E4E01" w:rsidRDefault="00000000">
      <w:r>
        <w:br w:type="page" w:clear="all"/>
      </w:r>
    </w:p>
    <w:p w14:paraId="24AAA5A4" w14:textId="77777777" w:rsidR="003E4E01" w:rsidRDefault="00000000">
      <w:pPr>
        <w:pStyle w:val="Heading1"/>
        <w:spacing w:before="480"/>
      </w:pPr>
      <w:bookmarkStart w:id="0" w:name="_orfhxb1phm41"/>
      <w:bookmarkStart w:id="1" w:name="_Toc1"/>
      <w:bookmarkEnd w:id="0"/>
      <w:r>
        <w:lastRenderedPageBreak/>
        <w:t>Stakeholder Management Plan: Docklands Light Railway (DLR) Thamesmead Extension</w:t>
      </w:r>
      <w:bookmarkEnd w:id="1"/>
    </w:p>
    <w:p w14:paraId="41A15AE5" w14:textId="77777777" w:rsidR="003E4E01" w:rsidRDefault="00000000">
      <w:pPr>
        <w:pStyle w:val="Heading1"/>
      </w:pPr>
      <w:bookmarkStart w:id="2" w:name="_p88pwo99wyld"/>
      <w:bookmarkStart w:id="3" w:name="_Toc2"/>
      <w:bookmarkEnd w:id="2"/>
      <w:r>
        <w:t>1.0 Element 1: Introduction</w:t>
      </w:r>
      <w:bookmarkEnd w:id="3"/>
    </w:p>
    <w:p w14:paraId="6628E69F" w14:textId="77777777" w:rsidR="003E4E01" w:rsidRDefault="00000000">
      <w:r>
        <w:t xml:space="preserve">The Stakeholder Management Plan is one of the cornerstone documents of every mega infrastructure project, and it offers a strategic framework that ensures alignment, risk mitigation, and success in the long run (Rabechini Jr </w:t>
      </w:r>
      <w:r>
        <w:rPr>
          <w:i/>
          <w:iCs/>
        </w:rPr>
        <w:t xml:space="preserve">et al., </w:t>
      </w:r>
      <w:r>
        <w:t>2021). In any complicated project like the Docklands Light Railway (DLR) Thamesmead Extension, where a host of both public and corporate interests are involved, a systematic way of engaging is not just a procedural matter but a decisive factor of project sustainability (</w:t>
      </w:r>
      <w:hyperlink r:id="rId13" w:tooltip="http://lonodon.gov.uk" w:history="1">
        <w:r>
          <w:t>Lonodon.gov.uk</w:t>
        </w:r>
      </w:hyperlink>
      <w:r>
        <w:t>, 2024). The plan entails a stepwise procedure of identifying, analysing as well and communicating with important parties to ensure project momentum, retaining community trust, and producing results that fulfil both strategic and community demands.</w:t>
      </w:r>
    </w:p>
    <w:p w14:paraId="4A243D06" w14:textId="77777777" w:rsidR="003E4E01" w:rsidRDefault="00000000">
      <w:pPr>
        <w:jc w:val="center"/>
      </w:pPr>
      <w:r>
        <w:rPr>
          <w:noProof/>
        </w:rPr>
        <mc:AlternateContent>
          <mc:Choice Requires="wpg">
            <w:drawing>
              <wp:inline distT="0" distB="0" distL="0" distR="0" wp14:anchorId="57E0A03D" wp14:editId="5F701947">
                <wp:extent cx="4348163" cy="2719767"/>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14"/>
                        <a:srcRect/>
                        <a:stretch/>
                      </pic:blipFill>
                      <pic:spPr bwMode="auto">
                        <a:xfrm>
                          <a:off x="0" y="0"/>
                          <a:ext cx="4348163" cy="2719767"/>
                        </a:xfrm>
                        <a:prstGeom prst="rect">
                          <a:avLst/>
                        </a:prstGeom>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342.38pt;height:214.15pt;mso-wrap-distance-left:0.00pt;mso-wrap-distance-top:0.00pt;mso-wrap-distance-right:0.00pt;mso-wrap-distance-bottom:0.00pt;z-index:1;">
                <v:imagedata r:id="rId15" o:title="" croptop="0f" cropleft="0f" cropbottom="0f" cropright="0f"/>
                <o:lock v:ext="edit" rotation="t"/>
              </v:shape>
            </w:pict>
          </mc:Fallback>
        </mc:AlternateContent>
      </w:r>
    </w:p>
    <w:p w14:paraId="6B45F228" w14:textId="77777777" w:rsidR="003E4E01" w:rsidRDefault="00000000">
      <w:pPr>
        <w:jc w:val="center"/>
      </w:pPr>
      <w:r>
        <w:t>Figure: Docklands Light Railway</w:t>
      </w:r>
    </w:p>
    <w:p w14:paraId="7567E6B5" w14:textId="77777777" w:rsidR="003E4E01" w:rsidRDefault="00000000">
      <w:pPr>
        <w:jc w:val="center"/>
      </w:pPr>
      <w:r>
        <w:t>(Source: Lydall, 2025)</w:t>
      </w:r>
    </w:p>
    <w:p w14:paraId="2E0AA976" w14:textId="77777777" w:rsidR="003E4E01" w:rsidRDefault="00000000">
      <w:r>
        <w:t xml:space="preserve">The DLR Thamesmead Extension is an infrastructure game-changer project, which was aimed at linking Thamesmead and Beckton Riverside to the DLR. The plan includes the development of two new stations, one in Beckton Riverside and the other in Thamesmead, on a new tunnel at the bottom of the River Thames (Lydall, 2025). This extension is based on the proven precedent of the 2009 extension of DLR to Woolwich Arsenal, which showed a single variable correlation between transport investment and the following housing increase (Mike, 2022). The project is a </w:t>
      </w:r>
      <w:r>
        <w:lastRenderedPageBreak/>
        <w:t>foundation of a significant regeneration initiative, which will unlock the development of 12,500–15,000 new homes and help to create up to 10000 new jobs (Mercer, 2025).</w:t>
      </w:r>
    </w:p>
    <w:p w14:paraId="6A13E982" w14:textId="77777777" w:rsidR="003E4E01" w:rsidRDefault="00000000">
      <w:r>
        <w:t>The local, regional, and national levels are relevant to the project. It will offer shorter and more direct travel to major hubs in London like Stratford and the Isle of Dogs, and onward travel to central London through the Jubilee and Elizabeth lines, which will transform the lives of the residents as they will enjoy better access to housing, employment, and leisure opportunities. To the broader economy, the extension will contribute to the UK government's "Levelling Up" mandate in place, by making productivity, pay, and employment increase in this section of East London possible (</w:t>
      </w:r>
      <w:hyperlink r:id="rId16" w:tooltip="http://lonodon.gov.uk" w:history="1">
        <w:r>
          <w:t>Lonodon.gov.uk</w:t>
        </w:r>
      </w:hyperlink>
      <w:r>
        <w:t>, 2024). The success of the project will be determined by the joint effort of a large number of key stakeholders, who have a vested interest in the delivery of the project.</w:t>
      </w:r>
    </w:p>
    <w:p w14:paraId="18F211AC" w14:textId="77777777" w:rsidR="003E4E01" w:rsidRDefault="00000000">
      <w:r>
        <w:t>Various stakeholders are involved in the project, and they are bound to benefit a lot. Transport for London (TfL) has been enjoying the fruits of an effective network expansion, which helps in the growth of the region. The UK Government is meeting its mandate of levelling up by the growth of the economy and higher productivity associated with this transport investment (</w:t>
      </w:r>
      <w:hyperlink r:id="rId17" w:tooltip="http://lonodon.gov.uk" w:history="1">
        <w:r>
          <w:t>Lonodon.gov.uk</w:t>
        </w:r>
      </w:hyperlink>
      <w:r>
        <w:t>, 2024). The local people and the community groups are enjoying a much better connectivity and have access to new housing, employment and leisure. Thamesmead Waterfront is unlocked with complete development potential by means of the involvement of the private development partners, such as Lendlease and Peabody, which allow the delivery of a new urban neighbourhood (TFL, 2024). The transformation of Thamesmead, which has been a major one, is advantageous to local and regional authorities such as the Greater London Authority and the Royal Borough of Greenwich, which have enjoyed economic and cultural prosperity (Hunt, 2025). Lastly, business advocacy organisations like BusinessLDN have the advantage of spurring the local and national economy with new employment, homes, and infrastructure.</w:t>
      </w:r>
    </w:p>
    <w:p w14:paraId="199CA71D" w14:textId="77777777" w:rsidR="003E4E01" w:rsidRDefault="00000000">
      <w:pPr>
        <w:pStyle w:val="Heading1"/>
      </w:pPr>
      <w:bookmarkStart w:id="4" w:name="_phm12m1tkv"/>
      <w:bookmarkStart w:id="5" w:name="_Toc3"/>
      <w:bookmarkEnd w:id="4"/>
      <w:r>
        <w:t>2.0 Element 2: Stakeholder Engagement and Communication Strategies</w:t>
      </w:r>
      <w:bookmarkEnd w:id="5"/>
    </w:p>
    <w:p w14:paraId="29C3BCC8" w14:textId="77777777" w:rsidR="003E4E01" w:rsidRDefault="00000000">
      <w:r>
        <w:t xml:space="preserve">Stakeholder engagement lies more than mere identification to effective strategic analysis of the specific interests, influence and power of each group. This is necessary for resource allocation in an efficient way, to predict challenges, and to develop collaborative relationships (Kujala </w:t>
      </w:r>
      <w:r>
        <w:rPr>
          <w:i/>
          <w:iCs/>
        </w:rPr>
        <w:t xml:space="preserve">et al., </w:t>
      </w:r>
      <w:r>
        <w:t>2022). This action is about mapping the complicated stakeholder environment of the DLR Thamesmead Extension to achieve a focused and justified communication strategy where the appropriate information is provided to the appropriate people at the appropriate time and via the most effective medium.</w:t>
      </w:r>
    </w:p>
    <w:p w14:paraId="552E15CD" w14:textId="77777777" w:rsidR="003E4E01" w:rsidRDefault="00000000">
      <w:pPr>
        <w:pStyle w:val="Heading2"/>
      </w:pPr>
      <w:bookmarkStart w:id="6" w:name="_dfx0l0nb8fly"/>
      <w:bookmarkStart w:id="7" w:name="_Toc4"/>
      <w:bookmarkEnd w:id="6"/>
      <w:r>
        <w:t>2.1 Power, Influence, and Interest Analysis</w:t>
      </w:r>
      <w:bookmarkEnd w:id="7"/>
    </w:p>
    <w:p w14:paraId="64074ECF" w14:textId="77777777" w:rsidR="003E4E01" w:rsidRDefault="00000000">
      <w:r>
        <w:t>Table 1 below presents a catalogue analysis of the major stakeholders, including their levels of power, influence and interest in the DLR Thamesmead Extension. The reason behind every rating is based on the roles and dependencies realised in the context of the project.</w:t>
      </w:r>
    </w:p>
    <w:tbl>
      <w:tblPr>
        <w:tblStyle w:val="StGen0"/>
        <w:tblW w:w="0" w:type="auto"/>
        <w:tblInd w:w="0" w:type="dxa"/>
        <w:tblLook w:val="04A0" w:firstRow="1" w:lastRow="0" w:firstColumn="1" w:lastColumn="0" w:noHBand="0" w:noVBand="1"/>
      </w:tblPr>
      <w:tblGrid>
        <w:gridCol w:w="2180"/>
        <w:gridCol w:w="1014"/>
        <w:gridCol w:w="1160"/>
        <w:gridCol w:w="1000"/>
        <w:gridCol w:w="3994"/>
      </w:tblGrid>
      <w:tr w:rsidR="003E4E01" w14:paraId="258783BF" w14:textId="77777777">
        <w:trPr>
          <w:trHeight w:val="530"/>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07674647" w14:textId="77777777" w:rsidR="003E4E01" w:rsidRDefault="00000000">
            <w:pPr>
              <w:spacing w:line="240" w:lineRule="auto"/>
              <w:jc w:val="center"/>
              <w:rPr>
                <w:b/>
                <w:bCs/>
              </w:rPr>
            </w:pPr>
            <w:r>
              <w:rPr>
                <w:b/>
                <w:bCs/>
              </w:rPr>
              <w:t>Stakeholder</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FFFB490" w14:textId="77777777" w:rsidR="003E4E01" w:rsidRDefault="00000000">
            <w:pPr>
              <w:spacing w:line="240" w:lineRule="auto"/>
              <w:jc w:val="center"/>
              <w:rPr>
                <w:b/>
                <w:bCs/>
              </w:rPr>
            </w:pPr>
            <w:r>
              <w:rPr>
                <w:b/>
                <w:bCs/>
              </w:rPr>
              <w:t>Power</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2FBEB694" w14:textId="77777777" w:rsidR="003E4E01" w:rsidRDefault="00000000">
            <w:pPr>
              <w:spacing w:line="240" w:lineRule="auto"/>
              <w:jc w:val="center"/>
              <w:rPr>
                <w:b/>
                <w:bCs/>
              </w:rPr>
            </w:pPr>
            <w:r>
              <w:rPr>
                <w:b/>
                <w:bCs/>
              </w:rPr>
              <w:t>Influence</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26F236F" w14:textId="77777777" w:rsidR="003E4E01" w:rsidRDefault="00000000">
            <w:pPr>
              <w:spacing w:line="240" w:lineRule="auto"/>
              <w:jc w:val="center"/>
              <w:rPr>
                <w:b/>
                <w:bCs/>
              </w:rPr>
            </w:pPr>
            <w:r>
              <w:rPr>
                <w:b/>
                <w:bCs/>
              </w:rPr>
              <w:t>Interest</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3CAF20BB" w14:textId="77777777" w:rsidR="003E4E01" w:rsidRDefault="00000000">
            <w:pPr>
              <w:spacing w:line="240" w:lineRule="auto"/>
              <w:jc w:val="center"/>
              <w:rPr>
                <w:b/>
                <w:bCs/>
              </w:rPr>
            </w:pPr>
            <w:r>
              <w:rPr>
                <w:b/>
                <w:bCs/>
              </w:rPr>
              <w:t>Justification</w:t>
            </w:r>
          </w:p>
        </w:tc>
      </w:tr>
      <w:tr w:rsidR="003E4E01" w14:paraId="13092AC5" w14:textId="77777777">
        <w:trPr>
          <w:trHeight w:val="1970"/>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5AD5F9BF" w14:textId="77777777" w:rsidR="003E4E01" w:rsidRDefault="00000000">
            <w:pPr>
              <w:spacing w:before="240" w:after="240"/>
              <w:rPr>
                <w:b/>
                <w:bCs/>
              </w:rPr>
            </w:pPr>
            <w:r>
              <w:rPr>
                <w:b/>
                <w:bCs/>
              </w:rPr>
              <w:t>UK Government (HM Government)</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5DDAF98A" w14:textId="77777777" w:rsidR="003E4E01" w:rsidRDefault="00000000">
            <w:pPr>
              <w:spacing w:before="240" w:after="240"/>
            </w:pPr>
            <w:r>
              <w:t>High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34A40537" w14:textId="77777777" w:rsidR="003E4E01" w:rsidRDefault="00000000">
            <w:pPr>
              <w:spacing w:before="240" w:after="240"/>
            </w:pPr>
            <w:r>
              <w:t>High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368DFE8" w14:textId="77777777" w:rsidR="003E4E01" w:rsidRDefault="00000000">
            <w:pPr>
              <w:spacing w:before="240" w:after="240"/>
            </w:pPr>
            <w:r>
              <w:t>High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3962815A" w14:textId="77777777" w:rsidR="003E4E01" w:rsidRDefault="00000000">
            <w:pPr>
              <w:spacing w:line="240" w:lineRule="auto"/>
            </w:pPr>
            <w:r>
              <w:t>Holds final authority in the funding and approvals of a project. The case is presented in the form of a business case to justify it to the HM Government, and the project is directly related to its requirement of Levelling Up and the economic growth agenda.</w:t>
            </w:r>
          </w:p>
        </w:tc>
      </w:tr>
      <w:tr w:rsidR="003E4E01" w14:paraId="33498E8E" w14:textId="77777777">
        <w:trPr>
          <w:trHeight w:val="1970"/>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61BA8F92" w14:textId="77777777" w:rsidR="003E4E01" w:rsidRDefault="00000000">
            <w:pPr>
              <w:spacing w:before="240" w:after="240"/>
              <w:rPr>
                <w:b/>
                <w:bCs/>
              </w:rPr>
            </w:pPr>
            <w:r>
              <w:rPr>
                <w:b/>
                <w:bCs/>
              </w:rPr>
              <w:t>Transport for London (TfL)</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D22C33B" w14:textId="77777777" w:rsidR="003E4E01" w:rsidRDefault="00000000">
            <w:pPr>
              <w:spacing w:before="240" w:after="240"/>
            </w:pPr>
            <w:r>
              <w:t>High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9A89D8D" w14:textId="77777777" w:rsidR="003E4E01" w:rsidRDefault="00000000">
            <w:pPr>
              <w:spacing w:before="240" w:after="240"/>
            </w:pPr>
            <w:r>
              <w:t>High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64B1125F" w14:textId="77777777" w:rsidR="003E4E01" w:rsidRDefault="00000000">
            <w:pPr>
              <w:spacing w:before="240" w:after="240"/>
            </w:pPr>
            <w:r>
              <w:t>High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781AB2C8" w14:textId="77777777" w:rsidR="003E4E01" w:rsidRDefault="00000000">
            <w:pPr>
              <w:spacing w:line="240" w:lineRule="auto"/>
            </w:pPr>
            <w:r>
              <w:t>Being the project proponent, TfL is in charge of business case development, making applications (such as, TWAO), and directing project delivery. One of its capital investment and network growth strategies is the extension.</w:t>
            </w:r>
          </w:p>
        </w:tc>
      </w:tr>
      <w:tr w:rsidR="003E4E01" w14:paraId="23AB45E0" w14:textId="77777777">
        <w:trPr>
          <w:trHeight w:val="1970"/>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27EEA6A5" w14:textId="77777777" w:rsidR="003E4E01" w:rsidRDefault="00000000">
            <w:pPr>
              <w:spacing w:before="240" w:after="240"/>
              <w:rPr>
                <w:b/>
                <w:bCs/>
              </w:rPr>
            </w:pPr>
            <w:r>
              <w:rPr>
                <w:b/>
                <w:bCs/>
              </w:rPr>
              <w:t>Private Development Partners (Peabody and Lendlease)</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097BBF3E" w14:textId="77777777" w:rsidR="003E4E01" w:rsidRDefault="00000000">
            <w:pPr>
              <w:spacing w:before="240" w:after="240"/>
            </w:pPr>
            <w:r>
              <w:t>Medium</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6B6462F2" w14:textId="77777777" w:rsidR="003E4E01" w:rsidRDefault="00000000">
            <w:pPr>
              <w:spacing w:before="240" w:after="240"/>
            </w:pPr>
            <w:r>
              <w:t>High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0534CB50" w14:textId="77777777" w:rsidR="003E4E01" w:rsidRDefault="00000000">
            <w:pPr>
              <w:spacing w:before="240" w:after="240"/>
            </w:pPr>
            <w:r>
              <w:t>High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55687708" w14:textId="77777777" w:rsidR="003E4E01" w:rsidRDefault="00000000">
            <w:pPr>
              <w:spacing w:line="240" w:lineRule="auto"/>
            </w:pPr>
            <w:r>
              <w:t>Their joint venture is essential in the realisation of the housing and regeneration objectives that form the basis of the business case of the extension of the DLR, since they are the landowners of the Thamesmead Waterfront and developers of the extension. They are major stakeholders of the master plan.</w:t>
            </w:r>
          </w:p>
        </w:tc>
      </w:tr>
      <w:tr w:rsidR="003E4E01" w14:paraId="470C7609" w14:textId="77777777">
        <w:trPr>
          <w:trHeight w:val="1970"/>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7CA45F4A" w14:textId="77777777" w:rsidR="003E4E01" w:rsidRDefault="00000000">
            <w:pPr>
              <w:spacing w:before="240" w:after="240"/>
              <w:rPr>
                <w:b/>
                <w:bCs/>
              </w:rPr>
            </w:pPr>
            <w:r>
              <w:rPr>
                <w:b/>
                <w:bCs/>
              </w:rPr>
              <w:t>Local and Regional Authorities (GLA &amp; Royal Borough of Greenwich)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8E88D92" w14:textId="77777777" w:rsidR="003E4E01" w:rsidRDefault="00000000">
            <w:pPr>
              <w:spacing w:before="240" w:after="240"/>
            </w:pPr>
            <w:r>
              <w:t>Medium</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C8C0544" w14:textId="77777777" w:rsidR="003E4E01" w:rsidRDefault="00000000">
            <w:pPr>
              <w:spacing w:before="240" w:after="240"/>
            </w:pPr>
            <w:r>
              <w:t>High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2B2B268" w14:textId="77777777" w:rsidR="003E4E01" w:rsidRDefault="00000000">
            <w:pPr>
              <w:spacing w:before="240" w:after="240"/>
            </w:pPr>
            <w:r>
              <w:t>High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5C731C2B" w14:textId="77777777" w:rsidR="003E4E01" w:rsidRDefault="00000000">
            <w:pPr>
              <w:spacing w:line="240" w:lineRule="auto"/>
            </w:pPr>
            <w:r>
              <w:t>The development partners and TfL to influence the masterplan, and make the project achieve local and regional goals of housing, employment and community prosperity by working at the most senior level.</w:t>
            </w:r>
          </w:p>
        </w:tc>
      </w:tr>
      <w:tr w:rsidR="003E4E01" w14:paraId="32DE4FD6" w14:textId="77777777">
        <w:trPr>
          <w:trHeight w:val="1970"/>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4191DFF" w14:textId="77777777" w:rsidR="003E4E01" w:rsidRDefault="00000000">
            <w:pPr>
              <w:spacing w:before="240" w:after="240"/>
              <w:rPr>
                <w:b/>
                <w:bCs/>
              </w:rPr>
            </w:pPr>
            <w:r>
              <w:rPr>
                <w:b/>
                <w:bCs/>
              </w:rPr>
              <w:t>Local Residents &amp; Community Groups</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2A09A9A" w14:textId="77777777" w:rsidR="003E4E01" w:rsidRDefault="00000000">
            <w:pPr>
              <w:spacing w:before="240" w:after="240"/>
            </w:pPr>
            <w:r>
              <w:t>Low</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3657CD0E" w14:textId="77777777" w:rsidR="003E4E01" w:rsidRDefault="00000000">
            <w:pPr>
              <w:spacing w:before="240" w:after="240"/>
            </w:pPr>
            <w:r>
              <w:t>Medium</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61625405" w14:textId="77777777" w:rsidR="003E4E01" w:rsidRDefault="00000000">
            <w:pPr>
              <w:spacing w:before="240" w:after="240"/>
            </w:pPr>
            <w:r>
              <w:t>High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43E3E07" w14:textId="77777777" w:rsidR="003E4E01" w:rsidRDefault="00000000">
            <w:pPr>
              <w:spacing w:line="240" w:lineRule="auto"/>
            </w:pPr>
            <w:r>
              <w:t>Although they did not directly have a decision to make, their dominant support in the first consultation was what propelled the project by TfL to the business case phase. Their further assistance is critical to social license.</w:t>
            </w:r>
          </w:p>
        </w:tc>
      </w:tr>
      <w:tr w:rsidR="003E4E01" w14:paraId="14A342F8" w14:textId="77777777">
        <w:trPr>
          <w:trHeight w:val="1970"/>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5A98E8D" w14:textId="77777777" w:rsidR="003E4E01" w:rsidRDefault="00000000">
            <w:pPr>
              <w:spacing w:before="240" w:after="240"/>
              <w:rPr>
                <w:b/>
                <w:bCs/>
              </w:rPr>
            </w:pPr>
            <w:r>
              <w:rPr>
                <w:b/>
                <w:bCs/>
              </w:rPr>
              <w:t>Business Advocacy Groups (e.g., BusinessLDN)</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24CE677A" w14:textId="77777777" w:rsidR="003E4E01" w:rsidRDefault="00000000">
            <w:pPr>
              <w:spacing w:before="240" w:after="240"/>
            </w:pPr>
            <w:r>
              <w:t>Low</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D648C43" w14:textId="77777777" w:rsidR="003E4E01" w:rsidRDefault="00000000">
            <w:pPr>
              <w:spacing w:before="240" w:after="240"/>
            </w:pPr>
            <w:r>
              <w:t>Medium</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3565B11F" w14:textId="77777777" w:rsidR="003E4E01" w:rsidRDefault="00000000">
            <w:pPr>
              <w:spacing w:before="240" w:after="240"/>
            </w:pPr>
            <w:r>
              <w:t>High</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948B061" w14:textId="77777777" w:rsidR="003E4E01" w:rsidRDefault="00000000">
            <w:pPr>
              <w:spacing w:line="240" w:lineRule="auto"/>
            </w:pPr>
            <w:r>
              <w:t>Being a lobby group, BusinessLDN is not authoritative in any way, but can be influential in its ability to promote funding clarity and vocalise the significance of the project to the wider London economy, maintaining pressure on the government decision-makers.</w:t>
            </w:r>
          </w:p>
        </w:tc>
      </w:tr>
    </w:tbl>
    <w:p w14:paraId="564CF3BE" w14:textId="77777777" w:rsidR="003E4E01" w:rsidRDefault="00000000">
      <w:pPr>
        <w:jc w:val="center"/>
      </w:pPr>
      <w:r>
        <w:t>Table 1: Stakeholder Analysis</w:t>
      </w:r>
    </w:p>
    <w:p w14:paraId="612F9D15" w14:textId="77777777" w:rsidR="003E4E01" w:rsidRDefault="00000000">
      <w:pPr>
        <w:jc w:val="center"/>
      </w:pPr>
      <w:r>
        <w:t>(Source: Hunt, 2025; London City Hall, 2025); Mike, 2022)</w:t>
      </w:r>
    </w:p>
    <w:p w14:paraId="7AAA1F65" w14:textId="77777777" w:rsidR="003E4E01" w:rsidRDefault="00000000">
      <w:pPr>
        <w:pStyle w:val="Heading2"/>
      </w:pPr>
      <w:bookmarkStart w:id="8" w:name="_mufbxw83rpsm"/>
      <w:bookmarkStart w:id="9" w:name="_Toc5"/>
      <w:bookmarkEnd w:id="8"/>
      <w:r>
        <w:t>2.2 Stakeholder Map and Strategic Positioning</w:t>
      </w:r>
      <w:bookmarkEnd w:id="9"/>
    </w:p>
    <w:p w14:paraId="6B834DB1" w14:textId="77777777" w:rsidR="003E4E01" w:rsidRDefault="00000000">
      <w:r>
        <w:t xml:space="preserve">A stakeholder map is a diagrammatic illustration of the stakeholder environment and guides the strategy that should be used by a group of stakeholders (Rabechini Jr </w:t>
      </w:r>
      <w:r>
        <w:rPr>
          <w:i/>
          <w:iCs/>
        </w:rPr>
        <w:t xml:space="preserve">et al., </w:t>
      </w:r>
      <w:r>
        <w:t>2021). It is a 2x2 grid matrix, which applies to the axes of Power (the capability to directly influence the decisions of the project) and Interest (the extent to which a stakeholder is impacted by the project outcomes).</w:t>
      </w:r>
    </w:p>
    <w:p w14:paraId="27485DA3" w14:textId="77777777" w:rsidR="003E4E01" w:rsidRDefault="00000000">
      <w:pPr>
        <w:numPr>
          <w:ilvl w:val="0"/>
          <w:numId w:val="1"/>
        </w:numPr>
      </w:pPr>
      <w:r>
        <w:rPr>
          <w:b/>
          <w:bCs/>
        </w:rPr>
        <w:t>High Power, High Interest (Manage Closely)</w:t>
      </w:r>
      <w:r>
        <w:t>: Stakeholders are considered to be critical to project success and should be engaged and involved fully in governance.</w:t>
      </w:r>
    </w:p>
    <w:p w14:paraId="1E3D0411" w14:textId="77777777" w:rsidR="003E4E01" w:rsidRDefault="00000000">
      <w:pPr>
        <w:numPr>
          <w:ilvl w:val="0"/>
          <w:numId w:val="1"/>
        </w:numPr>
      </w:pPr>
      <w:r>
        <w:rPr>
          <w:b/>
          <w:bCs/>
        </w:rPr>
        <w:t>High Power, Low Interest (Keep Satisfied)</w:t>
      </w:r>
      <w:r>
        <w:t xml:space="preserve">: Stakeholders that have a lot of power but do not have their interests directly or immediately tied to the project. Not all the stakeholders in this plan belong to this category  (Rabechini Jr </w:t>
      </w:r>
      <w:r>
        <w:rPr>
          <w:i/>
          <w:iCs/>
        </w:rPr>
        <w:t xml:space="preserve">et al., </w:t>
      </w:r>
      <w:r>
        <w:t>2021).</w:t>
      </w:r>
    </w:p>
    <w:p w14:paraId="25D1CF74" w14:textId="77777777" w:rsidR="003E4E01" w:rsidRDefault="00000000">
      <w:pPr>
        <w:numPr>
          <w:ilvl w:val="0"/>
          <w:numId w:val="1"/>
        </w:numPr>
      </w:pPr>
      <w:r>
        <w:rPr>
          <w:b/>
          <w:bCs/>
        </w:rPr>
        <w:t>Low Power, High Interest (Keep Informed)</w:t>
      </w:r>
      <w:r>
        <w:t>: These are stakeholders who are affected significantly by the project, but they lack direct power. Communication must be active to make sure that their needs are taken into consideration and that they are supported.</w:t>
      </w:r>
    </w:p>
    <w:p w14:paraId="7D104F5B" w14:textId="77777777" w:rsidR="003E4E01" w:rsidRDefault="00000000">
      <w:pPr>
        <w:numPr>
          <w:ilvl w:val="0"/>
          <w:numId w:val="1"/>
        </w:numPr>
      </w:pPr>
      <w:r>
        <w:rPr>
          <w:b/>
          <w:bCs/>
        </w:rPr>
        <w:t>Low Power, Low Interest (Monitor)</w:t>
      </w:r>
      <w:r>
        <w:t xml:space="preserve">: These stakeholders are more peripheral to the organisation, and they need low intensity and passive communication. None of the significant stakeholders can be placed under this category (Kujala </w:t>
      </w:r>
      <w:r>
        <w:rPr>
          <w:i/>
          <w:iCs/>
        </w:rPr>
        <w:t xml:space="preserve">et al., </w:t>
      </w:r>
      <w:r>
        <w:t>2022)</w:t>
      </w:r>
    </w:p>
    <w:p w14:paraId="75C15B6E" w14:textId="77777777" w:rsidR="003E4E01" w:rsidRDefault="00000000">
      <w:pPr>
        <w:spacing w:before="240" w:after="240"/>
        <w:jc w:val="center"/>
      </w:pPr>
      <w:r>
        <w:rPr>
          <w:noProof/>
        </w:rPr>
        <mc:AlternateContent>
          <mc:Choice Requires="wpg">
            <w:drawing>
              <wp:inline distT="0" distB="0" distL="0" distR="0" wp14:anchorId="6A869FD1" wp14:editId="49AE0BC3">
                <wp:extent cx="2852738" cy="2617806"/>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8"/>
                        <a:srcRect/>
                        <a:stretch/>
                      </pic:blipFill>
                      <pic:spPr bwMode="auto">
                        <a:xfrm>
                          <a:off x="0" y="0"/>
                          <a:ext cx="2852738" cy="2617805"/>
                        </a:xfrm>
                        <a:prstGeom prst="rect">
                          <a:avLst/>
                        </a:prstGeom>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224.63pt;height:206.13pt;mso-wrap-distance-left:0.00pt;mso-wrap-distance-top:0.00pt;mso-wrap-distance-right:0.00pt;mso-wrap-distance-bottom:0.00pt;z-index:1;">
                <v:imagedata r:id="rId19" o:title="" croptop="0f" cropleft="0f" cropbottom="0f" cropright="0f"/>
                <o:lock v:ext="edit" rotation="t"/>
              </v:shape>
            </w:pict>
          </mc:Fallback>
        </mc:AlternateContent>
      </w:r>
    </w:p>
    <w:p w14:paraId="15DD7117" w14:textId="77777777" w:rsidR="003E4E01" w:rsidRDefault="00000000">
      <w:pPr>
        <w:jc w:val="center"/>
      </w:pPr>
      <w:r>
        <w:t>Figure: Power-Interest Grid</w:t>
      </w:r>
    </w:p>
    <w:p w14:paraId="6B484902" w14:textId="77777777" w:rsidR="003E4E01" w:rsidRDefault="00000000">
      <w:pPr>
        <w:jc w:val="center"/>
      </w:pPr>
      <w:r>
        <w:t>Source: Self-made</w:t>
      </w:r>
    </w:p>
    <w:p w14:paraId="4F25C0C5" w14:textId="77777777" w:rsidR="003E4E01" w:rsidRDefault="00000000">
      <w:pPr>
        <w:rPr>
          <w:rFonts w:ascii="Arial" w:eastAsia="Arial" w:hAnsi="Arial" w:cs="Arial"/>
          <w:sz w:val="22"/>
          <w:szCs w:val="22"/>
        </w:rPr>
      </w:pPr>
      <w:r>
        <w:rPr>
          <w:b/>
          <w:bCs/>
        </w:rPr>
        <w:t>Justification for Stakeholder Matrix Placement</w:t>
      </w:r>
    </w:p>
    <w:p w14:paraId="766126E5" w14:textId="77777777" w:rsidR="003E4E01" w:rsidRDefault="00000000">
      <w:pPr>
        <w:rPr>
          <w:rFonts w:ascii="Arial" w:eastAsia="Arial" w:hAnsi="Arial" w:cs="Arial"/>
          <w:color w:val="111111"/>
          <w:shd w:val="clear" w:color="auto" w:fill="F8D7DA"/>
        </w:rPr>
      </w:pPr>
      <w:r>
        <w:rPr>
          <w:b/>
          <w:bCs/>
        </w:rPr>
        <w:t>Manage Closely (High Influence, High Interest)</w:t>
      </w:r>
    </w:p>
    <w:p w14:paraId="081E1D86" w14:textId="77777777" w:rsidR="003E4E01" w:rsidRDefault="00000000">
      <w:r>
        <w:t>The essential stakeholders are in this quadrant and will be critical towards the success of the project. High Influence is attributed to the UK Government, Transport for London (TfL), and the Private Development Partners, as well as the Local or Regional Authorities, since they can control the funding, decision-making, or even the land that is crucial (TFL, 2024). Their High Interest is obligatory. It is based on the fact that the project is directly aligned with their strategic objectives to house, develop the economy and build the network of its expansion. These organisations are to be actively involved and intensively.</w:t>
      </w:r>
    </w:p>
    <w:p w14:paraId="065F5AC0" w14:textId="77777777" w:rsidR="003E4E01" w:rsidRDefault="00000000">
      <w:pPr>
        <w:rPr>
          <w:rFonts w:ascii="Arial" w:eastAsia="Arial" w:hAnsi="Arial" w:cs="Arial"/>
          <w:color w:val="111111"/>
          <w:shd w:val="clear" w:color="auto" w:fill="F8D7DA"/>
        </w:rPr>
      </w:pPr>
      <w:r>
        <w:rPr>
          <w:b/>
          <w:bCs/>
        </w:rPr>
        <w:t>Keep Informed (Low-Medium Influence, High Interest)</w:t>
      </w:r>
    </w:p>
    <w:p w14:paraId="13292CA7" w14:textId="77777777" w:rsidR="003E4E01" w:rsidRDefault="00000000">
      <w:r>
        <w:t>This quadrant has stakeholders who have a High Interest yet have less direct decision-making power. The interest of the Local Residents and Community Groups in the day-to-day impacts and outcomes of the project is High, but the informal power is Low (London City Hall, 2025). The Economic benefits also give Business Advocacy Groups High Interest, but their Influence is by lobbying rather than by formal approval. These groups have to be informed on a constant basis to ensure that the masses are kept on board and that the required community feedback is obtained.</w:t>
      </w:r>
    </w:p>
    <w:p w14:paraId="2DA2BF49" w14:textId="77777777" w:rsidR="003E4E01" w:rsidRDefault="00000000">
      <w:pPr>
        <w:rPr>
          <w:rFonts w:ascii="Arial" w:eastAsia="Arial" w:hAnsi="Arial" w:cs="Arial"/>
        </w:rPr>
      </w:pPr>
      <w:r>
        <w:rPr>
          <w:b/>
          <w:bCs/>
        </w:rPr>
        <w:t>Empty Quadrants Rationale</w:t>
      </w:r>
    </w:p>
    <w:p w14:paraId="57912B56" w14:textId="77777777" w:rsidR="003E4E01" w:rsidRDefault="00000000">
      <w:r>
        <w:t xml:space="preserve">The other two quadrants - Keep Satisfied (High Influence, Low Interest) and Monitor (Low Influence, Low Interest) are not filled. This indicates the intensity of the DLR Thamesmead Extension. High-power stakeholders are highly interested in this project since the success or failure of the project has a great influence on their financial or political mandate (Miksa </w:t>
      </w:r>
      <w:r>
        <w:rPr>
          <w:i/>
          <w:iCs/>
        </w:rPr>
        <w:t xml:space="preserve">et al., </w:t>
      </w:r>
      <w:r>
        <w:t>2021). The powerful, indifferent parties are absent. On the same note, all of the core stakeholders identified are affected to a point of being a High Interest; that is, there are no groups in the Low Interest, Monitor category.</w:t>
      </w:r>
    </w:p>
    <w:p w14:paraId="77385795" w14:textId="77777777" w:rsidR="003E4E01" w:rsidRDefault="00000000">
      <w:pPr>
        <w:pStyle w:val="Heading2"/>
      </w:pPr>
      <w:bookmarkStart w:id="10" w:name="_2ovkphdz32w1"/>
      <w:bookmarkStart w:id="11" w:name="_Toc6"/>
      <w:bookmarkEnd w:id="10"/>
      <w:r>
        <w:t>2.3 Communication and Consultation Plan</w:t>
      </w:r>
      <w:bookmarkEnd w:id="11"/>
    </w:p>
    <w:p w14:paraId="4784EB0F" w14:textId="77777777" w:rsidR="003E4E01" w:rsidRDefault="00000000">
      <w:r>
        <w:t>The following plan outlines tailored communication strategies for each stakeholder group, aligned with their position on the power/interest map and key project milestones.</w:t>
      </w:r>
    </w:p>
    <w:tbl>
      <w:tblPr>
        <w:tblStyle w:val="StGen1"/>
        <w:tblW w:w="0" w:type="auto"/>
        <w:tblInd w:w="0" w:type="dxa"/>
        <w:tblLook w:val="04A0" w:firstRow="1" w:lastRow="0" w:firstColumn="1" w:lastColumn="0" w:noHBand="0" w:noVBand="1"/>
      </w:tblPr>
      <w:tblGrid>
        <w:gridCol w:w="1788"/>
        <w:gridCol w:w="1770"/>
        <w:gridCol w:w="2209"/>
        <w:gridCol w:w="1930"/>
        <w:gridCol w:w="1651"/>
      </w:tblGrid>
      <w:tr w:rsidR="003E4E01" w14:paraId="669A348E" w14:textId="77777777">
        <w:trPr>
          <w:trHeight w:val="1115"/>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513A8912" w14:textId="77777777" w:rsidR="003E4E01" w:rsidRDefault="00000000">
            <w:pPr>
              <w:spacing w:line="240" w:lineRule="auto"/>
              <w:jc w:val="center"/>
              <w:rPr>
                <w:b/>
                <w:bCs/>
              </w:rPr>
            </w:pPr>
            <w:r>
              <w:rPr>
                <w:b/>
                <w:bCs/>
              </w:rPr>
              <w:t>Stakeholder</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DA96396" w14:textId="77777777" w:rsidR="003E4E01" w:rsidRDefault="00000000">
            <w:pPr>
              <w:jc w:val="center"/>
              <w:rPr>
                <w:b/>
                <w:bCs/>
              </w:rPr>
            </w:pPr>
            <w:r>
              <w:rPr>
                <w:b/>
                <w:bCs/>
              </w:rPr>
              <w:t>Key Information to be Shared</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765E487B" w14:textId="77777777" w:rsidR="003E4E01" w:rsidRDefault="00000000">
            <w:pPr>
              <w:jc w:val="center"/>
              <w:rPr>
                <w:b/>
                <w:bCs/>
              </w:rPr>
            </w:pPr>
            <w:r>
              <w:rPr>
                <w:b/>
                <w:bCs/>
              </w:rPr>
              <w:t>Timing/Frequency</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A0F9278" w14:textId="77777777" w:rsidR="003E4E01" w:rsidRDefault="00000000">
            <w:pPr>
              <w:jc w:val="center"/>
              <w:rPr>
                <w:b/>
                <w:bCs/>
              </w:rPr>
            </w:pPr>
            <w:r>
              <w:rPr>
                <w:b/>
                <w:bCs/>
              </w:rPr>
              <w:t>Communication Medium</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6272BBC4" w14:textId="77777777" w:rsidR="003E4E01" w:rsidRDefault="00000000">
            <w:pPr>
              <w:jc w:val="center"/>
              <w:rPr>
                <w:b/>
                <w:bCs/>
              </w:rPr>
            </w:pPr>
            <w:r>
              <w:rPr>
                <w:b/>
                <w:bCs/>
              </w:rPr>
              <w:t>Strategic Justification</w:t>
            </w:r>
          </w:p>
        </w:tc>
      </w:tr>
      <w:tr w:rsidR="003E4E01" w14:paraId="4DAFFADB" w14:textId="77777777">
        <w:trPr>
          <w:trHeight w:val="3125"/>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4DF0A12" w14:textId="77777777" w:rsidR="003E4E01" w:rsidRDefault="00000000">
            <w:pPr>
              <w:spacing w:before="240" w:after="240"/>
              <w:rPr>
                <w:b/>
                <w:bCs/>
              </w:rPr>
            </w:pPr>
            <w:r>
              <w:rPr>
                <w:b/>
                <w:bCs/>
              </w:rPr>
              <w:t>UK Government (HM Government)</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3B923040" w14:textId="77777777" w:rsidR="003E4E01" w:rsidRDefault="00000000">
            <w:r>
              <w:t>Outline Business Case (OBC) advancements, finance/finance policy, and reaction to SOC feedback.</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7251EDAD" w14:textId="77777777" w:rsidR="003E4E01" w:rsidRDefault="00000000">
            <w:r>
              <w:t>Formal briefings at regular intervals when OBC is being developed (until spring of 2025). Key changes before the decision to fund.</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C17EB4D" w14:textId="77777777" w:rsidR="003E4E01" w:rsidRDefault="00000000">
            <w:r>
              <w:t>Formal reports, closed briefings, special government liaison channels.</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CAAC0B7" w14:textId="77777777" w:rsidR="003E4E01" w:rsidRDefault="00000000">
            <w:r>
              <w:rPr>
                <w:b/>
                <w:bCs/>
              </w:rPr>
              <w:t>Manage Closely:</w:t>
            </w:r>
            <w:r>
              <w:t xml:space="preserve"> To get all parties on the same page with regard to the requirements in financing, showing the value of money, as well as making sure that approvals are obtained promptly.</w:t>
            </w:r>
          </w:p>
        </w:tc>
      </w:tr>
      <w:tr w:rsidR="003E4E01" w14:paraId="585F2E5D" w14:textId="77777777">
        <w:trPr>
          <w:trHeight w:val="3125"/>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73377D3F" w14:textId="77777777" w:rsidR="003E4E01" w:rsidRDefault="00000000">
            <w:pPr>
              <w:spacing w:before="240" w:after="240"/>
              <w:rPr>
                <w:b/>
                <w:bCs/>
              </w:rPr>
            </w:pPr>
            <w:r>
              <w:rPr>
                <w:b/>
                <w:bCs/>
              </w:rPr>
              <w:t>Transport for London (TfL)</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32CCC3FC" w14:textId="77777777" w:rsidR="003E4E01" w:rsidRDefault="00000000">
            <w:r>
              <w:t>Project updates, risk assessment, Stakeholders' feedback analysis, and design progress.</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74877C2D" w14:textId="77777777" w:rsidR="003E4E01" w:rsidRDefault="00000000">
            <w:r>
              <w:t>Periodic (weekly/bi-weekly project meetings). Reporting at critical milestones.</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0CB3BE31" w14:textId="77777777" w:rsidR="003E4E01" w:rsidRDefault="00000000">
            <w:r>
              <w:t>In-house project management, official board meetings, and inter-departmental reports.</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66940A62" w14:textId="77777777" w:rsidR="003E4E01" w:rsidRDefault="00000000">
            <w:r>
              <w:rPr>
                <w:b/>
                <w:bCs/>
              </w:rPr>
              <w:t>Manage Closely:</w:t>
            </w:r>
            <w:r>
              <w:t xml:space="preserve"> To control the project, to integrate between departments and to deliver out-of-budget and out-of-schedule.</w:t>
            </w:r>
          </w:p>
        </w:tc>
      </w:tr>
      <w:tr w:rsidR="003E4E01" w14:paraId="7E485C4D" w14:textId="77777777">
        <w:trPr>
          <w:trHeight w:val="3695"/>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56827AAE" w14:textId="77777777" w:rsidR="003E4E01" w:rsidRDefault="00000000">
            <w:pPr>
              <w:spacing w:before="240" w:after="240"/>
              <w:rPr>
                <w:b/>
                <w:bCs/>
              </w:rPr>
            </w:pPr>
            <w:r>
              <w:rPr>
                <w:b/>
                <w:bCs/>
              </w:rPr>
              <w:t>Private Development Partners &amp; Local/Regional Authorities</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66A93755" w14:textId="77777777" w:rsidR="003E4E01" w:rsidRDefault="00000000">
            <w:r>
              <w:t>DLR station design assimilation, location capacity examination, masterplan fitment, and TWAO software advancement.</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04BC94B8" w14:textId="77777777" w:rsidR="003E4E01" w:rsidRDefault="00000000">
            <w:r>
              <w:t>Monthly/quarterly meetings of the partnership. Important workshops in OBC development and TWAO application (up to the fall of 2026).</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51A20C58" w14:textId="77777777" w:rsidR="003E4E01" w:rsidRDefault="00000000">
            <w:r>
              <w:t>Together workforce, official presentations, technical conferences, and e-mails.</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50C059F8" w14:textId="77777777" w:rsidR="003E4E01" w:rsidRDefault="00000000">
            <w:r>
              <w:rPr>
                <w:b/>
                <w:bCs/>
              </w:rPr>
              <w:t xml:space="preserve">Keep Informed: </w:t>
            </w:r>
            <w:r>
              <w:t>In order to achieve a smooth blending of the transport project and the overall waterfront development, to optimise the regeneration benefits.</w:t>
            </w:r>
          </w:p>
        </w:tc>
      </w:tr>
      <w:tr w:rsidR="003E4E01" w14:paraId="1A9785E8" w14:textId="77777777">
        <w:trPr>
          <w:trHeight w:val="3125"/>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3909F4AD" w14:textId="77777777" w:rsidR="003E4E01" w:rsidRDefault="00000000">
            <w:pPr>
              <w:spacing w:before="240" w:after="240"/>
              <w:rPr>
                <w:b/>
                <w:bCs/>
              </w:rPr>
            </w:pPr>
            <w:r>
              <w:rPr>
                <w:b/>
                <w:bCs/>
              </w:rPr>
              <w:t>Local Residents &amp; Community Groups</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DFC70AE" w14:textId="77777777" w:rsidR="003E4E01" w:rsidRDefault="00000000">
            <w:r>
              <w:t>Benefits of the project, building plans, disruption mitigation, summaries of consultation review and feedback.</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687BA943" w14:textId="77777777" w:rsidR="003E4E01" w:rsidRDefault="00000000">
            <w:r>
              <w:t>Communication to the public at the main milestones (OBC completion, TWAO submission). Newsletters during construction (regular).</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6B195850" w14:textId="77777777" w:rsidR="003E4E01" w:rsidRDefault="00000000">
            <w:r>
              <w:t>Town hall meetings, public exhibitions, community newsletters, newspapers, letters, and project websites.</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65DE142" w14:textId="77777777" w:rsidR="003E4E01" w:rsidRDefault="00000000">
            <w:r>
              <w:rPr>
                <w:b/>
                <w:bCs/>
              </w:rPr>
              <w:t>Keep Informed:</w:t>
            </w:r>
            <w:r>
              <w:t xml:space="preserve"> To retain public trust and publicity, keep expectations in check and to have the project leave a positive legacy to the community.</w:t>
            </w:r>
          </w:p>
        </w:tc>
      </w:tr>
      <w:tr w:rsidR="003E4E01" w14:paraId="5AFBEDAA" w14:textId="77777777">
        <w:trPr>
          <w:trHeight w:val="3125"/>
        </w:trPr>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41F8E275" w14:textId="77777777" w:rsidR="003E4E01" w:rsidRDefault="00000000">
            <w:pPr>
              <w:spacing w:before="240" w:after="240"/>
              <w:rPr>
                <w:b/>
                <w:bCs/>
              </w:rPr>
            </w:pPr>
            <w:r>
              <w:rPr>
                <w:b/>
                <w:bCs/>
              </w:rPr>
              <w:t>Business Advocacy Groups (e.g., BusinessLDN)</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04147FCB" w14:textId="77777777" w:rsidR="003E4E01" w:rsidRDefault="00000000">
            <w:r>
              <w:t>The economic impact information (creation of jobs, productivity), financing status, and updates to the project schedule.</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217747B2" w14:textId="77777777" w:rsidR="003E4E01" w:rsidRDefault="00000000">
            <w:r>
              <w:t>Once a quarter, and when major projects are announced.</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78062CEF" w14:textId="77777777" w:rsidR="003E4E01" w:rsidRDefault="00000000">
            <w:r>
              <w:t>Press releases, personal briefings by email, and a conference with top management.</w:t>
            </w:r>
          </w:p>
        </w:tc>
        <w:tc>
          <w:tcPr>
            <w:tcW w:w="0" w:type="auto"/>
            <w:tcBorders>
              <w:top w:val="single" w:sz="5" w:space="0" w:color="808080"/>
              <w:left w:val="single" w:sz="5" w:space="0" w:color="808080"/>
              <w:bottom w:val="single" w:sz="5" w:space="0" w:color="808080"/>
              <w:right w:val="single" w:sz="5" w:space="0" w:color="808080"/>
            </w:tcBorders>
            <w:tcMar>
              <w:top w:w="100" w:type="dxa"/>
              <w:left w:w="100" w:type="dxa"/>
              <w:bottom w:w="100" w:type="dxa"/>
              <w:right w:w="100" w:type="dxa"/>
            </w:tcMar>
          </w:tcPr>
          <w:p w14:paraId="1FF6D2A6" w14:textId="77777777" w:rsidR="003E4E01" w:rsidRDefault="00000000">
            <w:r>
              <w:rPr>
                <w:b/>
                <w:bCs/>
              </w:rPr>
              <w:t xml:space="preserve">Keep Informed: </w:t>
            </w:r>
            <w:r>
              <w:t>To make them external champions who will be able to strengthen the economic case of the project, and be able to support funding in a public manner.</w:t>
            </w:r>
          </w:p>
        </w:tc>
      </w:tr>
    </w:tbl>
    <w:p w14:paraId="0DD977EA" w14:textId="77777777" w:rsidR="003E4E01" w:rsidRDefault="00000000">
      <w:pPr>
        <w:jc w:val="center"/>
      </w:pPr>
      <w:r>
        <w:t>Table 2: Communication Plan</w:t>
      </w:r>
    </w:p>
    <w:p w14:paraId="6ADA07B9" w14:textId="77777777" w:rsidR="003E4E01" w:rsidRDefault="00000000">
      <w:pPr>
        <w:jc w:val="center"/>
      </w:pPr>
      <w:r>
        <w:t>Souce: Szeberenyi, A., 2015; TfL, 2025; Sky News, 2025).</w:t>
      </w:r>
    </w:p>
    <w:p w14:paraId="49673B7E" w14:textId="77777777" w:rsidR="003E4E01" w:rsidRDefault="00000000">
      <w:r>
        <w:t>This plan lays a groundwork of meaningful and productive interaction, which should be supported by a strong dedication to ethical behaviour, by defining not only what can be communicated but also how and why.</w:t>
      </w:r>
    </w:p>
    <w:p w14:paraId="18623135" w14:textId="77777777" w:rsidR="003E4E01" w:rsidRDefault="00000000">
      <w:pPr>
        <w:pStyle w:val="Heading1"/>
      </w:pPr>
      <w:bookmarkStart w:id="12" w:name="_oj1k2ure5oa5"/>
      <w:bookmarkStart w:id="13" w:name="_Toc7"/>
      <w:bookmarkEnd w:id="12"/>
      <w:r>
        <w:t>3.0 Element 3: Ethical Considerations in Stakeholder Consultation</w:t>
      </w:r>
      <w:bookmarkEnd w:id="13"/>
    </w:p>
    <w:p w14:paraId="0A068F54" w14:textId="77777777" w:rsidR="003E4E01" w:rsidRDefault="00000000">
      <w:r>
        <w:t xml:space="preserve">Stakeholder consultation is an ethical behaviour that plays a major role in the success and justifiability of any significant project in the major infrastructure of the population. It goes beyond compliance in the procedures to be the foundation of the trust in the population, to assure fairness in the results and to guarantee the social license to operate the project (Richardson </w:t>
      </w:r>
      <w:r>
        <w:rPr>
          <w:i/>
          <w:iCs/>
        </w:rPr>
        <w:t xml:space="preserve">et al., </w:t>
      </w:r>
      <w:r>
        <w:t>2022). In the case of the DLR Thamesmead Extension, where it is intended to establish a "diverse community of people and businesses," an ethical engagement approach is not a matter of negotiation. It provides that the so-called feedback intended to "shape the scheme" is really representative and that the vision of change toward the region is created jointly with, rather than imposed on, the current community.</w:t>
      </w:r>
    </w:p>
    <w:p w14:paraId="38B55186" w14:textId="77777777" w:rsidR="003E4E01" w:rsidRDefault="00000000">
      <w:r>
        <w:t>The consultation proposed will be based on the same process of "active engagement" that was employed in the strategic masterplan, but it will implement a multi-faceted approach to target the greatest population possible (Richardson</w:t>
      </w:r>
      <w:r>
        <w:rPr>
          <w:i/>
          <w:iCs/>
        </w:rPr>
        <w:t xml:space="preserve"> et al., 2</w:t>
      </w:r>
      <w:r>
        <w:t>022). Some techniques will be mass town hall events to make general announcements, workshops with known community organisations and local businesses to get into details on various issues and online surveys that are accessible to many. A physical presence and accessibility will be achieved through the setting up of a dedicated project information centre in one central location in Thamesmead, which will be manned to answer questions and record feedback.</w:t>
      </w:r>
    </w:p>
    <w:p w14:paraId="1F054A83" w14:textId="77777777" w:rsidR="003E4E01" w:rsidRDefault="00000000">
      <w:r>
        <w:t>The critical evaluation of this approach entails several major ethical considerations:</w:t>
      </w:r>
    </w:p>
    <w:p w14:paraId="29084C59" w14:textId="77777777" w:rsidR="003E4E01" w:rsidRDefault="00000000">
      <w:r>
        <w:rPr>
          <w:b/>
          <w:bCs/>
        </w:rPr>
        <w:t xml:space="preserve">Data Collection and Privacy: </w:t>
      </w:r>
      <w:r>
        <w:t xml:space="preserve">All the feedback, irrespective of the mode of delivery (online, written and face to face), will be considered valuable data. An effective privacy policy will be mentioned at all collection points, which will detail how the personal information will be safely stored and anonymised to be analysed. It will be clearly stated to the participants how their input will be used to impact the project decisions, making it a clear process whereby the contributors know how their feedback will be used to shape the scheme (Choi </w:t>
      </w:r>
      <w:r>
        <w:rPr>
          <w:i/>
          <w:iCs/>
        </w:rPr>
        <w:t>et al.,</w:t>
      </w:r>
      <w:r>
        <w:t xml:space="preserve"> 2019).</w:t>
      </w:r>
    </w:p>
    <w:p w14:paraId="3E65B41F" w14:textId="77777777" w:rsidR="003E4E01" w:rsidRDefault="00000000">
      <w:r>
        <w:rPr>
          <w:b/>
          <w:bCs/>
        </w:rPr>
        <w:t>Mitigating Bias:</w:t>
      </w:r>
      <w:r>
        <w:t xml:space="preserve"> There may be certain forms of bias in the consultation processes that may exclude some voices. A hybrid communication strategy is necessary to counter this. Given the possibility that the digital channel may cut out the older residents or those with limited access to the internet, all the essential information and surveys will also be sent out by post and be available in the project information centre (Higgins and Stark, 2021). Moreover, the time-wise public meetings and workshops will be arranged at different times: evenings and weekends, so that the working residents and the people with caring duties can have an equal chance to attend the workshops.</w:t>
      </w:r>
    </w:p>
    <w:p w14:paraId="5EBBCF2B" w14:textId="77777777" w:rsidR="003E4E01" w:rsidRDefault="00000000">
      <w:r>
        <w:rPr>
          <w:b/>
          <w:bCs/>
        </w:rPr>
        <w:t>Diversity, Equity, and Inclusion (DEI):</w:t>
      </w:r>
      <w:r>
        <w:t xml:space="preserve"> The proactive inclusiveness is core to the development of a "diverse community”. The engagement plan will not merely be a passive invitation strategy but will actively look into engaging a representative cross-section of the community (Iyer, 2022). This will be through cooperation with local forums and organisations that represent various demographic, cultural and economic groups within Thamesmead and Beckton Riverside. This makes sure that a single group does not control the feedback, but the veritable diversity of the area is reflected, resulting in a fairer and socially sustainable project result (De Luca </w:t>
      </w:r>
      <w:r>
        <w:rPr>
          <w:i/>
          <w:iCs/>
        </w:rPr>
        <w:t xml:space="preserve">et al., </w:t>
      </w:r>
      <w:r>
        <w:t>2022).</w:t>
      </w:r>
    </w:p>
    <w:p w14:paraId="66079084" w14:textId="77777777" w:rsidR="003E4E01" w:rsidRDefault="00000000">
      <w:r>
        <w:t xml:space="preserve">A systematic review process will be used to give feedback so that it is meaningfully incorporated. All the comments and suggestions will be entered in the central database and examined so as to derive important themes and concerns (Miksa </w:t>
      </w:r>
      <w:r>
        <w:rPr>
          <w:i/>
          <w:iCs/>
        </w:rPr>
        <w:t xml:space="preserve">et al., </w:t>
      </w:r>
      <w:r>
        <w:t>2021). These will be summarised in periodic consultation reports that will be published and which will be directly used to direct key project documentation, such as the Outline Business Case and the Transport and Works Act Order (TWAO) application (Department for Transport, 2022). More importantly, the project team will report back to the community and show how their feedback has been taken into account and the reasoning that has informed the selection of key design and planning decisions. This completes the feedback loop, strengthens trust, and approves the input of all the participants. Such a promise to an ethical and transparent process is not just a good practice; it is directly related to the value of the project in the end.</w:t>
      </w:r>
    </w:p>
    <w:p w14:paraId="4B40075F" w14:textId="77777777" w:rsidR="003E4E01" w:rsidRDefault="003E4E01">
      <w:pPr>
        <w:pStyle w:val="Heading1"/>
      </w:pPr>
      <w:bookmarkStart w:id="14" w:name="_3gglnsq92yut"/>
      <w:bookmarkEnd w:id="14"/>
    </w:p>
    <w:p w14:paraId="7267A52B" w14:textId="77777777" w:rsidR="003E4E01" w:rsidRDefault="00000000">
      <w:pPr>
        <w:pStyle w:val="Heading1"/>
      </w:pPr>
      <w:bookmarkStart w:id="15" w:name="_6bnqjnbxqyui"/>
      <w:bookmarkStart w:id="16" w:name="_Toc8"/>
      <w:bookmarkEnd w:id="15"/>
      <w:r>
        <w:t>4.0 Element 4: Conclusion and Reflection</w:t>
      </w:r>
      <w:bookmarkEnd w:id="16"/>
    </w:p>
    <w:p w14:paraId="0D3864C6" w14:textId="77777777" w:rsidR="003E4E01" w:rsidRDefault="00000000">
      <w:r>
        <w:t>This Stakeholder Management Plan provides the framework of the complex relations which surround the DLR Thamesmead Extension. Going beyond the identification of high-level identification to granular analysis, strategic mapping, and creation of a targeted communication plan, it provides a clear roadmap on how to engage all the key parties. Such a disciplined practice is needed to bring various interests into line, to manage the expectations and to make sure that the project proceeds with smooth progression on its present business case through the construction and ultimately the running in the first half of the 2030s. The plan places emphasis on the fact that stakeholder management is not an administrative process but rather a fundamental strategic activity of a project of this scale and transformative nature.</w:t>
      </w:r>
    </w:p>
    <w:p w14:paraId="477EC709" w14:textId="77777777" w:rsidR="003E4E01" w:rsidRDefault="00000000">
      <w:r>
        <w:t>Reflecting on the critical importance of stakeholder engagement, as a Junior Stakeholder Manager, I can conclude that it is not just a procedural process that promotes the success of the project and its long-term sustainability, but one of the key factors. Even the DLR Thamesmead Extension is a good testimony to this rule. It is the overwhelming support of the project during the first public consultation that triggered the transition of the project to the realisation of a strategic vision into the development of a formal business case. The fact that it did so early did more than a procedural necessity; it created an effective wave of momentum and gave TfL and its partners the social licence and political confidence they needed to invest in the next step. In the absence of such a backbone, the project may not have progressed at all, and hence it proves that the buy-in by the people and political goodwill is just as important as technical or financial viability.</w:t>
      </w:r>
    </w:p>
    <w:p w14:paraId="65A68C91" w14:textId="77777777" w:rsidR="003E4E01" w:rsidRDefault="00000000">
      <w:r>
        <w:t xml:space="preserve">Furthermore, effective engagement enhances both the design and the legitimacy of the outcome (Kujala </w:t>
      </w:r>
      <w:r>
        <w:rPr>
          <w:i/>
          <w:iCs/>
        </w:rPr>
        <w:t>et al.</w:t>
      </w:r>
      <w:r>
        <w:t>, 2022). The Thamesmead Waterfront Strategic Masterplan was not developed in a vacuum, but rather was a result of an intensive process of active consultation with the residents, businesses and community organisations. Themes that were elicited during these discussions, such as the value of being connected, nature, and gradual transformation, to some extent, became the principles that guided the whole strategic response. This co-creation approach will ensure that the development is based on the real needs and hopes of the community where it is being created. What is achieved is not just a technically viable plan but a common vision, which is more likely to be accepted, maintained, and treasured by locals way beyond the completion of the construction project.</w:t>
      </w:r>
    </w:p>
    <w:p w14:paraId="416B90E2" w14:textId="77777777" w:rsidR="003E4E01" w:rsidRDefault="00000000">
      <w:r>
        <w:t xml:space="preserve">Risk mitigation also requires the use of proactive engagement. With open feedback mechanisms in place, the project team will be able to detect possible conflicts, concerns of the community, or design problems at the beginning of the lifecycle, before these issues turn into expensive delays or publicity crises (Can </w:t>
      </w:r>
      <w:r>
        <w:rPr>
          <w:i/>
          <w:iCs/>
        </w:rPr>
        <w:t>et al.</w:t>
      </w:r>
      <w:r>
        <w:t>, 2021). The feedback collection to influence the scheme process, in a way, is a never-ending risk-scanning practice that allows for correcting the course and proves responsive and responsible project leadership. This helps to build trust and minimise chances of resistance when critical approvals have to be made, such as when applying the Transport and Works Act Order.</w:t>
      </w:r>
    </w:p>
    <w:p w14:paraId="56A211C1" w14:textId="77777777" w:rsidR="003E4E01" w:rsidRDefault="00000000">
      <w:r>
        <w:t>Finally, I believe that the success of the DLR Thamesmead Extension will not be determined by how the extension was completed on time, on budget, but rather how it is incorporated into the community over time. It is an initiative that aims to change the living conditions, jobs, and recreational opportunities of thousands of individuals. The major mechanism of making this transformation positive, fair, and sustainable is effective stakeholder engagement. The process of the significant public infrastructural assets is to be turned into an appreciated community resource. It will provide a legacy of connectivity and prosperity to the people of Thamesmead, Beckton, and East London throughout the next generations.</w:t>
      </w:r>
      <w:r>
        <w:br w:type="page" w:clear="all"/>
      </w:r>
    </w:p>
    <w:p w14:paraId="22900948" w14:textId="77777777" w:rsidR="003E4E01" w:rsidRDefault="00000000">
      <w:pPr>
        <w:pStyle w:val="Heading1"/>
      </w:pPr>
      <w:bookmarkStart w:id="17" w:name="_69rlttt9s2xj"/>
      <w:bookmarkStart w:id="18" w:name="_Toc9"/>
      <w:bookmarkEnd w:id="17"/>
      <w:r>
        <w:t>Reference</w:t>
      </w:r>
      <w:bookmarkEnd w:id="18"/>
    </w:p>
    <w:p w14:paraId="0AC0E5C7" w14:textId="77777777" w:rsidR="003E4E01" w:rsidRDefault="00000000">
      <w:pPr>
        <w:spacing w:before="240" w:after="240"/>
      </w:pPr>
      <w:r>
        <w:t xml:space="preserve">Can Saglam, Y., Yildiz Çankaya, S. and Sezen, B., 2021. Proactive risk mitigation strategies and supply chain risk management performance: an empirical analysis for manufacturing firms in Turkey. </w:t>
      </w:r>
      <w:r>
        <w:rPr>
          <w:i/>
          <w:iCs/>
        </w:rPr>
        <w:t>Journal of Manufacturing Technology Management</w:t>
      </w:r>
      <w:r>
        <w:t xml:space="preserve">, </w:t>
      </w:r>
      <w:r>
        <w:rPr>
          <w:i/>
          <w:iCs/>
        </w:rPr>
        <w:t>32</w:t>
      </w:r>
      <w:r>
        <w:t>(6), pp.1224-1244.</w:t>
      </w:r>
    </w:p>
    <w:p w14:paraId="253BB5DF" w14:textId="77777777" w:rsidR="003E4E01" w:rsidRDefault="00000000">
      <w:r>
        <w:t>Chief Secretary to the Treasury (2025). UK Infrastructure: A 10 Year Strategy (CP 1344). HM Treasury. Available at:</w:t>
      </w:r>
      <w:hyperlink r:id="rId20" w:tooltip="https://assets.publishing.service.gov.uk/media/6853c606df3015b374b73656/UK_Infrastructure_A_10_Year_Strategy_TEXT_PRINT.pdf" w:history="1">
        <w:r>
          <w:rPr>
            <w:color w:val="1155CC"/>
            <w:u w:val="single"/>
          </w:rPr>
          <w:t xml:space="preserve"> https://assets.publishing.service.gov.uk/media/6853c606df3015b374b73656/UK_Infrastructure_A_10_Year_Strategy_TEXT_PRINT.pdf</w:t>
        </w:r>
      </w:hyperlink>
      <w:r>
        <w:t>.</w:t>
      </w:r>
    </w:p>
    <w:p w14:paraId="7EBCF6C9" w14:textId="77777777" w:rsidR="003E4E01" w:rsidRDefault="00000000">
      <w:r>
        <w:t xml:space="preserve">Choi, J.P., Jeon, D.S. and Kim, B.C., 2019. Privacy and personal data collection with information externalities. </w:t>
      </w:r>
      <w:r>
        <w:rPr>
          <w:i/>
          <w:iCs/>
        </w:rPr>
        <w:t>Journal of Public Economics</w:t>
      </w:r>
      <w:r>
        <w:t xml:space="preserve">, </w:t>
      </w:r>
      <w:r>
        <w:rPr>
          <w:i/>
          <w:iCs/>
        </w:rPr>
        <w:t>173</w:t>
      </w:r>
      <w:r>
        <w:t>, pp.113-124.</w:t>
      </w:r>
    </w:p>
    <w:p w14:paraId="325487DD" w14:textId="77777777" w:rsidR="003E4E01" w:rsidRDefault="00000000">
      <w:r>
        <w:t xml:space="preserve">De Luca, F., Iaia, L., Mehmood, A. and Vrontis, D., 2022. Can social media improve stakeholder engagement and communication of Sustainable Development Goals? A cross-country analysis. </w:t>
      </w:r>
      <w:r>
        <w:rPr>
          <w:i/>
          <w:iCs/>
        </w:rPr>
        <w:t>Technological forecasting and social change</w:t>
      </w:r>
      <w:r>
        <w:t xml:space="preserve">, </w:t>
      </w:r>
      <w:r>
        <w:rPr>
          <w:i/>
          <w:iCs/>
        </w:rPr>
        <w:t>177</w:t>
      </w:r>
      <w:r>
        <w:t>, p.121525.</w:t>
      </w:r>
    </w:p>
    <w:p w14:paraId="6FECF316" w14:textId="77777777" w:rsidR="003E4E01" w:rsidRDefault="00000000">
      <w:pPr>
        <w:spacing w:after="240"/>
      </w:pPr>
      <w:r>
        <w:t xml:space="preserve">Department for Transport (2022). </w:t>
      </w:r>
      <w:r>
        <w:rPr>
          <w:i/>
          <w:iCs/>
        </w:rPr>
        <w:t>Transport and Works Act orders: a brief guide</w:t>
      </w:r>
      <w:r>
        <w:t xml:space="preserve">. [online] GOV.UK. Available at: </w:t>
      </w:r>
      <w:hyperlink r:id="rId21" w:anchor=":~:text=An%20order%20made%20under%20the,are%20described%20in%20this%20guide" w:tooltip="https://www.gov.uk/government/publications/transport-and-works-act-orders-a-brief-guide-2006#:~:text=An%20order%20made%20under%20the,are%20described%20in%20this%20guide" w:history="1">
        <w:r>
          <w:rPr>
            <w:color w:val="1155CC"/>
            <w:u w:val="single"/>
          </w:rPr>
          <w:t>https://www.gov.uk/government/publications/transport-and-works-act-orders-a-brief-guide-2006#:~:text=An%20order%20made%20under%20the,are%20described%20in%20this%20guide</w:t>
        </w:r>
      </w:hyperlink>
      <w:r>
        <w:t xml:space="preserve"> [Accessed 6 Dec. 2025].</w:t>
      </w:r>
    </w:p>
    <w:p w14:paraId="70368FF8" w14:textId="77777777" w:rsidR="003E4E01" w:rsidRDefault="00000000">
      <w:r>
        <w:t xml:space="preserve">Higgins, M. and Stark, R.K., 2021. Mitigating implicit bias. </w:t>
      </w:r>
      <w:r>
        <w:rPr>
          <w:i/>
          <w:iCs/>
        </w:rPr>
        <w:t>American Libraries</w:t>
      </w:r>
      <w:r>
        <w:t xml:space="preserve">, </w:t>
      </w:r>
      <w:r>
        <w:rPr>
          <w:i/>
          <w:iCs/>
        </w:rPr>
        <w:t>52</w:t>
      </w:r>
      <w:r>
        <w:t>(1/2), pp.44-47.</w:t>
      </w:r>
    </w:p>
    <w:p w14:paraId="783E1C65" w14:textId="77777777" w:rsidR="003E4E01" w:rsidRDefault="00000000">
      <w:pPr>
        <w:spacing w:after="240"/>
      </w:pPr>
      <w:r>
        <w:t xml:space="preserve">Hunt, S. (2025). </w:t>
      </w:r>
      <w:r>
        <w:rPr>
          <w:i/>
          <w:iCs/>
        </w:rPr>
        <w:t>Reeves to give go-ahead to DLR Thamesmead extension at Budget</w:t>
      </w:r>
      <w:r>
        <w:t xml:space="preserve">. [online] City AM. Available at: </w:t>
      </w:r>
      <w:hyperlink r:id="rId22" w:tooltip="https://www.cityam.com/reeves-to-give-go-ahead-to-dlr-thamesmead-extension-at-budget" w:history="1">
        <w:r>
          <w:rPr>
            <w:color w:val="1155CC"/>
            <w:u w:val="single"/>
          </w:rPr>
          <w:t>https://www.cityam.com/reeves-to-give-go-ahead-to-dlr-thamesmead-extension-at-budget</w:t>
        </w:r>
      </w:hyperlink>
      <w:r>
        <w:t xml:space="preserve">  [Accessed 6 Dec. 2025].</w:t>
      </w:r>
    </w:p>
    <w:p w14:paraId="01D43FEA" w14:textId="77777777" w:rsidR="003E4E01" w:rsidRDefault="00000000">
      <w:r>
        <w:t xml:space="preserve">Iyer, A., 2022. Understanding advantaged groups' opposition to diversity, equity, and inclusion (DEI) policies: The role of perceived threat. </w:t>
      </w:r>
      <w:r>
        <w:rPr>
          <w:i/>
          <w:iCs/>
        </w:rPr>
        <w:t>Social and Personality Psychology Compass</w:t>
      </w:r>
      <w:r>
        <w:t xml:space="preserve">, </w:t>
      </w:r>
      <w:r>
        <w:rPr>
          <w:i/>
          <w:iCs/>
        </w:rPr>
        <w:t>16</w:t>
      </w:r>
      <w:r>
        <w:t>(5), p.e12666.</w:t>
      </w:r>
    </w:p>
    <w:p w14:paraId="46A492CE" w14:textId="77777777" w:rsidR="003E4E01" w:rsidRDefault="00000000">
      <w:r>
        <w:t xml:space="preserve">Kujala, J., Sachs, S., Leinonen, H., Heikkinen, A. and Laude, D., 2022. Stakeholder engagement: Past, present, and future. </w:t>
      </w:r>
      <w:r>
        <w:rPr>
          <w:i/>
          <w:iCs/>
        </w:rPr>
        <w:t>Business &amp; Society</w:t>
      </w:r>
      <w:r>
        <w:t xml:space="preserve">, </w:t>
      </w:r>
      <w:r>
        <w:rPr>
          <w:i/>
          <w:iCs/>
        </w:rPr>
        <w:t>61</w:t>
      </w:r>
      <w:r>
        <w:t>(5), pp.1136-1196.</w:t>
      </w:r>
    </w:p>
    <w:p w14:paraId="32A0B56B" w14:textId="77777777" w:rsidR="003E4E01" w:rsidRDefault="00000000">
      <w:pPr>
        <w:spacing w:after="240"/>
      </w:pPr>
      <w:r>
        <w:t xml:space="preserve">London City Hall. (2025). </w:t>
      </w:r>
      <w:r>
        <w:rPr>
          <w:i/>
          <w:iCs/>
        </w:rPr>
        <w:t>Transport Committee</w:t>
      </w:r>
      <w:r>
        <w:t xml:space="preserve">. [online] Available at: </w:t>
      </w:r>
      <w:hyperlink r:id="rId23" w:tooltip="https://www.london.gov.uk/who-we-are/what-london-assembly-does/london-assembly-committees/transport-committe" w:history="1">
        <w:r>
          <w:rPr>
            <w:color w:val="1155CC"/>
            <w:u w:val="single"/>
          </w:rPr>
          <w:t>https://www.london.gov.uk/who-we-are/what-london-assembly-does/london-assembly-committees/transport-committe</w:t>
        </w:r>
      </w:hyperlink>
      <w:r>
        <w:t>.</w:t>
      </w:r>
    </w:p>
    <w:p w14:paraId="5A5C8669" w14:textId="77777777" w:rsidR="003E4E01" w:rsidRDefault="00000000">
      <w:pPr>
        <w:spacing w:after="240"/>
      </w:pPr>
      <w:r>
        <w:t xml:space="preserve">Lonodon.gov.uk (2024). </w:t>
      </w:r>
      <w:r>
        <w:rPr>
          <w:i/>
          <w:iCs/>
        </w:rPr>
        <w:t>Thamesmead and Abbey Wood Opportunity Area | London City Hall</w:t>
      </w:r>
      <w:r>
        <w:t xml:space="preserve">. [online] www.london.gov.uk. Available at: </w:t>
      </w:r>
      <w:hyperlink r:id="rId24" w:tooltip="https://www.london.gov.uk/programmes-strategies/planning/implementing-london-plan/londons-opportunity-areas/oa-locations/thamesmead-and-abbey-wood-opportunity-area" w:history="1">
        <w:r>
          <w:rPr>
            <w:color w:val="1155CC"/>
            <w:u w:val="single"/>
          </w:rPr>
          <w:t>https://www.london.gov.uk/programmes-strategies/planning/implementing-london-plan/londons-opportunity-areas/oa-locations/thamesmead-and-abbey-wood-opportunity-area</w:t>
        </w:r>
      </w:hyperlink>
      <w:r>
        <w:t xml:space="preserve">  [Accessed 6 Dec. 2025].</w:t>
      </w:r>
    </w:p>
    <w:p w14:paraId="2A9D615B" w14:textId="77777777" w:rsidR="003E4E01" w:rsidRDefault="00000000">
      <w:pPr>
        <w:spacing w:after="240"/>
      </w:pPr>
      <w:r>
        <w:t xml:space="preserve">Lydall, R. (2025). </w:t>
      </w:r>
      <w:r>
        <w:rPr>
          <w:i/>
          <w:iCs/>
        </w:rPr>
        <w:t>DLR extension to Thamesmead: Sadiq Khan’s ‘dream’ project makes progress after Government boost</w:t>
      </w:r>
      <w:r>
        <w:t xml:space="preserve">. [online] The Standard. Available at: </w:t>
      </w:r>
      <w:hyperlink r:id="rId25" w:tooltip="https://www.standard.co.uk/news/transport/dlr-extension-thamesmead-new-stations-tfl-consultation-b1234356.html" w:history="1">
        <w:r>
          <w:rPr>
            <w:color w:val="1155CC"/>
            <w:u w:val="single"/>
          </w:rPr>
          <w:t>https://www.standard.co.uk/news/transport/dlr-extension-thamesmead-new-stations-tfl-consultation-b1234356.html</w:t>
        </w:r>
      </w:hyperlink>
      <w:r>
        <w:t xml:space="preserve">  [Accessed 6 Dec. 2025].</w:t>
      </w:r>
    </w:p>
    <w:p w14:paraId="72ACB985" w14:textId="77777777" w:rsidR="003E4E01" w:rsidRDefault="00000000">
      <w:pPr>
        <w:spacing w:after="240"/>
      </w:pPr>
      <w:r>
        <w:t xml:space="preserve">Mercer, K. (2025). </w:t>
      </w:r>
      <w:r>
        <w:rPr>
          <w:i/>
          <w:iCs/>
        </w:rPr>
        <w:t>Treasury expected to back extending London’s DLR to Thamesmead</w:t>
      </w:r>
      <w:r>
        <w:t xml:space="preserve">. [online] Bbc.com. Available at: </w:t>
      </w:r>
      <w:hyperlink r:id="rId26" w:anchor=":~:text=Chancellor%20Rachel%20Reeves%20is%20expected,a%20huge%20cash%20hand%2Dout" w:tooltip="https://www.bbc.com/news/articles/c4gpgrk101yo#:~:text=Chancellor%20Rachel%20Reeves%20is%20expected,a%20huge%20cash%20hand%2Dout" w:history="1">
        <w:r>
          <w:rPr>
            <w:color w:val="1155CC"/>
            <w:u w:val="single"/>
          </w:rPr>
          <w:t>https://www.bbc.com/news/articles/c4gpgrk101yo#:~:text=Chancellor%20Rachel%20Reeves%20is%20expected,a%20huge%20cash%20hand%2Dout</w:t>
        </w:r>
      </w:hyperlink>
      <w:r>
        <w:t xml:space="preserve">  [Accessed 6 Dec. 2025].</w:t>
      </w:r>
    </w:p>
    <w:p w14:paraId="67561EDF" w14:textId="77777777" w:rsidR="003E4E01" w:rsidRDefault="00000000">
      <w:pPr>
        <w:spacing w:after="240"/>
      </w:pPr>
      <w:r>
        <w:t xml:space="preserve">Mike, L.B. (2022). </w:t>
      </w:r>
      <w:r>
        <w:rPr>
          <w:i/>
          <w:iCs/>
        </w:rPr>
        <w:t>DLR Thamesmead extension - London Reconnections</w:t>
      </w:r>
      <w:r>
        <w:t xml:space="preserve">. [online] London Reconnections. Available at: </w:t>
      </w:r>
      <w:hyperlink r:id="rId27" w:tooltip="https://www.londonreconnections.com/2022/mondays-friday-reads-27-june-2022/dlr-extension-to-thamesmead" w:history="1">
        <w:r>
          <w:rPr>
            <w:color w:val="1155CC"/>
            <w:u w:val="single"/>
          </w:rPr>
          <w:t>https://www.londonreconnections.com/2022/mondays-friday-reads-27-june-2022/dlr-extension-to-thamesmead</w:t>
        </w:r>
      </w:hyperlink>
      <w:r>
        <w:t xml:space="preserve">  [Accessed 6 Dec. 2025].</w:t>
      </w:r>
    </w:p>
    <w:p w14:paraId="6DEB3F14" w14:textId="77777777" w:rsidR="003E4E01" w:rsidRDefault="00000000">
      <w:r>
        <w:t xml:space="preserve">Miksa, T., Oblasser, S. and Rauber, A., 2021. Automating research data management using machine-actionable data management plans. </w:t>
      </w:r>
      <w:r>
        <w:rPr>
          <w:i/>
          <w:iCs/>
        </w:rPr>
        <w:t>ACM Transactions on Management Information Systems (TMIS)</w:t>
      </w:r>
      <w:r>
        <w:t xml:space="preserve">, </w:t>
      </w:r>
      <w:r>
        <w:rPr>
          <w:i/>
          <w:iCs/>
        </w:rPr>
        <w:t>13</w:t>
      </w:r>
      <w:r>
        <w:t>(2), pp.1-22.</w:t>
      </w:r>
    </w:p>
    <w:p w14:paraId="74DFDBF2" w14:textId="77777777" w:rsidR="003E4E01" w:rsidRDefault="00000000">
      <w:pPr>
        <w:spacing w:after="240"/>
      </w:pPr>
      <w:r>
        <w:t xml:space="preserve">National Wealth Fund. (2025). </w:t>
      </w:r>
      <w:r>
        <w:rPr>
          <w:i/>
          <w:iCs/>
        </w:rPr>
        <w:t>Improving connectivity on the Docklands Light Railway in east and south London | National Wealth Fund</w:t>
      </w:r>
      <w:r>
        <w:t xml:space="preserve">. [online] Available at: </w:t>
      </w:r>
      <w:hyperlink r:id="rId28" w:tooltip="https://www.nationalwealthfund.org.uk/local-authority-case-studies/improving-connectivity-docklands-light-railway-east-and-south-london" w:history="1">
        <w:r>
          <w:rPr>
            <w:color w:val="1155CC"/>
            <w:u w:val="single"/>
          </w:rPr>
          <w:t>https://www.nationalwealthfund.org.uk/local-authority-case-studies/improving-connectivity-docklands-light-railway-east-and-south-london</w:t>
        </w:r>
      </w:hyperlink>
      <w:r>
        <w:t xml:space="preserve">  [Accessed 6 Dec. 2025].</w:t>
      </w:r>
    </w:p>
    <w:p w14:paraId="4B05D284" w14:textId="77777777" w:rsidR="003E4E01" w:rsidRDefault="00000000">
      <w:pPr>
        <w:spacing w:after="240"/>
      </w:pPr>
      <w:r>
        <w:t xml:space="preserve">Prior &amp; Partners. (2021). </w:t>
      </w:r>
      <w:r>
        <w:rPr>
          <w:i/>
          <w:iCs/>
        </w:rPr>
        <w:t>Thamesmead Waterfront Strategic Masterplan | Prior + Partners</w:t>
      </w:r>
      <w:r>
        <w:t xml:space="preserve">. [online] Available at: </w:t>
      </w:r>
      <w:hyperlink r:id="rId29" w:tooltip="https://www.priorandpartners.com/project/thamesmead-waterfront/" w:history="1">
        <w:r>
          <w:rPr>
            <w:color w:val="1155CC"/>
            <w:u w:val="single"/>
          </w:rPr>
          <w:t>https://www.priorandpartners.com/project/thamesmead-waterfront/</w:t>
        </w:r>
      </w:hyperlink>
      <w:r>
        <w:t xml:space="preserve">  [Accessed 6 Dec. 2025].</w:t>
      </w:r>
    </w:p>
    <w:p w14:paraId="3969F8AE" w14:textId="77777777" w:rsidR="003E4E01" w:rsidRDefault="00000000">
      <w:r>
        <w:t xml:space="preserve">Rabechini Jr, R., Abarca, E.A.M., Salcedo, N.U., Saldaña, C.J.P.H. and Paiva, D.C., 2022. Stakeholder management and project management office: Effect on project results. </w:t>
      </w:r>
      <w:r>
        <w:rPr>
          <w:i/>
          <w:iCs/>
        </w:rPr>
        <w:t>Revista de administração de empresas</w:t>
      </w:r>
      <w:r>
        <w:t xml:space="preserve">, </w:t>
      </w:r>
      <w:r>
        <w:rPr>
          <w:i/>
          <w:iCs/>
        </w:rPr>
        <w:t>62</w:t>
      </w:r>
      <w:r>
        <w:t>, pp.e2020-1077.</w:t>
      </w:r>
    </w:p>
    <w:p w14:paraId="3176062D" w14:textId="77777777" w:rsidR="003E4E01" w:rsidRDefault="00000000">
      <w:r>
        <w:t xml:space="preserve">Richardson, E., McEwen, A., Newton-John, T., Crook, A. and Jacobs, C., 2022. Stakeholder consultation. </w:t>
      </w:r>
      <w:r>
        <w:rPr>
          <w:i/>
          <w:iCs/>
        </w:rPr>
        <w:t>Core Outcome Development for Carrier Screening (CODECS) Study: Towards a Core Outcome Set for Reproductive Genetic Carrier Screening</w:t>
      </w:r>
      <w:r>
        <w:t>, p.100.</w:t>
      </w:r>
    </w:p>
    <w:p w14:paraId="17D7B375" w14:textId="77777777" w:rsidR="003E4E01" w:rsidRDefault="00000000">
      <w:pPr>
        <w:spacing w:after="240"/>
      </w:pPr>
      <w:r>
        <w:t xml:space="preserve">Sky News. (2025). </w:t>
      </w:r>
      <w:r>
        <w:rPr>
          <w:i/>
          <w:iCs/>
        </w:rPr>
        <w:t>DLR to be extended to Thamesmead, budget confirms - everything we know so far</w:t>
      </w:r>
      <w:r>
        <w:t xml:space="preserve">. [online] Available at: </w:t>
      </w:r>
      <w:hyperlink r:id="rId30" w:tooltip="https://news.sky.com/story/dlr-to-be-extended-to-thamesmead-budget-confirms-everything-we-know-so-far-1347521" w:history="1">
        <w:r>
          <w:rPr>
            <w:color w:val="1155CC"/>
            <w:u w:val="single"/>
          </w:rPr>
          <w:t>https://news.sky.com/story/dlr-to-be-extended-to-thamesmead-budget-confirms-everything-we-know-so-far-1347521</w:t>
        </w:r>
      </w:hyperlink>
      <w:r>
        <w:t xml:space="preserve">  [Accessed 6 Dec. 2025].</w:t>
      </w:r>
    </w:p>
    <w:p w14:paraId="490C5171" w14:textId="77777777" w:rsidR="003E4E01" w:rsidRDefault="00000000">
      <w:r>
        <w:t>SNC-Lavalin Atkins (2019). Rail Capability: Engineering, Design, and Project Management (Rail Brochure). [online] SNC-Lavalin Atkins. Available at:</w:t>
      </w:r>
      <w:hyperlink r:id="rId31" w:tooltip="https://www.atkinsrealis.com/~/media/Files/A/atkinsrealis/download-centre/en/capability-statement/sncl%20atkins%20rail%20brochure%202019_ausrail.pdf" w:history="1">
        <w:r>
          <w:rPr>
            <w:color w:val="1155CC"/>
            <w:u w:val="single"/>
          </w:rPr>
          <w:t xml:space="preserve"> https://www.atkinsrealis.com/~/media/Files/A/atkinsrealis/download-centre/en/capability-statement/sncl%20atkins%20rail%20brochure%202019_ausrail.pdf</w:t>
        </w:r>
      </w:hyperlink>
      <w:r>
        <w:t>.</w:t>
      </w:r>
    </w:p>
    <w:p w14:paraId="789D2FE4" w14:textId="77777777" w:rsidR="003E4E01" w:rsidRDefault="00000000">
      <w:pPr>
        <w:spacing w:before="240" w:after="240"/>
      </w:pPr>
      <w:r>
        <w:t xml:space="preserve">Szeberenyi, A., 2015. </w:t>
      </w:r>
      <w:r>
        <w:rPr>
          <w:i/>
          <w:iCs/>
        </w:rPr>
        <w:t>Project Communication Plan</w:t>
      </w:r>
      <w:r>
        <w:t xml:space="preserve"> (No. AIDA-2020-MS4).‌</w:t>
      </w:r>
    </w:p>
    <w:p w14:paraId="414347D9" w14:textId="77777777" w:rsidR="003E4E01" w:rsidRDefault="00000000">
      <w:pPr>
        <w:spacing w:after="240"/>
      </w:pPr>
      <w:r>
        <w:t xml:space="preserve">TFL (2024). </w:t>
      </w:r>
      <w:r>
        <w:rPr>
          <w:i/>
          <w:iCs/>
        </w:rPr>
        <w:t>Extending the Docklands Light Railway to Beckton Riverside and Thamesmead</w:t>
      </w:r>
      <w:r>
        <w:t xml:space="preserve">. [online] Have Your Say Transport for London. Available at: </w:t>
      </w:r>
      <w:hyperlink r:id="rId32" w:tooltip="https://haveyoursay.tfl.gov.uk/dlr-extension" w:history="1">
        <w:r>
          <w:rPr>
            <w:color w:val="1155CC"/>
            <w:u w:val="single"/>
          </w:rPr>
          <w:t>https://haveyoursay.tfl.gov.uk/dlr-extension</w:t>
        </w:r>
      </w:hyperlink>
      <w:r>
        <w:t xml:space="preserve">  [Accessed 6 Dec. 2025].</w:t>
      </w:r>
    </w:p>
    <w:p w14:paraId="4D2819C9" w14:textId="77777777" w:rsidR="003E4E01" w:rsidRDefault="00000000">
      <w:r>
        <w:t>TfL (2025). Options analysis technical report: Extending the DLR to Beckton Riverside and Thamesmead (Consultation 2025). [online] Transport for London (TfL). Available at:</w:t>
      </w:r>
      <w:hyperlink r:id="rId33" w:tooltip="https://ehq-production-europe.s3.eu-west-1.amazonaws.com/141d2d08a1bd16f0f8849f552b843f494670e984/original/1750333478/b5b1f96d7fe60194ee75cb65ade91d7b_technical-document-2-options-analysis-technical-report.pdf?X-Amz-Algorithm=AWS4-HMAC-SHA256&amp;X-Amz-Credential=" w:history="1">
        <w:r>
          <w:rPr>
            <w:color w:val="1155CC"/>
            <w:u w:val="single"/>
          </w:rPr>
          <w:t xml:space="preserve"> https://ehq-production-europe.s3.eu-west-1.amazonaws.com/141d2d08a1bd16f0f8849f552b843f494670e984/original/1750333478/b5b1f96d7fe60194ee75cb65ade91d7b_technical-document-2-options-analysis-technical-report.pdf?X-Amz-Algorithm=AWS4-HMAC-SHA256&amp;X-Amz-Credential=AKIA4KKNQAKIPIPQP5NM%2F20251205%2Feu-west-1%2Fs3%2Faws4_request&amp;X-Amz-Date=20251205T143936Z&amp;X-Amz-Expires=300&amp;X-Amz-SignedHeaders=host&amp;X-Amz-Signature=925c942f457b68cd9c1cf11eaa2c998422c92f9818738e097c0d36cbea2c0feb</w:t>
        </w:r>
      </w:hyperlink>
      <w:r>
        <w:t>.</w:t>
      </w:r>
    </w:p>
    <w:p w14:paraId="16721893" w14:textId="77777777" w:rsidR="003E4E01" w:rsidRDefault="00000000">
      <w:pPr>
        <w:spacing w:after="240"/>
      </w:pPr>
      <w:r>
        <w:t xml:space="preserve">Thomas, T. (2024). </w:t>
      </w:r>
      <w:r>
        <w:rPr>
          <w:i/>
          <w:iCs/>
        </w:rPr>
        <w:t>TfL to progress DLR extension to business case stage - The Tunnelling Journal</w:t>
      </w:r>
      <w:r>
        <w:t xml:space="preserve">. [online] The Tunnelling Journal. Available at: </w:t>
      </w:r>
      <w:hyperlink r:id="rId34" w:tooltip="https://tunnellingjournal.com/tfl-to-progress-dlr-extension-to-business-case-stage/" w:history="1">
        <w:r>
          <w:rPr>
            <w:color w:val="1155CC"/>
            <w:u w:val="single"/>
          </w:rPr>
          <w:t>https://tunnellingjournal.com/tfl-to-progress-dlr-extension-to-business-case-stage/</w:t>
        </w:r>
      </w:hyperlink>
      <w:r>
        <w:t xml:space="preserve">  [Accessed 6 Dec. 2025].</w:t>
      </w:r>
    </w:p>
    <w:p w14:paraId="3225901A" w14:textId="77777777" w:rsidR="003E4E01" w:rsidRDefault="00000000">
      <w:pPr>
        <w:spacing w:after="240"/>
      </w:pPr>
      <w:r>
        <w:t xml:space="preserve">Whitehouse, E. (2025). </w:t>
      </w:r>
      <w:r>
        <w:rPr>
          <w:i/>
          <w:iCs/>
        </w:rPr>
        <w:t>Budget 2025: Lower Thames Crossing to get extra £891m</w:t>
      </w:r>
      <w:r>
        <w:t xml:space="preserve">. [online] Bbc.com. Available at: </w:t>
      </w:r>
      <w:hyperlink r:id="rId35" w:tooltip="https://www.bbc.com/news/articles/ce8qee5n7zzo" w:history="1">
        <w:r>
          <w:rPr>
            <w:color w:val="1155CC"/>
            <w:u w:val="single"/>
          </w:rPr>
          <w:t>https://www.bbc.com/news/articles/ce8qee5n7zzo</w:t>
        </w:r>
      </w:hyperlink>
      <w:r>
        <w:t xml:space="preserve">  [Accessed 6 Dec. 2025].</w:t>
      </w:r>
    </w:p>
    <w:p w14:paraId="661600F9" w14:textId="77777777" w:rsidR="003E4E01" w:rsidRDefault="00000000">
      <w:r>
        <w:t>Zhao, F., Chen, J., Qiao, J., Lu, Y., Zhang, X., Mao, H., Lu, S., Gong, X., Liu, S., Wu, X. and Dai, L. (2021). Chemo- and Regioselective Synthesis of Functionalized 1H-imidazo[1,5-a]indol-3(2H)-ones via a Redox-Neutral Rhodium(III)-Catalyzed [4+1] Annulation between Indoles and Alkynes. Advanced Synthesis &amp; Catalysis. Available at:</w:t>
      </w:r>
      <w:hyperlink r:id="rId36" w:tooltip="https://discovery.ucl.ac.uk/id/eprint/10167671/1/revised%20manuscript-20210706.pdf" w:history="1">
        <w:r>
          <w:rPr>
            <w:color w:val="1155CC"/>
            <w:u w:val="single"/>
          </w:rPr>
          <w:t xml:space="preserve"> https://discovery.ucl.ac.uk/id/eprint/10167671/1/revised%20manuscript-20210706.pdf</w:t>
        </w:r>
      </w:hyperlink>
      <w:r>
        <w:t>.</w:t>
      </w:r>
    </w:p>
    <w:p w14:paraId="75302DE4" w14:textId="77777777" w:rsidR="003E4E01" w:rsidRDefault="003E4E01">
      <w:pPr>
        <w:spacing w:before="240" w:after="240"/>
      </w:pPr>
    </w:p>
    <w:p w14:paraId="545D7113" w14:textId="77777777" w:rsidR="003E4E01" w:rsidRDefault="003E4E01"/>
    <w:sectPr w:rsidR="003E4E01">
      <w:footerReference w:type="default" r:id="rId37"/>
      <w:footerReference w:type="first" r:id="rId38"/>
      <w:pgSz w:w="12240" w:h="15840"/>
      <w:pgMar w:top="1440" w:right="1440" w:bottom="1440" w:left="1440" w:header="720" w:footer="720" w:gutter="0"/>
      <w:pgNumType w:start="0"/>
      <w:cols w:space="1701"/>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D8725" w14:textId="77777777" w:rsidR="00C1073E" w:rsidRDefault="00C1073E">
      <w:pPr>
        <w:spacing w:line="240" w:lineRule="auto"/>
      </w:pPr>
      <w:r>
        <w:separator/>
      </w:r>
    </w:p>
  </w:endnote>
  <w:endnote w:type="continuationSeparator" w:id="0">
    <w:p w14:paraId="6772E126" w14:textId="77777777" w:rsidR="00C1073E" w:rsidRDefault="00C107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43C7F" w14:textId="77777777" w:rsidR="003E4E01" w:rsidRDefault="00000000">
    <w:pPr>
      <w:jc w:val="right"/>
    </w:pPr>
    <w:r>
      <w:fldChar w:fldCharType="begin"/>
    </w:r>
    <w:r>
      <w:instrText>PAGE</w:instrText>
    </w:r>
    <w:r>
      <w:fldChar w:fldCharType="separate"/>
    </w:r>
    <w:r w:rsidR="000B58DE">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71A32" w14:textId="77777777" w:rsidR="003E4E01" w:rsidRDefault="003E4E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39B11" w14:textId="77777777" w:rsidR="00C1073E" w:rsidRDefault="00C1073E">
      <w:pPr>
        <w:spacing w:line="240" w:lineRule="auto"/>
      </w:pPr>
      <w:r>
        <w:separator/>
      </w:r>
    </w:p>
  </w:footnote>
  <w:footnote w:type="continuationSeparator" w:id="0">
    <w:p w14:paraId="56F2E79D" w14:textId="77777777" w:rsidR="00C1073E" w:rsidRDefault="00C107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B0D07"/>
    <w:multiLevelType w:val="multilevel"/>
    <w:tmpl w:val="104A4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1123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E01"/>
    <w:rsid w:val="000B58DE"/>
    <w:rsid w:val="003E4E01"/>
    <w:rsid w:val="00B82F94"/>
    <w:rsid w:val="00C107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DB252"/>
  <w15:docId w15:val="{AC98C0A6-8DF7-43B4-B4AC-89A8847EA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outlineLvl w:val="0"/>
    </w:pPr>
    <w:rPr>
      <w:b/>
      <w:bCs/>
      <w:sz w:val="28"/>
      <w:szCs w:val="28"/>
    </w:rPr>
  </w:style>
  <w:style w:type="paragraph" w:styleId="Heading2">
    <w:name w:val="heading 2"/>
    <w:basedOn w:val="Normal"/>
    <w:next w:val="Normal"/>
    <w:link w:val="Heading2Char"/>
    <w:pPr>
      <w:keepNext/>
      <w:keepLines/>
      <w:outlineLvl w:val="1"/>
    </w:pPr>
    <w:rPr>
      <w:b/>
      <w:bCs/>
      <w:i/>
      <w:iCs/>
      <w:sz w:val="26"/>
      <w:szCs w:val="26"/>
    </w:rPr>
  </w:style>
  <w:style w:type="paragraph" w:styleId="Heading3">
    <w:name w:val="heading 3"/>
    <w:basedOn w:val="Normal"/>
    <w:next w:val="Normal"/>
    <w:link w:val="Heading3Char"/>
    <w:pPr>
      <w:keepNext/>
      <w:keepLines/>
      <w:spacing w:before="320" w:after="80"/>
      <w:outlineLvl w:val="2"/>
    </w:pPr>
    <w:rPr>
      <w:color w:val="434343"/>
      <w:sz w:val="28"/>
      <w:szCs w:val="28"/>
    </w:rPr>
  </w:style>
  <w:style w:type="paragraph" w:styleId="Heading4">
    <w:name w:val="heading 4"/>
    <w:basedOn w:val="Normal"/>
    <w:next w:val="Normal"/>
    <w:link w:val="Heading4Char"/>
    <w:pPr>
      <w:keepNext/>
      <w:keepLines/>
      <w:spacing w:before="280" w:after="80"/>
      <w:outlineLvl w:val="3"/>
    </w:pPr>
    <w:rPr>
      <w:color w:val="666666"/>
    </w:rPr>
  </w:style>
  <w:style w:type="paragraph" w:styleId="Heading5">
    <w:name w:val="heading 5"/>
    <w:basedOn w:val="Normal"/>
    <w:next w:val="Normal"/>
    <w:link w:val="Heading5Char"/>
    <w:pPr>
      <w:keepNext/>
      <w:keepLines/>
      <w:spacing w:before="240" w:after="80"/>
      <w:outlineLvl w:val="4"/>
    </w:pPr>
    <w:rPr>
      <w:color w:val="666666"/>
      <w:sz w:val="22"/>
      <w:szCs w:val="22"/>
    </w:rPr>
  </w:style>
  <w:style w:type="paragraph" w:styleId="Heading6">
    <w:name w:val="heading 6"/>
    <w:basedOn w:val="Normal"/>
    <w:next w:val="Normal"/>
    <w:link w:val="Heading6Char"/>
    <w:pPr>
      <w:keepNext/>
      <w:keepLines/>
      <w:spacing w:before="240" w:after="80"/>
      <w:outlineLvl w:val="5"/>
    </w:pPr>
    <w:rPr>
      <w:i/>
      <w:iCs/>
      <w:color w:val="666666"/>
      <w:sz w:val="22"/>
      <w:szCs w:val="22"/>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
    <w:name w:val="List Table 6 Colorful"/>
    <w:basedOn w:val="TableNormal"/>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pPr>
      <w:spacing w:line="240" w:lineRule="auto"/>
    </w:pPr>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line="240" w:lineRule="auto"/>
    </w:pPr>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pPr>
      <w:spacing w:line="240" w:lineRule="auto"/>
    </w:pPr>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pPr>
      <w:spacing w:line="240" w:lineRule="auto"/>
    </w:pPr>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pPr>
      <w:spacing w:line="240" w:lineRule="auto"/>
    </w:pPr>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pPr>
      <w:spacing w:line="240" w:lineRule="auto"/>
    </w:pPr>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pPr>
      <w:spacing w:line="240" w:lineRule="auto"/>
    </w:pPr>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365F9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365F91" w:themeColor="accent1" w:themeShade="BF"/>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pPr>
      <w:spacing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spacing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line="240" w:lineRule="auto"/>
    </w:pPr>
    <w:rPr>
      <w:i/>
      <w:iCs/>
      <w:color w:val="1F497D" w:themeColor="text2"/>
      <w:sz w:val="18"/>
      <w:szCs w:val="18"/>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OCHeading">
    <w:name w:val="TOC Heading"/>
    <w:uiPriority w:val="39"/>
    <w:unhideWhenUsed/>
  </w:style>
  <w:style w:type="paragraph" w:styleId="TableofFigures">
    <w:name w:val="table of figures"/>
    <w:basedOn w:val="Normal"/>
    <w:next w:val="Normal"/>
    <w:uiPriority w:val="99"/>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keepNext/>
      <w:keepLines/>
      <w:spacing w:after="60"/>
    </w:pPr>
    <w:rPr>
      <w:sz w:val="52"/>
      <w:szCs w:val="52"/>
    </w:rPr>
  </w:style>
  <w:style w:type="paragraph" w:styleId="Subtitle">
    <w:name w:val="Subtitle"/>
    <w:basedOn w:val="Normal"/>
    <w:next w:val="Normal"/>
    <w:link w:val="SubtitleChar"/>
    <w:pPr>
      <w:keepNext/>
      <w:keepLines/>
      <w:spacing w:after="320"/>
    </w:pPr>
    <w:rPr>
      <w:rFonts w:ascii="Arial" w:eastAsia="Arial" w:hAnsi="Arial" w:cs="Arial"/>
      <w:color w:val="666666"/>
      <w:sz w:val="30"/>
      <w:szCs w:val="30"/>
    </w:rPr>
  </w:style>
  <w:style w:type="table" w:customStyle="1" w:styleId="StGen0">
    <w:name w:val="StGen0"/>
    <w:basedOn w:val="TableNormal0"/>
    <w:tblPr>
      <w:tblStyleRowBandSize w:val="1"/>
      <w:tblStyleColBandSize w:val="1"/>
    </w:tblPr>
  </w:style>
  <w:style w:type="table" w:customStyle="1" w:styleId="StGen1">
    <w:name w:val="StGen1"/>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lonodon.gov.uk" TargetMode="External"/><Relationship Id="rId18" Type="http://schemas.openxmlformats.org/officeDocument/2006/relationships/image" Target="media/image3.png"/><Relationship Id="rId26" Type="http://schemas.openxmlformats.org/officeDocument/2006/relationships/hyperlink" Target="https://www.bbc.com/news/articles/c4gpgrk101yo" TargetMode="External"/><Relationship Id="rId39" Type="http://schemas.openxmlformats.org/officeDocument/2006/relationships/fontTable" Target="fontTable.xml"/><Relationship Id="rId21" Type="http://schemas.openxmlformats.org/officeDocument/2006/relationships/hyperlink" Target="https://www.gov.uk/government/publications/transport-and-works-act-orders-a-brief-guide-2006" TargetMode="External"/><Relationship Id="rId34" Type="http://schemas.openxmlformats.org/officeDocument/2006/relationships/hyperlink" Target="https://tunnellingjournal.com/tfl-to-progress-dlr-extension-to-business-case-stage/" TargetMode="External"/><Relationship Id="rId7" Type="http://schemas.openxmlformats.org/officeDocument/2006/relationships/image" Target="media/image1.png"/><Relationship Id="rId12" Type="http://schemas.openxmlformats.org/officeDocument/2006/relationships/image" Target="media/image10.png"/><Relationship Id="rId17" Type="http://schemas.openxmlformats.org/officeDocument/2006/relationships/hyperlink" Target="http://lonodon.gov.uk" TargetMode="External"/><Relationship Id="rId25" Type="http://schemas.openxmlformats.org/officeDocument/2006/relationships/hyperlink" Target="https://www.standard.co.uk/news/transport/dlr-extension-thamesmead-new-stations-tfl-consultation-b1234356.html" TargetMode="External"/><Relationship Id="rId33" Type="http://schemas.openxmlformats.org/officeDocument/2006/relationships/hyperlink" Target="https://ehq-production-europe.s3.eu-west-1.amazonaws.com/141d2d08a1bd16f0f8849f552b843f494670e984/original/1750333478/b5b1f96d7fe60194ee75cb65ade91d7b_technical-document-2-options-analysis-technical-report.pdf?X-Amz-Algorithm=AWS4-HMAC-SHA256&amp;X-Amz-Credential=AKIA4KKNQAKIPIPQP5NM%2F20251205%2Feu-west-1%2Fs3%2Faws4_request&amp;X-Amz-Date=20251205T143936Z&amp;X-Amz-Expires=300&amp;X-Amz-SignedHeaders=host&amp;X-Amz-Signature=925c942f457b68cd9c1cf11eaa2c998422c92f9818738e097c0d36cbea2c0feb"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lonodon.gov.uk" TargetMode="External"/><Relationship Id="rId20" Type="http://schemas.openxmlformats.org/officeDocument/2006/relationships/hyperlink" Target="https://assets.publishing.service.gov.uk/media/6853c606df3015b374b73656/UK_Infrastructure_A_10_Year_Strategy_TEXT_PRINT.pdf" TargetMode="External"/><Relationship Id="rId29" Type="http://schemas.openxmlformats.org/officeDocument/2006/relationships/hyperlink" Target="https://www.priorandpartners.com/project/thamesmead-waterfront/"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hyperlink" Target="https://www.london.gov.uk/programmes-strategies/planning/implementing-london-plan/londons-opportunity-areas/oa-locations/thamesmead-and-abbey-wood-opportunity-area" TargetMode="External"/><Relationship Id="rId32" Type="http://schemas.openxmlformats.org/officeDocument/2006/relationships/hyperlink" Target="https://haveyoursay.tfl.gov.uk/dlr-extension" TargetMode="External"/><Relationship Id="rId37" Type="http://schemas.openxmlformats.org/officeDocument/2006/relationships/footer" Target="footer1.xml"/><Relationship Id="rId40"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image" Target="media/image20.png"/><Relationship Id="rId23" Type="http://schemas.openxmlformats.org/officeDocument/2006/relationships/hyperlink" Target="https://www.london.gov.uk/who-we-are/what-london-assembly-does/london-assembly-committees/transport-committe" TargetMode="External"/><Relationship Id="rId28" Type="http://schemas.openxmlformats.org/officeDocument/2006/relationships/hyperlink" Target="https://www.nationalwealthfund.org.uk/local-authority-case-studies/improving-connectivity-docklands-light-railway-east-and-south-london" TargetMode="External"/><Relationship Id="rId36" Type="http://schemas.openxmlformats.org/officeDocument/2006/relationships/hyperlink" Target="https://discovery.ucl.ac.uk/id/eprint/10167671/1/revised%20manuscript-20210706.pdf" TargetMode="External"/><Relationship Id="rId19" Type="http://schemas.openxmlformats.org/officeDocument/2006/relationships/image" Target="media/image30.png"/><Relationship Id="rId31" Type="http://schemas.openxmlformats.org/officeDocument/2006/relationships/hyperlink" Target="https://www.atkinsrealis.com/~/media/Files/A/atkinsrealis/download-centre/en/capability-statement/sncl%20atkins%20rail%20brochure%202019_ausrail.pdf" TargetMode="External"/><Relationship Id="rId4"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www.cityam.com/reeves-to-give-go-ahead-to-dlr-thamesmead-extension-at-budget" TargetMode="External"/><Relationship Id="rId27" Type="http://schemas.openxmlformats.org/officeDocument/2006/relationships/hyperlink" Target="https://www.londonreconnections.com/2022/mondays-friday-reads-27-june-2022/dlr-extension-to-thamesmead" TargetMode="External"/><Relationship Id="rId30" Type="http://schemas.openxmlformats.org/officeDocument/2006/relationships/hyperlink" Target="https://news.sky.com/story/dlr-to-be-extended-to-thamesmead-budget-confirms-everything-we-know-so-far-1347521" TargetMode="External"/><Relationship Id="rId35" Type="http://schemas.openxmlformats.org/officeDocument/2006/relationships/hyperlink" Target="https://www.bbc.com/news/articles/ce8qee5n7zzo" TargetMode="External"/><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TEXT"/>
        <w:category>
          <w:name w:val="Common"/>
          <w:gallery w:val="placeholder"/>
        </w:category>
        <w:types>
          <w:type w:val="bbPlcHdr"/>
        </w:types>
        <w:behaviors>
          <w:behavior w:val="content"/>
        </w:behaviors>
        <w:guid w:val="{454F484F-42ED-41B4-B643-5FA0B0880015}"/>
      </w:docPartPr>
      <w:docPartBody>
        <w:p w:rsidR="00945549" w:rsidRDefault="00000000">
          <w:r>
            <w:t>Your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5549"/>
    <w:rsid w:val="003825C5"/>
    <w:rsid w:val="00945549"/>
    <w:rsid w:val="00B82F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2F5496"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2F5496"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2F5496"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5Char">
    <w:name w:val="Heading 5 Char"/>
    <w:basedOn w:val="DefaultParagraphFont"/>
    <w:link w:val="Heading5"/>
    <w:uiPriority w:val="9"/>
    <w:rPr>
      <w:rFonts w:ascii="Arial" w:eastAsia="Arial" w:hAnsi="Arial" w:cs="Arial"/>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OCHeading">
    <w:name w:val="TOC Heading"/>
    <w:uiPriority w:val="39"/>
    <w:unhideWhenUsed/>
  </w:style>
  <w:style w:type="paragraph" w:styleId="TableofFigures">
    <w:name w:val="table of figures"/>
    <w:basedOn w:val="Normal"/>
    <w:next w:val="Normal"/>
    <w:uiPriority w:val="99"/>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5134</Words>
  <Characters>29270</Characters>
  <Application>Microsoft Office Word</Application>
  <DocSecurity>0</DocSecurity>
  <Lines>243</Lines>
  <Paragraphs>68</Paragraphs>
  <ScaleCrop>false</ScaleCrop>
  <Company/>
  <LinksUpToDate>false</LinksUpToDate>
  <CharactersWithSpaces>34336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Anonymous</cp:lastModifiedBy>
  <cp:revision>2</cp:revision>
  <dcterms:created xsi:type="dcterms:W3CDTF">2025-12-19T21:12:00Z</dcterms:created>
  <dcterms:modified xsi:type="dcterms:W3CDTF">2025-12-19T21:12:00Z</dcterms:modified>
</cp:coreProperties>
</file>