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DDBE6" w14:textId="77777777" w:rsidR="00567207" w:rsidRPr="002F7A3E" w:rsidRDefault="000E29A1" w:rsidP="000E29A1">
      <w:pPr>
        <w:spacing w:line="360" w:lineRule="auto"/>
        <w:jc w:val="center"/>
        <w:rPr>
          <w:rFonts w:ascii="Times New Roman" w:hAnsi="Times New Roman" w:cs="Times New Roman"/>
          <w:sz w:val="24"/>
          <w:szCs w:val="24"/>
        </w:rPr>
      </w:pPr>
      <w:r w:rsidRPr="002F7A3E">
        <w:rPr>
          <w:rFonts w:ascii="Times New Roman" w:hAnsi="Times New Roman" w:cs="Times New Roman"/>
          <w:sz w:val="24"/>
          <w:szCs w:val="24"/>
        </w:rPr>
        <w:t>Robber Barons vs. Captains of Industry vs. Philanthropists</w:t>
      </w:r>
    </w:p>
    <w:p w14:paraId="0D69B3E4" w14:textId="77777777" w:rsidR="000E29A1" w:rsidRPr="002F7A3E" w:rsidRDefault="000E29A1" w:rsidP="000E29A1">
      <w:pPr>
        <w:spacing w:line="360" w:lineRule="auto"/>
        <w:jc w:val="center"/>
        <w:rPr>
          <w:rFonts w:ascii="Times New Roman" w:hAnsi="Times New Roman" w:cs="Times New Roman"/>
          <w:sz w:val="24"/>
          <w:szCs w:val="24"/>
        </w:rPr>
      </w:pPr>
    </w:p>
    <w:p w14:paraId="2B26E12F" w14:textId="77777777" w:rsidR="000E29A1" w:rsidRPr="002F7A3E" w:rsidRDefault="000E29A1" w:rsidP="00662720">
      <w:pPr>
        <w:pStyle w:val="a3"/>
        <w:numPr>
          <w:ilvl w:val="0"/>
          <w:numId w:val="1"/>
        </w:numPr>
        <w:spacing w:line="360" w:lineRule="auto"/>
        <w:ind w:firstLineChars="0"/>
        <w:jc w:val="left"/>
        <w:rPr>
          <w:rFonts w:ascii="Times New Roman" w:hAnsi="Times New Roman" w:cs="Times New Roman"/>
          <w:sz w:val="24"/>
          <w:szCs w:val="24"/>
        </w:rPr>
      </w:pPr>
      <w:r w:rsidRPr="002F7A3E">
        <w:rPr>
          <w:rFonts w:ascii="Times New Roman" w:hAnsi="Times New Roman" w:cs="Times New Roman"/>
          <w:sz w:val="24"/>
          <w:szCs w:val="24"/>
        </w:rPr>
        <w:t>Introduction</w:t>
      </w:r>
    </w:p>
    <w:p w14:paraId="0D999A20" w14:textId="77777777" w:rsidR="000E29A1" w:rsidRPr="002F7A3E" w:rsidRDefault="000E29A1" w:rsidP="000E29A1">
      <w:pPr>
        <w:spacing w:line="360" w:lineRule="auto"/>
        <w:rPr>
          <w:rFonts w:ascii="Times New Roman" w:hAnsi="Times New Roman" w:cs="Times New Roman"/>
          <w:sz w:val="24"/>
          <w:szCs w:val="24"/>
        </w:rPr>
      </w:pPr>
    </w:p>
    <w:p w14:paraId="58BA6D21" w14:textId="77777777" w:rsidR="000E29A1" w:rsidRPr="002F7A3E" w:rsidRDefault="00772E0F"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As legends of the American society of the last century, John Rockefeller and Andrew Carnegie are worth pursuing their lives. This article will analyze the governance of Rockefeller and Carnegie Corporation and discuss the principles of modern corporate governance. Both Rockefeller and Carnegie were committed to the development of philanthropy in the later period. This article will also analyze the role of</w:t>
      </w:r>
      <w:r w:rsidR="00385866" w:rsidRPr="002F7A3E">
        <w:rPr>
          <w:rFonts w:ascii="Times New Roman" w:hAnsi="Times New Roman" w:cs="Times New Roman"/>
          <w:sz w:val="24"/>
          <w:szCs w:val="24"/>
        </w:rPr>
        <w:t xml:space="preserve"> philanthropic activities</w:t>
      </w:r>
      <w:r w:rsidRPr="002F7A3E">
        <w:rPr>
          <w:rFonts w:ascii="Times New Roman" w:hAnsi="Times New Roman" w:cs="Times New Roman"/>
          <w:sz w:val="24"/>
          <w:szCs w:val="24"/>
        </w:rPr>
        <w:t xml:space="preserve"> and the establishment of Rockefeller and the Carnegie Foundation.</w:t>
      </w:r>
    </w:p>
    <w:p w14:paraId="02F96AFA" w14:textId="77777777" w:rsidR="000E29A1" w:rsidRPr="002F7A3E" w:rsidRDefault="000E29A1" w:rsidP="000E29A1">
      <w:pPr>
        <w:spacing w:line="360" w:lineRule="auto"/>
        <w:rPr>
          <w:rFonts w:ascii="Times New Roman" w:hAnsi="Times New Roman" w:cs="Times New Roman"/>
          <w:sz w:val="24"/>
          <w:szCs w:val="24"/>
        </w:rPr>
      </w:pPr>
    </w:p>
    <w:p w14:paraId="3589A015" w14:textId="5C6BB9E1" w:rsidR="00662720" w:rsidRPr="002F7A3E" w:rsidRDefault="00044CC0" w:rsidP="00662720">
      <w:pPr>
        <w:pStyle w:val="a3"/>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hint="eastAsia"/>
          <w:sz w:val="24"/>
          <w:szCs w:val="24"/>
        </w:rPr>
        <w:t>Stake</w:t>
      </w:r>
      <w:r w:rsidR="009D34A5">
        <w:rPr>
          <w:rFonts w:ascii="Times New Roman" w:hAnsi="Times New Roman" w:cs="Times New Roman" w:hint="eastAsia"/>
          <w:sz w:val="24"/>
          <w:szCs w:val="24"/>
        </w:rPr>
        <w:t xml:space="preserve">holders, </w:t>
      </w:r>
      <w:r w:rsidR="009D34A5">
        <w:rPr>
          <w:rFonts w:ascii="Times New Roman" w:hAnsi="Times New Roman" w:cs="Times New Roman"/>
          <w:sz w:val="24"/>
          <w:szCs w:val="24"/>
        </w:rPr>
        <w:t>governance</w:t>
      </w:r>
      <w:r w:rsidR="009D34A5">
        <w:rPr>
          <w:rFonts w:ascii="Times New Roman" w:hAnsi="Times New Roman" w:cs="Times New Roman" w:hint="eastAsia"/>
          <w:sz w:val="24"/>
          <w:szCs w:val="24"/>
        </w:rPr>
        <w:t xml:space="preserve"> and </w:t>
      </w:r>
      <w:r w:rsidR="009D34A5" w:rsidRPr="009D34A5">
        <w:rPr>
          <w:rFonts w:ascii="Times New Roman" w:hAnsi="Times New Roman" w:cs="Times New Roman"/>
          <w:sz w:val="24"/>
          <w:szCs w:val="24"/>
        </w:rPr>
        <w:t>philanthropic activities</w:t>
      </w:r>
      <w:r w:rsidR="009D34A5" w:rsidRPr="003B5313">
        <w:rPr>
          <w:rFonts w:ascii="Times New Roman" w:hAnsi="Times New Roman" w:cs="Times New Roman"/>
          <w:sz w:val="24"/>
          <w:szCs w:val="24"/>
        </w:rPr>
        <w:t xml:space="preserve"> </w:t>
      </w:r>
      <w:r w:rsidR="009D34A5">
        <w:rPr>
          <w:rFonts w:ascii="Times New Roman" w:hAnsi="Times New Roman" w:cs="Times New Roman" w:hint="eastAsia"/>
          <w:sz w:val="24"/>
          <w:szCs w:val="24"/>
        </w:rPr>
        <w:t xml:space="preserve">about </w:t>
      </w:r>
      <w:r w:rsidR="003B5313" w:rsidRPr="003B5313">
        <w:rPr>
          <w:rFonts w:ascii="Times New Roman" w:hAnsi="Times New Roman" w:cs="Times New Roman"/>
          <w:sz w:val="24"/>
          <w:szCs w:val="24"/>
        </w:rPr>
        <w:t>John D Rockefeller and Andrew Carnegie</w:t>
      </w:r>
    </w:p>
    <w:p w14:paraId="7BCF265C" w14:textId="77777777" w:rsidR="00662720" w:rsidRPr="009D34A5" w:rsidRDefault="00662720" w:rsidP="00662720">
      <w:pPr>
        <w:pStyle w:val="a3"/>
        <w:spacing w:line="360" w:lineRule="auto"/>
        <w:ind w:left="360" w:firstLineChars="0" w:firstLine="0"/>
        <w:rPr>
          <w:rFonts w:ascii="Times New Roman" w:hAnsi="Times New Roman" w:cs="Times New Roman"/>
          <w:sz w:val="24"/>
          <w:szCs w:val="24"/>
        </w:rPr>
      </w:pPr>
    </w:p>
    <w:p w14:paraId="54FF9B5F" w14:textId="133E94DC" w:rsidR="00A17705" w:rsidRPr="002F7A3E" w:rsidRDefault="00A17705"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According to the stakeholder theory, </w:t>
      </w:r>
      <w:r w:rsidR="00C926D5">
        <w:rPr>
          <w:rFonts w:ascii="Times New Roman" w:hAnsi="Times New Roman" w:cs="Times New Roman" w:hint="eastAsia"/>
          <w:sz w:val="24"/>
          <w:szCs w:val="24"/>
        </w:rPr>
        <w:t>f</w:t>
      </w:r>
      <w:r w:rsidR="00C926D5">
        <w:rPr>
          <w:rFonts w:ascii="Times New Roman" w:hAnsi="Times New Roman" w:cs="Times New Roman"/>
          <w:sz w:val="24"/>
          <w:szCs w:val="24"/>
        </w:rPr>
        <w:t xml:space="preserve">or </w:t>
      </w:r>
      <w:r w:rsidR="00C926D5">
        <w:rPr>
          <w:rFonts w:ascii="Times New Roman" w:hAnsi="Times New Roman" w:cs="Times New Roman" w:hint="eastAsia"/>
          <w:sz w:val="24"/>
          <w:szCs w:val="24"/>
        </w:rPr>
        <w:t>b</w:t>
      </w:r>
      <w:r w:rsidR="00C926D5" w:rsidRPr="00C926D5">
        <w:rPr>
          <w:rFonts w:ascii="Times New Roman" w:hAnsi="Times New Roman" w:cs="Times New Roman"/>
          <w:sz w:val="24"/>
          <w:szCs w:val="24"/>
        </w:rPr>
        <w:t>oth John D Rockefeller and Andrew Carnegie</w:t>
      </w:r>
      <w:r w:rsidR="00C926D5">
        <w:rPr>
          <w:rFonts w:ascii="Times New Roman" w:hAnsi="Times New Roman" w:cs="Times New Roman" w:hint="eastAsia"/>
          <w:sz w:val="24"/>
          <w:szCs w:val="24"/>
        </w:rPr>
        <w:t>,</w:t>
      </w:r>
      <w:r w:rsidR="00C926D5" w:rsidRPr="002F7A3E">
        <w:rPr>
          <w:rFonts w:ascii="Times New Roman" w:hAnsi="Times New Roman" w:cs="Times New Roman"/>
          <w:sz w:val="24"/>
          <w:szCs w:val="24"/>
        </w:rPr>
        <w:t xml:space="preserve"> </w:t>
      </w:r>
      <w:r w:rsidRPr="002F7A3E">
        <w:rPr>
          <w:rFonts w:ascii="Times New Roman" w:hAnsi="Times New Roman" w:cs="Times New Roman"/>
          <w:sz w:val="24"/>
          <w:szCs w:val="24"/>
        </w:rPr>
        <w:t>corporate stakeholders include shareholders, corporate employees, creditors, suppliers, ret</w:t>
      </w:r>
      <w:r w:rsidR="003B5313">
        <w:rPr>
          <w:rFonts w:ascii="Times New Roman" w:hAnsi="Times New Roman" w:cs="Times New Roman"/>
          <w:sz w:val="24"/>
          <w:szCs w:val="24"/>
        </w:rPr>
        <w:t>ailers, consumers, competitors</w:t>
      </w:r>
      <w:r w:rsidR="003B5313">
        <w:rPr>
          <w:rFonts w:ascii="Times New Roman" w:hAnsi="Times New Roman" w:cs="Times New Roman" w:hint="eastAsia"/>
          <w:sz w:val="24"/>
          <w:szCs w:val="24"/>
        </w:rPr>
        <w:t xml:space="preserve"> </w:t>
      </w:r>
      <w:r w:rsidRPr="002F7A3E">
        <w:rPr>
          <w:rFonts w:ascii="Times New Roman" w:hAnsi="Times New Roman" w:cs="Times New Roman"/>
          <w:sz w:val="24"/>
          <w:szCs w:val="24"/>
        </w:rPr>
        <w:t>and so on. Generally speaking, the shareholders of an enterprise are the owners of the enterprise and they ask for maximization of the interests of the shareholders</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Kakabadse, 2017</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 However, as an employee of a company, he hopes to obtain good working conditions and rich compensation. As corporate creditors and suppliers, they hope that they can obtain the company’s arrears as soon as possible and establish long-term relationships with them. For consumers, quality products and services are closely related to their interests. In general, companies need to balance the interests of all parties to maximize the company's profits</w:t>
      </w:r>
      <w:r w:rsidR="008905C2" w:rsidRPr="002F7A3E">
        <w:rPr>
          <w:rFonts w:ascii="Times New Roman" w:hAnsi="Times New Roman" w:cs="Times New Roman"/>
          <w:sz w:val="24"/>
          <w:szCs w:val="24"/>
        </w:rPr>
        <w:t xml:space="preserve"> (</w:t>
      </w:r>
      <w:r w:rsidR="002F7A3E">
        <w:rPr>
          <w:rFonts w:ascii="Times New Roman" w:hAnsi="Times New Roman" w:cs="Times New Roman"/>
          <w:color w:val="000000"/>
          <w:sz w:val="24"/>
          <w:szCs w:val="24"/>
          <w:shd w:val="clear" w:color="auto" w:fill="FFFFFF"/>
        </w:rPr>
        <w:t>Themistokles</w:t>
      </w:r>
      <w:r w:rsidR="002F7A3E">
        <w:rPr>
          <w:rFonts w:ascii="Times New Roman" w:hAnsi="Times New Roman" w:cs="Times New Roman" w:hint="eastAsia"/>
          <w:color w:val="000000"/>
          <w:sz w:val="24"/>
          <w:szCs w:val="24"/>
          <w:shd w:val="clear" w:color="auto" w:fill="FFFFFF"/>
        </w:rPr>
        <w:t xml:space="preserve"> </w:t>
      </w:r>
      <w:r w:rsidR="008905C2" w:rsidRPr="002F7A3E">
        <w:rPr>
          <w:rFonts w:ascii="Times New Roman" w:hAnsi="Times New Roman" w:cs="Times New Roman"/>
          <w:color w:val="000000"/>
          <w:sz w:val="24"/>
          <w:szCs w:val="24"/>
          <w:shd w:val="clear" w:color="auto" w:fill="FFFFFF"/>
        </w:rPr>
        <w:t>et al,</w:t>
      </w:r>
      <w:r w:rsidR="002F7A3E">
        <w:rPr>
          <w:rFonts w:ascii="Times New Roman" w:hAnsi="Times New Roman" w:cs="Times New Roman" w:hint="eastAsia"/>
          <w:color w:val="000000"/>
          <w:sz w:val="24"/>
          <w:szCs w:val="24"/>
          <w:shd w:val="clear" w:color="auto" w:fill="FFFFFF"/>
        </w:rPr>
        <w:t xml:space="preserve"> </w:t>
      </w:r>
      <w:r w:rsidR="008905C2" w:rsidRPr="002F7A3E">
        <w:rPr>
          <w:rFonts w:ascii="Times New Roman" w:hAnsi="Times New Roman" w:cs="Times New Roman"/>
          <w:color w:val="000000"/>
          <w:sz w:val="24"/>
          <w:szCs w:val="24"/>
          <w:shd w:val="clear" w:color="auto" w:fill="FFFFFF"/>
        </w:rPr>
        <w:t>2013</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w:t>
      </w:r>
    </w:p>
    <w:p w14:paraId="6CF86067" w14:textId="77777777" w:rsidR="00A17705" w:rsidRPr="002F7A3E" w:rsidRDefault="00A17705" w:rsidP="000E29A1">
      <w:pPr>
        <w:spacing w:line="360" w:lineRule="auto"/>
        <w:rPr>
          <w:rFonts w:ascii="Times New Roman" w:hAnsi="Times New Roman" w:cs="Times New Roman"/>
          <w:sz w:val="24"/>
          <w:szCs w:val="24"/>
        </w:rPr>
      </w:pPr>
    </w:p>
    <w:p w14:paraId="0F9747E8" w14:textId="3C933D58" w:rsidR="0066037E" w:rsidRPr="002F7A3E" w:rsidRDefault="00781A69"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Both John R. Rockefeller and Andrew Carnegie</w:t>
      </w:r>
      <w:r w:rsidR="003B5313">
        <w:rPr>
          <w:rFonts w:ascii="Times New Roman" w:hAnsi="Times New Roman" w:cs="Times New Roman" w:hint="eastAsia"/>
          <w:sz w:val="24"/>
          <w:szCs w:val="24"/>
        </w:rPr>
        <w:t xml:space="preserve"> </w:t>
      </w:r>
      <w:r w:rsidR="003B5313" w:rsidRPr="002F7A3E">
        <w:rPr>
          <w:rFonts w:ascii="Times New Roman" w:hAnsi="Times New Roman" w:cs="Times New Roman"/>
          <w:sz w:val="24"/>
          <w:szCs w:val="24"/>
        </w:rPr>
        <w:t>established the</w:t>
      </w:r>
      <w:r w:rsidRPr="002F7A3E">
        <w:rPr>
          <w:rFonts w:ascii="Times New Roman" w:hAnsi="Times New Roman" w:cs="Times New Roman"/>
          <w:sz w:val="24"/>
          <w:szCs w:val="24"/>
        </w:rPr>
        <w:t xml:space="preserve"> petroleum and steel powers </w:t>
      </w:r>
      <w:r w:rsidR="003B5313">
        <w:rPr>
          <w:rFonts w:ascii="Times New Roman" w:hAnsi="Times New Roman" w:cs="Times New Roman" w:hint="eastAsia"/>
          <w:sz w:val="24"/>
          <w:szCs w:val="24"/>
        </w:rPr>
        <w:t xml:space="preserve">respectively </w:t>
      </w:r>
      <w:r w:rsidR="003B5313">
        <w:rPr>
          <w:rFonts w:ascii="Times New Roman" w:hAnsi="Times New Roman" w:cs="Times New Roman"/>
          <w:sz w:val="24"/>
          <w:szCs w:val="24"/>
        </w:rPr>
        <w:t>le</w:t>
      </w:r>
      <w:r w:rsidR="003B5313">
        <w:rPr>
          <w:rFonts w:ascii="Times New Roman" w:hAnsi="Times New Roman" w:cs="Times New Roman" w:hint="eastAsia"/>
          <w:sz w:val="24"/>
          <w:szCs w:val="24"/>
        </w:rPr>
        <w:t>ading</w:t>
      </w:r>
      <w:r w:rsidRPr="002F7A3E">
        <w:rPr>
          <w:rFonts w:ascii="Times New Roman" w:hAnsi="Times New Roman" w:cs="Times New Roman"/>
          <w:sz w:val="24"/>
          <w:szCs w:val="24"/>
        </w:rPr>
        <w:t xml:space="preserve"> the American economy to leapfrog</w:t>
      </w:r>
      <w:r w:rsidR="003B5313" w:rsidRPr="002F7A3E">
        <w:rPr>
          <w:rFonts w:ascii="Times New Roman" w:hAnsi="Times New Roman" w:cs="Times New Roman"/>
          <w:sz w:val="24"/>
          <w:szCs w:val="24"/>
        </w:rPr>
        <w:t xml:space="preserve"> in the 19</w:t>
      </w:r>
      <w:r w:rsidR="003B5313" w:rsidRPr="002F7A3E">
        <w:rPr>
          <w:rFonts w:ascii="Times New Roman" w:hAnsi="Times New Roman" w:cs="Times New Roman"/>
          <w:sz w:val="24"/>
          <w:szCs w:val="24"/>
          <w:vertAlign w:val="superscript"/>
        </w:rPr>
        <w:t>th</w:t>
      </w:r>
      <w:r w:rsidR="003B5313" w:rsidRPr="002F7A3E">
        <w:rPr>
          <w:rFonts w:ascii="Times New Roman" w:hAnsi="Times New Roman" w:cs="Times New Roman"/>
          <w:sz w:val="24"/>
          <w:szCs w:val="24"/>
        </w:rPr>
        <w:t xml:space="preserve"> century.</w:t>
      </w:r>
      <w:r w:rsidRPr="002F7A3E">
        <w:rPr>
          <w:rFonts w:ascii="Times New Roman" w:hAnsi="Times New Roman" w:cs="Times New Roman"/>
          <w:sz w:val="24"/>
          <w:szCs w:val="24"/>
        </w:rPr>
        <w:t xml:space="preserve"> However, from the perspective of corporate governance, there are both advantages and disadvantages in the governance of Rockefeller and Carnegie</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Bhasin, 2017</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w:t>
      </w:r>
    </w:p>
    <w:p w14:paraId="39AE45C1" w14:textId="77777777" w:rsidR="00781A69" w:rsidRPr="002F7A3E" w:rsidRDefault="00781A69" w:rsidP="000E29A1">
      <w:pPr>
        <w:spacing w:line="360" w:lineRule="auto"/>
        <w:rPr>
          <w:rFonts w:ascii="Times New Roman" w:hAnsi="Times New Roman" w:cs="Times New Roman"/>
          <w:sz w:val="24"/>
          <w:szCs w:val="24"/>
        </w:rPr>
      </w:pPr>
    </w:p>
    <w:p w14:paraId="6DB6D8F9" w14:textId="62E1667B" w:rsidR="00781A69" w:rsidRPr="002F7A3E" w:rsidRDefault="00781A69"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On the one hand, Rockefeller and Carnegie have spared no effort to maximize the company's interests. Senior management personnel behave honestly and ethically, especially in the face of conflicts of interest and the disclosure of financial statements. They can use the company’s interests as the core element in order to conduct effective corporate governance. Undoubtedly, Rockefeller and Carnegie are well-deserved outstanding managers. Under their management, Standard Oil Company monopolizes the US oil market, and Carnegie is also known as the King of Steel</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Bartlett &amp; Talley, 2017</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w:t>
      </w:r>
    </w:p>
    <w:p w14:paraId="1AAEBCD3" w14:textId="77777777" w:rsidR="00781A69" w:rsidRPr="002F7A3E" w:rsidRDefault="00781A69" w:rsidP="000E29A1">
      <w:pPr>
        <w:spacing w:line="360" w:lineRule="auto"/>
        <w:rPr>
          <w:rFonts w:ascii="Times New Roman" w:hAnsi="Times New Roman" w:cs="Times New Roman"/>
          <w:sz w:val="24"/>
          <w:szCs w:val="24"/>
        </w:rPr>
      </w:pPr>
    </w:p>
    <w:p w14:paraId="3C8EA193" w14:textId="77777777" w:rsidR="00781A69" w:rsidRPr="002F7A3E" w:rsidRDefault="00420165"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Nevertheless, corporate governance requires companies to focus on the interests of other stakeholders. Organizations should realize that they have statutory and other obligations for all legitimate stakeholders. Moreover, when the company seeks operating profits, it should be based on integrity and ethical behavior. The company needs to establish ethics for directors and administrators to encourage morality and responsibility in making decisions</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Agrawal &amp; Cooper, 2017</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 xml:space="preserve">. In 1870, Rockefeller's partner, Henry Flagler, had negotiated a deal with the New York Central Railway that gave Standard Oil a rebate of 35 per cent off the published charges – in return for guaranteed volumes. From this it can be seen that the Standard Oil Company is </w:t>
      </w:r>
      <w:r w:rsidR="008905C2" w:rsidRPr="002F7A3E">
        <w:rPr>
          <w:rFonts w:ascii="Times New Roman" w:hAnsi="Times New Roman" w:cs="Times New Roman"/>
          <w:sz w:val="24"/>
          <w:szCs w:val="24"/>
        </w:rPr>
        <w:t>while</w:t>
      </w:r>
      <w:r w:rsidRPr="002F7A3E">
        <w:rPr>
          <w:rFonts w:ascii="Times New Roman" w:hAnsi="Times New Roman" w:cs="Times New Roman"/>
          <w:sz w:val="24"/>
          <w:szCs w:val="24"/>
        </w:rPr>
        <w:t xml:space="preserve"> pursuing profits, it takes into account the interests of consumers and other stakeholders. From a long-term perspective, the company's focus on oil quality shows the integrity of the standard oil company</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Mercier,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w:t>
      </w:r>
    </w:p>
    <w:p w14:paraId="46D963B6" w14:textId="77777777" w:rsidR="0066037E" w:rsidRPr="002F7A3E" w:rsidRDefault="0066037E" w:rsidP="000E29A1">
      <w:pPr>
        <w:spacing w:line="360" w:lineRule="auto"/>
        <w:rPr>
          <w:rFonts w:ascii="Times New Roman" w:hAnsi="Times New Roman" w:cs="Times New Roman"/>
          <w:sz w:val="24"/>
          <w:szCs w:val="24"/>
        </w:rPr>
      </w:pPr>
    </w:p>
    <w:p w14:paraId="1CD318C2" w14:textId="04456FDD" w:rsidR="00420165" w:rsidRPr="002F7A3E" w:rsidRDefault="00420165"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On the other hand, from the perspective of the role of the board of directors, the board of directors</w:t>
      </w:r>
      <w:r w:rsidR="00102FCF">
        <w:rPr>
          <w:rFonts w:ascii="Times New Roman" w:hAnsi="Times New Roman" w:cs="Times New Roman" w:hint="eastAsia"/>
          <w:sz w:val="24"/>
          <w:szCs w:val="24"/>
        </w:rPr>
        <w:t xml:space="preserve"> should be able </w:t>
      </w:r>
      <w:r w:rsidRPr="002F7A3E">
        <w:rPr>
          <w:rFonts w:ascii="Times New Roman" w:hAnsi="Times New Roman" w:cs="Times New Roman"/>
          <w:sz w:val="24"/>
          <w:szCs w:val="24"/>
        </w:rPr>
        <w:t>to assume</w:t>
      </w:r>
      <w:r w:rsidR="00102FCF">
        <w:rPr>
          <w:rFonts w:ascii="Times New Roman" w:hAnsi="Times New Roman" w:cs="Times New Roman" w:hint="eastAsia"/>
          <w:sz w:val="24"/>
          <w:szCs w:val="24"/>
        </w:rPr>
        <w:t xml:space="preserve"> the </w:t>
      </w:r>
      <w:r w:rsidR="00102FCF">
        <w:rPr>
          <w:rFonts w:ascii="Times New Roman" w:hAnsi="Times New Roman" w:cs="Times New Roman"/>
          <w:sz w:val="24"/>
          <w:szCs w:val="24"/>
        </w:rPr>
        <w:t>responsibility</w:t>
      </w:r>
      <w:r w:rsidR="00102FCF">
        <w:rPr>
          <w:rFonts w:ascii="Times New Roman" w:hAnsi="Times New Roman" w:cs="Times New Roman" w:hint="eastAsia"/>
          <w:sz w:val="24"/>
          <w:szCs w:val="24"/>
        </w:rPr>
        <w:t xml:space="preserve"> and the</w:t>
      </w:r>
      <w:r w:rsidRPr="002F7A3E">
        <w:rPr>
          <w:rFonts w:ascii="Times New Roman" w:hAnsi="Times New Roman" w:cs="Times New Roman"/>
          <w:sz w:val="24"/>
          <w:szCs w:val="24"/>
        </w:rPr>
        <w:t xml:space="preserve"> commitment to the work. However, the chairman and chief executive cannot be held by the same person and there is a mechanism to avoid conflicts of interest. In addition, the number of executive directors and independent non-executive directors should be appropriately proportioned to establish an independent monitoring role</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Hermalin &amp; Weisbach, 2017</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 xml:space="preserve">. However, it is clear that </w:t>
      </w:r>
      <w:r w:rsidR="00BC74F9" w:rsidRPr="002F7A3E">
        <w:rPr>
          <w:rFonts w:ascii="Times New Roman" w:hAnsi="Times New Roman" w:cs="Times New Roman"/>
          <w:sz w:val="24"/>
          <w:szCs w:val="24"/>
        </w:rPr>
        <w:t>Standard</w:t>
      </w:r>
      <w:r w:rsidRPr="002F7A3E">
        <w:rPr>
          <w:rFonts w:ascii="Times New Roman" w:hAnsi="Times New Roman" w:cs="Times New Roman"/>
          <w:sz w:val="24"/>
          <w:szCs w:val="24"/>
        </w:rPr>
        <w:t xml:space="preserve"> Oil and Steel, Rockefeller and Carnegie are </w:t>
      </w:r>
      <w:r w:rsidRPr="002F7A3E">
        <w:rPr>
          <w:rFonts w:ascii="Times New Roman" w:hAnsi="Times New Roman" w:cs="Times New Roman"/>
          <w:sz w:val="24"/>
          <w:szCs w:val="24"/>
        </w:rPr>
        <w:lastRenderedPageBreak/>
        <w:t>both dual presidents and CEOs. Although Rockefeller and Carnegie’s management capabilities are unusual, taking into account the company’s small and medium shareholders and external stakeholders, Rockefeller and Carnegie’s multiple roles cannot effectively balance their interests.</w:t>
      </w:r>
    </w:p>
    <w:p w14:paraId="69698392" w14:textId="77777777" w:rsidR="00BC74F9" w:rsidRPr="002F7A3E" w:rsidRDefault="00BC74F9" w:rsidP="000E29A1">
      <w:pPr>
        <w:spacing w:line="360" w:lineRule="auto"/>
        <w:rPr>
          <w:rFonts w:ascii="Times New Roman" w:hAnsi="Times New Roman" w:cs="Times New Roman"/>
          <w:sz w:val="24"/>
          <w:szCs w:val="24"/>
        </w:rPr>
      </w:pPr>
    </w:p>
    <w:p w14:paraId="0FE9619E" w14:textId="7AB35780" w:rsidR="00420165" w:rsidRPr="002F7A3E" w:rsidRDefault="00BC74F9"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Moreover, from the perspective of stakeholders, company directors and senior executives always pay attention to balancing the interests of all parties in the process of operation. However, due to the maximization of shareholders’ interests, the interests of other stakeholders, such as employees, hav</w:t>
      </w:r>
      <w:r w:rsidR="008905C2" w:rsidRPr="002F7A3E">
        <w:rPr>
          <w:rFonts w:ascii="Times New Roman" w:hAnsi="Times New Roman" w:cs="Times New Roman"/>
          <w:sz w:val="24"/>
          <w:szCs w:val="24"/>
        </w:rPr>
        <w:t>e become negligible. Now, take</w:t>
      </w:r>
      <w:r w:rsidRPr="002F7A3E">
        <w:rPr>
          <w:rFonts w:ascii="Times New Roman" w:hAnsi="Times New Roman" w:cs="Times New Roman"/>
          <w:sz w:val="24"/>
          <w:szCs w:val="24"/>
        </w:rPr>
        <w:t xml:space="preserve"> the strike of the steel company as an example</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Premuroso &amp; Bhattacharya, 2018</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 In 1892, a fierce labor strike took place in the steel</w:t>
      </w:r>
      <w:r w:rsidR="00102FCF">
        <w:rPr>
          <w:rFonts w:ascii="Times New Roman" w:hAnsi="Times New Roman" w:cs="Times New Roman"/>
          <w:sz w:val="24"/>
          <w:szCs w:val="24"/>
        </w:rPr>
        <w:t xml:space="preserve"> factory in Pennsylvania</w:t>
      </w:r>
      <w:r w:rsidR="00102FCF">
        <w:rPr>
          <w:rFonts w:ascii="Times New Roman" w:hAnsi="Times New Roman" w:cs="Times New Roman" w:hint="eastAsia"/>
          <w:sz w:val="24"/>
          <w:szCs w:val="24"/>
        </w:rPr>
        <w:t xml:space="preserve"> for the reason that </w:t>
      </w:r>
      <w:r w:rsidRPr="002F7A3E">
        <w:rPr>
          <w:rFonts w:ascii="Times New Roman" w:hAnsi="Times New Roman" w:cs="Times New Roman"/>
          <w:sz w:val="24"/>
          <w:szCs w:val="24"/>
        </w:rPr>
        <w:t>union</w:t>
      </w:r>
      <w:r w:rsidR="00102FCF">
        <w:rPr>
          <w:rFonts w:ascii="Times New Roman" w:hAnsi="Times New Roman" w:cs="Times New Roman"/>
          <w:sz w:val="24"/>
          <w:szCs w:val="24"/>
        </w:rPr>
        <w:t xml:space="preserve"> workers protested the pay cut</w:t>
      </w:r>
      <w:r w:rsidR="00102FCF">
        <w:rPr>
          <w:rFonts w:ascii="Times New Roman" w:hAnsi="Times New Roman" w:cs="Times New Roman" w:hint="eastAsia"/>
          <w:sz w:val="24"/>
          <w:szCs w:val="24"/>
        </w:rPr>
        <w:t xml:space="preserve">. </w:t>
      </w:r>
      <w:r w:rsidR="00102FCF">
        <w:rPr>
          <w:rFonts w:ascii="Times New Roman" w:hAnsi="Times New Roman" w:cs="Times New Roman"/>
          <w:sz w:val="24"/>
          <w:szCs w:val="24"/>
        </w:rPr>
        <w:t>However</w:t>
      </w:r>
      <w:r w:rsidR="00102FCF">
        <w:rPr>
          <w:rFonts w:ascii="Times New Roman" w:hAnsi="Times New Roman" w:cs="Times New Roman" w:hint="eastAsia"/>
          <w:sz w:val="24"/>
          <w:szCs w:val="24"/>
        </w:rPr>
        <w:t xml:space="preserve"> </w:t>
      </w:r>
      <w:r w:rsidRPr="002F7A3E">
        <w:rPr>
          <w:rFonts w:ascii="Times New Roman" w:hAnsi="Times New Roman" w:cs="Times New Roman"/>
          <w:sz w:val="24"/>
          <w:szCs w:val="24"/>
        </w:rPr>
        <w:t xml:space="preserve">Carnegie Steel's general manager Henry Cray Frick locked the workers outside the factory gate </w:t>
      </w:r>
      <w:r w:rsidR="00102FCF">
        <w:rPr>
          <w:rFonts w:ascii="Times New Roman" w:hAnsi="Times New Roman" w:cs="Times New Roman"/>
          <w:sz w:val="24"/>
          <w:szCs w:val="24"/>
        </w:rPr>
        <w:t xml:space="preserve">and </w:t>
      </w:r>
      <w:r w:rsidR="00102FCF">
        <w:rPr>
          <w:rFonts w:ascii="Times New Roman" w:hAnsi="Times New Roman" w:cs="Times New Roman" w:hint="eastAsia"/>
          <w:sz w:val="24"/>
          <w:szCs w:val="24"/>
        </w:rPr>
        <w:t>called the police</w:t>
      </w:r>
      <w:r w:rsidRPr="002F7A3E">
        <w:rPr>
          <w:rFonts w:ascii="Times New Roman" w:hAnsi="Times New Roman" w:cs="Times New Roman"/>
          <w:sz w:val="24"/>
          <w:szCs w:val="24"/>
        </w:rPr>
        <w:t>. It can be seen that the steel companies under Carnegie’s leadership did not take into account the interests of the workers. It can be said that in the interests of the shareholders of the company, the salaries of the workers are necessary sacrifices</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Themistokles et al, 2013</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w:t>
      </w:r>
    </w:p>
    <w:p w14:paraId="07529B41" w14:textId="77777777" w:rsidR="00BC74F9" w:rsidRPr="002F7A3E" w:rsidRDefault="00BC74F9" w:rsidP="000E29A1">
      <w:pPr>
        <w:spacing w:line="360" w:lineRule="auto"/>
        <w:rPr>
          <w:rFonts w:ascii="Times New Roman" w:hAnsi="Times New Roman" w:cs="Times New Roman"/>
          <w:sz w:val="24"/>
          <w:szCs w:val="24"/>
        </w:rPr>
      </w:pPr>
    </w:p>
    <w:p w14:paraId="071AD094" w14:textId="77777777" w:rsidR="00BC74F9" w:rsidRPr="002F7A3E" w:rsidRDefault="00BC74F9" w:rsidP="00BC74F9">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Modern corporate governance principles include that an organization should respect the rights of its shareholders and help shareholders to exercise their rights through effective communication, allow shareholders to understand the content more clearly, encourage them to participate in daily meetings, respect the interests of other stakeholders, and properly perform the duties of the board of directors. </w:t>
      </w:r>
      <w:r w:rsidR="003C63B7" w:rsidRPr="002F7A3E">
        <w:rPr>
          <w:rFonts w:ascii="Times New Roman" w:hAnsi="Times New Roman" w:cs="Times New Roman"/>
          <w:sz w:val="24"/>
          <w:szCs w:val="24"/>
        </w:rPr>
        <w:t xml:space="preserve">Moreover, it is important to </w:t>
      </w:r>
      <w:r w:rsidRPr="002F7A3E">
        <w:rPr>
          <w:rFonts w:ascii="Times New Roman" w:hAnsi="Times New Roman" w:cs="Times New Roman"/>
          <w:sz w:val="24"/>
          <w:szCs w:val="24"/>
        </w:rPr>
        <w:t>ensure integrity and morality. Companies need to establish ethics for directors and administrators to encourage ethical and responsible decisions when making decisions</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Kakabadse, 2017</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 In addition, the necessary transparency is the basic way to help the public understand the public's understanding of the status of the board and the company.</w:t>
      </w:r>
    </w:p>
    <w:p w14:paraId="2AC06794" w14:textId="77777777" w:rsidR="00BC74F9" w:rsidRPr="002F7A3E" w:rsidRDefault="00BC74F9" w:rsidP="00BC74F9">
      <w:pPr>
        <w:spacing w:line="360" w:lineRule="auto"/>
        <w:rPr>
          <w:rFonts w:ascii="Times New Roman" w:hAnsi="Times New Roman" w:cs="Times New Roman"/>
          <w:sz w:val="24"/>
          <w:szCs w:val="24"/>
        </w:rPr>
      </w:pPr>
    </w:p>
    <w:p w14:paraId="325259E1" w14:textId="77777777" w:rsidR="00BC74F9" w:rsidRPr="002F7A3E" w:rsidRDefault="00BC74F9" w:rsidP="00BC74F9">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It can be seen that the principles of modern corporate governance take into account </w:t>
      </w:r>
      <w:r w:rsidRPr="002F7A3E">
        <w:rPr>
          <w:rFonts w:ascii="Times New Roman" w:hAnsi="Times New Roman" w:cs="Times New Roman"/>
          <w:sz w:val="24"/>
          <w:szCs w:val="24"/>
        </w:rPr>
        <w:lastRenderedPageBreak/>
        <w:t>the interests of stakeholders, and on the basis of ensuring the company’s legal compliance operations and maximizing profits, it enables stakeholders such as small and medium shareholders, consumers and suppliers to better understand the company. The business conditions in order to effectively make investment decisions. Undoubtedly, this is blessed</w:t>
      </w:r>
      <w:r w:rsidR="008905C2" w:rsidRPr="002F7A3E">
        <w:rPr>
          <w:rFonts w:ascii="Times New Roman" w:hAnsi="Times New Roman" w:cs="Times New Roman"/>
          <w:sz w:val="24"/>
          <w:szCs w:val="24"/>
        </w:rPr>
        <w:t xml:space="preserve"> (</w:t>
      </w:r>
      <w:r w:rsidR="008905C2" w:rsidRPr="002F7A3E">
        <w:rPr>
          <w:rFonts w:ascii="Times New Roman" w:hAnsi="Times New Roman" w:cs="Times New Roman"/>
          <w:color w:val="000000"/>
          <w:sz w:val="24"/>
          <w:szCs w:val="24"/>
          <w:shd w:val="clear" w:color="auto" w:fill="FFFFFF"/>
        </w:rPr>
        <w:t>Debicki, Robert &amp; Sobczak, 2017</w:t>
      </w:r>
      <w:r w:rsidR="008905C2" w:rsidRPr="002F7A3E">
        <w:rPr>
          <w:rFonts w:ascii="Times New Roman" w:hAnsi="Times New Roman" w:cs="Times New Roman"/>
          <w:sz w:val="24"/>
          <w:szCs w:val="24"/>
        </w:rPr>
        <w:t>)</w:t>
      </w:r>
      <w:r w:rsidRPr="002F7A3E">
        <w:rPr>
          <w:rFonts w:ascii="Times New Roman" w:hAnsi="Times New Roman" w:cs="Times New Roman"/>
          <w:sz w:val="24"/>
          <w:szCs w:val="24"/>
        </w:rPr>
        <w:t>.</w:t>
      </w:r>
    </w:p>
    <w:p w14:paraId="1C4EE0A9" w14:textId="77777777" w:rsidR="003C63B7" w:rsidRPr="002F7A3E" w:rsidRDefault="003C63B7" w:rsidP="000E29A1">
      <w:pPr>
        <w:spacing w:line="360" w:lineRule="auto"/>
        <w:rPr>
          <w:rFonts w:ascii="Times New Roman" w:hAnsi="Times New Roman" w:cs="Times New Roman"/>
          <w:sz w:val="24"/>
          <w:szCs w:val="24"/>
        </w:rPr>
      </w:pPr>
    </w:p>
    <w:p w14:paraId="190D77A8" w14:textId="0D1A997C" w:rsidR="003C63B7" w:rsidRPr="002F7A3E" w:rsidRDefault="00A92DCF"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Philanthropic activities contribute to corporate wealth creation. First</w:t>
      </w:r>
      <w:r w:rsidR="00102FCF">
        <w:rPr>
          <w:rFonts w:ascii="Times New Roman" w:hAnsi="Times New Roman" w:cs="Times New Roman" w:hint="eastAsia"/>
          <w:sz w:val="24"/>
          <w:szCs w:val="24"/>
        </w:rPr>
        <w:t>ly</w:t>
      </w:r>
      <w:r w:rsidRPr="002F7A3E">
        <w:rPr>
          <w:rFonts w:ascii="Times New Roman" w:hAnsi="Times New Roman" w:cs="Times New Roman"/>
          <w:sz w:val="24"/>
          <w:szCs w:val="24"/>
        </w:rPr>
        <w:t>, charitable activities can bring moral capital to the company and provide protection for the</w:t>
      </w:r>
      <w:r w:rsidR="00102FCF">
        <w:rPr>
          <w:rFonts w:ascii="Times New Roman" w:hAnsi="Times New Roman" w:cs="Times New Roman"/>
          <w:sz w:val="24"/>
          <w:szCs w:val="24"/>
        </w:rPr>
        <w:t xml:space="preserve"> company's relationship assets</w:t>
      </w:r>
      <w:r w:rsidR="00102FCF">
        <w:rPr>
          <w:rFonts w:ascii="Times New Roman" w:hAnsi="Times New Roman" w:cs="Times New Roman" w:hint="eastAsia"/>
          <w:sz w:val="24"/>
          <w:szCs w:val="24"/>
        </w:rPr>
        <w:t xml:space="preserve"> </w:t>
      </w:r>
      <w:r w:rsidR="001435E4" w:rsidRPr="002F7A3E">
        <w:rPr>
          <w:rFonts w:ascii="Times New Roman" w:hAnsi="Times New Roman" w:cs="Times New Roman"/>
          <w:sz w:val="24"/>
          <w:szCs w:val="24"/>
        </w:rPr>
        <w:t>(</w:t>
      </w:r>
      <w:r w:rsidR="001435E4" w:rsidRPr="002F7A3E">
        <w:rPr>
          <w:rFonts w:ascii="Times New Roman" w:hAnsi="Times New Roman" w:cs="Times New Roman"/>
          <w:color w:val="000000"/>
          <w:sz w:val="24"/>
          <w:szCs w:val="24"/>
          <w:shd w:val="clear" w:color="auto" w:fill="FFFFFF"/>
        </w:rPr>
        <w:t>Topooco et al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 Secondly, philanthropic event can improve the corporate image and improve the company's reputation. The positive image and good reputation can help the company obtain the support of stakeholders.  Thirdly, philanthropic activities can also directly add value to the company. Charitable activities can create a favorable business and institutional environment for the company, form a specific competitive advantage, and effectively enhance the value of the company.</w:t>
      </w:r>
    </w:p>
    <w:p w14:paraId="34B42DB7" w14:textId="77777777" w:rsidR="003C63B7" w:rsidRPr="002F7A3E" w:rsidRDefault="003C63B7" w:rsidP="000E29A1">
      <w:pPr>
        <w:spacing w:line="360" w:lineRule="auto"/>
        <w:rPr>
          <w:rFonts w:ascii="Times New Roman" w:hAnsi="Times New Roman" w:cs="Times New Roman"/>
          <w:sz w:val="24"/>
          <w:szCs w:val="24"/>
        </w:rPr>
      </w:pPr>
    </w:p>
    <w:p w14:paraId="7F4A9C78" w14:textId="77777777" w:rsidR="000E29A1" w:rsidRPr="002F7A3E" w:rsidRDefault="006524F3"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In 1911, the American steel giant Carnegie founded the "New York Carnegie Foundation" and laid the foundation for modern charity. In 1913, John R. Rockefeller founded the Rockefeller Foundation with the aim of "promoting common prosperity for all humankind" and was committed to improving the lives and livelihoods of the poor and marginalized people around the world. The Carnegie Foundation and the Rockefeller Foundation have undoubtedly made tremendous contributions to the United States and even to modern philanthropy. Whether it is medical care, technology or education, both foundations have provided tremendous help. However, although the Carnegie Foundation and the Rockefeller Foundation have all paid a lot in the follow-up, it is undeniable that the standard oil company at the beginning of its establishment had obtained an excess of the wages of the workers by squeezing the competitors’ monopoly of the oil market</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Leccese,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 xml:space="preserve">. Therefore, although late Rockefeller and the Carnegie Foundation made tremendous contributions to humanity, it cannot legitimate the past actions of John D. Rockefeller and Standard Oil, and </w:t>
      </w:r>
      <w:r w:rsidRPr="002F7A3E">
        <w:rPr>
          <w:rFonts w:ascii="Times New Roman" w:hAnsi="Times New Roman" w:cs="Times New Roman"/>
          <w:sz w:val="24"/>
          <w:szCs w:val="24"/>
        </w:rPr>
        <w:lastRenderedPageBreak/>
        <w:t>Andrew Carnegie and Carnegie Steel.</w:t>
      </w:r>
    </w:p>
    <w:p w14:paraId="6C61A35F" w14:textId="77777777" w:rsidR="00A92DCF" w:rsidRPr="002F7A3E" w:rsidRDefault="00A92DCF" w:rsidP="000E29A1">
      <w:pPr>
        <w:spacing w:line="360" w:lineRule="auto"/>
        <w:rPr>
          <w:rFonts w:ascii="Times New Roman" w:hAnsi="Times New Roman" w:cs="Times New Roman"/>
          <w:sz w:val="24"/>
          <w:szCs w:val="24"/>
        </w:rPr>
      </w:pPr>
    </w:p>
    <w:p w14:paraId="78C57669" w14:textId="77777777" w:rsidR="00F11629" w:rsidRPr="002F7A3E" w:rsidRDefault="00F11629"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In the 21st century, companies pay more attention to fulfilling their social responsibilities. More companies invest in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xml:space="preserve"> activities. Corporate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xml:space="preserve"> helps improve sales performance, enhances social image, and enhances internal corporate agglomeration. While companies spare no effort to do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charitable activities also contribute to the further development of the company.</w:t>
      </w:r>
    </w:p>
    <w:p w14:paraId="4A5C8092" w14:textId="77777777" w:rsidR="00F11629" w:rsidRPr="002F7A3E" w:rsidRDefault="00F11629" w:rsidP="000E29A1">
      <w:pPr>
        <w:spacing w:line="360" w:lineRule="auto"/>
        <w:rPr>
          <w:rFonts w:ascii="Times New Roman" w:hAnsi="Times New Roman" w:cs="Times New Roman"/>
          <w:sz w:val="24"/>
          <w:szCs w:val="24"/>
        </w:rPr>
      </w:pPr>
    </w:p>
    <w:p w14:paraId="59BD4691" w14:textId="77777777" w:rsidR="00F11629" w:rsidRPr="002F7A3E" w:rsidRDefault="00F11629"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First</w:t>
      </w:r>
      <w:r w:rsidR="00D83B5A" w:rsidRPr="002F7A3E">
        <w:rPr>
          <w:rFonts w:ascii="Times New Roman" w:hAnsi="Times New Roman" w:cs="Times New Roman"/>
          <w:sz w:val="24"/>
          <w:szCs w:val="24"/>
        </w:rPr>
        <w:t>ly</w:t>
      </w:r>
      <w:r w:rsidRPr="002F7A3E">
        <w:rPr>
          <w:rFonts w:ascii="Times New Roman" w:hAnsi="Times New Roman" w:cs="Times New Roman"/>
          <w:sz w:val="24"/>
          <w:szCs w:val="24"/>
        </w:rPr>
        <w:t xml:space="preserve">, corporate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xml:space="preserve"> promotes the development of philanthropy. Corporate philanthropy has promoted the development of philanthropy. The funds of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xml:space="preserve"> organizations mainly come from three aspects: government funding, corporate donations, and individual donations, among which corporate donations occupy a large proportion and are rising year by year. The participation of enterprises in philanthropy has greatly promoted the sound development of philanthropy</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Carnegie, 2016</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w:t>
      </w:r>
    </w:p>
    <w:p w14:paraId="4D49073C" w14:textId="77777777" w:rsidR="00F11629" w:rsidRPr="002F7A3E" w:rsidRDefault="00F11629" w:rsidP="000E29A1">
      <w:pPr>
        <w:spacing w:line="360" w:lineRule="auto"/>
        <w:rPr>
          <w:rFonts w:ascii="Times New Roman" w:hAnsi="Times New Roman" w:cs="Times New Roman"/>
          <w:sz w:val="24"/>
          <w:szCs w:val="24"/>
        </w:rPr>
      </w:pPr>
    </w:p>
    <w:p w14:paraId="05A76B7B" w14:textId="77777777" w:rsidR="00D83B5A" w:rsidRPr="002F7A3E" w:rsidRDefault="00D83B5A" w:rsidP="00D83B5A">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Secondly, corporate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xml:space="preserve"> helps improve corporate image. In a study on corporate donation strategies conducted by the “Auspicious Enterprise Survey” organization of the United States, a statistical analysis of the 463 sample answers to “What benefits does the donation bring to the company?” shows that improving the company’s image and improvement Employee participation and morale are the most important benefits. It can be seen that the greatest return of charitable participation to the company is to enhance the social image</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Singh, Teng &amp; Netessine,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 xml:space="preserve">. Since the 1950s, the traditional methods of enhancing corporate image, such as ensuring product quality, strengthening after-sales services, and responding to consumer complaints, have been adopted by most companies in increasingly fierce market competition. Decline gradually. Under such circumstances, philanthropy is undoubtedly the best entry point. People have already collectively referred to enterprises as a “public-interest public relations” by participating in charities and public welfare undertakings to enhance their image. Every time an enterprise </w:t>
      </w:r>
      <w:r w:rsidRPr="002F7A3E">
        <w:rPr>
          <w:rFonts w:ascii="Times New Roman" w:hAnsi="Times New Roman" w:cs="Times New Roman"/>
          <w:sz w:val="24"/>
          <w:szCs w:val="24"/>
        </w:rPr>
        <w:lastRenderedPageBreak/>
        <w:t>participates in social welfare undertakings, it will bring about a good display of its corporate image, an increase in popularity and credibility, an increase in product market competitiveness and an increase in the economic efficiency of enterprises</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Williamson, Leat &amp; Scaife,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w:t>
      </w:r>
    </w:p>
    <w:p w14:paraId="02D309A1" w14:textId="77777777" w:rsidR="00D83B5A" w:rsidRPr="002F7A3E" w:rsidRDefault="00D83B5A" w:rsidP="00D83B5A">
      <w:pPr>
        <w:spacing w:line="360" w:lineRule="auto"/>
        <w:rPr>
          <w:rFonts w:ascii="Times New Roman" w:hAnsi="Times New Roman" w:cs="Times New Roman"/>
          <w:sz w:val="24"/>
          <w:szCs w:val="24"/>
        </w:rPr>
      </w:pPr>
    </w:p>
    <w:p w14:paraId="752524F3" w14:textId="77777777" w:rsidR="00D83B5A" w:rsidRPr="002F7A3E" w:rsidRDefault="00D83B5A" w:rsidP="00D83B5A">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Thirdly, corporate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xml:space="preserve"> helps improve sales. The United States' "Strategic Management News" survey of 469 companies from different industries in 1997 concluded that there is a very significant positive correlation between the sales return and the company's social welfare achievements. This shows that corporate </w:t>
      </w:r>
      <w:r w:rsidR="00A92DCF" w:rsidRPr="002F7A3E">
        <w:rPr>
          <w:rFonts w:ascii="Times New Roman" w:hAnsi="Times New Roman" w:cs="Times New Roman"/>
          <w:sz w:val="24"/>
          <w:szCs w:val="24"/>
        </w:rPr>
        <w:t>philanthropic</w:t>
      </w:r>
      <w:r w:rsidRPr="002F7A3E">
        <w:rPr>
          <w:rFonts w:ascii="Times New Roman" w:hAnsi="Times New Roman" w:cs="Times New Roman"/>
          <w:sz w:val="24"/>
          <w:szCs w:val="24"/>
        </w:rPr>
        <w:t xml:space="preserve"> contributes a lot to the business performance</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Pill, 2018</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w:t>
      </w:r>
    </w:p>
    <w:p w14:paraId="2D0778B7" w14:textId="77777777" w:rsidR="00D83B5A" w:rsidRPr="002F7A3E" w:rsidRDefault="00D83B5A" w:rsidP="00D83B5A">
      <w:pPr>
        <w:spacing w:line="360" w:lineRule="auto"/>
        <w:rPr>
          <w:rFonts w:ascii="Times New Roman" w:hAnsi="Times New Roman" w:cs="Times New Roman"/>
          <w:sz w:val="24"/>
          <w:szCs w:val="24"/>
        </w:rPr>
      </w:pPr>
    </w:p>
    <w:p w14:paraId="12AEC765" w14:textId="77777777" w:rsidR="00F11629" w:rsidRPr="002F7A3E" w:rsidRDefault="00D83B5A" w:rsidP="00D83B5A">
      <w:pPr>
        <w:spacing w:line="360" w:lineRule="auto"/>
        <w:rPr>
          <w:rFonts w:ascii="Times New Roman" w:hAnsi="Times New Roman" w:cs="Times New Roman"/>
          <w:sz w:val="24"/>
          <w:szCs w:val="24"/>
        </w:rPr>
      </w:pPr>
      <w:r w:rsidRPr="002F7A3E">
        <w:rPr>
          <w:rFonts w:ascii="Times New Roman" w:hAnsi="Times New Roman" w:cs="Times New Roman"/>
          <w:sz w:val="24"/>
          <w:szCs w:val="24"/>
        </w:rPr>
        <w:t>Last but not least, corporate philanthropy is conducive to enhancing the internal cohesion of the company. According to Marx Weber's point of view, the biggest drawback of companies is the lack of emotional interaction among internal members, which in turn is in tune with the indifferent urban living situations. The use of charitable activities as an emotional link can enhance the company’s internal affinity and cohesion to a large extent, and optimize employee performance. This is also the direction of efforts of modern mature companies</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Economidou,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 Generally, there are two ways: to help each other in the enterprise and to carry out charitable activities. Through launching employees' participation in charitable activities and volunteering, the company allows its employees to fully reflect their social values, enhance their social responsibility, and cultivate a good moral outlook for employees, who are everyone and I am everyone. This will increase morale and increase the internal cohesion of the company</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DongHyun,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w:t>
      </w:r>
    </w:p>
    <w:p w14:paraId="56242909" w14:textId="77777777" w:rsidR="00DD1AE6" w:rsidRPr="002F7A3E" w:rsidRDefault="00DD1AE6" w:rsidP="000E29A1">
      <w:pPr>
        <w:spacing w:line="360" w:lineRule="auto"/>
        <w:rPr>
          <w:rFonts w:ascii="Times New Roman" w:hAnsi="Times New Roman" w:cs="Times New Roman"/>
          <w:sz w:val="24"/>
          <w:szCs w:val="24"/>
        </w:rPr>
      </w:pPr>
    </w:p>
    <w:p w14:paraId="444712B7" w14:textId="16B47745" w:rsidR="0078155C" w:rsidRPr="002F7A3E" w:rsidRDefault="00DD1AE6" w:rsidP="0078155C">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Throughout the life of John Rockefeller and Andrew Carnegie, </w:t>
      </w:r>
      <w:r w:rsidR="003B5313">
        <w:rPr>
          <w:rFonts w:ascii="Times New Roman" w:hAnsi="Times New Roman" w:cs="Times New Roman" w:hint="eastAsia"/>
          <w:sz w:val="24"/>
          <w:szCs w:val="24"/>
        </w:rPr>
        <w:t xml:space="preserve">I think </w:t>
      </w:r>
      <w:r w:rsidR="0078155C" w:rsidRPr="002F7A3E">
        <w:rPr>
          <w:rFonts w:ascii="Times New Roman" w:hAnsi="Times New Roman" w:cs="Times New Roman"/>
          <w:sz w:val="24"/>
          <w:szCs w:val="24"/>
        </w:rPr>
        <w:t xml:space="preserve">John D Rockefeller and Andrew Carnegie have been called many things good and bad. </w:t>
      </w:r>
      <w:r w:rsidR="003B5313">
        <w:rPr>
          <w:rFonts w:ascii="Times New Roman" w:hAnsi="Times New Roman" w:cs="Times New Roman"/>
          <w:sz w:val="24"/>
          <w:szCs w:val="24"/>
        </w:rPr>
        <w:t>In</w:t>
      </w:r>
      <w:r w:rsidR="003B5313">
        <w:rPr>
          <w:rFonts w:ascii="Times New Roman" w:hAnsi="Times New Roman" w:cs="Times New Roman" w:hint="eastAsia"/>
          <w:sz w:val="24"/>
          <w:szCs w:val="24"/>
        </w:rPr>
        <w:t xml:space="preserve"> my </w:t>
      </w:r>
      <w:r w:rsidR="003B5313">
        <w:rPr>
          <w:rFonts w:ascii="Times New Roman" w:hAnsi="Times New Roman" w:cs="Times New Roman"/>
          <w:sz w:val="24"/>
          <w:szCs w:val="24"/>
        </w:rPr>
        <w:t>opinion</w:t>
      </w:r>
      <w:r w:rsidR="003B5313">
        <w:rPr>
          <w:rFonts w:ascii="Times New Roman" w:hAnsi="Times New Roman" w:cs="Times New Roman" w:hint="eastAsia"/>
          <w:sz w:val="24"/>
          <w:szCs w:val="24"/>
        </w:rPr>
        <w:t xml:space="preserve">, </w:t>
      </w:r>
      <w:r w:rsidR="0078155C" w:rsidRPr="002F7A3E">
        <w:rPr>
          <w:rFonts w:ascii="Times New Roman" w:hAnsi="Times New Roman" w:cs="Times New Roman"/>
          <w:sz w:val="24"/>
          <w:szCs w:val="24"/>
        </w:rPr>
        <w:t xml:space="preserve">they </w:t>
      </w:r>
      <w:r w:rsidR="003B5313">
        <w:rPr>
          <w:rFonts w:ascii="Times New Roman" w:hAnsi="Times New Roman" w:cs="Times New Roman" w:hint="eastAsia"/>
          <w:sz w:val="24"/>
          <w:szCs w:val="24"/>
        </w:rPr>
        <w:t>can be</w:t>
      </w:r>
      <w:r w:rsidR="0078155C" w:rsidRPr="002F7A3E">
        <w:rPr>
          <w:rFonts w:ascii="Times New Roman" w:hAnsi="Times New Roman" w:cs="Times New Roman"/>
          <w:sz w:val="24"/>
          <w:szCs w:val="24"/>
        </w:rPr>
        <w:t xml:space="preserve"> put into 3 categories: Robber Barons Capt</w:t>
      </w:r>
      <w:r w:rsidR="003B5313">
        <w:rPr>
          <w:rFonts w:ascii="Times New Roman" w:hAnsi="Times New Roman" w:cs="Times New Roman"/>
          <w:sz w:val="24"/>
          <w:szCs w:val="24"/>
        </w:rPr>
        <w:t>ains of Industry Philanthropist</w:t>
      </w:r>
      <w:r w:rsidR="003B5313">
        <w:rPr>
          <w:rFonts w:ascii="Times New Roman" w:hAnsi="Times New Roman" w:cs="Times New Roman" w:hint="eastAsia"/>
          <w:sz w:val="24"/>
          <w:szCs w:val="24"/>
        </w:rPr>
        <w:t xml:space="preserve"> in their different stage as the follows.</w:t>
      </w:r>
    </w:p>
    <w:p w14:paraId="75A5C527" w14:textId="77777777" w:rsidR="0078155C" w:rsidRPr="002F7A3E" w:rsidRDefault="0078155C" w:rsidP="0078155C">
      <w:pPr>
        <w:spacing w:line="360" w:lineRule="auto"/>
        <w:rPr>
          <w:rFonts w:ascii="Times New Roman" w:hAnsi="Times New Roman" w:cs="Times New Roman"/>
          <w:sz w:val="24"/>
          <w:szCs w:val="24"/>
        </w:rPr>
      </w:pPr>
    </w:p>
    <w:p w14:paraId="73895EBA" w14:textId="177CA783" w:rsidR="00DD1AE6" w:rsidRPr="002F7A3E" w:rsidRDefault="00DD1AE6"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lastRenderedPageBreak/>
        <w:t xml:space="preserve">In the early days of Rockefeller and Carnegie creating oil and steel powers, they all played the role of </w:t>
      </w:r>
      <w:r w:rsidR="0053799B" w:rsidRPr="002F7A3E">
        <w:rPr>
          <w:rFonts w:ascii="Times New Roman" w:hAnsi="Times New Roman" w:cs="Times New Roman"/>
          <w:sz w:val="24"/>
          <w:szCs w:val="24"/>
        </w:rPr>
        <w:t>robber baron</w:t>
      </w:r>
      <w:r w:rsidRPr="002F7A3E">
        <w:rPr>
          <w:rFonts w:ascii="Times New Roman" w:hAnsi="Times New Roman" w:cs="Times New Roman"/>
          <w:sz w:val="24"/>
          <w:szCs w:val="24"/>
        </w:rPr>
        <w:t>. In the early days of their business, they were desperate to squeeze their competitors and gain all their wealth by pressing workers and other means. By mid-term, standard oil companies and steel companies have taken up monopoly positions in the US oil and steel markets, respectively. At this time, Rockefeller and Carnegie are industrial leaders</w:t>
      </w:r>
      <w:r w:rsidR="001435E4" w:rsidRPr="002F7A3E">
        <w:rPr>
          <w:rFonts w:ascii="Times New Roman" w:hAnsi="Times New Roman" w:cs="Times New Roman"/>
          <w:sz w:val="24"/>
          <w:szCs w:val="24"/>
        </w:rPr>
        <w:t xml:space="preserve"> (</w:t>
      </w:r>
      <w:r w:rsidR="001435E4" w:rsidRPr="002F7A3E">
        <w:rPr>
          <w:rFonts w:ascii="Times New Roman" w:hAnsi="Times New Roman" w:cs="Times New Roman"/>
          <w:color w:val="000000"/>
          <w:sz w:val="24"/>
          <w:szCs w:val="24"/>
          <w:shd w:val="clear" w:color="auto" w:fill="FFFFFF"/>
        </w:rPr>
        <w:t>Dahdah, 2017</w:t>
      </w:r>
      <w:r w:rsidR="001435E4" w:rsidRPr="002F7A3E">
        <w:rPr>
          <w:rFonts w:ascii="Times New Roman" w:hAnsi="Times New Roman" w:cs="Times New Roman"/>
          <w:sz w:val="24"/>
          <w:szCs w:val="24"/>
        </w:rPr>
        <w:t>)</w:t>
      </w:r>
      <w:r w:rsidRPr="002F7A3E">
        <w:rPr>
          <w:rFonts w:ascii="Times New Roman" w:hAnsi="Times New Roman" w:cs="Times New Roman"/>
          <w:sz w:val="24"/>
          <w:szCs w:val="24"/>
        </w:rPr>
        <w:t xml:space="preserve">. At this point, they began to realize that it is necessary to pay attention to the interests of consumers, employees, suppliers and other parties. </w:t>
      </w:r>
      <w:r w:rsidR="00102FCF">
        <w:rPr>
          <w:rFonts w:ascii="Times New Roman" w:hAnsi="Times New Roman" w:cs="Times New Roman"/>
          <w:sz w:val="24"/>
          <w:szCs w:val="24"/>
        </w:rPr>
        <w:t>Afterwards</w:t>
      </w:r>
      <w:r w:rsidRPr="002F7A3E">
        <w:rPr>
          <w:rFonts w:ascii="Times New Roman" w:hAnsi="Times New Roman" w:cs="Times New Roman"/>
          <w:sz w:val="24"/>
          <w:szCs w:val="24"/>
        </w:rPr>
        <w:t>, the founding of the Rockefeller Foundation and the Carnegie Foundation showed that Standard Oil and Carnegie Steel began to engage in human philanthropy. At this time, Rockefeller and Carnegie were both qualified philanthropists</w:t>
      </w:r>
      <w:r w:rsidR="00A2627D" w:rsidRPr="002F7A3E">
        <w:rPr>
          <w:rFonts w:ascii="Times New Roman" w:hAnsi="Times New Roman" w:cs="Times New Roman"/>
          <w:sz w:val="24"/>
          <w:szCs w:val="24"/>
        </w:rPr>
        <w:t xml:space="preserve"> (</w:t>
      </w:r>
      <w:r w:rsidR="00A2627D" w:rsidRPr="002F7A3E">
        <w:rPr>
          <w:rFonts w:ascii="Times New Roman" w:hAnsi="Times New Roman" w:cs="Times New Roman"/>
          <w:color w:val="000000"/>
          <w:sz w:val="24"/>
          <w:szCs w:val="24"/>
          <w:shd w:val="clear" w:color="auto" w:fill="FFFFFF"/>
        </w:rPr>
        <w:t>Afik, Levy &amp; Katz, 2018</w:t>
      </w:r>
      <w:r w:rsidR="00A2627D" w:rsidRPr="002F7A3E">
        <w:rPr>
          <w:rFonts w:ascii="Times New Roman" w:hAnsi="Times New Roman" w:cs="Times New Roman"/>
          <w:sz w:val="24"/>
          <w:szCs w:val="24"/>
        </w:rPr>
        <w:t>)</w:t>
      </w:r>
      <w:r w:rsidRPr="002F7A3E">
        <w:rPr>
          <w:rFonts w:ascii="Times New Roman" w:hAnsi="Times New Roman" w:cs="Times New Roman"/>
          <w:sz w:val="24"/>
          <w:szCs w:val="24"/>
        </w:rPr>
        <w:t>. They used the huge wealth gained in the previous period for the return of human society, and created tremendous contributions for human society in science, medical care, and education.</w:t>
      </w:r>
    </w:p>
    <w:p w14:paraId="7804059F" w14:textId="77777777" w:rsidR="007D6E4A" w:rsidRPr="002F7A3E" w:rsidRDefault="007D6E4A" w:rsidP="000E29A1">
      <w:pPr>
        <w:spacing w:line="360" w:lineRule="auto"/>
        <w:rPr>
          <w:rFonts w:ascii="Times New Roman" w:hAnsi="Times New Roman" w:cs="Times New Roman"/>
          <w:sz w:val="24"/>
          <w:szCs w:val="24"/>
        </w:rPr>
      </w:pPr>
    </w:p>
    <w:p w14:paraId="4D588EEF" w14:textId="77777777" w:rsidR="00662720" w:rsidRPr="002F7A3E" w:rsidRDefault="00662720"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Conclusion</w:t>
      </w:r>
    </w:p>
    <w:p w14:paraId="59704F7F" w14:textId="77777777" w:rsidR="0053799B" w:rsidRPr="002F7A3E" w:rsidRDefault="0053799B" w:rsidP="000E29A1">
      <w:pPr>
        <w:spacing w:line="360" w:lineRule="auto"/>
        <w:rPr>
          <w:rFonts w:ascii="Times New Roman" w:hAnsi="Times New Roman" w:cs="Times New Roman"/>
          <w:sz w:val="24"/>
          <w:szCs w:val="24"/>
        </w:rPr>
      </w:pPr>
    </w:p>
    <w:p w14:paraId="44A6B1D3" w14:textId="6FD8D22A" w:rsidR="0053799B" w:rsidRPr="002F7A3E" w:rsidRDefault="0053799B" w:rsidP="000E29A1">
      <w:pPr>
        <w:spacing w:line="360" w:lineRule="auto"/>
        <w:rPr>
          <w:rFonts w:ascii="Times New Roman" w:hAnsi="Times New Roman" w:cs="Times New Roman" w:hint="eastAsia"/>
          <w:sz w:val="24"/>
          <w:szCs w:val="24"/>
        </w:rPr>
      </w:pPr>
      <w:r w:rsidRPr="002F7A3E">
        <w:rPr>
          <w:rFonts w:ascii="Times New Roman" w:hAnsi="Times New Roman" w:cs="Times New Roman"/>
          <w:sz w:val="24"/>
          <w:szCs w:val="24"/>
        </w:rPr>
        <w:t>Corporate directors and senior executives need to balance the interests of various stakeholders in corporate governance. Standard Oil Company and Carnegie Steel Company at an early stage committed themselves to sacrificing the interests of workers, etc. to obtain excess returns. Both Rockefeller and Carnegie set up foundations in the latter part of the year to use the proceeds earned in the previous period to return to society. It can be said that they started as robber baron, became industrial leaders, and then went to philanthropists.</w:t>
      </w:r>
      <w:r w:rsidR="00665450" w:rsidRPr="00665450">
        <w:t xml:space="preserve"> </w:t>
      </w:r>
      <w:r w:rsidR="00665450" w:rsidRPr="00665450">
        <w:rPr>
          <w:rFonts w:ascii="Times New Roman" w:hAnsi="Times New Roman" w:cs="Times New Roman"/>
          <w:sz w:val="24"/>
          <w:szCs w:val="24"/>
        </w:rPr>
        <w:t>Therefore, a simple definition of their business career is a behavior that does not respect the facts. Their early brutal market plundering brought development and innovation to society, and accumulated their capital for charity</w:t>
      </w:r>
      <w:r w:rsidR="00B0106B">
        <w:rPr>
          <w:rFonts w:ascii="Times New Roman" w:hAnsi="Times New Roman" w:cs="Times New Roman" w:hint="eastAsia"/>
          <w:sz w:val="24"/>
          <w:szCs w:val="24"/>
        </w:rPr>
        <w:t>.</w:t>
      </w:r>
      <w:bookmarkStart w:id="0" w:name="_GoBack"/>
      <w:bookmarkEnd w:id="0"/>
    </w:p>
    <w:p w14:paraId="4A00BAB4" w14:textId="77777777" w:rsidR="0053799B" w:rsidRPr="002F7A3E" w:rsidRDefault="0053799B" w:rsidP="000E29A1">
      <w:pPr>
        <w:spacing w:line="360" w:lineRule="auto"/>
        <w:rPr>
          <w:rFonts w:ascii="Times New Roman" w:hAnsi="Times New Roman" w:cs="Times New Roman"/>
          <w:sz w:val="24"/>
          <w:szCs w:val="24"/>
        </w:rPr>
      </w:pPr>
    </w:p>
    <w:p w14:paraId="19075712" w14:textId="77777777" w:rsidR="008905C2" w:rsidRPr="002F7A3E" w:rsidRDefault="008905C2" w:rsidP="000E29A1">
      <w:pPr>
        <w:spacing w:line="360" w:lineRule="auto"/>
        <w:rPr>
          <w:rFonts w:ascii="Times New Roman" w:hAnsi="Times New Roman" w:cs="Times New Roman"/>
          <w:sz w:val="24"/>
          <w:szCs w:val="24"/>
        </w:rPr>
      </w:pPr>
    </w:p>
    <w:p w14:paraId="49A4128C" w14:textId="77777777" w:rsidR="008905C2" w:rsidRPr="002F7A3E" w:rsidRDefault="008905C2" w:rsidP="000E29A1">
      <w:pPr>
        <w:spacing w:line="360" w:lineRule="auto"/>
        <w:rPr>
          <w:rFonts w:ascii="Times New Roman" w:hAnsi="Times New Roman" w:cs="Times New Roman"/>
          <w:sz w:val="24"/>
          <w:szCs w:val="24"/>
        </w:rPr>
      </w:pPr>
    </w:p>
    <w:p w14:paraId="366869DD" w14:textId="77777777" w:rsidR="008905C2" w:rsidRPr="002F7A3E" w:rsidRDefault="008905C2" w:rsidP="000E29A1">
      <w:pPr>
        <w:spacing w:line="360" w:lineRule="auto"/>
        <w:rPr>
          <w:rFonts w:ascii="Times New Roman" w:hAnsi="Times New Roman" w:cs="Times New Roman"/>
          <w:sz w:val="24"/>
          <w:szCs w:val="24"/>
        </w:rPr>
      </w:pPr>
    </w:p>
    <w:p w14:paraId="5EB2176E" w14:textId="77777777" w:rsidR="008905C2" w:rsidRPr="002F7A3E" w:rsidRDefault="008905C2" w:rsidP="000E29A1">
      <w:pPr>
        <w:spacing w:line="360" w:lineRule="auto"/>
        <w:rPr>
          <w:rFonts w:ascii="Times New Roman" w:hAnsi="Times New Roman" w:cs="Times New Roman"/>
          <w:sz w:val="24"/>
          <w:szCs w:val="24"/>
        </w:rPr>
      </w:pPr>
    </w:p>
    <w:p w14:paraId="7139B01F" w14:textId="77777777" w:rsidR="008905C2" w:rsidRPr="002F7A3E" w:rsidRDefault="008905C2" w:rsidP="000E29A1">
      <w:pPr>
        <w:spacing w:line="360" w:lineRule="auto"/>
        <w:rPr>
          <w:rFonts w:ascii="Times New Roman" w:hAnsi="Times New Roman" w:cs="Times New Roman"/>
          <w:sz w:val="24"/>
          <w:szCs w:val="24"/>
        </w:rPr>
      </w:pPr>
    </w:p>
    <w:p w14:paraId="174A1C67" w14:textId="77777777" w:rsidR="007D6E4A" w:rsidRPr="002F7A3E" w:rsidRDefault="007D6E4A" w:rsidP="000E29A1">
      <w:pPr>
        <w:spacing w:line="360" w:lineRule="auto"/>
        <w:rPr>
          <w:rFonts w:ascii="Times New Roman" w:hAnsi="Times New Roman" w:cs="Times New Roman"/>
          <w:sz w:val="24"/>
          <w:szCs w:val="24"/>
        </w:rPr>
      </w:pPr>
    </w:p>
    <w:p w14:paraId="11305438" w14:textId="77777777" w:rsidR="00662720" w:rsidRPr="002F7A3E" w:rsidRDefault="00662720" w:rsidP="000E29A1">
      <w:pPr>
        <w:spacing w:line="360" w:lineRule="auto"/>
        <w:rPr>
          <w:rFonts w:ascii="Times New Roman" w:hAnsi="Times New Roman" w:cs="Times New Roman"/>
          <w:sz w:val="24"/>
          <w:szCs w:val="24"/>
        </w:rPr>
      </w:pPr>
      <w:r w:rsidRPr="002F7A3E">
        <w:rPr>
          <w:rFonts w:ascii="Times New Roman" w:hAnsi="Times New Roman" w:cs="Times New Roman"/>
          <w:sz w:val="24"/>
          <w:szCs w:val="24"/>
        </w:rPr>
        <w:t xml:space="preserve">Reference </w:t>
      </w:r>
    </w:p>
    <w:p w14:paraId="061B8FAF" w14:textId="77777777" w:rsidR="00647BEC" w:rsidRPr="002F7A3E" w:rsidRDefault="00647BEC" w:rsidP="000E29A1">
      <w:pPr>
        <w:spacing w:line="360" w:lineRule="auto"/>
        <w:rPr>
          <w:rFonts w:ascii="Times New Roman" w:hAnsi="Times New Roman" w:cs="Times New Roman"/>
          <w:sz w:val="24"/>
          <w:szCs w:val="24"/>
        </w:rPr>
      </w:pPr>
    </w:p>
    <w:p w14:paraId="6A63EDE9"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Agrawal, A., &amp; Cooper, T. (2017) ‘Corporate governance consequences of accounting scandals: evidence from top management, cfo and auditor turnover’.</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Social Science Electronic Publishing</w:t>
      </w:r>
      <w:r w:rsidRPr="002F7A3E">
        <w:rPr>
          <w:rFonts w:ascii="Times New Roman" w:hAnsi="Times New Roman" w:cs="Times New Roman"/>
          <w:color w:val="000000"/>
          <w:sz w:val="24"/>
          <w:szCs w:val="24"/>
          <w:shd w:val="clear" w:color="auto" w:fill="FFFFFF"/>
        </w:rPr>
        <w:t>, 1(4), pp.19-39.</w:t>
      </w:r>
    </w:p>
    <w:p w14:paraId="16AAEC79" w14:textId="77777777" w:rsidR="00214D66" w:rsidRPr="002F7A3E" w:rsidRDefault="00214D66" w:rsidP="000E29A1">
      <w:pPr>
        <w:spacing w:line="360" w:lineRule="auto"/>
        <w:rPr>
          <w:rFonts w:ascii="Times New Roman" w:hAnsi="Times New Roman" w:cs="Times New Roman"/>
          <w:sz w:val="24"/>
          <w:szCs w:val="24"/>
        </w:rPr>
      </w:pPr>
    </w:p>
    <w:p w14:paraId="363E95DB" w14:textId="77777777" w:rsidR="00214D66" w:rsidRPr="002F7A3E" w:rsidRDefault="00214D66" w:rsidP="00214D66">
      <w:pPr>
        <w:spacing w:line="360" w:lineRule="auto"/>
        <w:rPr>
          <w:rFonts w:ascii="Times New Roman" w:hAnsi="Times New Roman" w:cs="Times New Roman"/>
          <w:sz w:val="24"/>
          <w:szCs w:val="24"/>
        </w:rPr>
      </w:pPr>
      <w:r w:rsidRPr="002F7A3E">
        <w:rPr>
          <w:rFonts w:ascii="Times New Roman" w:hAnsi="Times New Roman" w:cs="Times New Roman"/>
          <w:color w:val="000000"/>
          <w:sz w:val="24"/>
          <w:szCs w:val="24"/>
          <w:shd w:val="clear" w:color="auto" w:fill="FFFFFF"/>
        </w:rPr>
        <w:t>Afik, Z., Levy, A., &amp; Katz, H. (2018) ‘Philanthropic foundations payout and multiyear grants: between giving today and giving tomorrow’.</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Journal of Wealth Management</w:t>
      </w:r>
      <w:r w:rsidRPr="002F7A3E">
        <w:rPr>
          <w:rFonts w:ascii="Times New Roman" w:hAnsi="Times New Roman" w:cs="Times New Roman"/>
          <w:color w:val="000000"/>
          <w:sz w:val="24"/>
          <w:szCs w:val="24"/>
          <w:shd w:val="clear" w:color="auto" w:fill="FFFFFF"/>
        </w:rPr>
        <w:t>, 6(7), pp.78-101.</w:t>
      </w:r>
    </w:p>
    <w:p w14:paraId="1A07B95E" w14:textId="77777777" w:rsidR="00214D66" w:rsidRPr="002F7A3E" w:rsidRDefault="00214D66" w:rsidP="000E29A1">
      <w:pPr>
        <w:spacing w:line="360" w:lineRule="auto"/>
        <w:rPr>
          <w:rFonts w:ascii="Times New Roman" w:hAnsi="Times New Roman" w:cs="Times New Roman"/>
          <w:sz w:val="24"/>
          <w:szCs w:val="24"/>
        </w:rPr>
      </w:pPr>
    </w:p>
    <w:p w14:paraId="355F1794" w14:textId="77777777" w:rsidR="00647BEC" w:rsidRPr="002F7A3E" w:rsidRDefault="00647BEC" w:rsidP="000E29A1">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Bar</w:t>
      </w:r>
      <w:r w:rsidR="009905B7" w:rsidRPr="002F7A3E">
        <w:rPr>
          <w:rFonts w:ascii="Times New Roman" w:hAnsi="Times New Roman" w:cs="Times New Roman"/>
          <w:color w:val="000000"/>
          <w:sz w:val="24"/>
          <w:szCs w:val="24"/>
          <w:shd w:val="clear" w:color="auto" w:fill="FFFFFF"/>
        </w:rPr>
        <w:t>tlett, R., &amp; Talley, E. (2017) ‘Law and corporate governance’</w:t>
      </w:r>
      <w:r w:rsidRPr="002F7A3E">
        <w:rPr>
          <w:rFonts w:ascii="Times New Roman" w:hAnsi="Times New Roman" w:cs="Times New Roman"/>
          <w:color w:val="000000"/>
          <w:sz w:val="24"/>
          <w:szCs w:val="24"/>
          <w:shd w:val="clear" w:color="auto" w:fill="FFFFFF"/>
        </w:rPr>
        <w:t>.</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Handbook of the Economics of Corporate Governance</w:t>
      </w:r>
      <w:r w:rsidR="009905B7" w:rsidRPr="002F7A3E">
        <w:rPr>
          <w:rFonts w:ascii="Times New Roman" w:hAnsi="Times New Roman" w:cs="Times New Roman"/>
          <w:color w:val="000000"/>
          <w:sz w:val="24"/>
          <w:szCs w:val="24"/>
          <w:shd w:val="clear" w:color="auto" w:fill="FFFFFF"/>
        </w:rPr>
        <w:t>, 1(3),pp.12-19.</w:t>
      </w:r>
    </w:p>
    <w:p w14:paraId="1C1846BC" w14:textId="77777777" w:rsidR="00647BEC" w:rsidRPr="002F7A3E" w:rsidRDefault="00647BEC" w:rsidP="000E29A1">
      <w:pPr>
        <w:spacing w:line="360" w:lineRule="auto"/>
        <w:rPr>
          <w:rFonts w:ascii="Times New Roman" w:hAnsi="Times New Roman" w:cs="Times New Roman"/>
          <w:color w:val="000000"/>
          <w:sz w:val="24"/>
          <w:szCs w:val="24"/>
          <w:shd w:val="clear" w:color="auto" w:fill="FFFFFF"/>
        </w:rPr>
      </w:pPr>
    </w:p>
    <w:p w14:paraId="6A5E5616" w14:textId="77777777" w:rsidR="00647BEC" w:rsidRPr="002F7A3E" w:rsidRDefault="00647BEC" w:rsidP="000E29A1">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Bhasin</w:t>
      </w:r>
      <w:r w:rsidR="009905B7" w:rsidRPr="002F7A3E">
        <w:rPr>
          <w:rFonts w:ascii="Times New Roman" w:hAnsi="Times New Roman" w:cs="Times New Roman"/>
          <w:color w:val="000000"/>
          <w:sz w:val="24"/>
          <w:szCs w:val="24"/>
          <w:shd w:val="clear" w:color="auto" w:fill="FFFFFF"/>
        </w:rPr>
        <w:t>, M. L. (2017) ‘</w:t>
      </w:r>
      <w:r w:rsidRPr="002F7A3E">
        <w:rPr>
          <w:rFonts w:ascii="Times New Roman" w:hAnsi="Times New Roman" w:cs="Times New Roman"/>
          <w:color w:val="000000"/>
          <w:sz w:val="24"/>
          <w:szCs w:val="24"/>
          <w:shd w:val="clear" w:color="auto" w:fill="FFFFFF"/>
        </w:rPr>
        <w:t>Integrating corporate governance and forensic accounting: a study of an asian country</w:t>
      </w:r>
      <w:r w:rsidR="009905B7" w:rsidRPr="002F7A3E">
        <w:rPr>
          <w:rFonts w:ascii="Times New Roman" w:hAnsi="Times New Roman" w:cs="Times New Roman"/>
          <w:color w:val="000000"/>
          <w:sz w:val="24"/>
          <w:szCs w:val="24"/>
          <w:shd w:val="clear" w:color="auto" w:fill="FFFFFF"/>
        </w:rPr>
        <w:t>’</w:t>
      </w:r>
      <w:r w:rsidRPr="002F7A3E">
        <w:rPr>
          <w:rFonts w:ascii="Times New Roman" w:hAnsi="Times New Roman" w:cs="Times New Roman"/>
          <w:color w:val="000000"/>
          <w:sz w:val="24"/>
          <w:szCs w:val="24"/>
          <w:shd w:val="clear" w:color="auto" w:fill="FFFFFF"/>
        </w:rPr>
        <w:t>.</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Social Science Electronic Publishing</w:t>
      </w:r>
      <w:r w:rsidR="009905B7" w:rsidRPr="002F7A3E">
        <w:rPr>
          <w:rFonts w:ascii="Times New Roman" w:hAnsi="Times New Roman" w:cs="Times New Roman"/>
          <w:color w:val="000000"/>
          <w:sz w:val="24"/>
          <w:szCs w:val="24"/>
          <w:shd w:val="clear" w:color="auto" w:fill="FFFFFF"/>
        </w:rPr>
        <w:t>,2(4),pp.23-45.</w:t>
      </w:r>
    </w:p>
    <w:p w14:paraId="4019883F" w14:textId="77777777" w:rsidR="00647BEC" w:rsidRPr="002F7A3E" w:rsidRDefault="00647BEC" w:rsidP="000E29A1">
      <w:pPr>
        <w:spacing w:line="360" w:lineRule="auto"/>
        <w:rPr>
          <w:rFonts w:ascii="Times New Roman" w:hAnsi="Times New Roman" w:cs="Times New Roman"/>
          <w:color w:val="000000"/>
          <w:sz w:val="24"/>
          <w:szCs w:val="24"/>
          <w:shd w:val="clear" w:color="auto" w:fill="FFFFFF"/>
        </w:rPr>
      </w:pPr>
    </w:p>
    <w:p w14:paraId="2E8CB533"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Carnegie, A. (2016) ‘The gospel of wealth’.ii.</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North American Review,183</w:t>
      </w:r>
      <w:r w:rsidRPr="002F7A3E">
        <w:rPr>
          <w:rFonts w:ascii="Times New Roman" w:hAnsi="Times New Roman" w:cs="Times New Roman"/>
          <w:color w:val="000000"/>
          <w:sz w:val="24"/>
          <w:szCs w:val="24"/>
          <w:shd w:val="clear" w:color="auto" w:fill="FFFFFF"/>
        </w:rPr>
        <w:t>(604), pp.1096-1106.</w:t>
      </w:r>
    </w:p>
    <w:p w14:paraId="671036F9" w14:textId="77777777" w:rsidR="00214D66" w:rsidRPr="002F7A3E" w:rsidRDefault="00214D66" w:rsidP="000E29A1">
      <w:pPr>
        <w:spacing w:line="360" w:lineRule="auto"/>
        <w:rPr>
          <w:rFonts w:ascii="Times New Roman" w:hAnsi="Times New Roman" w:cs="Times New Roman"/>
          <w:color w:val="000000"/>
          <w:sz w:val="24"/>
          <w:szCs w:val="24"/>
          <w:shd w:val="clear" w:color="auto" w:fill="FFFFFF"/>
        </w:rPr>
      </w:pPr>
    </w:p>
    <w:p w14:paraId="7419D94D"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Debicki, B. J., Robert, V. D. G. R., &amp; Sobczak, M. (2017) ‘Socioemotional wealth and family firm performance: a stakeholder approach’.</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Journal of Managerial Issues,</w:t>
      </w:r>
      <w:r w:rsidRPr="002F7A3E">
        <w:rPr>
          <w:rStyle w:val="apple-converted-space"/>
          <w:rFonts w:ascii="Times New Roman" w:hAnsi="Times New Roman" w:cs="Times New Roman"/>
          <w:color w:val="000000"/>
          <w:sz w:val="24"/>
          <w:szCs w:val="24"/>
          <w:shd w:val="clear" w:color="auto" w:fill="FFFFFF"/>
        </w:rPr>
        <w:t> 1(8),pp.</w:t>
      </w:r>
      <w:r w:rsidRPr="002F7A3E">
        <w:rPr>
          <w:rFonts w:ascii="Times New Roman" w:hAnsi="Times New Roman" w:cs="Times New Roman"/>
          <w:i/>
          <w:iCs/>
          <w:color w:val="000000"/>
          <w:sz w:val="24"/>
          <w:szCs w:val="24"/>
          <w:shd w:val="clear" w:color="auto" w:fill="FFFFFF"/>
        </w:rPr>
        <w:t>29-50</w:t>
      </w:r>
      <w:r w:rsidRPr="002F7A3E">
        <w:rPr>
          <w:rFonts w:ascii="Times New Roman" w:hAnsi="Times New Roman" w:cs="Times New Roman"/>
          <w:color w:val="000000"/>
          <w:sz w:val="24"/>
          <w:szCs w:val="24"/>
          <w:shd w:val="clear" w:color="auto" w:fill="FFFFFF"/>
        </w:rPr>
        <w:t>.</w:t>
      </w:r>
    </w:p>
    <w:p w14:paraId="1EB25FED"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p>
    <w:p w14:paraId="3C16D1CD"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Dahdah, M. A. (2017) ‘Mobile (for) development: cell phones as philanthropic tools for global health.</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Old wine in new bottles? Philanthropy and the rise of global health’ Journal of Economics &amp; Business,</w:t>
      </w:r>
      <w:r w:rsidRPr="002F7A3E">
        <w:rPr>
          <w:rFonts w:ascii="Times New Roman" w:hAnsi="Times New Roman" w:cs="Times New Roman"/>
          <w:iCs/>
          <w:color w:val="000000"/>
          <w:sz w:val="24"/>
          <w:szCs w:val="24"/>
          <w:shd w:val="clear" w:color="auto" w:fill="FFFFFF"/>
        </w:rPr>
        <w:t>9(3)</w:t>
      </w:r>
      <w:r w:rsidRPr="002F7A3E">
        <w:rPr>
          <w:rFonts w:ascii="Times New Roman" w:hAnsi="Times New Roman" w:cs="Times New Roman"/>
          <w:color w:val="000000"/>
          <w:sz w:val="24"/>
          <w:szCs w:val="24"/>
          <w:shd w:val="clear" w:color="auto" w:fill="FFFFFF"/>
        </w:rPr>
        <w:t>.,pp.67-89.</w:t>
      </w:r>
    </w:p>
    <w:p w14:paraId="527B82FB"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p>
    <w:p w14:paraId="675CCB65"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lastRenderedPageBreak/>
        <w:t>DongHyun. (2017) ‘The effects of food-service company`s corporate social responsibility(csr) activities on repurchase intention mediated by self-congruity’.</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Korean Journal of Hospitality &amp; Tourism,</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26</w:t>
      </w:r>
      <w:r w:rsidRPr="002F7A3E">
        <w:rPr>
          <w:rFonts w:ascii="Times New Roman" w:hAnsi="Times New Roman" w:cs="Times New Roman"/>
          <w:color w:val="000000"/>
          <w:sz w:val="24"/>
          <w:szCs w:val="24"/>
          <w:shd w:val="clear" w:color="auto" w:fill="FFFFFF"/>
        </w:rPr>
        <w:t>(4), pp.147-165.</w:t>
      </w:r>
    </w:p>
    <w:p w14:paraId="6DF3D754" w14:textId="77777777" w:rsidR="00214D66" w:rsidRPr="002F7A3E" w:rsidRDefault="00214D66" w:rsidP="000E29A1">
      <w:pPr>
        <w:spacing w:line="360" w:lineRule="auto"/>
        <w:rPr>
          <w:rFonts w:ascii="Times New Roman" w:hAnsi="Times New Roman" w:cs="Times New Roman"/>
          <w:color w:val="000000"/>
          <w:sz w:val="24"/>
          <w:szCs w:val="24"/>
          <w:shd w:val="clear" w:color="auto" w:fill="FFFFFF"/>
        </w:rPr>
      </w:pPr>
    </w:p>
    <w:p w14:paraId="3E989219"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Economidou, C. (2017) ‘Philanthropic entrepreneurship: private donations and knowledge support in greece’.</w:t>
      </w:r>
      <w:r w:rsidRPr="002F7A3E">
        <w:rPr>
          <w:rFonts w:ascii="Times New Roman" w:hAnsi="Times New Roman" w:cs="Times New Roman"/>
          <w:i/>
          <w:iCs/>
          <w:color w:val="000000"/>
          <w:sz w:val="24"/>
          <w:szCs w:val="24"/>
          <w:shd w:val="clear" w:color="auto" w:fill="FFFFFF"/>
        </w:rPr>
        <w:t xml:space="preserve"> Journal of Economics &amp; Business,</w:t>
      </w:r>
      <w:r w:rsidRPr="002F7A3E">
        <w:rPr>
          <w:rFonts w:ascii="Times New Roman" w:hAnsi="Times New Roman" w:cs="Times New Roman"/>
          <w:iCs/>
          <w:color w:val="000000"/>
          <w:sz w:val="24"/>
          <w:szCs w:val="24"/>
          <w:shd w:val="clear" w:color="auto" w:fill="FFFFFF"/>
        </w:rPr>
        <w:t xml:space="preserve"> 4(3), pp.37-57</w:t>
      </w:r>
      <w:r w:rsidRPr="002F7A3E">
        <w:rPr>
          <w:rFonts w:ascii="Times New Roman" w:hAnsi="Times New Roman" w:cs="Times New Roman"/>
          <w:i/>
          <w:iCs/>
          <w:color w:val="000000"/>
          <w:sz w:val="24"/>
          <w:szCs w:val="24"/>
          <w:shd w:val="clear" w:color="auto" w:fill="FFFFFF"/>
        </w:rPr>
        <w:t>.</w:t>
      </w:r>
    </w:p>
    <w:p w14:paraId="7E29A82A" w14:textId="77777777" w:rsidR="00214D66" w:rsidRPr="002F7A3E" w:rsidRDefault="00214D66" w:rsidP="000E29A1">
      <w:pPr>
        <w:spacing w:line="360" w:lineRule="auto"/>
        <w:rPr>
          <w:rFonts w:ascii="Times New Roman" w:hAnsi="Times New Roman" w:cs="Times New Roman"/>
          <w:color w:val="000000"/>
          <w:sz w:val="24"/>
          <w:szCs w:val="24"/>
          <w:shd w:val="clear" w:color="auto" w:fill="FFFFFF"/>
        </w:rPr>
      </w:pPr>
    </w:p>
    <w:p w14:paraId="1F25405B" w14:textId="77777777" w:rsidR="00647BEC" w:rsidRPr="002F7A3E" w:rsidRDefault="00647BEC" w:rsidP="000E29A1">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Hermalin, B</w:t>
      </w:r>
      <w:r w:rsidR="009905B7" w:rsidRPr="002F7A3E">
        <w:rPr>
          <w:rFonts w:ascii="Times New Roman" w:hAnsi="Times New Roman" w:cs="Times New Roman"/>
          <w:color w:val="000000"/>
          <w:sz w:val="24"/>
          <w:szCs w:val="24"/>
          <w:shd w:val="clear" w:color="auto" w:fill="FFFFFF"/>
        </w:rPr>
        <w:t>. E., &amp; Weisbach, M. S. (2017) ‘</w:t>
      </w:r>
      <w:r w:rsidRPr="002F7A3E">
        <w:rPr>
          <w:rFonts w:ascii="Times New Roman" w:hAnsi="Times New Roman" w:cs="Times New Roman"/>
          <w:color w:val="000000"/>
          <w:sz w:val="24"/>
          <w:szCs w:val="24"/>
          <w:shd w:val="clear" w:color="auto" w:fill="FFFFFF"/>
        </w:rPr>
        <w:t>Assessing managerial ability: implic</w:t>
      </w:r>
      <w:r w:rsidR="009905B7" w:rsidRPr="002F7A3E">
        <w:rPr>
          <w:rFonts w:ascii="Times New Roman" w:hAnsi="Times New Roman" w:cs="Times New Roman"/>
          <w:color w:val="000000"/>
          <w:sz w:val="24"/>
          <w:szCs w:val="24"/>
          <w:shd w:val="clear" w:color="auto" w:fill="FFFFFF"/>
        </w:rPr>
        <w:t>ations for corporate governance’</w:t>
      </w:r>
      <w:r w:rsidRPr="002F7A3E">
        <w:rPr>
          <w:rFonts w:ascii="Times New Roman" w:hAnsi="Times New Roman" w:cs="Times New Roman"/>
          <w:color w:val="000000"/>
          <w:sz w:val="24"/>
          <w:szCs w:val="24"/>
          <w:shd w:val="clear" w:color="auto" w:fill="FFFFFF"/>
        </w:rPr>
        <w:t>.</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Handbook of the Economics of Corporate Governance</w:t>
      </w:r>
      <w:r w:rsidR="009905B7" w:rsidRPr="002F7A3E">
        <w:rPr>
          <w:rFonts w:ascii="Times New Roman" w:hAnsi="Times New Roman" w:cs="Times New Roman"/>
          <w:color w:val="000000"/>
          <w:sz w:val="24"/>
          <w:szCs w:val="24"/>
          <w:shd w:val="clear" w:color="auto" w:fill="FFFFFF"/>
        </w:rPr>
        <w:t>, 7(1), pp.44-56.</w:t>
      </w:r>
    </w:p>
    <w:p w14:paraId="7322A884" w14:textId="77777777" w:rsidR="00647BEC" w:rsidRPr="002F7A3E" w:rsidRDefault="00647BEC" w:rsidP="000E29A1">
      <w:pPr>
        <w:spacing w:line="360" w:lineRule="auto"/>
        <w:rPr>
          <w:rFonts w:ascii="Times New Roman" w:hAnsi="Times New Roman" w:cs="Times New Roman"/>
          <w:color w:val="000000"/>
          <w:sz w:val="24"/>
          <w:szCs w:val="24"/>
          <w:shd w:val="clear" w:color="auto" w:fill="FFFFFF"/>
        </w:rPr>
      </w:pPr>
    </w:p>
    <w:p w14:paraId="13A7B868"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Kakabadse, N. K. 1. (2017) ‘Corporate social responsibility and stakeholder approach: a conceptual review’.</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International Journal of Business Governance &amp; Ethics,</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1</w:t>
      </w:r>
      <w:r w:rsidRPr="002F7A3E">
        <w:rPr>
          <w:rFonts w:ascii="Times New Roman" w:hAnsi="Times New Roman" w:cs="Times New Roman"/>
          <w:color w:val="000000"/>
          <w:sz w:val="24"/>
          <w:szCs w:val="24"/>
          <w:shd w:val="clear" w:color="auto" w:fill="FFFFFF"/>
        </w:rPr>
        <w:t>(4),pp.12-21.</w:t>
      </w:r>
    </w:p>
    <w:p w14:paraId="245A295A" w14:textId="77777777" w:rsidR="00214D66" w:rsidRPr="002F7A3E" w:rsidRDefault="00214D66" w:rsidP="000E29A1">
      <w:pPr>
        <w:spacing w:line="360" w:lineRule="auto"/>
        <w:rPr>
          <w:rFonts w:ascii="Times New Roman" w:hAnsi="Times New Roman" w:cs="Times New Roman"/>
          <w:color w:val="000000"/>
          <w:sz w:val="24"/>
          <w:szCs w:val="24"/>
          <w:shd w:val="clear" w:color="auto" w:fill="FFFFFF"/>
        </w:rPr>
      </w:pPr>
    </w:p>
    <w:p w14:paraId="31F124AF" w14:textId="77777777" w:rsidR="00647BEC" w:rsidRPr="002F7A3E" w:rsidRDefault="009905B7" w:rsidP="000E29A1">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Leccese, S. R. (2017) ‘</w:t>
      </w:r>
      <w:r w:rsidR="00647BEC" w:rsidRPr="002F7A3E">
        <w:rPr>
          <w:rFonts w:ascii="Times New Roman" w:hAnsi="Times New Roman" w:cs="Times New Roman"/>
          <w:color w:val="000000"/>
          <w:sz w:val="24"/>
          <w:szCs w:val="24"/>
          <w:shd w:val="clear" w:color="auto" w:fill="FFFFFF"/>
        </w:rPr>
        <w:t>John d. rockefeller, standard oil, and the rise of corporate public relations in progressive america, 1902–1908</w:t>
      </w:r>
      <w:r w:rsidRPr="002F7A3E">
        <w:rPr>
          <w:rFonts w:ascii="Times New Roman" w:hAnsi="Times New Roman" w:cs="Times New Roman"/>
          <w:color w:val="000000"/>
          <w:sz w:val="24"/>
          <w:szCs w:val="24"/>
          <w:shd w:val="clear" w:color="auto" w:fill="FFFFFF"/>
        </w:rPr>
        <w:t>’</w:t>
      </w:r>
      <w:r w:rsidR="00647BEC" w:rsidRPr="002F7A3E">
        <w:rPr>
          <w:rFonts w:ascii="Times New Roman" w:hAnsi="Times New Roman" w:cs="Times New Roman"/>
          <w:color w:val="000000"/>
          <w:sz w:val="24"/>
          <w:szCs w:val="24"/>
          <w:shd w:val="clear" w:color="auto" w:fill="FFFFFF"/>
        </w:rPr>
        <w:t>.</w:t>
      </w:r>
      <w:r w:rsidR="00647BEC" w:rsidRPr="002F7A3E">
        <w:rPr>
          <w:rStyle w:val="apple-converted-space"/>
          <w:rFonts w:ascii="Times New Roman" w:hAnsi="Times New Roman" w:cs="Times New Roman"/>
          <w:color w:val="000000"/>
          <w:sz w:val="24"/>
          <w:szCs w:val="24"/>
          <w:shd w:val="clear" w:color="auto" w:fill="FFFFFF"/>
        </w:rPr>
        <w:t> </w:t>
      </w:r>
      <w:r w:rsidR="00647BEC" w:rsidRPr="002F7A3E">
        <w:rPr>
          <w:rFonts w:ascii="Times New Roman" w:hAnsi="Times New Roman" w:cs="Times New Roman"/>
          <w:i/>
          <w:iCs/>
          <w:color w:val="000000"/>
          <w:sz w:val="24"/>
          <w:szCs w:val="24"/>
          <w:shd w:val="clear" w:color="auto" w:fill="FFFFFF"/>
        </w:rPr>
        <w:t>Journal of the Gilded Age &amp; Progressive Era,</w:t>
      </w:r>
      <w:r w:rsidR="00647BEC" w:rsidRPr="002F7A3E">
        <w:rPr>
          <w:rStyle w:val="apple-converted-space"/>
          <w:rFonts w:ascii="Times New Roman" w:hAnsi="Times New Roman" w:cs="Times New Roman"/>
          <w:color w:val="000000"/>
          <w:sz w:val="24"/>
          <w:szCs w:val="24"/>
          <w:shd w:val="clear" w:color="auto" w:fill="FFFFFF"/>
        </w:rPr>
        <w:t> </w:t>
      </w:r>
      <w:r w:rsidR="00647BEC" w:rsidRPr="002F7A3E">
        <w:rPr>
          <w:rFonts w:ascii="Times New Roman" w:hAnsi="Times New Roman" w:cs="Times New Roman"/>
          <w:i/>
          <w:iCs/>
          <w:color w:val="000000"/>
          <w:sz w:val="24"/>
          <w:szCs w:val="24"/>
          <w:shd w:val="clear" w:color="auto" w:fill="FFFFFF"/>
        </w:rPr>
        <w:t>16</w:t>
      </w:r>
      <w:r w:rsidR="00647BEC" w:rsidRPr="002F7A3E">
        <w:rPr>
          <w:rFonts w:ascii="Times New Roman" w:hAnsi="Times New Roman" w:cs="Times New Roman"/>
          <w:color w:val="000000"/>
          <w:sz w:val="24"/>
          <w:szCs w:val="24"/>
          <w:shd w:val="clear" w:color="auto" w:fill="FFFFFF"/>
        </w:rPr>
        <w:t xml:space="preserve">(3), </w:t>
      </w:r>
      <w:r w:rsidRPr="002F7A3E">
        <w:rPr>
          <w:rFonts w:ascii="Times New Roman" w:hAnsi="Times New Roman" w:cs="Times New Roman"/>
          <w:color w:val="000000"/>
          <w:sz w:val="24"/>
          <w:szCs w:val="24"/>
          <w:shd w:val="clear" w:color="auto" w:fill="FFFFFF"/>
        </w:rPr>
        <w:t>pp.</w:t>
      </w:r>
      <w:r w:rsidR="00647BEC" w:rsidRPr="002F7A3E">
        <w:rPr>
          <w:rFonts w:ascii="Times New Roman" w:hAnsi="Times New Roman" w:cs="Times New Roman"/>
          <w:color w:val="000000"/>
          <w:sz w:val="24"/>
          <w:szCs w:val="24"/>
          <w:shd w:val="clear" w:color="auto" w:fill="FFFFFF"/>
        </w:rPr>
        <w:t>245-263.</w:t>
      </w:r>
    </w:p>
    <w:p w14:paraId="0B190FE4" w14:textId="77777777" w:rsidR="00647BEC" w:rsidRPr="002F7A3E" w:rsidRDefault="00647BEC" w:rsidP="000E29A1">
      <w:pPr>
        <w:spacing w:line="360" w:lineRule="auto"/>
        <w:rPr>
          <w:rFonts w:ascii="Times New Roman" w:hAnsi="Times New Roman" w:cs="Times New Roman"/>
          <w:color w:val="000000"/>
          <w:sz w:val="24"/>
          <w:szCs w:val="24"/>
          <w:shd w:val="clear" w:color="auto" w:fill="FFFFFF"/>
        </w:rPr>
      </w:pPr>
    </w:p>
    <w:p w14:paraId="5B8347C9" w14:textId="77777777" w:rsidR="00647BEC" w:rsidRPr="002F7A3E" w:rsidRDefault="009905B7" w:rsidP="000E29A1">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Mercier, L. (2017) ‘</w:t>
      </w:r>
      <w:r w:rsidR="00647BEC" w:rsidRPr="002F7A3E">
        <w:rPr>
          <w:rFonts w:ascii="Times New Roman" w:hAnsi="Times New Roman" w:cs="Times New Roman"/>
          <w:color w:val="000000"/>
          <w:sz w:val="24"/>
          <w:szCs w:val="24"/>
          <w:shd w:val="clear" w:color="auto" w:fill="FFFFFF"/>
        </w:rPr>
        <w:t>Making an american workforce: the rockefellers and the legacy of ludlow ed. by fawn-amber montoya (review)</w:t>
      </w:r>
      <w:r w:rsidRPr="002F7A3E">
        <w:rPr>
          <w:rFonts w:ascii="Times New Roman" w:hAnsi="Times New Roman" w:cs="Times New Roman"/>
          <w:color w:val="000000"/>
          <w:sz w:val="24"/>
          <w:szCs w:val="24"/>
          <w:shd w:val="clear" w:color="auto" w:fill="FFFFFF"/>
        </w:rPr>
        <w:t>’</w:t>
      </w:r>
      <w:r w:rsidR="00647BEC" w:rsidRPr="002F7A3E">
        <w:rPr>
          <w:rFonts w:ascii="Times New Roman" w:hAnsi="Times New Roman" w:cs="Times New Roman"/>
          <w:color w:val="000000"/>
          <w:sz w:val="24"/>
          <w:szCs w:val="24"/>
          <w:shd w:val="clear" w:color="auto" w:fill="FFFFFF"/>
        </w:rPr>
        <w:t>.</w:t>
      </w:r>
      <w:r w:rsidR="00647BEC" w:rsidRPr="002F7A3E">
        <w:rPr>
          <w:rStyle w:val="apple-converted-space"/>
          <w:rFonts w:ascii="Times New Roman" w:hAnsi="Times New Roman" w:cs="Times New Roman"/>
          <w:color w:val="000000"/>
          <w:sz w:val="24"/>
          <w:szCs w:val="24"/>
          <w:shd w:val="clear" w:color="auto" w:fill="FFFFFF"/>
        </w:rPr>
        <w:t> </w:t>
      </w:r>
      <w:r w:rsidR="00647BEC" w:rsidRPr="002F7A3E">
        <w:rPr>
          <w:rFonts w:ascii="Times New Roman" w:hAnsi="Times New Roman" w:cs="Times New Roman"/>
          <w:i/>
          <w:iCs/>
          <w:color w:val="000000"/>
          <w:sz w:val="24"/>
          <w:szCs w:val="24"/>
          <w:shd w:val="clear" w:color="auto" w:fill="FFFFFF"/>
        </w:rPr>
        <w:t>Labor: Studies in Working-Class History of the Americas,</w:t>
      </w:r>
      <w:r w:rsidR="00647BEC"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1(5),</w:t>
      </w:r>
      <w:r w:rsidRPr="002F7A3E">
        <w:rPr>
          <w:rFonts w:ascii="Times New Roman" w:hAnsi="Times New Roman" w:cs="Times New Roman"/>
          <w:iCs/>
          <w:color w:val="000000"/>
          <w:sz w:val="24"/>
          <w:szCs w:val="24"/>
          <w:shd w:val="clear" w:color="auto" w:fill="FFFFFF"/>
        </w:rPr>
        <w:t>pp.10-19</w:t>
      </w:r>
      <w:r w:rsidR="00647BEC" w:rsidRPr="002F7A3E">
        <w:rPr>
          <w:rFonts w:ascii="Times New Roman" w:hAnsi="Times New Roman" w:cs="Times New Roman"/>
          <w:color w:val="000000"/>
          <w:sz w:val="24"/>
          <w:szCs w:val="24"/>
          <w:shd w:val="clear" w:color="auto" w:fill="FFFFFF"/>
        </w:rPr>
        <w:t>.</w:t>
      </w:r>
    </w:p>
    <w:p w14:paraId="5665DF6E" w14:textId="77777777" w:rsidR="00426F7D" w:rsidRPr="002F7A3E" w:rsidRDefault="00426F7D" w:rsidP="000E29A1">
      <w:pPr>
        <w:spacing w:line="360" w:lineRule="auto"/>
        <w:rPr>
          <w:rFonts w:ascii="Times New Roman" w:hAnsi="Times New Roman" w:cs="Times New Roman"/>
          <w:color w:val="000000"/>
          <w:sz w:val="24"/>
          <w:szCs w:val="24"/>
          <w:shd w:val="clear" w:color="auto" w:fill="FFFFFF"/>
        </w:rPr>
      </w:pPr>
    </w:p>
    <w:p w14:paraId="1D397101"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Premuroso, R. F., &amp; Bhattacharya, S. (2018) ‘Do early and voluntary filers of financial information in xbrl format signal superior corporate governance and operating performance?’ .</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International Journal of Accounting Information Systems,</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9</w:t>
      </w:r>
      <w:r w:rsidRPr="002F7A3E">
        <w:rPr>
          <w:rFonts w:ascii="Times New Roman" w:hAnsi="Times New Roman" w:cs="Times New Roman"/>
          <w:color w:val="000000"/>
          <w:sz w:val="24"/>
          <w:szCs w:val="24"/>
          <w:shd w:val="clear" w:color="auto" w:fill="FFFFFF"/>
        </w:rPr>
        <w:t>(1), pp.1-20.</w:t>
      </w:r>
    </w:p>
    <w:p w14:paraId="3FB0F85F"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p>
    <w:p w14:paraId="03353985"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Pill, M. (2018) ‘Philanthropic foundations in the city policy process: a perspective on policy capacity from the united states’</w:t>
      </w:r>
      <w:r w:rsidRPr="002F7A3E">
        <w:rPr>
          <w:rFonts w:ascii="Times New Roman" w:hAnsi="Times New Roman" w:cs="Times New Roman"/>
          <w:i/>
          <w:iCs/>
          <w:color w:val="000000"/>
          <w:sz w:val="24"/>
          <w:szCs w:val="24"/>
          <w:shd w:val="clear" w:color="auto" w:fill="FFFFFF"/>
        </w:rPr>
        <w:t>,Social Science Electronic Publishing</w:t>
      </w:r>
      <w:r w:rsidRPr="002F7A3E">
        <w:rPr>
          <w:rFonts w:ascii="Times New Roman" w:hAnsi="Times New Roman" w:cs="Times New Roman"/>
          <w:color w:val="000000"/>
          <w:sz w:val="24"/>
          <w:szCs w:val="24"/>
          <w:shd w:val="clear" w:color="auto" w:fill="FFFFFF"/>
        </w:rPr>
        <w:t xml:space="preserve">,4(3), </w:t>
      </w:r>
      <w:r w:rsidRPr="002F7A3E">
        <w:rPr>
          <w:rFonts w:ascii="Times New Roman" w:hAnsi="Times New Roman" w:cs="Times New Roman"/>
          <w:color w:val="000000"/>
          <w:sz w:val="24"/>
          <w:szCs w:val="24"/>
          <w:shd w:val="clear" w:color="auto" w:fill="FFFFFF"/>
        </w:rPr>
        <w:lastRenderedPageBreak/>
        <w:t>pp.23-34.</w:t>
      </w:r>
    </w:p>
    <w:p w14:paraId="2BEC5119" w14:textId="77777777" w:rsidR="00214D66" w:rsidRPr="002F7A3E" w:rsidRDefault="00214D66" w:rsidP="000E29A1">
      <w:pPr>
        <w:spacing w:line="360" w:lineRule="auto"/>
        <w:rPr>
          <w:rFonts w:ascii="Times New Roman" w:hAnsi="Times New Roman" w:cs="Times New Roman"/>
          <w:color w:val="000000"/>
          <w:sz w:val="24"/>
          <w:szCs w:val="24"/>
          <w:shd w:val="clear" w:color="auto" w:fill="FFFFFF"/>
        </w:rPr>
      </w:pPr>
    </w:p>
    <w:p w14:paraId="23F00540" w14:textId="77777777" w:rsidR="00426F7D" w:rsidRPr="002F7A3E" w:rsidRDefault="00426F7D" w:rsidP="000E29A1">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Singh, J., T</w:t>
      </w:r>
      <w:r w:rsidR="009905B7" w:rsidRPr="002F7A3E">
        <w:rPr>
          <w:rFonts w:ascii="Times New Roman" w:hAnsi="Times New Roman" w:cs="Times New Roman"/>
          <w:color w:val="000000"/>
          <w:sz w:val="24"/>
          <w:szCs w:val="24"/>
          <w:shd w:val="clear" w:color="auto" w:fill="FFFFFF"/>
        </w:rPr>
        <w:t>eng, N., &amp; Netessine, S. (2017)</w:t>
      </w:r>
      <w:r w:rsidRPr="002F7A3E">
        <w:rPr>
          <w:rFonts w:ascii="Times New Roman" w:hAnsi="Times New Roman" w:cs="Times New Roman"/>
          <w:color w:val="000000"/>
          <w:sz w:val="24"/>
          <w:szCs w:val="24"/>
          <w:shd w:val="clear" w:color="auto" w:fill="FFFFFF"/>
        </w:rPr>
        <w:t xml:space="preserve"> </w:t>
      </w:r>
      <w:r w:rsidR="009905B7" w:rsidRPr="002F7A3E">
        <w:rPr>
          <w:rFonts w:ascii="Times New Roman" w:hAnsi="Times New Roman" w:cs="Times New Roman"/>
          <w:color w:val="000000"/>
          <w:sz w:val="24"/>
          <w:szCs w:val="24"/>
          <w:shd w:val="clear" w:color="auto" w:fill="FFFFFF"/>
        </w:rPr>
        <w:t>‘</w:t>
      </w:r>
      <w:r w:rsidRPr="002F7A3E">
        <w:rPr>
          <w:rFonts w:ascii="Times New Roman" w:hAnsi="Times New Roman" w:cs="Times New Roman"/>
          <w:color w:val="000000"/>
          <w:sz w:val="24"/>
          <w:szCs w:val="24"/>
          <w:shd w:val="clear" w:color="auto" w:fill="FFFFFF"/>
        </w:rPr>
        <w:t>Philanthropic campaigns and customer behavior: field experiments on an online taxi booking platform</w:t>
      </w:r>
      <w:r w:rsidR="009905B7" w:rsidRPr="002F7A3E">
        <w:rPr>
          <w:rFonts w:ascii="Times New Roman" w:hAnsi="Times New Roman" w:cs="Times New Roman"/>
          <w:color w:val="000000"/>
          <w:sz w:val="24"/>
          <w:szCs w:val="24"/>
          <w:shd w:val="clear" w:color="auto" w:fill="FFFFFF"/>
        </w:rPr>
        <w:t>’</w:t>
      </w:r>
      <w:r w:rsidRPr="002F7A3E">
        <w:rPr>
          <w:rFonts w:ascii="Times New Roman" w:hAnsi="Times New Roman" w:cs="Times New Roman"/>
          <w:color w:val="000000"/>
          <w:sz w:val="24"/>
          <w:szCs w:val="24"/>
          <w:shd w:val="clear" w:color="auto" w:fill="FFFFFF"/>
        </w:rPr>
        <w:t>.</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Social Science Electronic Publishing</w:t>
      </w:r>
      <w:r w:rsidR="009905B7" w:rsidRPr="002F7A3E">
        <w:rPr>
          <w:rFonts w:ascii="Times New Roman" w:hAnsi="Times New Roman" w:cs="Times New Roman"/>
          <w:i/>
          <w:iCs/>
          <w:color w:val="000000"/>
          <w:sz w:val="24"/>
          <w:szCs w:val="24"/>
          <w:shd w:val="clear" w:color="auto" w:fill="FFFFFF"/>
        </w:rPr>
        <w:t>,2(5),pp.36-57</w:t>
      </w:r>
      <w:r w:rsidRPr="002F7A3E">
        <w:rPr>
          <w:rFonts w:ascii="Times New Roman" w:hAnsi="Times New Roman" w:cs="Times New Roman"/>
          <w:color w:val="000000"/>
          <w:sz w:val="24"/>
          <w:szCs w:val="24"/>
          <w:shd w:val="clear" w:color="auto" w:fill="FFFFFF"/>
        </w:rPr>
        <w:t>.</w:t>
      </w:r>
    </w:p>
    <w:p w14:paraId="4A063893" w14:textId="77777777" w:rsidR="00426F7D" w:rsidRPr="002F7A3E" w:rsidRDefault="00426F7D" w:rsidP="000E29A1">
      <w:pPr>
        <w:spacing w:line="360" w:lineRule="auto"/>
        <w:rPr>
          <w:rFonts w:ascii="Times New Roman" w:hAnsi="Times New Roman" w:cs="Times New Roman"/>
          <w:color w:val="000000"/>
          <w:sz w:val="24"/>
          <w:szCs w:val="24"/>
          <w:shd w:val="clear" w:color="auto" w:fill="FFFFFF"/>
        </w:rPr>
      </w:pPr>
    </w:p>
    <w:p w14:paraId="6BB52E73"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Themistokles et al (2013) ‘Customer! the forgotten stakeholder’.</w:t>
      </w:r>
      <w:r w:rsidRPr="002F7A3E">
        <w:rPr>
          <w:rFonts w:ascii="Times New Roman" w:hAnsi="Times New Roman" w:cs="Times New Roman"/>
          <w:sz w:val="24"/>
          <w:szCs w:val="24"/>
        </w:rPr>
        <w:t xml:space="preserve"> </w:t>
      </w:r>
      <w:r w:rsidRPr="002F7A3E">
        <w:rPr>
          <w:rStyle w:val="apple-converted-space"/>
          <w:rFonts w:ascii="Times New Roman" w:hAnsi="Times New Roman" w:cs="Times New Roman"/>
          <w:i/>
          <w:color w:val="000000"/>
          <w:sz w:val="24"/>
          <w:szCs w:val="24"/>
          <w:shd w:val="clear" w:color="auto" w:fill="FFFFFF"/>
        </w:rPr>
        <w:t>China Economic Review</w:t>
      </w:r>
      <w:r w:rsidRPr="002F7A3E">
        <w:rPr>
          <w:rStyle w:val="apple-converted-space"/>
          <w:rFonts w:ascii="Times New Roman" w:hAnsi="Times New Roman" w:cs="Times New Roman"/>
          <w:color w:val="000000"/>
          <w:sz w:val="24"/>
          <w:szCs w:val="24"/>
          <w:shd w:val="clear" w:color="auto" w:fill="FFFFFF"/>
        </w:rPr>
        <w:t>,1</w:t>
      </w:r>
      <w:r w:rsidRPr="002F7A3E">
        <w:rPr>
          <w:rFonts w:ascii="Times New Roman" w:hAnsi="Times New Roman" w:cs="Times New Roman"/>
          <w:color w:val="000000"/>
          <w:sz w:val="24"/>
          <w:szCs w:val="24"/>
          <w:shd w:val="clear" w:color="auto" w:fill="FFFFFF"/>
        </w:rPr>
        <w:t>(2), pp.104-112.</w:t>
      </w:r>
    </w:p>
    <w:p w14:paraId="20C3E3D2"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p>
    <w:p w14:paraId="1607B473" w14:textId="77777777" w:rsidR="00214D66" w:rsidRPr="002F7A3E" w:rsidRDefault="00214D66" w:rsidP="00214D66">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Topooco, N. et al. (2017) ‘Attitudes towards digital treatment for depression: a european stakeholder survey’.</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Internet Interventions,</w:t>
      </w:r>
      <w:r w:rsidRPr="002F7A3E">
        <w:rPr>
          <w:rStyle w:val="apple-converted-space"/>
          <w:rFonts w:ascii="Times New Roman" w:hAnsi="Times New Roman" w:cs="Times New Roman"/>
          <w:color w:val="000000"/>
          <w:sz w:val="24"/>
          <w:szCs w:val="24"/>
          <w:shd w:val="clear" w:color="auto" w:fill="FFFFFF"/>
        </w:rPr>
        <w:t> </w:t>
      </w:r>
      <w:r w:rsidRPr="002F7A3E">
        <w:rPr>
          <w:rFonts w:ascii="Times New Roman" w:hAnsi="Times New Roman" w:cs="Times New Roman"/>
          <w:i/>
          <w:iCs/>
          <w:color w:val="000000"/>
          <w:sz w:val="24"/>
          <w:szCs w:val="24"/>
          <w:shd w:val="clear" w:color="auto" w:fill="FFFFFF"/>
        </w:rPr>
        <w:t>8</w:t>
      </w:r>
      <w:r w:rsidRPr="002F7A3E">
        <w:rPr>
          <w:rFonts w:ascii="Times New Roman" w:hAnsi="Times New Roman" w:cs="Times New Roman"/>
          <w:color w:val="000000"/>
          <w:sz w:val="24"/>
          <w:szCs w:val="24"/>
          <w:shd w:val="clear" w:color="auto" w:fill="FFFFFF"/>
        </w:rPr>
        <w:t>(4),pp.77-89.</w:t>
      </w:r>
    </w:p>
    <w:p w14:paraId="40A26C5B" w14:textId="77777777" w:rsidR="00214D66" w:rsidRPr="002F7A3E" w:rsidRDefault="00214D66" w:rsidP="000E29A1">
      <w:pPr>
        <w:spacing w:line="360" w:lineRule="auto"/>
        <w:rPr>
          <w:rFonts w:ascii="Times New Roman" w:hAnsi="Times New Roman" w:cs="Times New Roman"/>
          <w:color w:val="000000"/>
          <w:sz w:val="24"/>
          <w:szCs w:val="24"/>
          <w:shd w:val="clear" w:color="auto" w:fill="FFFFFF"/>
        </w:rPr>
      </w:pPr>
    </w:p>
    <w:p w14:paraId="3223AAF6" w14:textId="77777777" w:rsidR="00426F7D" w:rsidRPr="002F7A3E" w:rsidRDefault="00426F7D" w:rsidP="000E29A1">
      <w:pPr>
        <w:spacing w:line="360" w:lineRule="auto"/>
        <w:rPr>
          <w:rFonts w:ascii="Times New Roman" w:hAnsi="Times New Roman" w:cs="Times New Roman"/>
          <w:color w:val="000000"/>
          <w:sz w:val="24"/>
          <w:szCs w:val="24"/>
          <w:shd w:val="clear" w:color="auto" w:fill="FFFFFF"/>
        </w:rPr>
      </w:pPr>
      <w:r w:rsidRPr="002F7A3E">
        <w:rPr>
          <w:rFonts w:ascii="Times New Roman" w:hAnsi="Times New Roman" w:cs="Times New Roman"/>
          <w:color w:val="000000"/>
          <w:sz w:val="24"/>
          <w:szCs w:val="24"/>
          <w:shd w:val="clear" w:color="auto" w:fill="FFFFFF"/>
        </w:rPr>
        <w:t>Williamson, A.,</w:t>
      </w:r>
      <w:r w:rsidR="009905B7" w:rsidRPr="002F7A3E">
        <w:rPr>
          <w:rFonts w:ascii="Times New Roman" w:hAnsi="Times New Roman" w:cs="Times New Roman"/>
          <w:color w:val="000000"/>
          <w:sz w:val="24"/>
          <w:szCs w:val="24"/>
          <w:shd w:val="clear" w:color="auto" w:fill="FFFFFF"/>
        </w:rPr>
        <w:t xml:space="preserve"> Leat, D., &amp; Scaife, W. (2017) ‘</w:t>
      </w:r>
      <w:r w:rsidRPr="002F7A3E">
        <w:rPr>
          <w:rFonts w:ascii="Times New Roman" w:hAnsi="Times New Roman" w:cs="Times New Roman"/>
          <w:color w:val="000000"/>
          <w:sz w:val="24"/>
          <w:szCs w:val="24"/>
          <w:shd w:val="clear" w:color="auto" w:fill="FFFFFF"/>
        </w:rPr>
        <w:t>Narratives of performance measurement in philanthropic foundations</w:t>
      </w:r>
      <w:r w:rsidR="009905B7" w:rsidRPr="002F7A3E">
        <w:rPr>
          <w:rFonts w:ascii="Times New Roman" w:hAnsi="Times New Roman" w:cs="Times New Roman"/>
          <w:color w:val="000000"/>
          <w:sz w:val="24"/>
          <w:szCs w:val="24"/>
          <w:shd w:val="clear" w:color="auto" w:fill="FFFFFF"/>
        </w:rPr>
        <w:t>’,</w:t>
      </w:r>
      <w:r w:rsidR="00ED2B58" w:rsidRPr="002F7A3E">
        <w:rPr>
          <w:rFonts w:ascii="Times New Roman" w:hAnsi="Times New Roman" w:cs="Times New Roman"/>
          <w:i/>
          <w:iCs/>
          <w:color w:val="000000"/>
          <w:sz w:val="24"/>
          <w:szCs w:val="24"/>
          <w:shd w:val="clear" w:color="auto" w:fill="FFFFFF"/>
        </w:rPr>
        <w:t xml:space="preserve"> Social Science Electronic Publishing</w:t>
      </w:r>
      <w:r w:rsidR="009905B7" w:rsidRPr="002F7A3E">
        <w:rPr>
          <w:rFonts w:ascii="Times New Roman" w:hAnsi="Times New Roman" w:cs="Times New Roman"/>
          <w:color w:val="000000"/>
          <w:sz w:val="24"/>
          <w:szCs w:val="24"/>
          <w:shd w:val="clear" w:color="auto" w:fill="FFFFFF"/>
        </w:rPr>
        <w:t xml:space="preserve"> 5(6), pp.54-67</w:t>
      </w:r>
      <w:r w:rsidRPr="002F7A3E">
        <w:rPr>
          <w:rFonts w:ascii="Times New Roman" w:hAnsi="Times New Roman" w:cs="Times New Roman"/>
          <w:color w:val="000000"/>
          <w:sz w:val="24"/>
          <w:szCs w:val="24"/>
          <w:shd w:val="clear" w:color="auto" w:fill="FFFFFF"/>
        </w:rPr>
        <w:t>.</w:t>
      </w:r>
    </w:p>
    <w:p w14:paraId="1D627949" w14:textId="77777777" w:rsidR="00426F7D" w:rsidRPr="002F7A3E" w:rsidRDefault="00426F7D" w:rsidP="000E29A1">
      <w:pPr>
        <w:spacing w:line="360" w:lineRule="auto"/>
        <w:rPr>
          <w:rFonts w:ascii="Times New Roman" w:hAnsi="Times New Roman" w:cs="Times New Roman"/>
          <w:color w:val="000000"/>
          <w:sz w:val="24"/>
          <w:szCs w:val="24"/>
          <w:shd w:val="clear" w:color="auto" w:fill="FFFFFF"/>
        </w:rPr>
      </w:pPr>
    </w:p>
    <w:p w14:paraId="65D397CB" w14:textId="77777777" w:rsidR="001435E4" w:rsidRPr="002F7A3E" w:rsidRDefault="001435E4" w:rsidP="000E29A1">
      <w:pPr>
        <w:spacing w:line="360" w:lineRule="auto"/>
        <w:rPr>
          <w:rFonts w:ascii="Times New Roman" w:hAnsi="Times New Roman" w:cs="Times New Roman"/>
          <w:color w:val="000000"/>
          <w:sz w:val="24"/>
          <w:szCs w:val="24"/>
          <w:shd w:val="clear" w:color="auto" w:fill="FFFFFF"/>
        </w:rPr>
      </w:pPr>
    </w:p>
    <w:p w14:paraId="01734262" w14:textId="77777777" w:rsidR="001435E4" w:rsidRPr="002F7A3E" w:rsidRDefault="001435E4" w:rsidP="000E29A1">
      <w:pPr>
        <w:spacing w:line="360" w:lineRule="auto"/>
        <w:rPr>
          <w:rFonts w:ascii="Times New Roman" w:hAnsi="Times New Roman" w:cs="Times New Roman"/>
          <w:color w:val="000000"/>
          <w:sz w:val="24"/>
          <w:szCs w:val="24"/>
          <w:shd w:val="clear" w:color="auto" w:fill="FFFFFF"/>
        </w:rPr>
      </w:pPr>
    </w:p>
    <w:sectPr w:rsidR="001435E4" w:rsidRPr="002F7A3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88ECE5" w14:textId="77777777" w:rsidR="002F2FBA" w:rsidRDefault="002F2FBA" w:rsidP="00647BEC">
      <w:r>
        <w:separator/>
      </w:r>
    </w:p>
  </w:endnote>
  <w:endnote w:type="continuationSeparator" w:id="0">
    <w:p w14:paraId="2871C010" w14:textId="77777777" w:rsidR="002F2FBA" w:rsidRDefault="002F2FBA" w:rsidP="00647B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4D2B72" w14:textId="77777777" w:rsidR="002F2FBA" w:rsidRDefault="002F2FBA" w:rsidP="00647BEC">
      <w:r>
        <w:separator/>
      </w:r>
    </w:p>
  </w:footnote>
  <w:footnote w:type="continuationSeparator" w:id="0">
    <w:p w14:paraId="60E2E3FD" w14:textId="77777777" w:rsidR="002F2FBA" w:rsidRDefault="002F2FBA" w:rsidP="00647B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F5D5E0D"/>
    <w:multiLevelType w:val="hybridMultilevel"/>
    <w:tmpl w:val="095451C0"/>
    <w:lvl w:ilvl="0" w:tplc="1FE2778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2AB63A08"/>
    <w:multiLevelType w:val="multilevel"/>
    <w:tmpl w:val="1D2C6B5E"/>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3" w15:restartNumberingAfterBreak="0">
    <w:nsid w:val="5EB80A13"/>
    <w:multiLevelType w:val="hybridMultilevel"/>
    <w:tmpl w:val="109A4FEC"/>
    <w:lvl w:ilvl="0" w:tplc="08090001">
      <w:start w:val="1"/>
      <w:numFmt w:val="bullet"/>
      <w:lvlText w:val=""/>
      <w:lvlJc w:val="left"/>
      <w:pPr>
        <w:ind w:left="535" w:hanging="360"/>
      </w:pPr>
      <w:rPr>
        <w:rFonts w:ascii="Symbol" w:hAnsi="Symbol" w:hint="default"/>
      </w:rPr>
    </w:lvl>
    <w:lvl w:ilvl="1" w:tplc="08090003" w:tentative="1">
      <w:start w:val="1"/>
      <w:numFmt w:val="bullet"/>
      <w:lvlText w:val="o"/>
      <w:lvlJc w:val="left"/>
      <w:pPr>
        <w:ind w:left="1255" w:hanging="360"/>
      </w:pPr>
      <w:rPr>
        <w:rFonts w:ascii="Courier New" w:hAnsi="Courier New" w:cs="Courier New" w:hint="default"/>
      </w:rPr>
    </w:lvl>
    <w:lvl w:ilvl="2" w:tplc="08090005" w:tentative="1">
      <w:start w:val="1"/>
      <w:numFmt w:val="bullet"/>
      <w:lvlText w:val=""/>
      <w:lvlJc w:val="left"/>
      <w:pPr>
        <w:ind w:left="1975" w:hanging="360"/>
      </w:pPr>
      <w:rPr>
        <w:rFonts w:ascii="Wingdings" w:hAnsi="Wingdings" w:hint="default"/>
      </w:rPr>
    </w:lvl>
    <w:lvl w:ilvl="3" w:tplc="08090001" w:tentative="1">
      <w:start w:val="1"/>
      <w:numFmt w:val="bullet"/>
      <w:lvlText w:val=""/>
      <w:lvlJc w:val="left"/>
      <w:pPr>
        <w:ind w:left="2695" w:hanging="360"/>
      </w:pPr>
      <w:rPr>
        <w:rFonts w:ascii="Symbol" w:hAnsi="Symbol" w:hint="default"/>
      </w:rPr>
    </w:lvl>
    <w:lvl w:ilvl="4" w:tplc="08090003" w:tentative="1">
      <w:start w:val="1"/>
      <w:numFmt w:val="bullet"/>
      <w:lvlText w:val="o"/>
      <w:lvlJc w:val="left"/>
      <w:pPr>
        <w:ind w:left="3415" w:hanging="360"/>
      </w:pPr>
      <w:rPr>
        <w:rFonts w:ascii="Courier New" w:hAnsi="Courier New" w:cs="Courier New" w:hint="default"/>
      </w:rPr>
    </w:lvl>
    <w:lvl w:ilvl="5" w:tplc="08090005" w:tentative="1">
      <w:start w:val="1"/>
      <w:numFmt w:val="bullet"/>
      <w:lvlText w:val=""/>
      <w:lvlJc w:val="left"/>
      <w:pPr>
        <w:ind w:left="4135" w:hanging="360"/>
      </w:pPr>
      <w:rPr>
        <w:rFonts w:ascii="Wingdings" w:hAnsi="Wingdings" w:hint="default"/>
      </w:rPr>
    </w:lvl>
    <w:lvl w:ilvl="6" w:tplc="08090001" w:tentative="1">
      <w:start w:val="1"/>
      <w:numFmt w:val="bullet"/>
      <w:lvlText w:val=""/>
      <w:lvlJc w:val="left"/>
      <w:pPr>
        <w:ind w:left="4855" w:hanging="360"/>
      </w:pPr>
      <w:rPr>
        <w:rFonts w:ascii="Symbol" w:hAnsi="Symbol" w:hint="default"/>
      </w:rPr>
    </w:lvl>
    <w:lvl w:ilvl="7" w:tplc="08090003" w:tentative="1">
      <w:start w:val="1"/>
      <w:numFmt w:val="bullet"/>
      <w:lvlText w:val="o"/>
      <w:lvlJc w:val="left"/>
      <w:pPr>
        <w:ind w:left="5575" w:hanging="360"/>
      </w:pPr>
      <w:rPr>
        <w:rFonts w:ascii="Courier New" w:hAnsi="Courier New" w:cs="Courier New" w:hint="default"/>
      </w:rPr>
    </w:lvl>
    <w:lvl w:ilvl="8" w:tplc="08090005" w:tentative="1">
      <w:start w:val="1"/>
      <w:numFmt w:val="bullet"/>
      <w:lvlText w:val=""/>
      <w:lvlJc w:val="left"/>
      <w:pPr>
        <w:ind w:left="6295"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9A1"/>
    <w:rsid w:val="00044CC0"/>
    <w:rsid w:val="00060481"/>
    <w:rsid w:val="00070027"/>
    <w:rsid w:val="000D5351"/>
    <w:rsid w:val="000E29A1"/>
    <w:rsid w:val="000E6655"/>
    <w:rsid w:val="00102FCF"/>
    <w:rsid w:val="00122369"/>
    <w:rsid w:val="001435E4"/>
    <w:rsid w:val="002134F8"/>
    <w:rsid w:val="00214D66"/>
    <w:rsid w:val="002F2FBA"/>
    <w:rsid w:val="002F7A3E"/>
    <w:rsid w:val="00385866"/>
    <w:rsid w:val="003B5313"/>
    <w:rsid w:val="003C63B7"/>
    <w:rsid w:val="00420165"/>
    <w:rsid w:val="00426F7D"/>
    <w:rsid w:val="0053799B"/>
    <w:rsid w:val="00567207"/>
    <w:rsid w:val="00647BEC"/>
    <w:rsid w:val="006524F3"/>
    <w:rsid w:val="0066037E"/>
    <w:rsid w:val="00662720"/>
    <w:rsid w:val="00665450"/>
    <w:rsid w:val="00772E0F"/>
    <w:rsid w:val="0078155C"/>
    <w:rsid w:val="00781A69"/>
    <w:rsid w:val="007D6E4A"/>
    <w:rsid w:val="008905C2"/>
    <w:rsid w:val="008C6AE0"/>
    <w:rsid w:val="00906B2C"/>
    <w:rsid w:val="009338FB"/>
    <w:rsid w:val="009905B7"/>
    <w:rsid w:val="009D34A5"/>
    <w:rsid w:val="009E157C"/>
    <w:rsid w:val="009F3ED2"/>
    <w:rsid w:val="00A17705"/>
    <w:rsid w:val="00A2627D"/>
    <w:rsid w:val="00A34463"/>
    <w:rsid w:val="00A92DCF"/>
    <w:rsid w:val="00AB01E3"/>
    <w:rsid w:val="00B0106B"/>
    <w:rsid w:val="00BB52CA"/>
    <w:rsid w:val="00BC74F9"/>
    <w:rsid w:val="00C926D5"/>
    <w:rsid w:val="00CE5EB6"/>
    <w:rsid w:val="00D83B5A"/>
    <w:rsid w:val="00DC0D39"/>
    <w:rsid w:val="00DD1AE6"/>
    <w:rsid w:val="00ED2B58"/>
    <w:rsid w:val="00F116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679D9E"/>
  <w15:docId w15:val="{0C6BF167-DF4A-4120-A0DA-77882F41D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E29A1"/>
    <w:pPr>
      <w:ind w:firstLineChars="200" w:firstLine="420"/>
    </w:pPr>
  </w:style>
  <w:style w:type="paragraph" w:styleId="a4">
    <w:name w:val="header"/>
    <w:basedOn w:val="a"/>
    <w:link w:val="a5"/>
    <w:rsid w:val="000E29A1"/>
    <w:pPr>
      <w:widowControl/>
      <w:tabs>
        <w:tab w:val="center" w:pos="4153"/>
        <w:tab w:val="right" w:pos="8306"/>
      </w:tabs>
      <w:jc w:val="left"/>
    </w:pPr>
    <w:rPr>
      <w:rFonts w:ascii="Times New Roman" w:hAnsi="Times New Roman" w:cs="Times New Roman"/>
      <w:kern w:val="0"/>
      <w:sz w:val="20"/>
      <w:szCs w:val="20"/>
      <w:lang w:val="en-GB" w:eastAsia="en-GB"/>
    </w:rPr>
  </w:style>
  <w:style w:type="character" w:customStyle="1" w:styleId="a5">
    <w:name w:val="页眉 字符"/>
    <w:basedOn w:val="a0"/>
    <w:link w:val="a4"/>
    <w:rsid w:val="000E29A1"/>
    <w:rPr>
      <w:rFonts w:ascii="Times New Roman" w:hAnsi="Times New Roman" w:cs="Times New Roman"/>
      <w:kern w:val="0"/>
      <w:sz w:val="20"/>
      <w:szCs w:val="20"/>
      <w:lang w:val="en-GB" w:eastAsia="en-GB"/>
    </w:rPr>
  </w:style>
  <w:style w:type="paragraph" w:styleId="a6">
    <w:name w:val="footer"/>
    <w:basedOn w:val="a"/>
    <w:link w:val="a7"/>
    <w:uiPriority w:val="99"/>
    <w:unhideWhenUsed/>
    <w:rsid w:val="00647BEC"/>
    <w:pPr>
      <w:tabs>
        <w:tab w:val="center" w:pos="4153"/>
        <w:tab w:val="right" w:pos="8306"/>
      </w:tabs>
      <w:snapToGrid w:val="0"/>
      <w:jc w:val="left"/>
    </w:pPr>
    <w:rPr>
      <w:sz w:val="18"/>
      <w:szCs w:val="18"/>
    </w:rPr>
  </w:style>
  <w:style w:type="character" w:customStyle="1" w:styleId="a7">
    <w:name w:val="页脚 字符"/>
    <w:basedOn w:val="a0"/>
    <w:link w:val="a6"/>
    <w:uiPriority w:val="99"/>
    <w:rsid w:val="00647BEC"/>
    <w:rPr>
      <w:sz w:val="18"/>
      <w:szCs w:val="18"/>
    </w:rPr>
  </w:style>
  <w:style w:type="character" w:customStyle="1" w:styleId="apple-converted-space">
    <w:name w:val="apple-converted-space"/>
    <w:basedOn w:val="a0"/>
    <w:rsid w:val="00647BEC"/>
  </w:style>
  <w:style w:type="character" w:styleId="a8">
    <w:name w:val="annotation reference"/>
    <w:basedOn w:val="a0"/>
    <w:uiPriority w:val="99"/>
    <w:semiHidden/>
    <w:unhideWhenUsed/>
    <w:rsid w:val="000D5351"/>
    <w:rPr>
      <w:sz w:val="21"/>
      <w:szCs w:val="21"/>
    </w:rPr>
  </w:style>
  <w:style w:type="paragraph" w:styleId="a9">
    <w:name w:val="annotation text"/>
    <w:basedOn w:val="a"/>
    <w:link w:val="aa"/>
    <w:uiPriority w:val="99"/>
    <w:semiHidden/>
    <w:unhideWhenUsed/>
    <w:rsid w:val="000D5351"/>
    <w:pPr>
      <w:jc w:val="left"/>
    </w:pPr>
  </w:style>
  <w:style w:type="character" w:customStyle="1" w:styleId="aa">
    <w:name w:val="批注文字 字符"/>
    <w:basedOn w:val="a0"/>
    <w:link w:val="a9"/>
    <w:uiPriority w:val="99"/>
    <w:semiHidden/>
    <w:rsid w:val="000D5351"/>
  </w:style>
  <w:style w:type="paragraph" w:styleId="ab">
    <w:name w:val="annotation subject"/>
    <w:basedOn w:val="a9"/>
    <w:next w:val="a9"/>
    <w:link w:val="ac"/>
    <w:uiPriority w:val="99"/>
    <w:semiHidden/>
    <w:unhideWhenUsed/>
    <w:rsid w:val="000D5351"/>
    <w:rPr>
      <w:b/>
      <w:bCs/>
    </w:rPr>
  </w:style>
  <w:style w:type="character" w:customStyle="1" w:styleId="ac">
    <w:name w:val="批注主题 字符"/>
    <w:basedOn w:val="aa"/>
    <w:link w:val="ab"/>
    <w:uiPriority w:val="99"/>
    <w:semiHidden/>
    <w:rsid w:val="000D5351"/>
    <w:rPr>
      <w:b/>
      <w:bCs/>
    </w:rPr>
  </w:style>
  <w:style w:type="paragraph" w:styleId="ad">
    <w:name w:val="Balloon Text"/>
    <w:basedOn w:val="a"/>
    <w:link w:val="ae"/>
    <w:uiPriority w:val="99"/>
    <w:semiHidden/>
    <w:unhideWhenUsed/>
    <w:rsid w:val="000D5351"/>
    <w:rPr>
      <w:sz w:val="18"/>
      <w:szCs w:val="18"/>
    </w:rPr>
  </w:style>
  <w:style w:type="character" w:customStyle="1" w:styleId="ae">
    <w:name w:val="批注框文本 字符"/>
    <w:basedOn w:val="a0"/>
    <w:link w:val="ad"/>
    <w:uiPriority w:val="99"/>
    <w:semiHidden/>
    <w:rsid w:val="000D5351"/>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E6ABEB-7ED9-49D4-B466-18162DF0F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2641</Words>
  <Characters>15060</Characters>
  <Application>Microsoft Office Word</Application>
  <DocSecurity>0</DocSecurity>
  <Lines>125</Lines>
  <Paragraphs>35</Paragraphs>
  <ScaleCrop>false</ScaleCrop>
  <Company>wimxt.com</Company>
  <LinksUpToDate>false</LinksUpToDate>
  <CharactersWithSpaces>17666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Win</cp:lastModifiedBy>
  <cp:revision>2</cp:revision>
  <dcterms:created xsi:type="dcterms:W3CDTF">2018-04-26T08:36:00Z</dcterms:created>
  <dcterms:modified xsi:type="dcterms:W3CDTF">2018-04-26T08:36:00Z</dcterms:modified>
</cp:coreProperties>
</file>