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r>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drawing xmlns:a="http://schemas.openxmlformats.org/drawingml/2006/main">
          <wp:inline distT="0" distB="0" distL="0" distR="0">
            <wp:extent cx="1908049" cy="635661"/>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SD_logo2010.png"/>
                    <pic:cNvPicPr>
                      <a:picLocks noChangeAspect="1"/>
                    </pic:cNvPicPr>
                  </pic:nvPicPr>
                  <pic:blipFill>
                    <a:blip r:embed="rId4">
                      <a:extLst/>
                    </a:blip>
                    <a:stretch>
                      <a:fillRect/>
                    </a:stretch>
                  </pic:blipFill>
                  <pic:spPr>
                    <a:xfrm>
                      <a:off x="0" y="0"/>
                      <a:ext cx="1908049" cy="635661"/>
                    </a:xfrm>
                    <a:prstGeom prst="rect">
                      <a:avLst/>
                    </a:prstGeom>
                    <a:ln w="19050" cap="flat">
                      <a:solidFill>
                        <a:srgbClr val="000000"/>
                      </a:solidFill>
                      <a:prstDash val="solid"/>
                      <a:round/>
                    </a:ln>
                    <a:effectLst/>
                  </pic:spPr>
                </pic:pic>
              </a:graphicData>
            </a:graphic>
          </wp:inline>
        </w:drawing>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t xml:space="preserve">Postgraduate/Distance Learning </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t>Assignment coversheet &amp; feedback form</w:t>
      </w:r>
    </w:p>
    <w:p>
      <w:pPr>
        <w:pStyle w:val="Body"/>
        <w:rPr>
          <w:rFonts w:ascii="Arial" w:cs="Arial" w:hAnsi="Arial" w:eastAsia="Arial"/>
          <w:sz w:val="28"/>
          <w:szCs w:val="28"/>
        </w:rPr>
      </w:pPr>
    </w:p>
    <w:p>
      <w:pPr>
        <w:pStyle w:val="Heading 3"/>
        <w:pBdr>
          <w:top w:val="nil"/>
          <w:left w:val="nil"/>
          <w:bottom w:val="nil"/>
          <w:right w:val="nil"/>
        </w:pBdr>
        <w:bidi w:val="0"/>
        <w:spacing w:before="0" w:after="0" w:line="240" w:lineRule="auto"/>
        <w:ind w:left="720" w:right="0" w:firstLine="0"/>
        <w:jc w:val="center"/>
        <w:outlineLvl w:val="2"/>
        <w:rPr>
          <w:rFonts w:ascii="Tahoma Bold" w:cs="Tahoma Bold" w:hAnsi="Tahoma Bold" w:eastAsia="Tahoma Bold"/>
          <w:spacing w:val="0"/>
          <w:sz w:val="20"/>
          <w:szCs w:val="20"/>
          <w:u w:color="000000"/>
          <w:rtl w:val="0"/>
        </w:rPr>
      </w:pPr>
      <w:r>
        <w:rPr>
          <w:rFonts w:ascii="Tahoma Bold" w:hAnsi="Tahoma Bold"/>
          <w:spacing w:val="0"/>
          <w:sz w:val="20"/>
          <w:szCs w:val="20"/>
          <w:u w:color="000000"/>
          <w:rtl w:val="0"/>
        </w:rPr>
        <w:t>THIS SHEET MUST BE THE FIRST PAGE OF THE ASSIGNMENT YOU ARE SUBMITTING  (DO NOT SEND AS A SEPARATE FILE)</w:t>
      </w:r>
    </w:p>
    <w:p>
      <w:pPr>
        <w:pStyle w:val="Heading 3"/>
        <w:pBdr>
          <w:top w:val="nil"/>
          <w:left w:val="nil"/>
          <w:bottom w:val="nil"/>
          <w:right w:val="nil"/>
        </w:pBdr>
        <w:bidi w:val="0"/>
        <w:spacing w:before="0" w:after="0" w:line="240" w:lineRule="auto"/>
        <w:ind w:left="720" w:right="0" w:firstLine="0"/>
        <w:jc w:val="center"/>
        <w:outlineLvl w:val="2"/>
        <w:rPr>
          <w:rFonts w:ascii="Trebuchet MS" w:cs="Trebuchet MS" w:hAnsi="Trebuchet MS" w:eastAsia="Trebuchet MS"/>
          <w:b w:val="1"/>
          <w:bCs w:val="1"/>
          <w:spacing w:val="0"/>
          <w:sz w:val="20"/>
          <w:szCs w:val="20"/>
          <w:u w:color="000000"/>
          <w:rtl w:val="0"/>
          <w:lang w:val="en-US"/>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the student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p>
        </w:tc>
      </w:tr>
      <w:tr>
        <w:tblPrEx>
          <w:shd w:val="clear" w:color="auto" w:fill="ced7e7"/>
        </w:tblPrEx>
        <w:trPr>
          <w:trHeight w:val="55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Student Name:</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r>
          </w:p>
        </w:tc>
      </w:tr>
      <w:tr>
        <w:tblPrEx>
          <w:shd w:val="clear" w:color="auto" w:fill="ced7e7"/>
        </w:tblPrEx>
        <w:trPr>
          <w:trHeight w:val="120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code:</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title:</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Student ID number:</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Educational support needs: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Yes/No</w:t>
            </w:r>
          </w:p>
        </w:tc>
      </w:tr>
      <w:tr>
        <w:tblPrEx>
          <w:shd w:val="clear" w:color="auto" w:fill="ced7e7"/>
        </w:tblPrEx>
        <w:trPr>
          <w:trHeight w:val="97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tutor:</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Assignment due date:</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If your module has multiple submissions please indicate which piece of work this is.</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sz w:val="22"/>
                <w:szCs w:val="22"/>
                <w:shd w:val="nil" w:color="auto" w:fill="auto"/>
                <w:rtl w:val="0"/>
                <w:lang w:val="en-US"/>
              </w:rPr>
              <w:t>1</w:t>
            </w:r>
            <w:r>
              <w:rPr>
                <w:rFonts w:ascii="Arial" w:hAnsi="Arial"/>
                <w:sz w:val="22"/>
                <w:szCs w:val="22"/>
                <w:shd w:val="nil" w:color="auto" w:fill="auto"/>
                <w:vertAlign w:val="superscript"/>
                <w:rtl w:val="0"/>
                <w:lang w:val="en-US"/>
              </w:rPr>
              <w:t xml:space="preserve">st </w:t>
            </w:r>
            <w:r>
              <w:rPr>
                <w:rFonts w:ascii="Arial" w:hAnsi="Arial"/>
                <w:sz w:val="22"/>
                <w:szCs w:val="22"/>
                <w:shd w:val="nil" w:color="auto" w:fill="auto"/>
                <w:rtl w:val="0"/>
                <w:lang w:val="en-US"/>
              </w:rPr>
              <w:t xml:space="preserve">    2</w:t>
            </w:r>
            <w:r>
              <w:rPr>
                <w:rFonts w:ascii="Arial" w:hAnsi="Arial"/>
                <w:sz w:val="22"/>
                <w:szCs w:val="22"/>
                <w:shd w:val="nil" w:color="auto" w:fill="auto"/>
                <w:vertAlign w:val="superscript"/>
                <w:rtl w:val="0"/>
                <w:lang w:val="en-US"/>
              </w:rPr>
              <w:t>nd</w:t>
            </w:r>
            <w:r>
              <w:rPr>
                <w:rFonts w:ascii="Arial" w:hAnsi="Arial"/>
                <w:sz w:val="22"/>
                <w:szCs w:val="22"/>
                <w:shd w:val="nil" w:color="auto" w:fill="auto"/>
                <w:rtl w:val="0"/>
                <w:lang w:val="en-US"/>
              </w:rPr>
              <w:t xml:space="preserve">       3</w:t>
            </w:r>
            <w:r>
              <w:rPr>
                <w:rFonts w:ascii="Arial" w:hAnsi="Arial"/>
                <w:sz w:val="22"/>
                <w:szCs w:val="22"/>
                <w:shd w:val="nil" w:color="auto" w:fill="auto"/>
                <w:vertAlign w:val="superscript"/>
                <w:rtl w:val="0"/>
                <w:lang w:val="en-US"/>
              </w:rPr>
              <w:t>rd</w:t>
            </w:r>
            <w:r>
              <w:rPr>
                <w:rFonts w:ascii="Arial" w:hAnsi="Arial"/>
                <w:sz w:val="22"/>
                <w:szCs w:val="22"/>
                <w:shd w:val="nil" w:color="auto" w:fill="auto"/>
                <w:rtl w:val="0"/>
                <w:lang w:val="en-US"/>
              </w:rPr>
              <w:t xml:space="preserve">        4</w:t>
            </w:r>
            <w:r>
              <w:rPr>
                <w:rFonts w:ascii="Arial" w:hAnsi="Arial"/>
                <w:sz w:val="22"/>
                <w:szCs w:val="22"/>
                <w:shd w:val="nil" w:color="auto" w:fill="auto"/>
                <w:vertAlign w:val="superscript"/>
                <w:rtl w:val="0"/>
                <w:lang w:val="en-US"/>
              </w:rPr>
              <w:t>th</w:t>
            </w:r>
            <w:r>
              <w:rPr>
                <w:rFonts w:ascii="Arial" w:hAnsi="Arial"/>
                <w:sz w:val="22"/>
                <w:szCs w:val="22"/>
                <w:shd w:val="nil" w:color="auto" w:fill="auto"/>
                <w:rtl w:val="0"/>
                <w:lang w:val="en-US"/>
              </w:rPr>
              <w:t xml:space="preserve">       5</w:t>
            </w:r>
            <w:r>
              <w:rPr>
                <w:rFonts w:ascii="Arial" w:hAnsi="Arial"/>
                <w:sz w:val="22"/>
                <w:szCs w:val="22"/>
                <w:shd w:val="nil" w:color="auto" w:fill="auto"/>
                <w:vertAlign w:val="superscript"/>
                <w:rtl w:val="0"/>
                <w:lang w:val="en-US"/>
              </w:rPr>
              <w:t>th</w:t>
            </w:r>
            <w:r>
              <w:rPr>
                <w:rFonts w:ascii="Arial" w:hAnsi="Arial"/>
                <w:sz w:val="22"/>
                <w:szCs w:val="22"/>
                <w:shd w:val="nil" w:color="auto" w:fill="auto"/>
                <w:rtl w:val="0"/>
                <w:lang w:val="en-US"/>
              </w:rPr>
              <w:t xml:space="preserve">       6</w:t>
            </w:r>
            <w:r>
              <w:rPr>
                <w:rFonts w:ascii="Arial" w:hAnsi="Arial"/>
                <w:sz w:val="22"/>
                <w:szCs w:val="22"/>
                <w:shd w:val="nil" w:color="auto" w:fill="auto"/>
                <w:vertAlign w:val="superscript"/>
                <w:rtl w:val="0"/>
                <w:lang w:val="en-US"/>
              </w:rPr>
              <w:t>th</w:t>
            </w:r>
            <w:r>
              <w:rPr>
                <w:rFonts w:ascii="Arial" w:hAnsi="Arial"/>
                <w:sz w:val="22"/>
                <w:szCs w:val="22"/>
                <w:shd w:val="nil" w:color="auto" w:fill="auto"/>
                <w:rtl w:val="0"/>
                <w:lang w:val="en-US"/>
              </w:rPr>
              <w:t xml:space="preserve"> </w:t>
            </w:r>
          </w:p>
        </w:tc>
      </w:tr>
      <w:tr>
        <w:tblPrEx>
          <w:shd w:val="clear" w:color="auto" w:fill="ced7e7"/>
        </w:tblPrEx>
        <w:trPr>
          <w:trHeight w:val="1837"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I confirm that this is my original work and that I have adhered to the University policy on plagiarism.</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Signed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1"/>
                <w:bCs w:val="1"/>
                <w:i w:val="0"/>
                <w:iCs w:val="0"/>
                <w:caps w:val="0"/>
                <w:smallCaps w:val="0"/>
                <w:strike w:val="0"/>
                <w:dstrike w:val="0"/>
                <w:outline w:val="0"/>
                <w:color w:val="000000"/>
                <w:spacing w:val="0"/>
                <w:kern w:val="0"/>
                <w:position w:val="0"/>
                <w:sz w:val="44"/>
                <w:szCs w:val="44"/>
                <w:u w:val="none" w:color="000000"/>
                <w:shd w:val="nil" w:color="auto" w:fill="auto"/>
                <w:vertAlign w:val="baseline"/>
                <w:rtl w:val="0"/>
                <w14:textOutline>
                  <w14:noFill/>
                </w14:textOutline>
                <w14:textFill>
                  <w14:solidFill>
                    <w14:srgbClr w14:val="000000"/>
                  </w14:solidFill>
                </w14:textFill>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Email submission: if you are submitting this form via email, please tick this box </w:t>
            </w:r>
            <w:r>
              <w:rPr>
                <w:rFonts w:ascii="Calibri" w:cs="Arial Unicode MS" w:hAnsi="Calibri" w:eastAsia="Arial Unicode MS" w:hint="default"/>
                <w:b w:val="1"/>
                <w:bCs w:val="1"/>
                <w:i w:val="0"/>
                <w:iCs w:val="0"/>
                <w:caps w:val="0"/>
                <w:smallCaps w:val="0"/>
                <w:strike w:val="0"/>
                <w:dstrike w:val="0"/>
                <w:outline w:val="0"/>
                <w:color w:val="000000"/>
                <w:spacing w:val="0"/>
                <w:kern w:val="0"/>
                <w:position w:val="0"/>
                <w:sz w:val="44"/>
                <w:szCs w:val="44"/>
                <w:u w:val="none" w:color="000000"/>
                <w:shd w:val="nil" w:color="auto" w:fill="auto"/>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(as a substitute for your signature) to confirm that you agree to the above declaration.</w:t>
            </w:r>
          </w:p>
        </w:tc>
      </w:tr>
      <w:tr>
        <w:tblPrEx>
          <w:shd w:val="clear" w:color="auto" w:fill="ced7e7"/>
        </w:tblPrEx>
        <w:trPr>
          <w:trHeight w:val="3812"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b w:val="1"/>
                <w:bCs w:val="1"/>
                <w:shd w:val="nil" w:color="auto" w:fill="auto"/>
                <w:lang w:val="en-US"/>
              </w:rPr>
            </w:pPr>
          </w:p>
          <w:p>
            <w:pPr>
              <w:pStyle w:val="Body"/>
              <w:bidi w:val="0"/>
              <w:ind w:left="0" w:right="0" w:firstLine="0"/>
              <w:jc w:val="left"/>
              <w:rPr>
                <w:rFonts w:ascii="Arial" w:cs="Arial" w:hAnsi="Arial" w:eastAsia="Arial"/>
                <w:b w:val="1"/>
                <w:bCs w:val="1"/>
                <w:shd w:val="nil" w:color="auto" w:fill="auto"/>
                <w:rtl w:val="0"/>
              </w:rPr>
            </w:pPr>
            <w:r>
              <w:rPr>
                <w:rFonts w:ascii="Arial" w:hAnsi="Arial"/>
                <w:b w:val="1"/>
                <w:bCs w:val="1"/>
                <w:shd w:val="nil" w:color="auto" w:fill="auto"/>
                <w:rtl w:val="0"/>
                <w:lang w:val="en-US"/>
              </w:rPr>
              <w:t>Assignment Mark</w:t>
            </w:r>
          </w:p>
          <w:p>
            <w:pPr>
              <w:pStyle w:val="Body"/>
              <w:rPr>
                <w:rFonts w:ascii="Arial" w:cs="Arial" w:hAnsi="Arial" w:eastAsia="Arial"/>
                <w:sz w:val="20"/>
                <w:szCs w:val="20"/>
                <w:shd w:val="nil" w:color="auto" w:fill="auto"/>
                <w:lang w:val="en-US"/>
              </w:rPr>
            </w:pPr>
          </w:p>
          <w:p>
            <w:pPr>
              <w:pStyle w:val="Body"/>
              <w:rPr>
                <w:rFonts w:ascii="Arial" w:cs="Arial" w:hAnsi="Arial" w:eastAsia="Arial"/>
                <w:b w:val="1"/>
                <w:bCs w:val="1"/>
                <w:sz w:val="20"/>
                <w:szCs w:val="20"/>
                <w:shd w:val="nil" w:color="auto" w:fill="auto"/>
              </w:rPr>
            </w:pPr>
            <w:r>
              <w:rPr>
                <w:rFonts w:ascii="Arial" w:hAnsi="Arial"/>
                <w:b w:val="1"/>
                <w:bCs w:val="1"/>
                <w:sz w:val="20"/>
                <w:szCs w:val="20"/>
                <w:shd w:val="nil" w:color="auto" w:fill="auto"/>
                <w:rtl w:val="0"/>
                <w:lang w:val="en-US"/>
              </w:rPr>
              <w:t>Final Mark</w:t>
            </w:r>
          </w:p>
          <w:p>
            <w:pPr>
              <w:pStyle w:val="Body"/>
              <w:rPr>
                <w:rFonts w:ascii="Arial" w:cs="Arial" w:hAnsi="Arial" w:eastAsia="Arial"/>
                <w:sz w:val="20"/>
                <w:szCs w:val="20"/>
                <w:shd w:val="nil" w:color="auto" w:fill="auto"/>
                <w:lang w:val="en-US"/>
              </w:rPr>
            </w:pPr>
            <w:r>
              <w:rPr>
                <w:rFonts w:ascii="Arial" w:cs="Arial" w:hAnsi="Arial" w:eastAsia="Arial"/>
                <w:b w:val="1"/>
                <w:bCs w:val="1"/>
                <w:sz w:val="20"/>
                <w:szCs w:val="20"/>
                <w:shd w:val="nil" w:color="auto" w:fill="auto"/>
              </w:rPr>
              <w:tab/>
            </w:r>
            <w:r>
              <w:rPr>
                <w:rFonts w:ascii="Arial" w:hAnsi="Arial"/>
                <w:sz w:val="20"/>
                <w:szCs w:val="20"/>
                <w:shd w:val="nil" w:color="auto" w:fill="auto"/>
                <w:rtl w:val="0"/>
                <w:lang w:val="en-US"/>
              </w:rPr>
              <w:t>WILL BE GIVEN ON TURNITIN</w:t>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NB.</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All marks are provisional until confirmed by the Final Examination Board.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PLEASE NOTE: ALL COMMENTS WIL BE POSTED ON TURNITIN</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Marker 1 :</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Comments:</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Date:</w:t>
            </w:r>
          </w:p>
        </w:tc>
      </w:tr>
      <w:tr>
        <w:tblPrEx>
          <w:shd w:val="clear" w:color="auto" w:fill="ced7e7"/>
        </w:tblPrEx>
        <w:trPr>
          <w:trHeight w:val="16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Marker 2/Moderator: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Comments: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Date:</w:t>
            </w:r>
          </w:p>
        </w:tc>
      </w:tr>
      <w:tr>
        <w:tblPrEx>
          <w:shd w:val="clear" w:color="auto" w:fill="ced7e7"/>
        </w:tblPrEx>
        <w:trPr>
          <w:trHeight w:val="26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AGREED INTERNAL MARK (where necessary):</w:t>
            </w:r>
          </w:p>
          <w:p>
            <w:pPr>
              <w:pStyle w:val="Body"/>
              <w:rPr>
                <w:rFonts w:ascii="Arial" w:cs="Arial" w:hAnsi="Arial" w:eastAsia="Arial"/>
                <w:b w:val="1"/>
                <w:bCs w:val="1"/>
                <w:sz w:val="22"/>
                <w:szCs w:val="22"/>
                <w:shd w:val="nil" w:color="auto" w:fill="auto"/>
                <w:lang w:val="en-US"/>
              </w:rPr>
            </w:pPr>
          </w:p>
          <w:p>
            <w:pPr>
              <w:pStyle w:val="Body"/>
              <w:bidi w:val="0"/>
              <w:ind w:left="0" w:right="0" w:firstLine="0"/>
              <w:jc w:val="left"/>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Comment on process of arriving at agreed mark:</w:t>
            </w:r>
          </w:p>
          <w:p>
            <w:pPr>
              <w:pStyle w:val="Body"/>
              <w:rPr>
                <w:rFonts w:ascii="Arial" w:cs="Arial" w:hAnsi="Arial" w:eastAsia="Arial"/>
                <w:b w:val="1"/>
                <w:bCs w:val="1"/>
                <w:sz w:val="22"/>
                <w:szCs w:val="22"/>
                <w:shd w:val="nil" w:color="auto" w:fill="auto"/>
                <w:lang w:val="en-US"/>
              </w:rPr>
            </w:pPr>
          </w:p>
          <w:p>
            <w:pPr>
              <w:pStyle w:val="Body"/>
              <w:rPr>
                <w:rFonts w:ascii="Arial" w:cs="Arial" w:hAnsi="Arial" w:eastAsia="Arial"/>
                <w:b w:val="1"/>
                <w:bCs w:val="1"/>
                <w:sz w:val="22"/>
                <w:szCs w:val="22"/>
                <w:shd w:val="nil" w:color="auto" w:fill="auto"/>
                <w:lang w:val="en-US"/>
              </w:rPr>
            </w:pPr>
          </w:p>
          <w:p>
            <w:pPr>
              <w:pStyle w:val="Body"/>
              <w:rPr>
                <w:rFonts w:ascii="Arial" w:cs="Arial" w:hAnsi="Arial" w:eastAsia="Arial"/>
                <w:b w:val="1"/>
                <w:bCs w:val="1"/>
                <w:sz w:val="22"/>
                <w:szCs w:val="22"/>
                <w:shd w:val="nil" w:color="auto" w:fill="auto"/>
                <w:lang w:val="en-US"/>
              </w:rPr>
            </w:pPr>
          </w:p>
          <w:p>
            <w:pPr>
              <w:pStyle w:val="Body"/>
              <w:rPr>
                <w:rFonts w:ascii="Arial" w:cs="Arial" w:hAnsi="Arial" w:eastAsia="Arial"/>
                <w:b w:val="1"/>
                <w:bCs w:val="1"/>
                <w:sz w:val="22"/>
                <w:szCs w:val="22"/>
                <w:shd w:val="nil" w:color="auto" w:fill="auto"/>
                <w:lang w:val="en-US"/>
              </w:rPr>
            </w:pPr>
          </w:p>
          <w:p>
            <w:pPr>
              <w:pStyle w:val="Body"/>
              <w:rPr>
                <w:rFonts w:ascii="Arial" w:cs="Arial" w:hAnsi="Arial" w:eastAsia="Arial"/>
                <w:b w:val="1"/>
                <w:bCs w:val="1"/>
                <w:sz w:val="22"/>
                <w:szCs w:val="22"/>
                <w:shd w:val="nil" w:color="auto" w:fill="auto"/>
                <w:lang w:val="en-US"/>
              </w:rPr>
            </w:pPr>
          </w:p>
          <w:p>
            <w:pPr>
              <w:pStyle w:val="Body"/>
              <w:rPr>
                <w:rFonts w:ascii="Arial" w:cs="Arial" w:hAnsi="Arial" w:eastAsia="Arial"/>
                <w:b w:val="1"/>
                <w:bCs w:val="1"/>
                <w:sz w:val="22"/>
                <w:szCs w:val="22"/>
                <w:shd w:val="nil" w:color="auto" w:fill="auto"/>
                <w:lang w:val="en-US"/>
              </w:rPr>
            </w:pPr>
          </w:p>
          <w:p>
            <w:pPr>
              <w:pStyle w:val="Body"/>
            </w:pPr>
            <w:r>
              <w:rPr>
                <w:rFonts w:ascii="Arial" w:cs="Arial" w:hAnsi="Arial" w:eastAsia="Arial"/>
                <w:b w:val="1"/>
                <w:bCs w:val="1"/>
                <w:sz w:val="22"/>
                <w:szCs w:val="22"/>
                <w:shd w:val="nil" w:color="auto" w:fill="auto"/>
                <w:lang w:val="en-US"/>
              </w:rPr>
            </w:r>
          </w:p>
        </w:tc>
      </w:tr>
      <w:tr>
        <w:tblPrEx>
          <w:shd w:val="clear" w:color="auto" w:fill="ced7e7"/>
        </w:tblPrEx>
        <w:trPr>
          <w:trHeight w:val="19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External Examiner</w:t>
            </w:r>
            <w:r>
              <w:rPr>
                <w:rFonts w:ascii="Arial" w:hAnsi="Arial" w:hint="default"/>
                <w:b w:val="1"/>
                <w:bCs w:val="1"/>
                <w:sz w:val="22"/>
                <w:szCs w:val="22"/>
                <w:shd w:val="nil" w:color="auto" w:fill="auto"/>
                <w:rtl w:val="0"/>
                <w:lang w:val="en-US"/>
              </w:rPr>
              <w:t>’</w:t>
            </w:r>
            <w:r>
              <w:rPr>
                <w:rFonts w:ascii="Arial" w:hAnsi="Arial"/>
                <w:b w:val="1"/>
                <w:bCs w:val="1"/>
                <w:sz w:val="22"/>
                <w:szCs w:val="22"/>
                <w:shd w:val="nil" w:color="auto" w:fill="auto"/>
                <w:rtl w:val="0"/>
                <w:lang w:val="en-US"/>
              </w:rPr>
              <w:t>s comments (if relevant)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External Examiner</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Date:</w:t>
            </w:r>
          </w:p>
        </w:tc>
      </w:tr>
    </w:tbl>
    <w:p>
      <w:pPr>
        <w:pStyle w:val="Heading 3"/>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lang w:val="en-US"/>
        </w:rPr>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rPr>
          <w:sz w:val="24"/>
          <w:szCs w:val="24"/>
        </w:rPr>
      </w:pPr>
      <w:r>
        <w:rPr>
          <w:rFonts w:cs="Arial Unicode MS" w:eastAsia="Arial Unicode MS"/>
          <w:sz w:val="24"/>
          <w:szCs w:val="24"/>
          <w:rtl w:val="0"/>
          <w:lang w:val="en-US"/>
        </w:rPr>
        <w:t>A CRITICAL COMPARISON OF TWO SECONDARY SOURCES</w:t>
      </w:r>
    </w:p>
    <w:p>
      <w:pPr>
        <w:pStyle w:val="Body A"/>
        <w:rPr>
          <w:sz w:val="24"/>
          <w:szCs w:val="24"/>
        </w:rPr>
      </w:pPr>
    </w:p>
    <w:p>
      <w:pPr>
        <w:pStyle w:val="Body A"/>
        <w:rPr>
          <w:sz w:val="24"/>
          <w:szCs w:val="24"/>
        </w:rPr>
      </w:pPr>
    </w:p>
    <w:p>
      <w:pPr>
        <w:pStyle w:val="Body A"/>
        <w:rPr>
          <w:sz w:val="24"/>
          <w:szCs w:val="24"/>
        </w:rPr>
      </w:pPr>
      <w:r>
        <w:rPr>
          <w:sz w:val="24"/>
          <w:szCs w:val="24"/>
          <w:rtl w:val="0"/>
          <w:lang w:val="en-US"/>
        </w:rPr>
        <w:t xml:space="preserve">This essay compares and contrasts two papers: Walter, T. &amp; Waterhouse, H. 1999. </w:t>
      </w:r>
      <w:r>
        <w:rPr>
          <w:rFonts w:ascii="Arial Unicode MS" w:hAnsi="Arial Unicode MS" w:hint="default"/>
          <w:sz w:val="24"/>
          <w:szCs w:val="24"/>
          <w:rtl w:val="0"/>
          <w:lang w:val="en-US"/>
        </w:rPr>
        <w:t>‘</w:t>
      </w:r>
      <w:r>
        <w:rPr>
          <w:sz w:val="24"/>
          <w:szCs w:val="24"/>
          <w:rtl w:val="0"/>
          <w:lang w:val="en-US"/>
        </w:rPr>
        <w:t>A Very Private Belief: Reincarnation in Contemporary England</w:t>
      </w:r>
      <w:r>
        <w:rPr>
          <w:rFonts w:ascii="Arial Unicode MS" w:hAnsi="Arial Unicode MS" w:hint="default"/>
          <w:sz w:val="24"/>
          <w:szCs w:val="24"/>
          <w:rtl w:val="0"/>
          <w:lang w:val="en-US"/>
        </w:rPr>
        <w:t>’</w:t>
      </w:r>
      <w:r>
        <w:rPr>
          <w:sz w:val="24"/>
          <w:szCs w:val="24"/>
          <w:rtl w:val="0"/>
          <w:lang w:val="en-US"/>
        </w:rPr>
        <w:t xml:space="preserve">. Sociology of Religion, 60, 187-197 and </w:t>
      </w:r>
      <w:r>
        <w:rPr>
          <w:sz w:val="24"/>
          <w:szCs w:val="24"/>
          <w:rtl w:val="0"/>
          <w:lang w:val="fr-FR"/>
        </w:rPr>
        <w:t xml:space="preserve">Blain, J. 2000. </w:t>
      </w:r>
      <w:r>
        <w:rPr>
          <w:rFonts w:ascii="Arial Unicode MS" w:hAnsi="Arial Unicode MS" w:hint="default"/>
          <w:sz w:val="24"/>
          <w:szCs w:val="24"/>
          <w:rtl w:val="0"/>
          <w:lang w:val="en-US"/>
        </w:rPr>
        <w:t>‘</w:t>
      </w:r>
      <w:r>
        <w:rPr>
          <w:sz w:val="24"/>
          <w:szCs w:val="24"/>
          <w:rtl w:val="0"/>
          <w:lang w:val="en-US"/>
        </w:rPr>
        <w:t>Speaking Shamanistically: Seidr, Academia and Rationality</w:t>
      </w:r>
      <w:r>
        <w:rPr>
          <w:rFonts w:ascii="Arial Unicode MS" w:hAnsi="Arial Unicode MS" w:hint="default"/>
          <w:sz w:val="24"/>
          <w:szCs w:val="24"/>
          <w:rtl w:val="0"/>
          <w:lang w:val="en-US"/>
        </w:rPr>
        <w:t>’</w:t>
      </w:r>
      <w:r>
        <w:rPr>
          <w:sz w:val="24"/>
          <w:szCs w:val="24"/>
          <w:rtl w:val="0"/>
          <w:lang w:val="de-DE"/>
        </w:rPr>
        <w:t>. In DISKUS Volume 6 (2000).</w:t>
      </w:r>
      <w:r>
        <w:rPr>
          <w:sz w:val="24"/>
          <w:szCs w:val="24"/>
          <w:rtl w:val="0"/>
          <w:lang w:val="ru-RU"/>
        </w:rPr>
        <w:t xml:space="preserve"> </w:t>
      </w:r>
      <w:r>
        <w:rPr>
          <w:sz w:val="24"/>
          <w:szCs w:val="24"/>
          <w:rtl w:val="0"/>
          <w:lang w:val="en-US"/>
        </w:rPr>
        <w:t>We would look at methodologies used, compare and contrast them; as well as discuss the positions of the researchers in relation to their fields of research.</w:t>
      </w:r>
    </w:p>
    <w:p>
      <w:pPr>
        <w:pStyle w:val="Body A"/>
        <w:rPr>
          <w:sz w:val="24"/>
          <w:szCs w:val="24"/>
        </w:rPr>
      </w:pPr>
    </w:p>
    <w:p>
      <w:pPr>
        <w:pStyle w:val="Body A"/>
        <w:rPr>
          <w:sz w:val="24"/>
          <w:szCs w:val="24"/>
        </w:rPr>
      </w:pPr>
    </w:p>
    <w:p>
      <w:pPr>
        <w:pStyle w:val="Body A"/>
        <w:rPr>
          <w:sz w:val="24"/>
          <w:szCs w:val="24"/>
        </w:rPr>
      </w:pPr>
      <w:r>
        <w:rPr>
          <w:rFonts w:cs="Arial Unicode MS" w:eastAsia="Arial Unicode MS"/>
          <w:sz w:val="24"/>
          <w:szCs w:val="24"/>
          <w:rtl w:val="0"/>
          <w:lang w:val="en-US"/>
        </w:rPr>
        <w:t xml:space="preserve">First paper </w:t>
      </w:r>
      <w:r>
        <w:rPr>
          <w:rFonts w:cs="Arial Unicode MS" w:eastAsia="Arial Unicode MS" w:hint="default"/>
          <w:sz w:val="24"/>
          <w:szCs w:val="24"/>
          <w:rtl w:val="0"/>
          <w:lang w:val="en-US"/>
        </w:rPr>
        <w:t>‘</w:t>
      </w:r>
      <w:r>
        <w:rPr>
          <w:rFonts w:cs="Arial Unicode MS" w:eastAsia="Arial Unicode MS"/>
          <w:sz w:val="24"/>
          <w:szCs w:val="24"/>
          <w:rtl w:val="0"/>
          <w:lang w:val="en-US"/>
        </w:rPr>
        <w:t>A Very Private Belief</w:t>
      </w:r>
      <w:r>
        <w:rPr>
          <w:rFonts w:cs="Arial Unicode MS" w:eastAsia="Arial Unicode MS" w:hint="default"/>
          <w:sz w:val="24"/>
          <w:szCs w:val="24"/>
          <w:rtl w:val="0"/>
          <w:lang w:val="en-US"/>
        </w:rPr>
        <w:t xml:space="preserve">’ </w:t>
      </w:r>
      <w:r>
        <w:rPr>
          <w:rFonts w:cs="Arial Unicode MS" w:eastAsia="Arial Unicode MS"/>
          <w:sz w:val="24"/>
          <w:szCs w:val="24"/>
          <w:rtl w:val="0"/>
          <w:lang w:val="en-US"/>
        </w:rPr>
        <w:t xml:space="preserve">summarises the findings of a small intensive interview studies of a group of English people who believe in reincarnation. It was published in 1999 in Sociology of Religion Journal and might be interesting for those who study sociology, sociology of religion, New Age movement and late-modern religious situation. </w:t>
      </w:r>
    </w:p>
    <w:p>
      <w:pPr>
        <w:pStyle w:val="Body A"/>
        <w:rPr>
          <w:sz w:val="24"/>
          <w:szCs w:val="24"/>
        </w:rPr>
      </w:pPr>
    </w:p>
    <w:p>
      <w:pPr>
        <w:pStyle w:val="Body A"/>
        <w:rPr>
          <w:sz w:val="24"/>
          <w:szCs w:val="24"/>
        </w:rPr>
      </w:pPr>
      <w:r>
        <w:rPr>
          <w:sz w:val="24"/>
          <w:szCs w:val="24"/>
          <w:rtl w:val="0"/>
          <w:lang w:val="en-US"/>
        </w:rPr>
        <w:t xml:space="preserve">Second paper </w:t>
      </w:r>
      <w:r>
        <w:rPr>
          <w:sz w:val="24"/>
          <w:szCs w:val="24"/>
          <w:rtl w:val="0"/>
          <w:lang w:val="en-US"/>
        </w:rPr>
        <w:t>‘</w:t>
      </w:r>
      <w:r>
        <w:rPr>
          <w:sz w:val="24"/>
          <w:szCs w:val="24"/>
          <w:rtl w:val="0"/>
          <w:lang w:val="en-US"/>
        </w:rPr>
        <w:t>Speaking Shamanistically</w:t>
      </w:r>
      <w:r>
        <w:rPr>
          <w:sz w:val="24"/>
          <w:szCs w:val="24"/>
          <w:rtl w:val="0"/>
          <w:lang w:val="en-US"/>
        </w:rPr>
        <w:t xml:space="preserve">’ </w:t>
      </w:r>
      <w:r>
        <w:rPr>
          <w:sz w:val="24"/>
          <w:szCs w:val="24"/>
          <w:rtl w:val="0"/>
          <w:lang w:val="en-US"/>
        </w:rPr>
        <w:t>is an experiential anthropological research of a small group of people and their private beliefs and practices. It was published in 2000 in DISKUS Journal. This work might be interesting for anthropologists</w:t>
      </w:r>
      <w:r>
        <w:rPr>
          <w:sz w:val="24"/>
          <w:szCs w:val="24"/>
          <w:rtl w:val="0"/>
          <w:lang w:val="ru-RU"/>
        </w:rPr>
        <w:t xml:space="preserve">, </w:t>
      </w:r>
      <w:r>
        <w:rPr>
          <w:sz w:val="24"/>
          <w:szCs w:val="24"/>
          <w:rtl w:val="0"/>
          <w:lang w:val="en-US"/>
        </w:rPr>
        <w:t>ethnographers and religion scholars who value insider and reflexive approach.</w:t>
      </w:r>
    </w:p>
    <w:p>
      <w:pPr>
        <w:pStyle w:val="Body A"/>
        <w:rPr>
          <w:sz w:val="24"/>
          <w:szCs w:val="24"/>
        </w:rPr>
      </w:pPr>
    </w:p>
    <w:p>
      <w:pPr>
        <w:pStyle w:val="Body A"/>
        <w:rPr>
          <w:sz w:val="24"/>
          <w:szCs w:val="24"/>
        </w:rPr>
      </w:pPr>
      <w:r>
        <w:rPr>
          <w:sz w:val="24"/>
          <w:szCs w:val="24"/>
          <w:rtl w:val="0"/>
          <w:lang w:val="en-US"/>
        </w:rPr>
        <w:t xml:space="preserve">Both papers exploring private beliefs and religions by means of qualitative research. </w:t>
      </w:r>
      <w:r>
        <w:rPr>
          <w:sz w:val="24"/>
          <w:szCs w:val="24"/>
          <w:rtl w:val="0"/>
          <w:lang w:val="nl-NL"/>
        </w:rPr>
        <w:t xml:space="preserve">Hennink, Hutter </w:t>
      </w:r>
      <w:r>
        <w:rPr>
          <w:sz w:val="24"/>
          <w:szCs w:val="24"/>
          <w:rtl w:val="0"/>
          <w:lang w:val="en-US"/>
        </w:rPr>
        <w:t>and Bailey</w:t>
      </w:r>
      <w:r>
        <w:rPr>
          <w:sz w:val="24"/>
          <w:szCs w:val="24"/>
          <w:vertAlign w:val="superscript"/>
          <w:lang w:val="en-US"/>
        </w:rPr>
        <w:footnoteReference w:id="1"/>
      </w:r>
      <w:r>
        <w:rPr>
          <w:sz w:val="24"/>
          <w:szCs w:val="24"/>
          <w:rtl w:val="0"/>
          <w:lang w:val="en-US"/>
        </w:rPr>
        <w:t xml:space="preserve"> defined qualitative research as </w:t>
      </w:r>
      <w:r>
        <w:rPr>
          <w:sz w:val="24"/>
          <w:szCs w:val="24"/>
          <w:rtl w:val="0"/>
          <w:lang w:val="en-US"/>
        </w:rPr>
        <w:t>“</w:t>
      </w:r>
      <w:r>
        <w:rPr>
          <w:sz w:val="24"/>
          <w:szCs w:val="24"/>
          <w:rtl w:val="0"/>
          <w:lang w:val="en-US"/>
        </w:rPr>
        <w:t>an approach that allows you to examine people</w:t>
      </w:r>
      <w:r>
        <w:rPr>
          <w:rFonts w:ascii="Arial Unicode MS" w:hAnsi="Arial Unicode MS" w:hint="default"/>
          <w:sz w:val="24"/>
          <w:szCs w:val="24"/>
          <w:rtl w:val="0"/>
          <w:lang w:val="en-US"/>
        </w:rPr>
        <w:t>’</w:t>
      </w:r>
      <w:r>
        <w:rPr>
          <w:sz w:val="24"/>
          <w:szCs w:val="24"/>
          <w:rtl w:val="0"/>
          <w:lang w:val="en-US"/>
        </w:rPr>
        <w:t>s experiences in detail by using a specific set of research methods such as in-depth interviews, focus group discussions, observation, content analysis, visual methods, and life histories or biographies</w:t>
      </w:r>
      <w:r>
        <w:rPr>
          <w:sz w:val="24"/>
          <w:szCs w:val="24"/>
          <w:rtl w:val="0"/>
          <w:lang w:val="en-US"/>
        </w:rPr>
        <w:t>”</w:t>
      </w:r>
      <w:r>
        <w:rPr>
          <w:sz w:val="24"/>
          <w:szCs w:val="24"/>
          <w:rtl w:val="0"/>
          <w:lang w:val="en-US"/>
        </w:rPr>
        <w:t>. First papers applies outsider approach, methods based on existing research and following interview studies. Second paper, in contrast, has an insider perspective and methods of participant observation and reflexivity, as well as unstructured interviews.</w:t>
      </w:r>
    </w:p>
    <w:p>
      <w:pPr>
        <w:pStyle w:val="Body A"/>
        <w:rPr>
          <w:sz w:val="24"/>
          <w:szCs w:val="24"/>
        </w:rPr>
      </w:pPr>
      <w:r>
        <w:rPr>
          <w:rFonts w:cs="Arial Unicode MS" w:eastAsia="Arial Unicode MS"/>
          <w:sz w:val="24"/>
          <w:szCs w:val="24"/>
          <w:rtl w:val="0"/>
          <w:lang w:val="en-US"/>
        </w:rPr>
        <w:t>FIRST PAPER, OUTSIDER PERSPECTIVE</w:t>
      </w:r>
    </w:p>
    <w:p>
      <w:pPr>
        <w:pStyle w:val="Body A"/>
        <w:rPr>
          <w:sz w:val="24"/>
          <w:szCs w:val="24"/>
        </w:rPr>
      </w:pPr>
    </w:p>
    <w:p>
      <w:pPr>
        <w:pStyle w:val="Body A"/>
        <w:rPr>
          <w:sz w:val="24"/>
          <w:szCs w:val="24"/>
        </w:rPr>
      </w:pPr>
      <w:r>
        <w:rPr>
          <w:sz w:val="24"/>
          <w:szCs w:val="24"/>
          <w:rtl w:val="0"/>
          <w:lang w:val="en-US"/>
        </w:rPr>
        <w:t xml:space="preserve">Walter and Waterhouse studied statistical data on belief in reincarnation in contemporary England from second half of twentieth century and got intriguing questions posed by those surveys. They started with an outsider position and looked to the social world and private beliefs, got intrigued and decided to come closer to the subjects of research. This is why they decided to conduct a series of interviews to study the meaning of reincarnation to those who believe in it. Their intention was to discover a range of meanings and open in-depth interviews were chosen, with care not to ask any leading questions and to let interviewees speak freely in their own terms. </w:t>
      </w:r>
      <w:r>
        <w:rPr>
          <w:sz w:val="24"/>
          <w:szCs w:val="24"/>
          <w:rtl w:val="0"/>
          <w:lang w:val="nl-NL"/>
        </w:rPr>
        <w:t xml:space="preserve">Hennink, Hutter </w:t>
      </w:r>
      <w:r>
        <w:rPr>
          <w:sz w:val="24"/>
          <w:szCs w:val="24"/>
          <w:rtl w:val="0"/>
          <w:lang w:val="en-US"/>
        </w:rPr>
        <w:t>and Bailey</w:t>
      </w:r>
      <w:r>
        <w:rPr>
          <w:sz w:val="24"/>
          <w:szCs w:val="24"/>
          <w:vertAlign w:val="superscript"/>
          <w:lang w:val="en-US"/>
        </w:rPr>
        <w:footnoteReference w:id="2"/>
      </w:r>
      <w:r>
        <w:rPr>
          <w:sz w:val="24"/>
          <w:szCs w:val="24"/>
          <w:rtl w:val="0"/>
          <w:lang w:val="ru-RU"/>
        </w:rPr>
        <w:t xml:space="preserve"> </w:t>
      </w:r>
      <w:r>
        <w:rPr>
          <w:sz w:val="24"/>
          <w:szCs w:val="24"/>
          <w:rtl w:val="0"/>
          <w:lang w:val="en-US"/>
        </w:rPr>
        <w:t xml:space="preserve">suggested that </w:t>
      </w:r>
      <w:r>
        <w:rPr>
          <w:rFonts w:ascii="Arial Unicode MS" w:hAnsi="Arial Unicode MS" w:hint="default"/>
          <w:sz w:val="24"/>
          <w:szCs w:val="24"/>
          <w:rtl w:val="0"/>
          <w:lang w:val="en-US"/>
        </w:rPr>
        <w:t>‘</w:t>
      </w:r>
      <w:r>
        <w:rPr>
          <w:sz w:val="24"/>
          <w:szCs w:val="24"/>
          <w:rtl w:val="0"/>
          <w:lang w:val="en-US"/>
        </w:rPr>
        <w:t>in-depth interviews are used when seeking information on individual, personal experiences from people about a specific issue or topic.</w:t>
      </w:r>
      <w:r>
        <w:rPr>
          <w:rFonts w:ascii="Arial Unicode MS" w:hAnsi="Arial Unicode MS" w:hint="default"/>
          <w:sz w:val="24"/>
          <w:szCs w:val="24"/>
          <w:rtl w:val="0"/>
          <w:lang w:val="en-US"/>
        </w:rPr>
        <w:t>’</w:t>
      </w:r>
      <w:r>
        <w:rPr>
          <w:sz w:val="24"/>
          <w:szCs w:val="24"/>
          <w:rtl w:val="0"/>
          <w:lang w:val="en-US"/>
        </w:rPr>
        <w:t xml:space="preserve"> Judith Bell agrees that interviews are a good method for investigating people</w:t>
      </w:r>
      <w:r>
        <w:rPr>
          <w:sz w:val="24"/>
          <w:szCs w:val="24"/>
          <w:rtl w:val="0"/>
          <w:lang w:val="en-US"/>
        </w:rPr>
        <w:t>’</w:t>
      </w:r>
      <w:r>
        <w:rPr>
          <w:sz w:val="24"/>
          <w:szCs w:val="24"/>
          <w:rtl w:val="0"/>
          <w:lang w:val="en-US"/>
        </w:rPr>
        <w:t>s ideas, motives and feelings, and in case if interviewer is skilful enough there is always a room for manoeuvre and adaptability</w:t>
      </w:r>
      <w:r>
        <w:rPr>
          <w:sz w:val="24"/>
          <w:szCs w:val="24"/>
          <w:vertAlign w:val="superscript"/>
          <w:lang w:val="en-US"/>
        </w:rPr>
        <w:footnoteReference w:id="3"/>
      </w:r>
      <w:r>
        <w:rPr>
          <w:sz w:val="24"/>
          <w:szCs w:val="24"/>
          <w:rtl w:val="0"/>
          <w:lang w:val="en-US"/>
        </w:rPr>
        <w:t xml:space="preserve">. On the other hand there is always a great danger of bias and troubles with wording questions in the right way. Walter and Waterhouse suggested that question </w:t>
      </w:r>
      <w:r>
        <w:rPr>
          <w:sz w:val="24"/>
          <w:szCs w:val="24"/>
          <w:rtl w:val="0"/>
          <w:lang w:val="en-US"/>
        </w:rPr>
        <w:t>‘</w:t>
      </w:r>
      <w:r>
        <w:rPr>
          <w:sz w:val="24"/>
          <w:szCs w:val="24"/>
          <w:rtl w:val="0"/>
          <w:lang w:val="en-US"/>
        </w:rPr>
        <w:t>Do you find the idea of reincarnation attractive?</w:t>
      </w:r>
      <w:r>
        <w:rPr>
          <w:sz w:val="24"/>
          <w:szCs w:val="24"/>
          <w:rtl w:val="0"/>
          <w:lang w:val="en-US"/>
        </w:rPr>
        <w:t xml:space="preserve">’ </w:t>
      </w:r>
      <w:r>
        <w:rPr>
          <w:sz w:val="24"/>
          <w:szCs w:val="24"/>
          <w:rtl w:val="0"/>
          <w:lang w:val="en-US"/>
        </w:rPr>
        <w:t xml:space="preserve">would be easier to answer than </w:t>
      </w:r>
      <w:r>
        <w:rPr>
          <w:sz w:val="24"/>
          <w:szCs w:val="24"/>
          <w:rtl w:val="0"/>
          <w:lang w:val="en-US"/>
        </w:rPr>
        <w:t>‘</w:t>
      </w:r>
      <w:r>
        <w:rPr>
          <w:sz w:val="24"/>
          <w:szCs w:val="24"/>
          <w:rtl w:val="0"/>
          <w:lang w:val="en-US"/>
        </w:rPr>
        <w:t>Do you believe in reincarnation?</w:t>
      </w:r>
      <w:r>
        <w:rPr>
          <w:sz w:val="24"/>
          <w:szCs w:val="24"/>
          <w:rtl w:val="0"/>
          <w:lang w:val="en-US"/>
        </w:rPr>
        <w:t>’</w:t>
      </w:r>
      <w:r>
        <w:rPr>
          <w:sz w:val="24"/>
          <w:szCs w:val="24"/>
          <w:vertAlign w:val="superscript"/>
          <w:lang w:val="en-US"/>
        </w:rPr>
        <w:footnoteReference w:id="4"/>
      </w:r>
      <w:r>
        <w:rPr>
          <w:sz w:val="24"/>
          <w:szCs w:val="24"/>
          <w:rtl w:val="0"/>
          <w:lang w:val="en-US"/>
        </w:rPr>
        <w:t>.</w:t>
      </w:r>
    </w:p>
    <w:p>
      <w:pPr>
        <w:pStyle w:val="Body A"/>
        <w:rPr>
          <w:sz w:val="24"/>
          <w:szCs w:val="24"/>
        </w:rPr>
      </w:pPr>
    </w:p>
    <w:p>
      <w:pPr>
        <w:pStyle w:val="Body A"/>
        <w:rPr>
          <w:sz w:val="24"/>
          <w:szCs w:val="24"/>
        </w:rPr>
      </w:pPr>
      <w:r>
        <w:rPr>
          <w:rFonts w:cs="Arial Unicode MS" w:eastAsia="Arial Unicode MS"/>
          <w:sz w:val="24"/>
          <w:szCs w:val="24"/>
          <w:rtl w:val="0"/>
          <w:lang w:val="en-US"/>
        </w:rPr>
        <w:t>Thus, they conducted 30 interviews with adults (aged 18-79) and 21 with schoolchildren (11-18 years old). It is unclear how they</w:t>
      </w:r>
      <w:r>
        <w:rPr>
          <w:rFonts w:cs="Arial Unicode MS" w:eastAsia="Arial Unicode MS" w:hint="default"/>
          <w:sz w:val="24"/>
          <w:szCs w:val="24"/>
          <w:rtl w:val="0"/>
          <w:lang w:val="en-US"/>
        </w:rPr>
        <w:t>’</w:t>
      </w:r>
      <w:r>
        <w:rPr>
          <w:rFonts w:cs="Arial Unicode MS" w:eastAsia="Arial Unicode MS"/>
          <w:sz w:val="24"/>
          <w:szCs w:val="24"/>
          <w:rtl w:val="0"/>
          <w:lang w:val="en-US"/>
        </w:rPr>
        <w:t>ve been dealing with ethical issues on interviewing minors. People for interviews were recruited from personal contacts and volunteers called on local radio. People who belonged to eastern religions and obvious New Agers were intentionally excluded, to avoid those who believed in reincarnation because their religion tells them to.</w:t>
      </w:r>
    </w:p>
    <w:p>
      <w:pPr>
        <w:pStyle w:val="Body A"/>
        <w:rPr>
          <w:sz w:val="24"/>
          <w:szCs w:val="24"/>
        </w:rPr>
      </w:pPr>
    </w:p>
    <w:p>
      <w:pPr>
        <w:pStyle w:val="Body A"/>
        <w:rPr>
          <w:sz w:val="24"/>
          <w:szCs w:val="24"/>
        </w:rPr>
      </w:pPr>
      <w:r>
        <w:rPr>
          <w:rFonts w:cs="Arial Unicode MS" w:eastAsia="Arial Unicode MS"/>
          <w:sz w:val="24"/>
          <w:szCs w:val="24"/>
          <w:rtl w:val="0"/>
          <w:lang w:val="en-US"/>
        </w:rPr>
        <w:t xml:space="preserve">Half of interviewed adults had a connection to a Church and a third had active involvement in a Church life. 8 out of 30 adults were connected with some spiritual churches. And all of them had no connection with alternative healing, yoga, green movement or any other New Age movement significators. And this group revealed that </w:t>
      </w:r>
      <w:r>
        <w:rPr>
          <w:rFonts w:cs="Arial Unicode MS" w:eastAsia="Arial Unicode MS" w:hint="default"/>
          <w:sz w:val="24"/>
          <w:szCs w:val="24"/>
          <w:rtl w:val="0"/>
          <w:lang w:val="en-US"/>
        </w:rPr>
        <w:t>‘</w:t>
      </w:r>
      <w:r>
        <w:rPr>
          <w:rFonts w:cs="Arial Unicode MS" w:eastAsia="Arial Unicode MS"/>
          <w:sz w:val="24"/>
          <w:szCs w:val="24"/>
          <w:rtl w:val="0"/>
          <w:lang w:val="en-US"/>
        </w:rPr>
        <w:t xml:space="preserve">belief in reincarnation need not be a part of an alternative package </w:t>
      </w:r>
      <w:r>
        <w:rPr>
          <w:rFonts w:cs="Arial Unicode MS" w:eastAsia="Arial Unicode MS" w:hint="default"/>
          <w:sz w:val="24"/>
          <w:szCs w:val="24"/>
          <w:rtl w:val="0"/>
          <w:lang w:val="en-US"/>
        </w:rPr>
        <w:t>– </w:t>
      </w:r>
      <w:r>
        <w:rPr>
          <w:rFonts w:cs="Arial Unicode MS" w:eastAsia="Arial Unicode MS"/>
          <w:sz w:val="24"/>
          <w:szCs w:val="24"/>
          <w:rtl w:val="0"/>
          <w:lang w:val="en-US"/>
        </w:rPr>
        <w:t>it can stand more or less alone</w:t>
      </w:r>
      <w:r>
        <w:rPr>
          <w:rFonts w:cs="Arial Unicode MS" w:eastAsia="Arial Unicode MS" w:hint="default"/>
          <w:sz w:val="24"/>
          <w:szCs w:val="24"/>
          <w:rtl w:val="0"/>
          <w:lang w:val="en-US"/>
        </w:rPr>
        <w:t>’</w:t>
      </w:r>
      <w:r>
        <w:rPr>
          <w:rFonts w:ascii="Helvetica Neue" w:cs="Helvetica Neue" w:hAnsi="Helvetica Neue" w:eastAsia="Helvetica Neue"/>
          <w:b w:val="0"/>
          <w:bCs w:val="0"/>
          <w:i w:val="0"/>
          <w:iCs w:val="0"/>
          <w:sz w:val="24"/>
          <w:szCs w:val="24"/>
          <w:vertAlign w:val="superscript"/>
        </w:rPr>
        <w:footnoteReference w:id="5"/>
      </w:r>
      <w:r>
        <w:rPr>
          <w:rFonts w:cs="Arial Unicode MS" w:eastAsia="Arial Unicode MS"/>
          <w:sz w:val="24"/>
          <w:szCs w:val="24"/>
          <w:rtl w:val="0"/>
          <w:lang w:val="en-US"/>
        </w:rPr>
        <w:t>.</w:t>
      </w:r>
    </w:p>
    <w:p>
      <w:pPr>
        <w:pStyle w:val="Body A"/>
        <w:rPr>
          <w:sz w:val="24"/>
          <w:szCs w:val="24"/>
        </w:rPr>
      </w:pPr>
    </w:p>
    <w:p>
      <w:pPr>
        <w:pStyle w:val="Body A"/>
        <w:rPr>
          <w:sz w:val="24"/>
          <w:szCs w:val="24"/>
        </w:rPr>
      </w:pPr>
      <w:r>
        <w:rPr>
          <w:rFonts w:cs="Arial Unicode MS" w:eastAsia="Arial Unicode MS"/>
          <w:sz w:val="24"/>
          <w:szCs w:val="24"/>
          <w:rtl w:val="0"/>
          <w:lang w:val="en-US"/>
        </w:rPr>
        <w:t>Their respondents showed three main bases of their belief in reincarnation. First was just an intellectual and non-experiential idea that was solving some internal question or problem. Second was a second-hand experience about which they</w:t>
      </w:r>
      <w:r>
        <w:rPr>
          <w:rFonts w:cs="Arial Unicode MS" w:eastAsia="Arial Unicode MS" w:hint="default"/>
          <w:sz w:val="24"/>
          <w:szCs w:val="24"/>
          <w:rtl w:val="0"/>
          <w:lang w:val="en-US"/>
        </w:rPr>
        <w:t>’</w:t>
      </w:r>
      <w:r>
        <w:rPr>
          <w:rFonts w:cs="Arial Unicode MS" w:eastAsia="Arial Unicode MS"/>
          <w:sz w:val="24"/>
          <w:szCs w:val="24"/>
          <w:rtl w:val="0"/>
          <w:lang w:val="en-US"/>
        </w:rPr>
        <w:t>ve read, heard or saw on television. And third was a first-hand experience, what people explained as familiarity with new places, dreams, past-life regressions.</w:t>
      </w:r>
    </w:p>
    <w:p>
      <w:pPr>
        <w:pStyle w:val="Body A"/>
        <w:rPr>
          <w:sz w:val="24"/>
          <w:szCs w:val="24"/>
        </w:rPr>
      </w:pPr>
    </w:p>
    <w:p>
      <w:pPr>
        <w:pStyle w:val="Body A"/>
        <w:rPr>
          <w:sz w:val="24"/>
          <w:szCs w:val="24"/>
        </w:rPr>
      </w:pPr>
      <w:r>
        <w:rPr>
          <w:rFonts w:cs="Arial Unicode MS" w:eastAsia="Arial Unicode MS"/>
          <w:sz w:val="24"/>
          <w:szCs w:val="24"/>
          <w:rtl w:val="0"/>
          <w:lang w:val="en-US"/>
        </w:rPr>
        <w:t>Main finding of this study was that modern Christian don</w:t>
      </w:r>
      <w:r>
        <w:rPr>
          <w:rFonts w:cs="Arial Unicode MS" w:eastAsia="Arial Unicode MS" w:hint="default"/>
          <w:sz w:val="24"/>
          <w:szCs w:val="24"/>
          <w:rtl w:val="0"/>
          <w:lang w:val="en-US"/>
        </w:rPr>
        <w:t>’</w:t>
      </w:r>
      <w:r>
        <w:rPr>
          <w:rFonts w:cs="Arial Unicode MS" w:eastAsia="Arial Unicode MS"/>
          <w:sz w:val="24"/>
          <w:szCs w:val="24"/>
          <w:rtl w:val="0"/>
          <w:lang w:val="en-US"/>
        </w:rPr>
        <w:t>t really believe in classical hell or purgatory, and that people find belief in reincarnation attractive even though it has no strong support in society. But at the same time belief in afterlife has no great impact on their everyday life and has no signs of major religious revolution.</w:t>
      </w:r>
    </w:p>
    <w:p>
      <w:pPr>
        <w:pStyle w:val="Body A"/>
        <w:rPr>
          <w:sz w:val="24"/>
          <w:szCs w:val="24"/>
        </w:rPr>
      </w:pPr>
    </w:p>
    <w:p>
      <w:pPr>
        <w:pStyle w:val="Body A"/>
        <w:rPr>
          <w:sz w:val="24"/>
          <w:szCs w:val="24"/>
        </w:rPr>
      </w:pPr>
      <w:r>
        <w:rPr>
          <w:rFonts w:cs="Arial Unicode MS" w:eastAsia="Arial Unicode MS"/>
          <w:sz w:val="24"/>
          <w:szCs w:val="24"/>
          <w:rtl w:val="0"/>
          <w:lang w:val="en-US"/>
        </w:rPr>
        <w:t>Walter and Waterhouse give 25 references in bibliography section, papers including academic journals, universities press, previous surveys and researches on sociology of religion, studies of modern adaptation of religion, on eastern religions, mysticism and studies of reincarnation.</w:t>
      </w:r>
    </w:p>
    <w:p>
      <w:pPr>
        <w:pStyle w:val="Body A"/>
        <w:rPr>
          <w:sz w:val="24"/>
          <w:szCs w:val="24"/>
        </w:rPr>
      </w:pPr>
    </w:p>
    <w:p>
      <w:pPr>
        <w:pStyle w:val="Body A"/>
        <w:rPr>
          <w:sz w:val="24"/>
          <w:szCs w:val="24"/>
        </w:rPr>
      </w:pPr>
      <w:r>
        <w:rPr>
          <w:rFonts w:cs="Arial Unicode MS" w:eastAsia="Arial Unicode MS"/>
          <w:sz w:val="24"/>
          <w:szCs w:val="24"/>
          <w:rtl w:val="0"/>
          <w:lang w:val="en-US"/>
        </w:rPr>
        <w:t>Overall, they had a question to investigate, they have chosen reliable methods of research for their question, and they did come up with some findings that could lead other scholars to future studies or could be cited as an original piece of research on contemporary beliefs.</w:t>
      </w:r>
    </w:p>
    <w:p>
      <w:pPr>
        <w:pStyle w:val="Body A"/>
        <w:rPr>
          <w:sz w:val="24"/>
          <w:szCs w:val="24"/>
        </w:rPr>
      </w:pPr>
    </w:p>
    <w:p>
      <w:pPr>
        <w:pStyle w:val="Body A"/>
        <w:rPr>
          <w:sz w:val="24"/>
          <w:szCs w:val="24"/>
        </w:rPr>
      </w:pPr>
    </w:p>
    <w:p>
      <w:pPr>
        <w:pStyle w:val="Body A"/>
        <w:rPr>
          <w:sz w:val="24"/>
          <w:szCs w:val="24"/>
        </w:rPr>
      </w:pPr>
      <w:r>
        <w:rPr>
          <w:rFonts w:cs="Arial Unicode MS" w:eastAsia="Arial Unicode MS"/>
          <w:sz w:val="24"/>
          <w:szCs w:val="24"/>
          <w:rtl w:val="0"/>
          <w:lang w:val="en-US"/>
        </w:rPr>
        <w:t>SECOND PAPER, INSIDER PERSPECTIVE</w:t>
      </w:r>
    </w:p>
    <w:p>
      <w:pPr>
        <w:pStyle w:val="Body A"/>
        <w:rPr>
          <w:sz w:val="24"/>
          <w:szCs w:val="24"/>
        </w:rPr>
      </w:pPr>
    </w:p>
    <w:p>
      <w:pPr>
        <w:pStyle w:val="Body A"/>
        <w:rPr>
          <w:sz w:val="24"/>
          <w:szCs w:val="24"/>
        </w:rPr>
      </w:pPr>
      <w:r>
        <w:rPr>
          <w:rFonts w:cs="Arial Unicode MS" w:eastAsia="Arial Unicode MS"/>
          <w:sz w:val="24"/>
          <w:szCs w:val="24"/>
          <w:rtl w:val="0"/>
          <w:lang w:val="en-US"/>
        </w:rPr>
        <w:t xml:space="preserve">Jenny Blain is an anthropologist who studies shamanistic practices for years by </w:t>
      </w:r>
      <w:r>
        <w:rPr>
          <w:rFonts w:cs="Arial Unicode MS" w:eastAsia="Arial Unicode MS" w:hint="default"/>
          <w:sz w:val="24"/>
          <w:szCs w:val="24"/>
          <w:rtl w:val="0"/>
          <w:lang w:val="en-US"/>
        </w:rPr>
        <w:t>‘</w:t>
      </w:r>
      <w:r>
        <w:rPr>
          <w:rFonts w:cs="Arial Unicode MS" w:eastAsia="Arial Unicode MS"/>
          <w:sz w:val="24"/>
          <w:szCs w:val="24"/>
          <w:rtl w:val="0"/>
          <w:lang w:val="en-US"/>
        </w:rPr>
        <w:t>going native</w:t>
      </w:r>
      <w:r>
        <w:rPr>
          <w:rFonts w:cs="Arial Unicode MS" w:eastAsia="Arial Unicode MS" w:hint="default"/>
          <w:sz w:val="24"/>
          <w:szCs w:val="24"/>
          <w:rtl w:val="0"/>
          <w:lang w:val="en-US"/>
        </w:rPr>
        <w:t xml:space="preserve">’ </w:t>
      </w:r>
      <w:r>
        <w:rPr>
          <w:rFonts w:cs="Arial Unicode MS" w:eastAsia="Arial Unicode MS"/>
          <w:sz w:val="24"/>
          <w:szCs w:val="24"/>
          <w:rtl w:val="0"/>
          <w:lang w:val="en-US"/>
        </w:rPr>
        <w:t>or, shall we say, from insider perspective. Seidr, the practice she studies, is currently being reconstructed in Northern America and Europe.</w:t>
      </w:r>
    </w:p>
    <w:p>
      <w:pPr>
        <w:pStyle w:val="Body A"/>
        <w:rPr>
          <w:sz w:val="24"/>
          <w:szCs w:val="24"/>
        </w:rPr>
      </w:pPr>
    </w:p>
    <w:p>
      <w:pPr>
        <w:pStyle w:val="Body A"/>
        <w:rPr>
          <w:sz w:val="24"/>
          <w:szCs w:val="24"/>
        </w:rPr>
      </w:pPr>
      <w:r>
        <w:rPr>
          <w:rFonts w:cs="Arial Unicode MS" w:eastAsia="Arial Unicode MS"/>
          <w:sz w:val="24"/>
          <w:szCs w:val="24"/>
          <w:rtl w:val="0"/>
          <w:lang w:val="en-US"/>
        </w:rPr>
        <w:t xml:space="preserve">She says, that her knowledge of seird comes from dialogues, discourses and personal experiences perceived and interpreted within those communities she studies. Evans-Pritchard, one of the leading anthropologists of twenty first century, said that </w:t>
      </w:r>
      <w:r>
        <w:rPr>
          <w:rFonts w:cs="Arial Unicode MS" w:eastAsia="Arial Unicode MS" w:hint="default"/>
          <w:sz w:val="24"/>
          <w:szCs w:val="24"/>
          <w:rtl w:val="0"/>
          <w:lang w:val="en-US"/>
        </w:rPr>
        <w:t>‘</w:t>
      </w:r>
      <w:r>
        <w:rPr>
          <w:rFonts w:cs="Arial Unicode MS" w:eastAsia="Arial Unicode MS"/>
          <w:sz w:val="24"/>
          <w:szCs w:val="24"/>
          <w:rtl w:val="0"/>
          <w:lang w:val="en-US"/>
        </w:rPr>
        <w:t>It is obvious that if the anthropologist is to carry out his work...he must learn the native language, and any anthropologist worth his salt will make the learning of it his first task</w:t>
      </w:r>
      <w:r>
        <w:rPr>
          <w:rFonts w:cs="Arial Unicode MS" w:eastAsia="Arial Unicode MS" w:hint="default"/>
          <w:sz w:val="24"/>
          <w:szCs w:val="24"/>
          <w:rtl w:val="0"/>
          <w:lang w:val="en-US"/>
        </w:rPr>
        <w:t>’</w:t>
      </w:r>
      <w:r>
        <w:rPr>
          <w:rFonts w:ascii="Helvetica Neue" w:cs="Helvetica Neue" w:hAnsi="Helvetica Neue" w:eastAsia="Helvetica Neue"/>
          <w:b w:val="0"/>
          <w:bCs w:val="0"/>
          <w:i w:val="0"/>
          <w:iCs w:val="0"/>
          <w:sz w:val="24"/>
          <w:szCs w:val="24"/>
          <w:vertAlign w:val="superscript"/>
        </w:rPr>
        <w:footnoteReference w:id="6"/>
      </w:r>
      <w:r>
        <w:rPr>
          <w:rFonts w:cs="Arial Unicode MS" w:eastAsia="Arial Unicode MS"/>
          <w:sz w:val="24"/>
          <w:szCs w:val="24"/>
          <w:rtl w:val="0"/>
          <w:lang w:val="en-US"/>
        </w:rPr>
        <w:t xml:space="preserve">. Blain starts with locating herself in the paper by saying </w:t>
      </w:r>
      <w:r>
        <w:rPr>
          <w:rFonts w:cs="Arial Unicode MS" w:eastAsia="Arial Unicode MS" w:hint="default"/>
          <w:sz w:val="24"/>
          <w:szCs w:val="24"/>
          <w:rtl w:val="0"/>
          <w:lang w:val="en-US"/>
        </w:rPr>
        <w:t>‘</w:t>
      </w:r>
      <w:r>
        <w:rPr>
          <w:rFonts w:cs="Arial Unicode MS" w:eastAsia="Arial Unicode MS"/>
          <w:sz w:val="24"/>
          <w:szCs w:val="24"/>
          <w:rtl w:val="0"/>
          <w:lang w:val="en-US"/>
        </w:rPr>
        <w:t>I</w:t>
      </w:r>
      <w:r>
        <w:rPr>
          <w:rFonts w:cs="Arial Unicode MS" w:eastAsia="Arial Unicode MS" w:hint="default"/>
          <w:sz w:val="24"/>
          <w:szCs w:val="24"/>
          <w:rtl w:val="0"/>
          <w:lang w:val="en-US"/>
        </w:rPr>
        <w:t>’</w:t>
      </w:r>
      <w:r>
        <w:rPr>
          <w:rFonts w:cs="Arial Unicode MS" w:eastAsia="Arial Unicode MS"/>
          <w:sz w:val="24"/>
          <w:szCs w:val="24"/>
          <w:rtl w:val="0"/>
          <w:lang w:val="en-US"/>
        </w:rPr>
        <w:t>m an anthropologist</w:t>
      </w:r>
      <w:r>
        <w:rPr>
          <w:rFonts w:cs="Arial Unicode MS" w:eastAsia="Arial Unicode MS" w:hint="default"/>
          <w:sz w:val="24"/>
          <w:szCs w:val="24"/>
          <w:rtl w:val="0"/>
          <w:lang w:val="en-US"/>
        </w:rPr>
        <w:t xml:space="preserve">’ </w:t>
      </w:r>
      <w:r>
        <w:rPr>
          <w:rFonts w:cs="Arial Unicode MS" w:eastAsia="Arial Unicode MS"/>
          <w:sz w:val="24"/>
          <w:szCs w:val="24"/>
          <w:rtl w:val="0"/>
          <w:lang w:val="en-US"/>
        </w:rPr>
        <w:t xml:space="preserve">at the customs desk, and that </w:t>
      </w:r>
      <w:r>
        <w:rPr>
          <w:rFonts w:cs="Arial Unicode MS" w:eastAsia="Arial Unicode MS" w:hint="default"/>
          <w:sz w:val="24"/>
          <w:szCs w:val="24"/>
          <w:rtl w:val="0"/>
          <w:lang w:val="en-US"/>
        </w:rPr>
        <w:t>‘</w:t>
      </w:r>
      <w:r>
        <w:rPr>
          <w:rFonts w:cs="Arial Unicode MS" w:eastAsia="Arial Unicode MS"/>
          <w:sz w:val="24"/>
          <w:szCs w:val="24"/>
          <w:rtl w:val="0"/>
          <w:lang w:val="en-US"/>
        </w:rPr>
        <w:t>one of of the people I</w:t>
      </w:r>
      <w:r>
        <w:rPr>
          <w:rFonts w:cs="Arial Unicode MS" w:eastAsia="Arial Unicode MS" w:hint="default"/>
          <w:sz w:val="24"/>
          <w:szCs w:val="24"/>
          <w:rtl w:val="0"/>
          <w:lang w:val="en-US"/>
        </w:rPr>
        <w:t>’</w:t>
      </w:r>
      <w:r>
        <w:rPr>
          <w:rFonts w:cs="Arial Unicode MS" w:eastAsia="Arial Unicode MS"/>
          <w:sz w:val="24"/>
          <w:szCs w:val="24"/>
          <w:rtl w:val="0"/>
          <w:lang w:val="en-US"/>
        </w:rPr>
        <w:t>m studying is getting married and I</w:t>
      </w:r>
      <w:r>
        <w:rPr>
          <w:rFonts w:cs="Arial Unicode MS" w:eastAsia="Arial Unicode MS" w:hint="default"/>
          <w:sz w:val="24"/>
          <w:szCs w:val="24"/>
          <w:rtl w:val="0"/>
          <w:lang w:val="en-US"/>
        </w:rPr>
        <w:t>’</w:t>
      </w:r>
      <w:r>
        <w:rPr>
          <w:rFonts w:cs="Arial Unicode MS" w:eastAsia="Arial Unicode MS"/>
          <w:sz w:val="24"/>
          <w:szCs w:val="24"/>
          <w:rtl w:val="0"/>
          <w:lang w:val="en-US"/>
        </w:rPr>
        <w:t>m going dance at her wedding</w:t>
      </w:r>
      <w:r>
        <w:rPr>
          <w:rFonts w:cs="Arial Unicode MS" w:eastAsia="Arial Unicode MS" w:hint="default"/>
          <w:sz w:val="24"/>
          <w:szCs w:val="24"/>
          <w:rtl w:val="0"/>
          <w:lang w:val="en-US"/>
        </w:rPr>
        <w:t>’</w:t>
      </w:r>
      <w:r>
        <w:rPr>
          <w:rFonts w:cs="Arial Unicode MS" w:eastAsia="Arial Unicode MS"/>
          <w:sz w:val="24"/>
          <w:szCs w:val="24"/>
          <w:rtl w:val="0"/>
          <w:lang w:val="en-US"/>
        </w:rPr>
        <w:t xml:space="preserve">. She is reflexive and in the very beginning she clearly states that this work is a result of her field trip where she takes part in. </w:t>
      </w:r>
    </w:p>
    <w:p>
      <w:pPr>
        <w:pStyle w:val="Body A"/>
        <w:rPr>
          <w:sz w:val="24"/>
          <w:szCs w:val="24"/>
        </w:rPr>
      </w:pPr>
    </w:p>
    <w:p>
      <w:pPr>
        <w:pStyle w:val="Body A"/>
        <w:rPr>
          <w:sz w:val="24"/>
          <w:szCs w:val="24"/>
        </w:rPr>
      </w:pPr>
      <w:r>
        <w:rPr>
          <w:sz w:val="24"/>
          <w:szCs w:val="24"/>
          <w:rtl w:val="0"/>
          <w:lang w:val="en-US"/>
        </w:rPr>
        <w:t>To research people</w:t>
      </w:r>
      <w:r>
        <w:rPr>
          <w:sz w:val="24"/>
          <w:szCs w:val="24"/>
          <w:rtl w:val="0"/>
          <w:lang w:val="en-US"/>
        </w:rPr>
        <w:t>’</w:t>
      </w:r>
      <w:r>
        <w:rPr>
          <w:sz w:val="24"/>
          <w:szCs w:val="24"/>
          <w:rtl w:val="0"/>
          <w:lang w:val="en-US"/>
        </w:rPr>
        <w:t>s behaviour observation is much more suitable method, rather than questionnaires or even interviews.</w:t>
      </w:r>
      <w:r>
        <w:rPr>
          <w:sz w:val="24"/>
          <w:szCs w:val="24"/>
          <w:rtl w:val="0"/>
          <w:lang w:val="ru-RU"/>
        </w:rPr>
        <w:t xml:space="preserve"> </w:t>
      </w:r>
      <w:r>
        <w:rPr>
          <w:sz w:val="24"/>
          <w:szCs w:val="24"/>
          <w:rtl w:val="0"/>
          <w:lang w:val="en-US"/>
        </w:rPr>
        <w:t xml:space="preserve">Kathryn Haynes writes about reflexivity that </w:t>
      </w:r>
      <w:r>
        <w:rPr>
          <w:sz w:val="24"/>
          <w:szCs w:val="24"/>
          <w:rtl w:val="0"/>
          <w:lang w:val="en-US"/>
        </w:rPr>
        <w:t>“</w:t>
      </w:r>
      <w:r>
        <w:rPr>
          <w:sz w:val="24"/>
          <w:szCs w:val="24"/>
          <w:rtl w:val="0"/>
          <w:lang w:val="en-US"/>
        </w:rPr>
        <w:t>a researcher engaging in reflexive research may encounter tensions in the extent of self-disclosure and focus on process of research. Nevertheless, reflexivity enables research to be insightful, questioning, intersubjective and transparent on a number of different levels</w:t>
      </w:r>
      <w:r>
        <w:rPr>
          <w:sz w:val="24"/>
          <w:szCs w:val="24"/>
          <w:rtl w:val="0"/>
          <w:lang w:val="en-US"/>
        </w:rPr>
        <w:t>”</w:t>
      </w:r>
      <w:r>
        <w:rPr>
          <w:sz w:val="24"/>
          <w:szCs w:val="24"/>
          <w:vertAlign w:val="superscript"/>
          <w:lang w:val="en-US"/>
        </w:rPr>
        <w:footnoteReference w:id="7"/>
      </w:r>
      <w:r>
        <w:rPr>
          <w:sz w:val="24"/>
          <w:szCs w:val="24"/>
          <w:rtl w:val="0"/>
          <w:lang w:val="en-US"/>
        </w:rPr>
        <w:t>. We could suggest that Jenny Blain was approaching her observation from both non-invasive and a very participating points.</w:t>
      </w:r>
    </w:p>
    <w:p>
      <w:pPr>
        <w:pStyle w:val="Body A"/>
        <w:rPr>
          <w:sz w:val="24"/>
          <w:szCs w:val="24"/>
        </w:rPr>
      </w:pPr>
    </w:p>
    <w:p>
      <w:pPr>
        <w:pStyle w:val="Body A"/>
        <w:rPr>
          <w:sz w:val="24"/>
          <w:szCs w:val="24"/>
        </w:rPr>
      </w:pPr>
      <w:r>
        <w:rPr>
          <w:rFonts w:cs="Arial Unicode MS" w:eastAsia="Arial Unicode MS"/>
          <w:sz w:val="24"/>
          <w:szCs w:val="24"/>
          <w:rtl w:val="0"/>
          <w:lang w:val="en-US"/>
        </w:rPr>
        <w:t xml:space="preserve">Blain questions some problems of studying shamanism within academia, that the audience attempts to rationalise and explain the phenomena. She writes that after each conference and presentation there were challenging questions such as </w:t>
      </w:r>
      <w:r>
        <w:rPr>
          <w:rFonts w:cs="Arial Unicode MS" w:eastAsia="Arial Unicode MS" w:hint="default"/>
          <w:sz w:val="24"/>
          <w:szCs w:val="24"/>
          <w:rtl w:val="0"/>
          <w:lang w:val="en-US"/>
        </w:rPr>
        <w:t>‘</w:t>
      </w:r>
      <w:r>
        <w:rPr>
          <w:rFonts w:cs="Arial Unicode MS" w:eastAsia="Arial Unicode MS"/>
          <w:sz w:val="24"/>
          <w:szCs w:val="24"/>
          <w:rtl w:val="0"/>
          <w:lang w:val="en-US"/>
        </w:rPr>
        <w:t>do the spirits exists</w:t>
      </w:r>
      <w:r>
        <w:rPr>
          <w:rFonts w:cs="Arial Unicode MS" w:eastAsia="Arial Unicode MS" w:hint="default"/>
          <w:sz w:val="24"/>
          <w:szCs w:val="24"/>
          <w:rtl w:val="0"/>
          <w:lang w:val="en-US"/>
        </w:rPr>
        <w:t xml:space="preserve">’ </w:t>
      </w:r>
      <w:r>
        <w:rPr>
          <w:rFonts w:cs="Arial Unicode MS" w:eastAsia="Arial Unicode MS"/>
          <w:sz w:val="24"/>
          <w:szCs w:val="24"/>
          <w:rtl w:val="0"/>
          <w:lang w:val="en-US"/>
        </w:rPr>
        <w:t xml:space="preserve">or whether she has a belief in </w:t>
      </w:r>
      <w:r>
        <w:rPr>
          <w:rFonts w:cs="Arial Unicode MS" w:eastAsia="Arial Unicode MS" w:hint="default"/>
          <w:sz w:val="24"/>
          <w:szCs w:val="24"/>
          <w:rtl w:val="0"/>
          <w:lang w:val="en-US"/>
        </w:rPr>
        <w:t>‘</w:t>
      </w:r>
      <w:r>
        <w:rPr>
          <w:rFonts w:cs="Arial Unicode MS" w:eastAsia="Arial Unicode MS"/>
          <w:sz w:val="24"/>
          <w:szCs w:val="24"/>
          <w:rtl w:val="0"/>
          <w:lang w:val="en-US"/>
        </w:rPr>
        <w:t>the spirits</w:t>
      </w:r>
      <w:r>
        <w:rPr>
          <w:rFonts w:cs="Arial Unicode MS" w:eastAsia="Arial Unicode MS" w:hint="default"/>
          <w:sz w:val="24"/>
          <w:szCs w:val="24"/>
          <w:rtl w:val="0"/>
          <w:lang w:val="en-US"/>
        </w:rPr>
        <w:t>’</w:t>
      </w:r>
      <w:r>
        <w:rPr>
          <w:rFonts w:cs="Arial Unicode MS" w:eastAsia="Arial Unicode MS"/>
          <w:sz w:val="24"/>
          <w:szCs w:val="24"/>
          <w:rtl w:val="0"/>
          <w:lang w:val="en-US"/>
        </w:rPr>
        <w:t xml:space="preserve">. If she would say </w:t>
      </w:r>
      <w:r>
        <w:rPr>
          <w:rFonts w:cs="Arial Unicode MS" w:eastAsia="Arial Unicode MS" w:hint="default"/>
          <w:sz w:val="24"/>
          <w:szCs w:val="24"/>
          <w:rtl w:val="0"/>
          <w:lang w:val="en-US"/>
        </w:rPr>
        <w:t>‘</w:t>
      </w:r>
      <w:r>
        <w:rPr>
          <w:rFonts w:cs="Arial Unicode MS" w:eastAsia="Arial Unicode MS"/>
          <w:sz w:val="24"/>
          <w:szCs w:val="24"/>
          <w:rtl w:val="0"/>
          <w:lang w:val="en-US"/>
        </w:rPr>
        <w:t>yes</w:t>
      </w:r>
      <w:r>
        <w:rPr>
          <w:rFonts w:cs="Arial Unicode MS" w:eastAsia="Arial Unicode MS" w:hint="default"/>
          <w:sz w:val="24"/>
          <w:szCs w:val="24"/>
          <w:rtl w:val="0"/>
          <w:lang w:val="en-US"/>
        </w:rPr>
        <w:t xml:space="preserve">’ </w:t>
      </w:r>
      <w:r>
        <w:rPr>
          <w:rFonts w:cs="Arial Unicode MS" w:eastAsia="Arial Unicode MS"/>
          <w:sz w:val="24"/>
          <w:szCs w:val="24"/>
          <w:rtl w:val="0"/>
          <w:lang w:val="en-US"/>
        </w:rPr>
        <w:t xml:space="preserve">it would discredit her in face of academia and if she would say </w:t>
      </w:r>
      <w:r>
        <w:rPr>
          <w:rFonts w:cs="Arial Unicode MS" w:eastAsia="Arial Unicode MS" w:hint="default"/>
          <w:sz w:val="24"/>
          <w:szCs w:val="24"/>
          <w:rtl w:val="0"/>
          <w:lang w:val="en-US"/>
        </w:rPr>
        <w:t>‘</w:t>
      </w:r>
      <w:r>
        <w:rPr>
          <w:rFonts w:cs="Arial Unicode MS" w:eastAsia="Arial Unicode MS"/>
          <w:sz w:val="24"/>
          <w:szCs w:val="24"/>
          <w:rtl w:val="0"/>
          <w:lang w:val="en-US"/>
        </w:rPr>
        <w:t>no</w:t>
      </w:r>
      <w:r>
        <w:rPr>
          <w:rFonts w:cs="Arial Unicode MS" w:eastAsia="Arial Unicode MS" w:hint="default"/>
          <w:sz w:val="24"/>
          <w:szCs w:val="24"/>
          <w:rtl w:val="0"/>
          <w:lang w:val="en-US"/>
        </w:rPr>
        <w:t xml:space="preserve">’ </w:t>
      </w:r>
      <w:r>
        <w:rPr>
          <w:rFonts w:cs="Arial Unicode MS" w:eastAsia="Arial Unicode MS"/>
          <w:sz w:val="24"/>
          <w:szCs w:val="24"/>
          <w:rtl w:val="0"/>
          <w:lang w:val="en-US"/>
        </w:rPr>
        <w:t xml:space="preserve">it would move her away from the groups she studies. And her response is that for the people she studies </w:t>
      </w:r>
      <w:r>
        <w:rPr>
          <w:rFonts w:cs="Arial Unicode MS" w:eastAsia="Arial Unicode MS" w:hint="default"/>
          <w:sz w:val="24"/>
          <w:szCs w:val="24"/>
          <w:rtl w:val="0"/>
          <w:lang w:val="en-US"/>
        </w:rPr>
        <w:t>‘</w:t>
      </w:r>
      <w:r>
        <w:rPr>
          <w:rFonts w:cs="Arial Unicode MS" w:eastAsia="Arial Unicode MS"/>
          <w:sz w:val="24"/>
          <w:szCs w:val="24"/>
          <w:rtl w:val="0"/>
          <w:lang w:val="en-US"/>
        </w:rPr>
        <w:t>belief in spirits is real</w:t>
      </w:r>
      <w:r>
        <w:rPr>
          <w:rFonts w:cs="Arial Unicode MS" w:eastAsia="Arial Unicode MS" w:hint="default"/>
          <w:sz w:val="24"/>
          <w:szCs w:val="24"/>
          <w:rtl w:val="0"/>
          <w:lang w:val="en-US"/>
        </w:rPr>
        <w:t xml:space="preserve">’ </w:t>
      </w:r>
      <w:r>
        <w:rPr>
          <w:rFonts w:cs="Arial Unicode MS" w:eastAsia="Arial Unicode MS"/>
          <w:sz w:val="24"/>
          <w:szCs w:val="24"/>
          <w:rtl w:val="0"/>
          <w:lang w:val="en-US"/>
        </w:rPr>
        <w:t xml:space="preserve">and this belief shapes their lives and their world, but she, as an anthropologist, stands outside and observes how this belief functions within this community. Also she points out a problem of </w:t>
      </w:r>
      <w:r>
        <w:rPr>
          <w:rFonts w:cs="Arial Unicode MS" w:eastAsia="Arial Unicode MS" w:hint="default"/>
          <w:sz w:val="24"/>
          <w:szCs w:val="24"/>
          <w:rtl w:val="0"/>
          <w:lang w:val="en-US"/>
        </w:rPr>
        <w:t>‘</w:t>
      </w:r>
      <w:r>
        <w:rPr>
          <w:rFonts w:cs="Arial Unicode MS" w:eastAsia="Arial Unicode MS"/>
          <w:sz w:val="24"/>
          <w:szCs w:val="24"/>
          <w:rtl w:val="0"/>
          <w:lang w:val="en-US"/>
        </w:rPr>
        <w:t>native informants</w:t>
      </w:r>
      <w:r>
        <w:rPr>
          <w:rFonts w:cs="Arial Unicode MS" w:eastAsia="Arial Unicode MS" w:hint="default"/>
          <w:sz w:val="24"/>
          <w:szCs w:val="24"/>
          <w:rtl w:val="0"/>
          <w:lang w:val="en-US"/>
        </w:rPr>
        <w:t xml:space="preserve">’ </w:t>
      </w:r>
      <w:r>
        <w:rPr>
          <w:rFonts w:cs="Arial Unicode MS" w:eastAsia="Arial Unicode MS"/>
          <w:sz w:val="24"/>
          <w:szCs w:val="24"/>
          <w:rtl w:val="0"/>
          <w:lang w:val="en-US"/>
        </w:rPr>
        <w:t>who are non-academics but speak and theorise a lot on Neo-shamanic movements.</w:t>
      </w:r>
    </w:p>
    <w:p>
      <w:pPr>
        <w:pStyle w:val="Body A"/>
        <w:rPr>
          <w:sz w:val="24"/>
          <w:szCs w:val="24"/>
        </w:rPr>
      </w:pPr>
    </w:p>
    <w:p>
      <w:pPr>
        <w:pStyle w:val="Body A"/>
        <w:rPr>
          <w:sz w:val="24"/>
          <w:szCs w:val="24"/>
        </w:rPr>
      </w:pPr>
      <w:r>
        <w:rPr>
          <w:sz w:val="24"/>
          <w:szCs w:val="24"/>
          <w:rtl w:val="0"/>
          <w:lang w:val="en-US"/>
        </w:rPr>
        <w:t>In course of her observations and participation in the shamanistic practices she gives very thorough descriptions of what is going on from different points of view. There are point of view of how it may look like for a stranger, an informed outsider, and of a practitioner</w:t>
      </w:r>
      <w:r>
        <w:rPr>
          <w:sz w:val="24"/>
          <w:szCs w:val="24"/>
          <w:rtl w:val="0"/>
          <w:lang w:val="en-US"/>
        </w:rPr>
        <w:t>’</w:t>
      </w:r>
      <w:r>
        <w:rPr>
          <w:sz w:val="24"/>
          <w:szCs w:val="24"/>
          <w:rtl w:val="0"/>
          <w:lang w:val="en-US"/>
        </w:rPr>
        <w:t xml:space="preserve">s account. Alan Bryman said that there are always some problems to </w:t>
      </w:r>
      <w:r>
        <w:rPr>
          <w:sz w:val="24"/>
          <w:szCs w:val="24"/>
          <w:rtl w:val="0"/>
          <w:lang w:val="en-US"/>
        </w:rPr>
        <w:t>‘</w:t>
      </w:r>
      <w:r>
        <w:rPr>
          <w:sz w:val="24"/>
          <w:szCs w:val="24"/>
          <w:rtl w:val="0"/>
          <w:lang w:val="en-US"/>
        </w:rPr>
        <w:t>go native</w:t>
      </w:r>
      <w:r>
        <w:rPr>
          <w:sz w:val="24"/>
          <w:szCs w:val="24"/>
          <w:rtl w:val="0"/>
          <w:lang w:val="en-US"/>
        </w:rPr>
        <w:t>’</w:t>
      </w:r>
      <w:r>
        <w:rPr>
          <w:sz w:val="24"/>
          <w:szCs w:val="24"/>
          <w:rtl w:val="0"/>
          <w:lang w:val="en-US"/>
        </w:rPr>
        <w:t xml:space="preserve">, because </w:t>
      </w:r>
      <w:r>
        <w:rPr>
          <w:sz w:val="24"/>
          <w:szCs w:val="24"/>
          <w:rtl w:val="0"/>
          <w:lang w:val="en-US"/>
        </w:rPr>
        <w:t>‘</w:t>
      </w:r>
      <w:r>
        <w:rPr>
          <w:sz w:val="24"/>
          <w:szCs w:val="24"/>
          <w:rtl w:val="0"/>
          <w:lang w:val="en-US"/>
        </w:rPr>
        <w:t>the researcher loses his or her awareness of being a researcher and is seduced by the participants</w:t>
      </w:r>
      <w:r>
        <w:rPr>
          <w:rFonts w:ascii="Arial Unicode MS" w:hAnsi="Arial Unicode MS" w:hint="default"/>
          <w:sz w:val="24"/>
          <w:szCs w:val="24"/>
          <w:rtl w:val="0"/>
          <w:lang w:val="en-US"/>
        </w:rPr>
        <w:t xml:space="preserve">’ </w:t>
      </w:r>
      <w:r>
        <w:rPr>
          <w:sz w:val="24"/>
          <w:szCs w:val="24"/>
          <w:rtl w:val="0"/>
          <w:lang w:val="fr-FR"/>
        </w:rPr>
        <w:t>perspective</w:t>
      </w:r>
      <w:r>
        <w:rPr>
          <w:sz w:val="24"/>
          <w:szCs w:val="24"/>
          <w:rtl w:val="0"/>
          <w:lang w:val="en-US"/>
        </w:rPr>
        <w:t>’</w:t>
      </w:r>
      <w:r>
        <w:rPr>
          <w:sz w:val="24"/>
          <w:szCs w:val="24"/>
          <w:vertAlign w:val="superscript"/>
          <w:lang w:val="en-US"/>
        </w:rPr>
        <w:footnoteReference w:id="8"/>
      </w:r>
      <w:r>
        <w:rPr>
          <w:sz w:val="24"/>
          <w:szCs w:val="24"/>
          <w:rtl w:val="0"/>
          <w:lang w:val="en-US"/>
        </w:rPr>
        <w:t>. Also there was a moment when she wasn</w:t>
      </w:r>
      <w:r>
        <w:rPr>
          <w:sz w:val="24"/>
          <w:szCs w:val="24"/>
          <w:rtl w:val="0"/>
          <w:lang w:val="en-US"/>
        </w:rPr>
        <w:t>’</w:t>
      </w:r>
      <w:r>
        <w:rPr>
          <w:sz w:val="24"/>
          <w:szCs w:val="24"/>
          <w:rtl w:val="0"/>
          <w:lang w:val="en-US"/>
        </w:rPr>
        <w:t>t allowed to take part in but the refusal was also a very informative point to her study.</w:t>
      </w:r>
    </w:p>
    <w:p>
      <w:pPr>
        <w:pStyle w:val="Body A"/>
        <w:rPr>
          <w:sz w:val="24"/>
          <w:szCs w:val="24"/>
        </w:rPr>
      </w:pPr>
    </w:p>
    <w:p>
      <w:pPr>
        <w:pStyle w:val="Body A"/>
        <w:rPr>
          <w:sz w:val="24"/>
          <w:szCs w:val="24"/>
        </w:rPr>
      </w:pPr>
      <w:r>
        <w:rPr>
          <w:rFonts w:cs="Arial Unicode MS" w:eastAsia="Arial Unicode MS"/>
          <w:sz w:val="24"/>
          <w:szCs w:val="24"/>
          <w:rtl w:val="0"/>
          <w:lang w:val="en-US"/>
        </w:rPr>
        <w:t>Blain gives 17 entries in bibliography section and almost a third of them is references to her own previous publications. Others including university press, 6 references to academic journals and topics including feminism, psychology and anthropological researches of shamanism.</w:t>
      </w:r>
    </w:p>
    <w:p>
      <w:pPr>
        <w:pStyle w:val="Body A"/>
        <w:rPr>
          <w:sz w:val="24"/>
          <w:szCs w:val="24"/>
        </w:rPr>
      </w:pPr>
    </w:p>
    <w:p>
      <w:pPr>
        <w:pStyle w:val="Body A"/>
        <w:rPr>
          <w:sz w:val="24"/>
          <w:szCs w:val="24"/>
        </w:rPr>
      </w:pPr>
      <w:r>
        <w:rPr>
          <w:rFonts w:cs="Arial Unicode MS" w:eastAsia="Arial Unicode MS"/>
          <w:sz w:val="24"/>
          <w:szCs w:val="24"/>
          <w:rtl w:val="0"/>
          <w:lang w:val="en-US"/>
        </w:rPr>
        <w:t>In Blain</w:t>
      </w:r>
      <w:r>
        <w:rPr>
          <w:rFonts w:cs="Arial Unicode MS" w:eastAsia="Arial Unicode MS" w:hint="default"/>
          <w:sz w:val="24"/>
          <w:szCs w:val="24"/>
          <w:rtl w:val="0"/>
          <w:lang w:val="en-US"/>
        </w:rPr>
        <w:t>’</w:t>
      </w:r>
      <w:r>
        <w:rPr>
          <w:rFonts w:cs="Arial Unicode MS" w:eastAsia="Arial Unicode MS"/>
          <w:sz w:val="24"/>
          <w:szCs w:val="24"/>
          <w:rtl w:val="0"/>
          <w:lang w:val="en-US"/>
        </w:rPr>
        <w:t>s paper no such thing as a question to explore. She describes her personal experience of shamanistic practices, gives her interpretations and explanation to outsiders what is happening and why it is important as well as raising some problems of studying different spiritual and religious movements within academia. Paper could be useful to social anthropologists but may lack wider academic rationale.</w:t>
      </w:r>
    </w:p>
    <w:p>
      <w:pPr>
        <w:pStyle w:val="Body A"/>
        <w:rPr>
          <w:sz w:val="24"/>
          <w:szCs w:val="24"/>
        </w:rPr>
      </w:pPr>
    </w:p>
    <w:p>
      <w:pPr>
        <w:pStyle w:val="Body A"/>
        <w:rPr>
          <w:sz w:val="24"/>
          <w:szCs w:val="24"/>
        </w:rPr>
      </w:pPr>
    </w:p>
    <w:p>
      <w:pPr>
        <w:pStyle w:val="Body A"/>
        <w:rPr>
          <w:sz w:val="24"/>
          <w:szCs w:val="24"/>
        </w:rPr>
      </w:pPr>
      <w:r>
        <w:rPr>
          <w:rFonts w:cs="Arial Unicode MS" w:eastAsia="Arial Unicode MS"/>
          <w:sz w:val="24"/>
          <w:szCs w:val="24"/>
          <w:rtl w:val="0"/>
          <w:lang w:val="en-US"/>
        </w:rPr>
        <w:t>COMPARISON</w:t>
      </w:r>
    </w:p>
    <w:p>
      <w:pPr>
        <w:pStyle w:val="Body A"/>
        <w:rPr>
          <w:sz w:val="24"/>
          <w:szCs w:val="24"/>
        </w:rPr>
      </w:pPr>
    </w:p>
    <w:p>
      <w:pPr>
        <w:pStyle w:val="Body A"/>
        <w:rPr>
          <w:sz w:val="24"/>
          <w:szCs w:val="24"/>
        </w:rPr>
      </w:pPr>
      <w:r>
        <w:rPr>
          <w:rFonts w:cs="Arial Unicode MS" w:eastAsia="Arial Unicode MS"/>
          <w:sz w:val="24"/>
          <w:szCs w:val="24"/>
          <w:rtl w:val="0"/>
          <w:lang w:val="en-US"/>
        </w:rPr>
        <w:t>First paper gives us a clear understanding of the social group chosen for the research: their age, sex, social and professional placement. Participant were carefully chosen from diverse groups and backgrounds, avoiding directly influenced by specific religious or other esoteric setting like easter religions and New Age. While second paper does not give any clues on the group studied, except the fact that the setting was a wedding (as a part of a larger weekend spring celebration) of some friend who was a part of group that reconstructed religious traditions in Northern America. There is no data on how many people were observed, of what age, gender, social and professional background. We don</w:t>
      </w:r>
      <w:r>
        <w:rPr>
          <w:rFonts w:cs="Arial Unicode MS" w:eastAsia="Arial Unicode MS" w:hint="default"/>
          <w:sz w:val="24"/>
          <w:szCs w:val="24"/>
          <w:rtl w:val="0"/>
          <w:lang w:val="en-US"/>
        </w:rPr>
        <w:t>’</w:t>
      </w:r>
      <w:r>
        <w:rPr>
          <w:rFonts w:cs="Arial Unicode MS" w:eastAsia="Arial Unicode MS"/>
          <w:sz w:val="24"/>
          <w:szCs w:val="24"/>
          <w:rtl w:val="0"/>
          <w:lang w:val="en-US"/>
        </w:rPr>
        <w:t xml:space="preserve">t even know how big this event was and roughly how many people attended the celebration </w:t>
      </w:r>
      <w:r>
        <w:rPr>
          <w:rFonts w:cs="Arial Unicode MS" w:eastAsia="Arial Unicode MS" w:hint="default"/>
          <w:sz w:val="24"/>
          <w:szCs w:val="24"/>
          <w:rtl w:val="0"/>
          <w:lang w:val="en-US"/>
        </w:rPr>
        <w:t>– </w:t>
      </w:r>
      <w:r>
        <w:rPr>
          <w:rFonts w:cs="Arial Unicode MS" w:eastAsia="Arial Unicode MS"/>
          <w:sz w:val="24"/>
          <w:szCs w:val="24"/>
          <w:rtl w:val="0"/>
          <w:lang w:val="en-US"/>
        </w:rPr>
        <w:t>just a few dozens, a hundred or a thousand of people.</w:t>
      </w:r>
    </w:p>
    <w:p>
      <w:pPr>
        <w:pStyle w:val="Body A"/>
        <w:rPr>
          <w:sz w:val="24"/>
          <w:szCs w:val="24"/>
        </w:rPr>
      </w:pPr>
    </w:p>
    <w:p>
      <w:pPr>
        <w:pStyle w:val="Body A"/>
        <w:rPr>
          <w:sz w:val="24"/>
          <w:szCs w:val="24"/>
        </w:rPr>
      </w:pPr>
      <w:r>
        <w:rPr>
          <w:rFonts w:cs="Arial Unicode MS" w:eastAsia="Arial Unicode MS"/>
          <w:sz w:val="24"/>
          <w:szCs w:val="24"/>
          <w:rtl w:val="0"/>
          <w:lang w:val="en-US"/>
        </w:rPr>
        <w:t xml:space="preserve">Both papers are having some ethical issues. First paper had underaged group and it was not clear how authors have been dealing with this situation. Did they interview those school children in presence of parents or school teachers, were they aware of the their right to withdraw at any moment, etc. Second paper also leaves many questions on ethics. Author said that she flew to dance at the wedding and indeed was carrying out an anthropological research. Was author present as a friend or as a researcher? Author clearly states that she was </w:t>
      </w:r>
      <w:r>
        <w:rPr>
          <w:rFonts w:cs="Arial Unicode MS" w:eastAsia="Arial Unicode MS" w:hint="default"/>
          <w:sz w:val="24"/>
          <w:szCs w:val="24"/>
          <w:rtl w:val="0"/>
          <w:lang w:val="en-US"/>
        </w:rPr>
        <w:t>‘</w:t>
      </w:r>
      <w:r>
        <w:rPr>
          <w:rFonts w:cs="Arial Unicode MS" w:eastAsia="Arial Unicode MS"/>
          <w:sz w:val="24"/>
          <w:szCs w:val="24"/>
          <w:rtl w:val="0"/>
          <w:lang w:val="en-US"/>
        </w:rPr>
        <w:t>going native</w:t>
      </w:r>
      <w:r>
        <w:rPr>
          <w:rFonts w:cs="Arial Unicode MS" w:eastAsia="Arial Unicode MS" w:hint="default"/>
          <w:sz w:val="24"/>
          <w:szCs w:val="24"/>
          <w:rtl w:val="0"/>
          <w:lang w:val="en-US"/>
        </w:rPr>
        <w:t xml:space="preserve">’ </w:t>
      </w:r>
      <w:r>
        <w:rPr>
          <w:rFonts w:cs="Arial Unicode MS" w:eastAsia="Arial Unicode MS"/>
          <w:sz w:val="24"/>
          <w:szCs w:val="24"/>
          <w:rtl w:val="0"/>
          <w:lang w:val="en-US"/>
        </w:rPr>
        <w:t xml:space="preserve">to this group of people. But were those people aware of being observed or it was non-invasive method of observation? Was this community involved in </w:t>
      </w:r>
      <w:r>
        <w:rPr>
          <w:rFonts w:cs="Arial Unicode MS" w:eastAsia="Arial Unicode MS" w:hint="default"/>
          <w:sz w:val="24"/>
          <w:szCs w:val="24"/>
          <w:rtl w:val="0"/>
          <w:lang w:val="en-US"/>
        </w:rPr>
        <w:t>‘</w:t>
      </w:r>
      <w:r>
        <w:rPr>
          <w:rFonts w:cs="Arial Unicode MS" w:eastAsia="Arial Unicode MS"/>
          <w:sz w:val="24"/>
          <w:szCs w:val="24"/>
          <w:rtl w:val="0"/>
          <w:lang w:val="en-US"/>
        </w:rPr>
        <w:t>post-production</w:t>
      </w:r>
      <w:r>
        <w:rPr>
          <w:rFonts w:cs="Arial Unicode MS" w:eastAsia="Arial Unicode MS" w:hint="default"/>
          <w:sz w:val="24"/>
          <w:szCs w:val="24"/>
          <w:rtl w:val="0"/>
          <w:lang w:val="en-US"/>
        </w:rPr>
        <w:t xml:space="preserve">’ </w:t>
      </w:r>
      <w:r>
        <w:rPr>
          <w:rFonts w:cs="Arial Unicode MS" w:eastAsia="Arial Unicode MS"/>
          <w:sz w:val="24"/>
          <w:szCs w:val="24"/>
          <w:rtl w:val="0"/>
          <w:lang w:val="en-US"/>
        </w:rPr>
        <w:t>of those observations? Did they have a right to read and, probably, correct or exclude some things from those observations before the paper was published?</w:t>
      </w:r>
    </w:p>
    <w:p>
      <w:pPr>
        <w:pStyle w:val="Body A"/>
        <w:rPr>
          <w:sz w:val="24"/>
          <w:szCs w:val="24"/>
        </w:rPr>
      </w:pPr>
    </w:p>
    <w:p>
      <w:pPr>
        <w:pStyle w:val="Body A"/>
        <w:rPr>
          <w:sz w:val="24"/>
          <w:szCs w:val="24"/>
        </w:rPr>
      </w:pPr>
      <w:r>
        <w:rPr>
          <w:rFonts w:cs="Arial Unicode MS" w:eastAsia="Arial Unicode MS"/>
          <w:sz w:val="24"/>
          <w:szCs w:val="24"/>
          <w:rtl w:val="0"/>
          <w:lang w:val="en-US"/>
        </w:rPr>
        <w:t>Both papers explore private beliefs but from different perspectives and by different methods. First paper has surveys, statistical data, rich respondent group, citations from interviews, discussion on the nature of belief and thorough part on findings of conducted research. So, one could use this paper in further research on modern religious situation. Second paper has no surveys and/statistical data, just because those methods are not suitable in this case high on subjectivity and reflexive observations. Also second paper lacks any kind of findings, has no conclusion and, perhaps, lacks academic rationale. Despite such a contrast on methodology and apparent difference we could apply to Evans-Pritchard</w:t>
      </w:r>
      <w:r>
        <w:rPr>
          <w:rFonts w:cs="Arial Unicode MS" w:eastAsia="Arial Unicode MS" w:hint="default"/>
          <w:sz w:val="24"/>
          <w:szCs w:val="24"/>
          <w:rtl w:val="0"/>
          <w:lang w:val="en-US"/>
        </w:rPr>
        <w:t>’</w:t>
      </w:r>
      <w:r>
        <w:rPr>
          <w:rFonts w:cs="Arial Unicode MS" w:eastAsia="Arial Unicode MS"/>
          <w:sz w:val="24"/>
          <w:szCs w:val="24"/>
          <w:rtl w:val="0"/>
          <w:lang w:val="en-US"/>
        </w:rPr>
        <w:t xml:space="preserve">s work on social anthropology. He said that it is an obligation to study as many of such small and </w:t>
      </w:r>
      <w:r>
        <w:rPr>
          <w:rFonts w:cs="Arial Unicode MS" w:eastAsia="Arial Unicode MS" w:hint="default"/>
          <w:sz w:val="24"/>
          <w:szCs w:val="24"/>
          <w:rtl w:val="0"/>
          <w:lang w:val="en-US"/>
        </w:rPr>
        <w:t>‘</w:t>
      </w:r>
      <w:r>
        <w:rPr>
          <w:rFonts w:cs="Arial Unicode MS" w:eastAsia="Arial Unicode MS"/>
          <w:sz w:val="24"/>
          <w:szCs w:val="24"/>
          <w:rtl w:val="0"/>
          <w:lang w:val="en-US"/>
        </w:rPr>
        <w:t>primitive</w:t>
      </w:r>
      <w:r>
        <w:rPr>
          <w:rFonts w:cs="Arial Unicode MS" w:eastAsia="Arial Unicode MS" w:hint="default"/>
          <w:sz w:val="24"/>
          <w:szCs w:val="24"/>
          <w:rtl w:val="0"/>
          <w:lang w:val="en-US"/>
        </w:rPr>
        <w:t xml:space="preserve">’ </w:t>
      </w:r>
      <w:r>
        <w:rPr>
          <w:rFonts w:cs="Arial Unicode MS" w:eastAsia="Arial Unicode MS"/>
          <w:sz w:val="24"/>
          <w:szCs w:val="24"/>
          <w:rtl w:val="0"/>
          <w:lang w:val="en-US"/>
        </w:rPr>
        <w:t xml:space="preserve">societies as possible, because there are many different of them and very few had been studied intensively by anthropologists, because such studies take a long time and there are not so many of them. He also states, that it is important to study such small and </w:t>
      </w:r>
      <w:r>
        <w:rPr>
          <w:rFonts w:cs="Arial Unicode MS" w:eastAsia="Arial Unicode MS" w:hint="default"/>
          <w:sz w:val="24"/>
          <w:szCs w:val="24"/>
          <w:rtl w:val="0"/>
          <w:lang w:val="en-US"/>
        </w:rPr>
        <w:t>‘</w:t>
      </w:r>
      <w:r>
        <w:rPr>
          <w:rFonts w:cs="Arial Unicode MS" w:eastAsia="Arial Unicode MS"/>
          <w:sz w:val="24"/>
          <w:szCs w:val="24"/>
          <w:rtl w:val="0"/>
          <w:lang w:val="en-US"/>
        </w:rPr>
        <w:t>culturally homogenous</w:t>
      </w:r>
      <w:r>
        <w:rPr>
          <w:rFonts w:cs="Arial Unicode MS" w:eastAsia="Arial Unicode MS" w:hint="default"/>
          <w:sz w:val="24"/>
          <w:szCs w:val="24"/>
          <w:rtl w:val="0"/>
          <w:lang w:val="en-US"/>
        </w:rPr>
        <w:t xml:space="preserve">’ </w:t>
      </w:r>
      <w:r>
        <w:rPr>
          <w:rFonts w:cs="Arial Unicode MS" w:eastAsia="Arial Unicode MS"/>
          <w:sz w:val="24"/>
          <w:szCs w:val="24"/>
          <w:rtl w:val="0"/>
          <w:lang w:val="en-US"/>
        </w:rPr>
        <w:t>societies before attempting to embrace more complex and bigger societies</w:t>
      </w:r>
      <w:r>
        <w:rPr>
          <w:rFonts w:ascii="Helvetica Neue" w:cs="Helvetica Neue" w:hAnsi="Helvetica Neue" w:eastAsia="Helvetica Neue"/>
          <w:b w:val="0"/>
          <w:bCs w:val="0"/>
          <w:i w:val="0"/>
          <w:iCs w:val="0"/>
          <w:sz w:val="24"/>
          <w:szCs w:val="24"/>
          <w:vertAlign w:val="superscript"/>
        </w:rPr>
        <w:footnoteReference w:id="9"/>
      </w:r>
      <w:r>
        <w:rPr>
          <w:rFonts w:cs="Arial Unicode MS" w:eastAsia="Arial Unicode MS"/>
          <w:sz w:val="24"/>
          <w:szCs w:val="24"/>
          <w:rtl w:val="0"/>
          <w:lang w:val="en-US"/>
        </w:rPr>
        <w:t xml:space="preserve">. </w:t>
      </w:r>
    </w:p>
    <w:p>
      <w:pPr>
        <w:pStyle w:val="Body A"/>
        <w:rPr>
          <w:sz w:val="24"/>
          <w:szCs w:val="24"/>
        </w:rPr>
      </w:pPr>
    </w:p>
    <w:p>
      <w:pPr>
        <w:pStyle w:val="Body A"/>
        <w:rPr>
          <w:sz w:val="24"/>
          <w:szCs w:val="24"/>
        </w:rPr>
      </w:pPr>
      <w:r>
        <w:rPr>
          <w:rFonts w:cs="Arial Unicode MS" w:eastAsia="Arial Unicode MS"/>
          <w:sz w:val="24"/>
          <w:szCs w:val="24"/>
          <w:rtl w:val="0"/>
          <w:lang w:val="en-US"/>
        </w:rPr>
        <w:t>Both papers are products of qualitative research, even though the first one arouse from quantitative survey data, but we could clearly see the difference between if we look at the level of detachment of researchers. Second paper is more personal, more reflexive, more open to interpretation while the first paper is more structured and rational.</w:t>
      </w:r>
    </w:p>
    <w:p>
      <w:pPr>
        <w:pStyle w:val="Body A"/>
        <w:rPr>
          <w:sz w:val="24"/>
          <w:szCs w:val="24"/>
        </w:rPr>
      </w:pPr>
    </w:p>
    <w:p>
      <w:pPr>
        <w:pStyle w:val="Body A"/>
        <w:rPr>
          <w:sz w:val="24"/>
          <w:szCs w:val="24"/>
        </w:rPr>
      </w:pPr>
      <w:r>
        <w:rPr>
          <w:rFonts w:cs="Arial Unicode MS" w:eastAsia="Arial Unicode MS"/>
          <w:sz w:val="24"/>
          <w:szCs w:val="24"/>
          <w:rtl w:val="0"/>
          <w:lang w:val="en-US"/>
        </w:rPr>
        <w:t>CONCLUSION</w:t>
      </w:r>
    </w:p>
    <w:p>
      <w:pPr>
        <w:pStyle w:val="Body A"/>
        <w:rPr>
          <w:sz w:val="24"/>
          <w:szCs w:val="24"/>
        </w:rPr>
      </w:pPr>
    </w:p>
    <w:p>
      <w:pPr>
        <w:pStyle w:val="Body A"/>
        <w:rPr>
          <w:sz w:val="24"/>
          <w:szCs w:val="24"/>
        </w:rPr>
      </w:pPr>
      <w:r>
        <w:rPr>
          <w:rFonts w:cs="Arial Unicode MS" w:eastAsia="Arial Unicode MS"/>
          <w:sz w:val="24"/>
          <w:szCs w:val="24"/>
          <w:rtl w:val="0"/>
          <w:lang w:val="en-US"/>
        </w:rPr>
        <w:t xml:space="preserve">Starting with the intention to compare two academic papers studying private beliefs by qualitative methods we came out with understanding that different methods give different results. First paper, </w:t>
      </w:r>
      <w:r>
        <w:rPr>
          <w:rFonts w:ascii="Arial Unicode MS" w:hAnsi="Arial Unicode MS" w:hint="default"/>
          <w:sz w:val="24"/>
          <w:szCs w:val="24"/>
          <w:rtl w:val="0"/>
          <w:lang w:val="en-US"/>
        </w:rPr>
        <w:t>‘</w:t>
      </w:r>
      <w:r>
        <w:rPr>
          <w:rFonts w:cs="Arial Unicode MS" w:eastAsia="Arial Unicode MS"/>
          <w:sz w:val="24"/>
          <w:szCs w:val="24"/>
          <w:rtl w:val="0"/>
          <w:lang w:val="en-US"/>
        </w:rPr>
        <w:t>A Very Private Belief: Reincarnation in Contemporary England</w:t>
      </w:r>
      <w:r>
        <w:rPr>
          <w:rFonts w:ascii="Arial Unicode MS" w:hAnsi="Arial Unicode MS" w:hint="default"/>
          <w:sz w:val="24"/>
          <w:szCs w:val="24"/>
          <w:rtl w:val="0"/>
          <w:lang w:val="en-US"/>
        </w:rPr>
        <w:t>’</w:t>
      </w:r>
      <w:r>
        <w:rPr>
          <w:rFonts w:cs="Arial Unicode MS" w:eastAsia="Arial Unicode MS"/>
          <w:sz w:val="24"/>
          <w:szCs w:val="24"/>
          <w:rtl w:val="0"/>
          <w:lang w:val="en-US"/>
        </w:rPr>
        <w:t xml:space="preserve"> is an example of qualitative research from outsider perspective that rouse from qualitative data and surveys conducted over few decades. Second paper, </w:t>
      </w:r>
      <w:r>
        <w:rPr>
          <w:rFonts w:ascii="Arial Unicode MS" w:hAnsi="Arial Unicode MS" w:hint="default"/>
          <w:sz w:val="24"/>
          <w:szCs w:val="24"/>
          <w:rtl w:val="0"/>
          <w:lang w:val="en-US"/>
        </w:rPr>
        <w:t>‘</w:t>
      </w:r>
      <w:r>
        <w:rPr>
          <w:rFonts w:cs="Arial Unicode MS" w:eastAsia="Arial Unicode MS"/>
          <w:sz w:val="24"/>
          <w:szCs w:val="24"/>
          <w:rtl w:val="0"/>
          <w:lang w:val="en-US"/>
        </w:rPr>
        <w:t>Speaking Shamanistically: Seidr, Academia and Rationality</w:t>
      </w:r>
      <w:r>
        <w:rPr>
          <w:rFonts w:ascii="Arial Unicode MS" w:hAnsi="Arial Unicode MS" w:hint="default"/>
          <w:sz w:val="24"/>
          <w:szCs w:val="24"/>
          <w:rtl w:val="0"/>
          <w:lang w:val="en-US"/>
        </w:rPr>
        <w:t>’</w:t>
      </w:r>
      <w:r>
        <w:rPr>
          <w:rFonts w:cs="Arial Unicode MS" w:eastAsia="Arial Unicode MS"/>
          <w:sz w:val="24"/>
          <w:szCs w:val="24"/>
          <w:rtl w:val="0"/>
          <w:lang w:val="en-US"/>
        </w:rPr>
        <w:t xml:space="preserve"> is an example of qualitative research from insider perspective, experiential and reflexive. From this comparison we clearly see the differences between insider and outsider perspective, anthropological </w:t>
      </w:r>
      <w:r>
        <w:rPr>
          <w:rFonts w:cs="Arial Unicode MS" w:eastAsia="Arial Unicode MS" w:hint="default"/>
          <w:sz w:val="24"/>
          <w:szCs w:val="24"/>
          <w:rtl w:val="0"/>
          <w:lang w:val="en-US"/>
        </w:rPr>
        <w:t>‘</w:t>
      </w:r>
      <w:r>
        <w:rPr>
          <w:rFonts w:cs="Arial Unicode MS" w:eastAsia="Arial Unicode MS"/>
          <w:sz w:val="24"/>
          <w:szCs w:val="24"/>
          <w:rtl w:val="0"/>
          <w:lang w:val="en-US"/>
        </w:rPr>
        <w:t>go native</w:t>
      </w:r>
      <w:r>
        <w:rPr>
          <w:rFonts w:cs="Arial Unicode MS" w:eastAsia="Arial Unicode MS" w:hint="default"/>
          <w:sz w:val="24"/>
          <w:szCs w:val="24"/>
          <w:rtl w:val="0"/>
          <w:lang w:val="en-US"/>
        </w:rPr>
        <w:t xml:space="preserve">’ </w:t>
      </w:r>
      <w:r>
        <w:rPr>
          <w:rFonts w:cs="Arial Unicode MS" w:eastAsia="Arial Unicode MS"/>
          <w:sz w:val="24"/>
          <w:szCs w:val="24"/>
          <w:rtl w:val="0"/>
          <w:lang w:val="en-US"/>
        </w:rPr>
        <w:t>approach and sociological structural approach.</w:t>
      </w:r>
    </w:p>
    <w:p>
      <w:pPr>
        <w:pStyle w:val="Body A"/>
        <w:rPr>
          <w:sz w:val="24"/>
          <w:szCs w:val="24"/>
        </w:rPr>
      </w:pPr>
    </w:p>
    <w:p>
      <w:pPr>
        <w:pStyle w:val="Body A"/>
        <w:rPr>
          <w:sz w:val="24"/>
          <w:szCs w:val="24"/>
        </w:rPr>
      </w:pPr>
      <w:r>
        <w:rPr>
          <w:rFonts w:cs="Arial Unicode MS" w:eastAsia="Arial Unicode MS"/>
          <w:sz w:val="24"/>
          <w:szCs w:val="24"/>
          <w:rtl w:val="0"/>
          <w:lang w:val="en-US"/>
        </w:rPr>
        <w:t>First papers</w:t>
      </w:r>
      <w:r>
        <w:rPr>
          <w:rFonts w:cs="Arial Unicode MS" w:eastAsia="Arial Unicode MS" w:hint="default"/>
          <w:sz w:val="24"/>
          <w:szCs w:val="24"/>
          <w:rtl w:val="0"/>
          <w:lang w:val="en-US"/>
        </w:rPr>
        <w:t>’</w:t>
      </w:r>
      <w:r>
        <w:rPr>
          <w:rFonts w:cs="Arial Unicode MS" w:eastAsia="Arial Unicode MS"/>
          <w:sz w:val="24"/>
          <w:szCs w:val="24"/>
          <w:rtl w:val="0"/>
          <w:lang w:val="en-US"/>
        </w:rPr>
        <w:t>s greatest strengths are clear structure, wide range of respondents, their age and socio-professional backgrounds, many bibliography references and rich findings that came out of this research. One of the main fundings showed that it is possible both to believe in reincarnation and go to church, and be away from mainstream of New Age culture. Second paper</w:t>
      </w:r>
      <w:r>
        <w:rPr>
          <w:rFonts w:cs="Arial Unicode MS" w:eastAsia="Arial Unicode MS" w:hint="default"/>
          <w:sz w:val="24"/>
          <w:szCs w:val="24"/>
          <w:rtl w:val="0"/>
          <w:lang w:val="en-US"/>
        </w:rPr>
        <w:t>’</w:t>
      </w:r>
      <w:r>
        <w:rPr>
          <w:rFonts w:cs="Arial Unicode MS" w:eastAsia="Arial Unicode MS"/>
          <w:sz w:val="24"/>
          <w:szCs w:val="24"/>
          <w:rtl w:val="0"/>
          <w:lang w:val="en-US"/>
        </w:rPr>
        <w:t>s advantage is a very close look at shamanistic practices from different points of view. Also it raises difficult questions of studies on spirituality within academia and rationalisation of such studies.</w:t>
      </w:r>
    </w:p>
    <w:p>
      <w:pPr>
        <w:pStyle w:val="Body A"/>
        <w:rPr>
          <w:sz w:val="24"/>
          <w:szCs w:val="24"/>
        </w:rPr>
      </w:pPr>
    </w:p>
    <w:p>
      <w:pPr>
        <w:pStyle w:val="Body A"/>
        <w:rPr>
          <w:sz w:val="24"/>
          <w:szCs w:val="24"/>
        </w:rPr>
      </w:pPr>
      <w:r>
        <w:rPr>
          <w:rFonts w:cs="Arial Unicode MS" w:eastAsia="Arial Unicode MS"/>
          <w:sz w:val="24"/>
          <w:szCs w:val="24"/>
          <w:rtl w:val="0"/>
          <w:lang w:val="en-US"/>
        </w:rPr>
        <w:t>Both papers study private beliefs with different approaches and methods. But both papers show us that different beliefs are real even in modern rational world.</w:t>
      </w:r>
    </w:p>
    <w:p>
      <w:pPr>
        <w:pStyle w:val="Body A"/>
        <w:rPr>
          <w:sz w:val="24"/>
          <w:szCs w:val="24"/>
        </w:rPr>
      </w:pPr>
    </w:p>
    <w:p>
      <w:pPr>
        <w:pStyle w:val="Body A"/>
        <w:rPr>
          <w:sz w:val="24"/>
          <w:szCs w:val="24"/>
        </w:rPr>
      </w:pPr>
    </w:p>
    <w:p>
      <w:pPr>
        <w:pStyle w:val="Body A"/>
        <w:rPr>
          <w:sz w:val="24"/>
          <w:szCs w:val="24"/>
        </w:rPr>
      </w:pPr>
      <w:r>
        <w:rPr>
          <w:rFonts w:cs="Arial Unicode MS" w:eastAsia="Arial Unicode MS"/>
          <w:sz w:val="24"/>
          <w:szCs w:val="24"/>
          <w:rtl w:val="0"/>
          <w:lang w:val="en-US"/>
        </w:rPr>
        <w:t>BIBLIOGRAPHY</w:t>
      </w:r>
    </w:p>
    <w:p>
      <w:pPr>
        <w:pStyle w:val="Body A"/>
        <w:rPr>
          <w:sz w:val="24"/>
          <w:szCs w:val="24"/>
        </w:rPr>
      </w:pPr>
    </w:p>
    <w:p>
      <w:pPr>
        <w:pStyle w:val="Footnote"/>
      </w:pPr>
      <w:r>
        <w:rPr>
          <w:rFonts w:cs="Arial Unicode MS" w:eastAsia="Arial Unicode MS"/>
          <w:rtl w:val="0"/>
          <w:lang w:val="en-US"/>
        </w:rPr>
        <w:t xml:space="preserve">Bell, J. &amp; Waters, S. </w:t>
      </w:r>
      <w:r>
        <w:rPr>
          <w:rFonts w:cs="Arial Unicode MS" w:eastAsia="Arial Unicode MS"/>
          <w:i w:val="1"/>
          <w:iCs w:val="1"/>
          <w:rtl w:val="0"/>
          <w:lang w:val="en-US"/>
        </w:rPr>
        <w:t>Doing your research project: a guide for first-time researchers 7th ed.</w:t>
      </w:r>
      <w:r>
        <w:rPr>
          <w:rFonts w:cs="Arial Unicode MS" w:eastAsia="Arial Unicode MS"/>
          <w:rtl w:val="0"/>
        </w:rPr>
        <w:t>,</w:t>
      </w:r>
      <w:r>
        <w:rPr>
          <w:rFonts w:cs="Arial Unicode MS" w:eastAsia="Arial Unicode MS"/>
          <w:rtl w:val="0"/>
          <w:lang w:val="en-US"/>
        </w:rPr>
        <w:t xml:space="preserve"> (London : Open University Press, McGraw-Hill Education, 2018).</w:t>
      </w:r>
    </w:p>
    <w:p>
      <w:pPr>
        <w:pStyle w:val="Footnote"/>
      </w:pPr>
    </w:p>
    <w:p>
      <w:pPr>
        <w:pStyle w:val="Body A"/>
        <w:rPr>
          <w:sz w:val="24"/>
          <w:szCs w:val="24"/>
        </w:rPr>
      </w:pPr>
      <w:r>
        <w:rPr>
          <w:sz w:val="24"/>
          <w:szCs w:val="24"/>
          <w:rtl w:val="0"/>
          <w:lang w:val="fr-FR"/>
        </w:rPr>
        <w:t xml:space="preserve">Blain, J. 2000. </w:t>
      </w:r>
      <w:r>
        <w:rPr>
          <w:rFonts w:ascii="Arial Unicode MS" w:hAnsi="Arial Unicode MS" w:hint="default"/>
          <w:sz w:val="24"/>
          <w:szCs w:val="24"/>
          <w:rtl w:val="0"/>
          <w:lang w:val="en-US"/>
        </w:rPr>
        <w:t>‘</w:t>
      </w:r>
      <w:r>
        <w:rPr>
          <w:sz w:val="24"/>
          <w:szCs w:val="24"/>
          <w:rtl w:val="0"/>
          <w:lang w:val="en-US"/>
        </w:rPr>
        <w:t>Speaking Shamanistically: Seidr, Academia and Rationality</w:t>
      </w:r>
      <w:r>
        <w:rPr>
          <w:rFonts w:ascii="Arial Unicode MS" w:hAnsi="Arial Unicode MS" w:hint="default"/>
          <w:sz w:val="24"/>
          <w:szCs w:val="24"/>
          <w:rtl w:val="0"/>
          <w:lang w:val="en-US"/>
        </w:rPr>
        <w:t>’</w:t>
      </w:r>
      <w:r>
        <w:rPr>
          <w:sz w:val="24"/>
          <w:szCs w:val="24"/>
          <w:rtl w:val="0"/>
          <w:lang w:val="de-DE"/>
        </w:rPr>
        <w:t>. In DISKUS Volume 6 (2000)</w:t>
      </w:r>
      <w:r>
        <w:rPr>
          <w:sz w:val="24"/>
          <w:szCs w:val="24"/>
          <w:rtl w:val="0"/>
          <w:lang w:val="en-US"/>
        </w:rPr>
        <w:t>.</w:t>
      </w:r>
    </w:p>
    <w:p>
      <w:pPr>
        <w:pStyle w:val="Body A"/>
        <w:rPr>
          <w:sz w:val="24"/>
          <w:szCs w:val="24"/>
        </w:rPr>
      </w:pPr>
    </w:p>
    <w:p>
      <w:pPr>
        <w:pStyle w:val="Footnote"/>
      </w:pPr>
      <w:r>
        <w:rPr>
          <w:rFonts w:cs="Arial Unicode MS" w:eastAsia="Arial Unicode MS"/>
          <w:rtl w:val="0"/>
        </w:rPr>
        <w:t>Bryman,</w:t>
      </w:r>
      <w:r>
        <w:rPr>
          <w:rFonts w:cs="Arial Unicode MS" w:eastAsia="Arial Unicode MS"/>
          <w:rtl w:val="0"/>
          <w:lang w:val="en-US"/>
        </w:rPr>
        <w:t xml:space="preserve"> Alan,</w:t>
      </w:r>
      <w:r>
        <w:rPr>
          <w:rFonts w:cs="Arial Unicode MS" w:eastAsia="Arial Unicode MS"/>
          <w:rtl w:val="0"/>
        </w:rPr>
        <w:t xml:space="preserve"> </w:t>
      </w:r>
      <w:r>
        <w:rPr>
          <w:rFonts w:cs="Arial Unicode MS" w:eastAsia="Arial Unicode MS"/>
          <w:i w:val="1"/>
          <w:iCs w:val="1"/>
          <w:rtl w:val="0"/>
          <w:lang w:val="en-US"/>
        </w:rPr>
        <w:t>Quantity and Quality in Social Research</w:t>
      </w:r>
      <w:r>
        <w:rPr>
          <w:rFonts w:cs="Arial Unicode MS" w:eastAsia="Arial Unicode MS"/>
          <w:rtl w:val="0"/>
          <w:lang w:val="en-US"/>
        </w:rPr>
        <w:t xml:space="preserve"> (London: Routledge, 2001).</w:t>
      </w:r>
    </w:p>
    <w:p>
      <w:pPr>
        <w:pStyle w:val="Footnote"/>
      </w:pPr>
    </w:p>
    <w:p>
      <w:pPr>
        <w:pStyle w:val="Footnote"/>
      </w:pPr>
      <w:r>
        <w:rPr>
          <w:rFonts w:cs="Arial Unicode MS" w:eastAsia="Arial Unicode MS"/>
          <w:rtl w:val="0"/>
          <w:lang w:val="en-US"/>
        </w:rPr>
        <w:t xml:space="preserve">Evans-Pritchard, E.E., </w:t>
      </w:r>
      <w:r>
        <w:rPr>
          <w:rFonts w:ascii="Times Roman" w:hAnsi="Times Roman"/>
          <w:i w:val="1"/>
          <w:iCs w:val="1"/>
          <w:rtl w:val="0"/>
          <w:lang w:val="en-US"/>
        </w:rPr>
        <w:t>Social Anthropology</w:t>
      </w:r>
      <w:r>
        <w:rPr>
          <w:rFonts w:cs="Arial Unicode MS" w:eastAsia="Arial Unicode MS"/>
          <w:rtl w:val="0"/>
        </w:rPr>
        <w:t xml:space="preserve">, </w:t>
      </w:r>
      <w:r>
        <w:rPr>
          <w:rFonts w:cs="Arial Unicode MS" w:eastAsia="Arial Unicode MS"/>
          <w:rtl w:val="0"/>
          <w:lang w:val="en-US"/>
        </w:rPr>
        <w:t>(London: Cohen and West Ltd., 1967 [1951]).</w:t>
      </w:r>
      <w:r>
        <w:rPr>
          <w:rFonts w:cs="Arial Unicode MS" w:eastAsia="Arial Unicode MS"/>
          <w:rtl w:val="0"/>
        </w:rPr>
        <w:t xml:space="preserve"> </w:t>
      </w:r>
    </w:p>
    <w:p>
      <w:pPr>
        <w:pStyle w:val="Footnote"/>
      </w:pPr>
    </w:p>
    <w:p>
      <w:pPr>
        <w:pStyle w:val="Footnote"/>
      </w:pPr>
      <w:r>
        <w:rPr>
          <w:rFonts w:cs="Arial Unicode MS" w:eastAsia="Arial Unicode MS"/>
          <w:rtl w:val="0"/>
          <w:lang w:val="en-US"/>
        </w:rPr>
        <w:t xml:space="preserve">Evans-Pritchard, E.E., The Scope of the Subject in </w:t>
      </w:r>
      <w:r>
        <w:rPr>
          <w:rFonts w:ascii="Times Roman" w:hAnsi="Times Roman"/>
          <w:i w:val="1"/>
          <w:iCs w:val="1"/>
          <w:rtl w:val="0"/>
          <w:lang w:val="en-US"/>
        </w:rPr>
        <w:t>Social Anthropology</w:t>
      </w:r>
      <w:r>
        <w:rPr>
          <w:rFonts w:cs="Arial Unicode MS" w:eastAsia="Arial Unicode MS"/>
          <w:rtl w:val="0"/>
        </w:rPr>
        <w:t xml:space="preserve">, </w:t>
      </w:r>
      <w:r>
        <w:rPr>
          <w:rFonts w:cs="Arial Unicode MS" w:eastAsia="Arial Unicode MS"/>
          <w:rtl w:val="0"/>
          <w:lang w:val="en-US"/>
        </w:rPr>
        <w:t>(London: Cohen and West Ltd.).</w:t>
      </w:r>
    </w:p>
    <w:p>
      <w:pPr>
        <w:pStyle w:val="Footnote"/>
      </w:pPr>
    </w:p>
    <w:p>
      <w:pPr>
        <w:pStyle w:val="Footnote"/>
      </w:pPr>
      <w:r>
        <w:rPr>
          <w:rFonts w:cs="Arial Unicode MS" w:eastAsia="Arial Unicode MS"/>
          <w:rtl w:val="0"/>
          <w:lang w:val="en-US"/>
        </w:rPr>
        <w:t xml:space="preserve">Haynes, Kathryn, </w:t>
      </w:r>
      <w:r>
        <w:rPr>
          <w:rFonts w:cs="Arial Unicode MS" w:eastAsia="Arial Unicode MS"/>
          <w:i w:val="1"/>
          <w:iCs w:val="1"/>
          <w:rtl w:val="0"/>
          <w:lang w:val="en-US"/>
        </w:rPr>
        <w:t>Reflexivity in Qualitative Research</w:t>
      </w:r>
      <w:r>
        <w:rPr>
          <w:rFonts w:cs="Arial Unicode MS" w:eastAsia="Arial Unicode MS"/>
          <w:rtl w:val="0"/>
          <w:lang w:val="de-DE"/>
        </w:rPr>
        <w:t>, in Qualitative Organisational Research</w:t>
      </w:r>
      <w:r>
        <w:rPr>
          <w:rFonts w:cs="Arial Unicode MS" w:eastAsia="Arial Unicode MS"/>
          <w:rtl w:val="0"/>
          <w:lang w:val="en-US"/>
        </w:rPr>
        <w:t>.</w:t>
      </w:r>
    </w:p>
    <w:p>
      <w:pPr>
        <w:pStyle w:val="Footnote"/>
      </w:pPr>
    </w:p>
    <w:p>
      <w:pPr>
        <w:pStyle w:val="Footnote"/>
      </w:pPr>
      <w:r>
        <w:rPr>
          <w:rFonts w:cs="Arial Unicode MS" w:eastAsia="Arial Unicode MS"/>
          <w:rtl w:val="0"/>
          <w:lang w:val="en-US"/>
        </w:rPr>
        <w:t xml:space="preserve">Hennink, M., Hutter, I. &amp; Bailey, A. </w:t>
      </w:r>
      <w:r>
        <w:rPr>
          <w:rFonts w:cs="Arial Unicode MS" w:eastAsia="Arial Unicode MS"/>
          <w:i w:val="1"/>
          <w:iCs w:val="1"/>
          <w:rtl w:val="0"/>
          <w:lang w:val="en-US"/>
        </w:rPr>
        <w:t>Qualitative Research Methods</w:t>
      </w:r>
      <w:r>
        <w:rPr>
          <w:rFonts w:cs="Arial Unicode MS" w:eastAsia="Arial Unicode MS"/>
          <w:rtl w:val="0"/>
        </w:rPr>
        <w:t xml:space="preserve">. </w:t>
      </w:r>
      <w:r>
        <w:rPr>
          <w:rFonts w:cs="Arial Unicode MS" w:eastAsia="Arial Unicode MS"/>
          <w:rtl w:val="0"/>
          <w:lang w:val="en-US"/>
        </w:rPr>
        <w:t>(</w:t>
      </w:r>
      <w:r>
        <w:rPr>
          <w:rFonts w:cs="Arial Unicode MS" w:eastAsia="Arial Unicode MS"/>
          <w:rtl w:val="0"/>
          <w:lang w:val="de-DE"/>
        </w:rPr>
        <w:t>London: Sage</w:t>
      </w:r>
      <w:r>
        <w:rPr>
          <w:rFonts w:cs="Arial Unicode MS" w:eastAsia="Arial Unicode MS"/>
          <w:rtl w:val="0"/>
          <w:lang w:val="en-US"/>
        </w:rPr>
        <w:t>, 2020).</w:t>
      </w:r>
    </w:p>
    <w:p>
      <w:pPr>
        <w:pStyle w:val="Footnote"/>
      </w:pPr>
    </w:p>
    <w:p>
      <w:pPr>
        <w:pStyle w:val="Footnote"/>
      </w:pPr>
      <w:r>
        <w:rPr>
          <w:rFonts w:cs="Arial Unicode MS" w:eastAsia="Arial Unicode MS"/>
          <w:rtl w:val="0"/>
          <w:lang w:val="en-US"/>
        </w:rPr>
        <w:t xml:space="preserve">Walter, T. &amp; Waterhouse, H. </w:t>
      </w:r>
      <w:r>
        <w:rPr>
          <w:rFonts w:ascii="Arial Unicode MS" w:hAnsi="Arial Unicode MS" w:hint="default"/>
          <w:rtl w:val="1"/>
        </w:rPr>
        <w:t>‘</w:t>
      </w:r>
      <w:r>
        <w:rPr>
          <w:rFonts w:cs="Arial Unicode MS" w:eastAsia="Arial Unicode MS"/>
          <w:i w:val="1"/>
          <w:iCs w:val="1"/>
          <w:rtl w:val="0"/>
          <w:lang w:val="en-US"/>
        </w:rPr>
        <w:t>A Very Private Belief: Reincarnation in Contemporary England</w:t>
      </w:r>
      <w:r>
        <w:rPr>
          <w:rFonts w:ascii="Arial Unicode MS" w:hAnsi="Arial Unicode MS" w:hint="default"/>
          <w:rtl w:val="1"/>
        </w:rPr>
        <w:t>’</w:t>
      </w:r>
      <w:r>
        <w:rPr>
          <w:rFonts w:cs="Arial Unicode MS" w:eastAsia="Arial Unicode MS"/>
          <w:rtl w:val="0"/>
        </w:rPr>
        <w:t xml:space="preserve">. </w:t>
      </w:r>
      <w:r>
        <w:rPr>
          <w:rFonts w:cs="Arial Unicode MS" w:eastAsia="Arial Unicode MS"/>
          <w:rtl w:val="0"/>
          <w:lang w:val="en-US"/>
        </w:rPr>
        <w:t>(Sociology of Religion, 60, 1999)</w:t>
      </w:r>
      <w:r>
        <w:rPr>
          <w:rFonts w:cs="Arial Unicode MS" w:eastAsia="Arial Unicode MS"/>
          <w:rtl w:val="0"/>
        </w:rPr>
        <w:t>, 187-197</w:t>
      </w:r>
      <w:r>
        <w:rPr>
          <w:rFonts w:cs="Arial Unicode MS" w:eastAsia="Arial Unicode MS"/>
          <w:rtl w:val="0"/>
          <w:lang w:val="en-US"/>
        </w:rPr>
        <w:t>.</w:t>
      </w:r>
    </w:p>
    <w:p>
      <w:pPr>
        <w:pStyle w:val="Footnote"/>
      </w:pPr>
    </w:p>
    <w:p>
      <w:pPr>
        <w:pStyle w:val="Footnote"/>
      </w:pPr>
    </w:p>
    <w:p>
      <w:pPr>
        <w:pStyle w:val="Footnote"/>
      </w:pPr>
    </w:p>
    <w:p>
      <w:pPr>
        <w:pStyle w:val="Footnote"/>
      </w:pPr>
      <w:r/>
    </w:p>
    <w:sectPr>
      <w:headerReference w:type="default" r:id="rId5"/>
      <w:footerReference w:type="default" r:id="rId6"/>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ahoma Bold">
    <w:charset w:val="00"/>
    <w:family w:val="roman"/>
    <w:pitch w:val="default"/>
  </w:font>
  <w:font w:name="Trebuchet MS">
    <w:charset w:val="00"/>
    <w:family w:val="roman"/>
    <w:pitch w:val="default"/>
  </w:font>
  <w:font w:name="Cambria">
    <w:charset w:val="00"/>
    <w:family w:val="roman"/>
    <w:pitch w:val="default"/>
  </w:font>
  <w:font w:name="Calibri">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pPr>
      <w:r>
        <w:rPr>
          <w:sz w:val="24"/>
          <w:szCs w:val="24"/>
          <w:vertAlign w:val="superscript"/>
        </w:rPr>
        <w:footnoteRef/>
      </w:r>
      <w:r>
        <w:rPr>
          <w:rFonts w:cs="Arial Unicode MS" w:eastAsia="Arial Unicode MS"/>
          <w:rtl w:val="0"/>
        </w:rPr>
        <w:t xml:space="preserve"> </w:t>
      </w:r>
      <w:r>
        <w:rPr>
          <w:rFonts w:cs="Arial Unicode MS" w:eastAsia="Arial Unicode MS"/>
          <w:rtl w:val="0"/>
          <w:lang w:val="en-US"/>
        </w:rPr>
        <w:t xml:space="preserve">Monique </w:t>
      </w:r>
      <w:r>
        <w:rPr>
          <w:rFonts w:cs="Arial Unicode MS" w:eastAsia="Arial Unicode MS"/>
          <w:rtl w:val="0"/>
          <w:lang w:val="nl-NL"/>
        </w:rPr>
        <w:t xml:space="preserve">Hennink, </w:t>
      </w:r>
      <w:r>
        <w:rPr>
          <w:rFonts w:cs="Arial Unicode MS" w:eastAsia="Arial Unicode MS"/>
          <w:rtl w:val="0"/>
          <w:lang w:val="en-US"/>
        </w:rPr>
        <w:t xml:space="preserve">Inge </w:t>
      </w:r>
      <w:r>
        <w:rPr>
          <w:rFonts w:cs="Arial Unicode MS" w:eastAsia="Arial Unicode MS"/>
          <w:rtl w:val="0"/>
          <w:lang w:val="da-DK"/>
        </w:rPr>
        <w:t xml:space="preserve">Hutter, &amp; </w:t>
      </w:r>
      <w:r>
        <w:rPr>
          <w:rFonts w:cs="Arial Unicode MS" w:eastAsia="Arial Unicode MS"/>
          <w:rtl w:val="0"/>
          <w:lang w:val="en-US"/>
        </w:rPr>
        <w:t xml:space="preserve">Ajay Bailey, </w:t>
      </w:r>
      <w:r>
        <w:rPr>
          <w:rFonts w:cs="Arial Unicode MS" w:eastAsia="Arial Unicode MS"/>
          <w:i w:val="1"/>
          <w:iCs w:val="1"/>
          <w:rtl w:val="0"/>
          <w:lang w:val="en-US"/>
        </w:rPr>
        <w:t>Qualitative Research Methods</w:t>
      </w:r>
      <w:r>
        <w:rPr>
          <w:rFonts w:cs="Arial Unicode MS" w:eastAsia="Arial Unicode MS"/>
          <w:rtl w:val="0"/>
        </w:rPr>
        <w:t xml:space="preserve">. </w:t>
      </w:r>
      <w:r>
        <w:rPr>
          <w:rFonts w:cs="Arial Unicode MS" w:eastAsia="Arial Unicode MS"/>
          <w:rtl w:val="0"/>
          <w:lang w:val="en-US"/>
        </w:rPr>
        <w:t>(</w:t>
      </w:r>
      <w:r>
        <w:rPr>
          <w:rFonts w:cs="Arial Unicode MS" w:eastAsia="Arial Unicode MS"/>
          <w:rtl w:val="0"/>
          <w:lang w:val="de-DE"/>
        </w:rPr>
        <w:t>London: Sage</w:t>
      </w:r>
      <w:r>
        <w:rPr>
          <w:rFonts w:cs="Arial Unicode MS" w:eastAsia="Arial Unicode MS"/>
          <w:rtl w:val="0"/>
          <w:lang w:val="en-US"/>
        </w:rPr>
        <w:t>, 2020), p10</w:t>
      </w:r>
    </w:p>
  </w:footnote>
  <w:footnote w:id="2">
    <w:p>
      <w:pPr>
        <w:pStyle w:val="Footnote"/>
      </w:pPr>
      <w:r>
        <w:rPr>
          <w:sz w:val="24"/>
          <w:szCs w:val="24"/>
          <w:vertAlign w:val="superscript"/>
        </w:rPr>
        <w:footnoteRef/>
      </w:r>
      <w:r>
        <w:rPr>
          <w:rFonts w:cs="Arial Unicode MS" w:eastAsia="Arial Unicode MS"/>
          <w:rtl w:val="0"/>
        </w:rPr>
        <w:t xml:space="preserve"> </w:t>
      </w:r>
      <w:r>
        <w:rPr>
          <w:rFonts w:cs="Arial Unicode MS" w:eastAsia="Arial Unicode MS"/>
          <w:rtl w:val="0"/>
          <w:lang w:val="en-US"/>
        </w:rPr>
        <w:t xml:space="preserve">Monique </w:t>
      </w:r>
      <w:r>
        <w:rPr>
          <w:rFonts w:cs="Arial Unicode MS" w:eastAsia="Arial Unicode MS"/>
          <w:rtl w:val="0"/>
        </w:rPr>
        <w:t>Hennin</w:t>
      </w:r>
      <w:r>
        <w:rPr>
          <w:rFonts w:cs="Arial Unicode MS" w:eastAsia="Arial Unicode MS"/>
          <w:rtl w:val="0"/>
          <w:lang w:val="en-US"/>
        </w:rPr>
        <w:t>k</w:t>
      </w:r>
      <w:r>
        <w:rPr>
          <w:rFonts w:cs="Arial Unicode MS" w:eastAsia="Arial Unicode MS"/>
          <w:rtl w:val="0"/>
        </w:rPr>
        <w:t xml:space="preserve">, </w:t>
      </w:r>
      <w:r>
        <w:rPr>
          <w:rFonts w:cs="Arial Unicode MS" w:eastAsia="Arial Unicode MS"/>
          <w:rtl w:val="0"/>
          <w:lang w:val="en-US"/>
        </w:rPr>
        <w:t xml:space="preserve">Inge </w:t>
      </w:r>
      <w:r>
        <w:rPr>
          <w:rFonts w:cs="Arial Unicode MS" w:eastAsia="Arial Unicode MS"/>
          <w:rtl w:val="0"/>
          <w:lang w:val="da-DK"/>
        </w:rPr>
        <w:t xml:space="preserve">Hutter, &amp; </w:t>
      </w:r>
      <w:r>
        <w:rPr>
          <w:rFonts w:cs="Arial Unicode MS" w:eastAsia="Arial Unicode MS"/>
          <w:rtl w:val="0"/>
          <w:lang w:val="en-US"/>
        </w:rPr>
        <w:t xml:space="preserve">Ajay Bailey, </w:t>
      </w:r>
      <w:r>
        <w:rPr>
          <w:rFonts w:cs="Arial Unicode MS" w:eastAsia="Arial Unicode MS"/>
          <w:i w:val="1"/>
          <w:iCs w:val="1"/>
          <w:rtl w:val="0"/>
          <w:lang w:val="en-US"/>
        </w:rPr>
        <w:t>Qualitative Research Methods</w:t>
      </w:r>
      <w:r>
        <w:rPr>
          <w:rFonts w:cs="Arial Unicode MS" w:eastAsia="Arial Unicode MS"/>
          <w:rtl w:val="0"/>
        </w:rPr>
        <w:t xml:space="preserve">. </w:t>
      </w:r>
      <w:r>
        <w:rPr>
          <w:rFonts w:cs="Arial Unicode MS" w:eastAsia="Arial Unicode MS"/>
          <w:rtl w:val="0"/>
          <w:lang w:val="en-US"/>
        </w:rPr>
        <w:t>(</w:t>
      </w:r>
      <w:r>
        <w:rPr>
          <w:rFonts w:cs="Arial Unicode MS" w:eastAsia="Arial Unicode MS"/>
          <w:rtl w:val="0"/>
          <w:lang w:val="de-DE"/>
        </w:rPr>
        <w:t>London: Sage</w:t>
      </w:r>
      <w:r>
        <w:rPr>
          <w:rFonts w:cs="Arial Unicode MS" w:eastAsia="Arial Unicode MS"/>
          <w:rtl w:val="0"/>
          <w:lang w:val="en-US"/>
        </w:rPr>
        <w:t>, 2020), pp 116-117</w:t>
      </w:r>
    </w:p>
  </w:footnote>
  <w:footnote w:id="3">
    <w:p>
      <w:pPr>
        <w:pStyle w:val="Footnote"/>
      </w:pPr>
      <w:r>
        <w:rPr>
          <w:sz w:val="24"/>
          <w:szCs w:val="24"/>
          <w:vertAlign w:val="superscript"/>
        </w:rPr>
        <w:footnoteRef/>
      </w:r>
      <w:r>
        <w:rPr>
          <w:rFonts w:cs="Arial Unicode MS" w:eastAsia="Arial Unicode MS"/>
          <w:rtl w:val="0"/>
        </w:rPr>
        <w:t xml:space="preserve"> </w:t>
      </w:r>
      <w:r>
        <w:rPr>
          <w:rFonts w:cs="Arial Unicode MS" w:eastAsia="Arial Unicode MS"/>
          <w:rtl w:val="0"/>
          <w:lang w:val="en-US"/>
        </w:rPr>
        <w:t xml:space="preserve">Judith </w:t>
      </w:r>
      <w:r>
        <w:rPr>
          <w:rFonts w:cs="Arial Unicode MS" w:eastAsia="Arial Unicode MS"/>
          <w:rtl w:val="0"/>
          <w:lang w:val="it-IT"/>
        </w:rPr>
        <w:t>Bell</w:t>
      </w:r>
      <w:r>
        <w:rPr>
          <w:rFonts w:cs="Arial Unicode MS" w:eastAsia="Arial Unicode MS"/>
          <w:rtl w:val="0"/>
          <w:lang w:val="en-US"/>
        </w:rPr>
        <w:t xml:space="preserve"> &amp; Waters, S. </w:t>
      </w:r>
      <w:r>
        <w:rPr>
          <w:rFonts w:cs="Arial Unicode MS" w:eastAsia="Arial Unicode MS"/>
          <w:i w:val="1"/>
          <w:iCs w:val="1"/>
          <w:rtl w:val="0"/>
          <w:lang w:val="en-US"/>
        </w:rPr>
        <w:t>Doing your research project: a guide for first-time researchers 7th ed.</w:t>
      </w:r>
      <w:r>
        <w:rPr>
          <w:rFonts w:cs="Arial Unicode MS" w:eastAsia="Arial Unicode MS"/>
          <w:rtl w:val="0"/>
        </w:rPr>
        <w:t>,</w:t>
      </w:r>
      <w:r>
        <w:rPr>
          <w:rFonts w:cs="Arial Unicode MS" w:eastAsia="Arial Unicode MS"/>
          <w:rtl w:val="0"/>
          <w:lang w:val="en-US"/>
        </w:rPr>
        <w:t xml:space="preserve"> (London : Open University Press, McGraw-Hill Education, 2018), p 157</w:t>
      </w:r>
    </w:p>
  </w:footnote>
  <w:footnote w:id="4">
    <w:p>
      <w:pPr>
        <w:pStyle w:val="Footnote"/>
      </w:pPr>
      <w:r>
        <w:rPr>
          <w:sz w:val="24"/>
          <w:szCs w:val="24"/>
          <w:vertAlign w:val="superscript"/>
        </w:rPr>
        <w:footnoteRef/>
      </w:r>
      <w:r>
        <w:rPr>
          <w:rFonts w:cs="Arial Unicode MS" w:eastAsia="Arial Unicode MS"/>
          <w:rtl w:val="0"/>
        </w:rPr>
        <w:t xml:space="preserve"> </w:t>
      </w:r>
      <w:r>
        <w:rPr>
          <w:rFonts w:cs="Arial Unicode MS" w:eastAsia="Arial Unicode MS"/>
          <w:rtl w:val="0"/>
          <w:lang w:val="en-US"/>
        </w:rPr>
        <w:t xml:space="preserve">Tony </w:t>
      </w:r>
      <w:r>
        <w:rPr>
          <w:rFonts w:cs="Arial Unicode MS" w:eastAsia="Arial Unicode MS"/>
          <w:rtl w:val="0"/>
          <w:lang w:val="de-DE"/>
        </w:rPr>
        <w:t>Walter</w:t>
      </w:r>
      <w:r>
        <w:rPr>
          <w:rFonts w:cs="Arial Unicode MS" w:eastAsia="Arial Unicode MS"/>
          <w:rtl w:val="0"/>
          <w:lang w:val="en-US"/>
        </w:rPr>
        <w:t xml:space="preserve"> </w:t>
      </w:r>
      <w:r>
        <w:rPr>
          <w:rFonts w:cs="Arial Unicode MS" w:eastAsia="Arial Unicode MS"/>
          <w:rtl w:val="0"/>
        </w:rPr>
        <w:t>&amp;</w:t>
      </w:r>
      <w:r>
        <w:rPr>
          <w:rFonts w:cs="Arial Unicode MS" w:eastAsia="Arial Unicode MS"/>
          <w:rtl w:val="0"/>
          <w:lang w:val="en-US"/>
        </w:rPr>
        <w:t xml:space="preserve"> Helen Waterhouse, </w:t>
      </w:r>
      <w:r>
        <w:rPr>
          <w:rFonts w:ascii="Arial Unicode MS" w:hAnsi="Arial Unicode MS" w:hint="default"/>
          <w:rtl w:val="1"/>
        </w:rPr>
        <w:t>‘</w:t>
      </w:r>
      <w:r>
        <w:rPr>
          <w:rFonts w:cs="Arial Unicode MS" w:eastAsia="Arial Unicode MS"/>
          <w:i w:val="1"/>
          <w:iCs w:val="1"/>
          <w:rtl w:val="0"/>
          <w:lang w:val="en-US"/>
        </w:rPr>
        <w:t>A Very Private Belief: Reincarnation in Contemporary England</w:t>
      </w:r>
      <w:r>
        <w:rPr>
          <w:rFonts w:ascii="Arial Unicode MS" w:hAnsi="Arial Unicode MS" w:hint="default"/>
          <w:rtl w:val="1"/>
        </w:rPr>
        <w:t>’</w:t>
      </w:r>
      <w:r>
        <w:rPr>
          <w:rFonts w:cs="Arial Unicode MS" w:eastAsia="Arial Unicode MS"/>
          <w:rtl w:val="0"/>
        </w:rPr>
        <w:t xml:space="preserve">. </w:t>
      </w:r>
      <w:r>
        <w:rPr>
          <w:rFonts w:cs="Arial Unicode MS" w:eastAsia="Arial Unicode MS"/>
          <w:rtl w:val="0"/>
          <w:lang w:val="en-US"/>
        </w:rPr>
        <w:t>(Sociology of Religion, 60, 1999)</w:t>
      </w:r>
      <w:r>
        <w:rPr>
          <w:rFonts w:cs="Arial Unicode MS" w:eastAsia="Arial Unicode MS"/>
          <w:rtl w:val="0"/>
        </w:rPr>
        <w:t>, 187-197</w:t>
      </w:r>
      <w:r>
        <w:rPr>
          <w:rFonts w:cs="Arial Unicode MS" w:eastAsia="Arial Unicode MS"/>
          <w:rtl w:val="0"/>
          <w:lang w:val="en-US"/>
        </w:rPr>
        <w:t>, (p191).</w:t>
      </w:r>
    </w:p>
  </w:footnote>
  <w:footnote w:id="5">
    <w:p>
      <w:pPr>
        <w:pStyle w:val="Footnote"/>
      </w:pPr>
      <w:r>
        <w:rPr>
          <w:sz w:val="24"/>
          <w:szCs w:val="24"/>
          <w:vertAlign w:val="superscript"/>
        </w:rPr>
        <w:footnoteRef/>
      </w:r>
      <w:r>
        <w:rPr>
          <w:rFonts w:cs="Arial Unicode MS" w:eastAsia="Arial Unicode MS"/>
          <w:rtl w:val="0"/>
        </w:rPr>
        <w:t xml:space="preserve"> </w:t>
      </w:r>
      <w:r>
        <w:rPr>
          <w:rFonts w:cs="Arial Unicode MS" w:eastAsia="Arial Unicode MS"/>
          <w:rtl w:val="0"/>
          <w:lang w:val="en-US"/>
        </w:rPr>
        <w:t xml:space="preserve">Tony Walter &amp; Helen Waterhouse, </w:t>
      </w:r>
      <w:r>
        <w:rPr>
          <w:rFonts w:ascii="Arial Unicode MS" w:hAnsi="Arial Unicode MS" w:hint="default"/>
          <w:rtl w:val="1"/>
        </w:rPr>
        <w:t>‘</w:t>
      </w:r>
      <w:r>
        <w:rPr>
          <w:rFonts w:cs="Arial Unicode MS" w:eastAsia="Arial Unicode MS"/>
          <w:i w:val="1"/>
          <w:iCs w:val="1"/>
          <w:rtl w:val="0"/>
          <w:lang w:val="en-US"/>
        </w:rPr>
        <w:t>A Very Private Belief: Reincarnation in Contemporary England</w:t>
      </w:r>
      <w:r>
        <w:rPr>
          <w:rFonts w:ascii="Arial Unicode MS" w:hAnsi="Arial Unicode MS" w:hint="default"/>
          <w:rtl w:val="1"/>
        </w:rPr>
        <w:t>’</w:t>
      </w:r>
      <w:r>
        <w:rPr>
          <w:rFonts w:cs="Arial Unicode MS" w:eastAsia="Arial Unicode MS"/>
          <w:rtl w:val="0"/>
        </w:rPr>
        <w:t xml:space="preserve">. </w:t>
      </w:r>
      <w:r>
        <w:rPr>
          <w:rFonts w:cs="Arial Unicode MS" w:eastAsia="Arial Unicode MS"/>
          <w:rtl w:val="0"/>
          <w:lang w:val="en-US"/>
        </w:rPr>
        <w:t>(Sociology of Religion, 60, 1999)</w:t>
      </w:r>
      <w:r>
        <w:rPr>
          <w:rFonts w:cs="Arial Unicode MS" w:eastAsia="Arial Unicode MS"/>
          <w:rtl w:val="0"/>
        </w:rPr>
        <w:t>, 187-197</w:t>
      </w:r>
      <w:r>
        <w:rPr>
          <w:rFonts w:cs="Arial Unicode MS" w:eastAsia="Arial Unicode MS"/>
          <w:rtl w:val="0"/>
          <w:lang w:val="en-US"/>
        </w:rPr>
        <w:t>, (p191).</w:t>
      </w:r>
    </w:p>
  </w:footnote>
  <w:footnote w:id="6">
    <w:p>
      <w:pPr>
        <w:pStyle w:val="Footnote"/>
      </w:pPr>
      <w:r>
        <w:rPr>
          <w:sz w:val="24"/>
          <w:szCs w:val="24"/>
          <w:vertAlign w:val="superscript"/>
        </w:rPr>
        <w:footnoteRef/>
      </w:r>
      <w:r>
        <w:rPr>
          <w:rFonts w:cs="Arial Unicode MS" w:eastAsia="Arial Unicode MS"/>
          <w:rtl w:val="0"/>
          <w:lang w:val="nl-NL"/>
        </w:rPr>
        <w:t xml:space="preserve"> Edward Evan</w:t>
      </w:r>
      <w:r>
        <w:rPr>
          <w:rFonts w:cs="Arial Unicode MS" w:eastAsia="Arial Unicode MS"/>
          <w:rtl w:val="0"/>
          <w:lang w:val="en-US"/>
        </w:rPr>
        <w:t xml:space="preserve"> Evans-Pritchard, </w:t>
      </w:r>
      <w:r>
        <w:rPr>
          <w:rFonts w:ascii="Times Roman" w:hAnsi="Times Roman"/>
          <w:i w:val="1"/>
          <w:iCs w:val="1"/>
          <w:rtl w:val="0"/>
          <w:lang w:val="en-US"/>
        </w:rPr>
        <w:t>Social Anthropology</w:t>
      </w:r>
      <w:r>
        <w:rPr>
          <w:rFonts w:cs="Arial Unicode MS" w:eastAsia="Arial Unicode MS"/>
          <w:rtl w:val="0"/>
        </w:rPr>
        <w:t xml:space="preserve">, </w:t>
      </w:r>
      <w:r>
        <w:rPr>
          <w:rFonts w:cs="Arial Unicode MS" w:eastAsia="Arial Unicode MS"/>
          <w:rtl w:val="0"/>
          <w:lang w:val="en-US"/>
        </w:rPr>
        <w:t>(London: Cohen and West Ltd., 1967 [1951])</w:t>
      </w:r>
      <w:r>
        <w:rPr>
          <w:rFonts w:cs="Arial Unicode MS" w:eastAsia="Arial Unicode MS"/>
          <w:rtl w:val="0"/>
        </w:rPr>
        <w:t xml:space="preserve">, p. 79 </w:t>
      </w:r>
    </w:p>
  </w:footnote>
  <w:footnote w:id="7">
    <w:p>
      <w:pPr>
        <w:pStyle w:val="Footnote"/>
      </w:pPr>
      <w:r>
        <w:rPr>
          <w:sz w:val="24"/>
          <w:szCs w:val="24"/>
          <w:vertAlign w:val="superscript"/>
        </w:rPr>
        <w:footnoteRef/>
      </w:r>
      <w:r>
        <w:rPr>
          <w:rFonts w:cs="Arial Unicode MS" w:eastAsia="Arial Unicode MS"/>
          <w:rtl w:val="0"/>
          <w:lang w:val="en-US"/>
        </w:rPr>
        <w:t xml:space="preserve"> Kathryn </w:t>
      </w:r>
      <w:r>
        <w:rPr>
          <w:rFonts w:cs="Arial Unicode MS" w:eastAsia="Arial Unicode MS"/>
          <w:rtl w:val="0"/>
          <w:lang w:val="da-DK"/>
        </w:rPr>
        <w:t xml:space="preserve">Haynes, </w:t>
      </w:r>
      <w:r>
        <w:rPr>
          <w:rFonts w:cs="Arial Unicode MS" w:eastAsia="Arial Unicode MS"/>
          <w:i w:val="1"/>
          <w:iCs w:val="1"/>
          <w:rtl w:val="0"/>
          <w:lang w:val="en-US"/>
        </w:rPr>
        <w:t>Reflexivity in Qualitative Research</w:t>
      </w:r>
      <w:r>
        <w:rPr>
          <w:rFonts w:cs="Arial Unicode MS" w:eastAsia="Arial Unicode MS"/>
          <w:rtl w:val="0"/>
          <w:lang w:val="de-DE"/>
        </w:rPr>
        <w:t>, in Qualitative Organisational Research, p 77.</w:t>
      </w:r>
    </w:p>
  </w:footnote>
  <w:footnote w:id="8">
    <w:p>
      <w:pPr>
        <w:pStyle w:val="Footnote"/>
      </w:pPr>
      <w:r>
        <w:rPr>
          <w:sz w:val="24"/>
          <w:szCs w:val="24"/>
          <w:vertAlign w:val="superscript"/>
        </w:rPr>
        <w:footnoteRef/>
      </w:r>
      <w:r>
        <w:rPr>
          <w:rFonts w:cs="Arial Unicode MS" w:eastAsia="Arial Unicode MS"/>
          <w:rtl w:val="0"/>
        </w:rPr>
        <w:t xml:space="preserve"> Alan</w:t>
      </w:r>
      <w:r>
        <w:rPr>
          <w:rFonts w:cs="Arial Unicode MS" w:eastAsia="Arial Unicode MS" w:hint="default"/>
          <w:rtl w:val="0"/>
        </w:rPr>
        <w:t> </w:t>
      </w:r>
      <w:r>
        <w:rPr>
          <w:rFonts w:cs="Arial Unicode MS" w:eastAsia="Arial Unicode MS"/>
          <w:rtl w:val="0"/>
        </w:rPr>
        <w:t xml:space="preserve">Bryman, </w:t>
      </w:r>
      <w:r>
        <w:rPr>
          <w:rFonts w:cs="Arial Unicode MS" w:eastAsia="Arial Unicode MS"/>
          <w:i w:val="1"/>
          <w:iCs w:val="1"/>
          <w:rtl w:val="0"/>
          <w:lang w:val="en-US"/>
        </w:rPr>
        <w:t>Quantity and Quality in Social Research</w:t>
      </w:r>
      <w:r>
        <w:rPr>
          <w:rFonts w:cs="Arial Unicode MS" w:eastAsia="Arial Unicode MS"/>
          <w:rtl w:val="0"/>
          <w:lang w:val="en-US"/>
        </w:rPr>
        <w:t xml:space="preserve"> (London: Routledge, 2001), p 97</w:t>
      </w:r>
    </w:p>
  </w:footnote>
  <w:footnote w:id="9">
    <w:p>
      <w:pPr>
        <w:pStyle w:val="Footnote"/>
      </w:pPr>
      <w:r>
        <w:rPr>
          <w:sz w:val="24"/>
          <w:szCs w:val="24"/>
          <w:vertAlign w:val="superscript"/>
        </w:rPr>
        <w:footnoteRef/>
      </w:r>
      <w:r>
        <w:rPr>
          <w:rFonts w:cs="Arial Unicode MS" w:eastAsia="Arial Unicode MS"/>
          <w:rtl w:val="0"/>
        </w:rPr>
        <w:t xml:space="preserve"> </w:t>
      </w:r>
      <w:r>
        <w:rPr>
          <w:rFonts w:cs="Arial Unicode MS" w:eastAsia="Arial Unicode MS"/>
          <w:rtl w:val="0"/>
          <w:lang w:val="en-US"/>
        </w:rPr>
        <w:t xml:space="preserve">Edward Evan Evans-Pritchard, The Scope of the Subject in </w:t>
      </w:r>
      <w:r>
        <w:rPr>
          <w:rFonts w:ascii="Times Roman" w:hAnsi="Times Roman"/>
          <w:i w:val="1"/>
          <w:iCs w:val="1"/>
          <w:rtl w:val="0"/>
          <w:lang w:val="en-US"/>
        </w:rPr>
        <w:t>Social Anthropology</w:t>
      </w:r>
      <w:r>
        <w:rPr>
          <w:rFonts w:cs="Arial Unicode MS" w:eastAsia="Arial Unicode MS"/>
          <w:rtl w:val="0"/>
        </w:rPr>
        <w:t xml:space="preserve">, </w:t>
      </w:r>
      <w:r>
        <w:rPr>
          <w:rFonts w:cs="Arial Unicode MS" w:eastAsia="Arial Unicode MS"/>
          <w:rtl w:val="0"/>
          <w:lang w:val="en-US"/>
        </w:rPr>
        <w:t>(London: Cohen and West Ltd.)</w:t>
      </w:r>
      <w:r>
        <w:rPr>
          <w:rFonts w:cs="Arial Unicode MS" w:eastAsia="Arial Unicode MS"/>
          <w:rtl w:val="0"/>
        </w:rPr>
        <w:t>, p. 9</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12"/>
        <w:tab w:val="clear" w:pos="9020"/>
      </w:tabs>
    </w:pPr>
    <w:r>
      <w:rPr>
        <w:rtl w:val="0"/>
        <w:lang w:val="en-US"/>
      </w:rPr>
      <w:t>HPCA7016</w:t>
      <w:tab/>
      <w:t xml:space="preserve">Page </w:t>
    </w:r>
    <w:r>
      <w:rPr/>
      <w:fldChar w:fldCharType="begin" w:fldLock="0"/>
    </w:r>
    <w:r>
      <w:instrText xml:space="preserve"> PAGE </w:instrText>
    </w:r>
    <w:r>
      <w:rPr/>
      <w:fldChar w:fldCharType="separate" w:fldLock="0"/>
    </w:r>
    <w:r/>
    <w:r>
      <w:rPr/>
      <w:fldChar w:fldCharType="end" w:fldLock="0"/>
    </w:r>
    <w:r>
      <w:rPr>
        <w:rtl w:val="0"/>
        <w:lang w:val="en-US"/>
      </w:rPr>
      <w:t xml:space="preserve"> of </w:t>
    </w:r>
    <w:r>
      <w:rPr/>
      <w:fldChar w:fldCharType="begin" w:fldLock="0"/>
    </w:r>
    <w:r>
      <w:instrText xml:space="preserve"> NUMPAGES </w:instrText>
    </w:r>
    <w:r>
      <w:rPr/>
      <w:fldChar w:fldCharType="separate" w:fldLock="0"/>
    </w:r>
    <w:r/>
    <w:r>
      <w:rPr/>
      <w:fldChar w:fldCharType="end" w:fldLock="0"/>
    </w:r>
    <w:r>
      <w:rPr>
        <w:rtl w:val="0"/>
      </w:rPr>
      <w:tab/>
      <w:t>RIMSHA</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Heading 3">
    <w:name w:val="Heading 3"/>
    <w:next w:val="Body"/>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0"/>
    </w:pPr>
    <w:rPr>
      <w:rFonts w:ascii="Helvetica Neue" w:cs="Arial Unicode MS" w:hAnsi="Helvetica Neue" w:eastAsia="Arial Unicode MS"/>
      <w:b w:val="0"/>
      <w:bCs w:val="0"/>
      <w:i w:val="0"/>
      <w:iCs w:val="0"/>
      <w:caps w:val="0"/>
      <w:smallCaps w:val="0"/>
      <w:strike w:val="0"/>
      <w:dstrike w:val="0"/>
      <w:outline w:val="0"/>
      <w:color w:val="000000"/>
      <w:spacing w:val="5"/>
      <w:kern w:val="0"/>
      <w:position w:val="0"/>
      <w:sz w:val="28"/>
      <w:szCs w:val="28"/>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