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3B7810DF"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B769FC">
              <w:rPr>
                <w:rFonts w:ascii="Times New Roman" w:hAnsi="Times New Roman" w:cs="Times New Roman"/>
                <w:b/>
                <w:color w:val="auto"/>
                <w:sz w:val="48"/>
              </w:rPr>
              <w:t>STEFFAN CHAMBERS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228121C7" w:rsidR="009C337F" w:rsidRPr="00B769FC" w:rsidRDefault="009C337F" w:rsidP="005D3F07">
            <w:pPr>
              <w:overflowPunct/>
              <w:autoSpaceDE/>
              <w:autoSpaceDN/>
              <w:adjustRightInd/>
              <w:ind w:right="-957"/>
              <w:textAlignment w:val="auto"/>
              <w:rPr>
                <w:rFonts w:ascii="Times New Roman" w:hAnsi="Times New Roman" w:cs="Times New Roman"/>
                <w:b/>
                <w:color w:val="auto"/>
                <w:sz w:val="40"/>
                <w:szCs w:val="16"/>
              </w:rPr>
            </w:pPr>
            <w:r>
              <w:rPr>
                <w:rFonts w:ascii="Times New Roman" w:hAnsi="Times New Roman" w:cs="Times New Roman"/>
                <w:b/>
                <w:color w:val="auto"/>
                <w:sz w:val="48"/>
              </w:rPr>
              <w:t>Email address:</w:t>
            </w:r>
            <w:r w:rsidR="00B769FC">
              <w:rPr>
                <w:rFonts w:ascii="Times New Roman" w:hAnsi="Times New Roman" w:cs="Times New Roman"/>
                <w:b/>
                <w:color w:val="auto"/>
                <w:sz w:val="48"/>
              </w:rPr>
              <w:t xml:space="preserve"> </w:t>
            </w:r>
            <w:r w:rsidR="00B769FC">
              <w:rPr>
                <w:rFonts w:ascii="Times New Roman" w:hAnsi="Times New Roman" w:cs="Times New Roman"/>
                <w:b/>
                <w:color w:val="auto"/>
                <w:sz w:val="40"/>
                <w:szCs w:val="16"/>
              </w:rPr>
              <w:t>steffanchambers8@gmail.com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2A87457A" w14:textId="77777777" w:rsidR="00B769FC" w:rsidRDefault="0085230E" w:rsidP="005D3F07">
            <w:pPr>
              <w:overflowPunct/>
              <w:autoSpaceDE/>
              <w:autoSpaceDN/>
              <w:adjustRightInd/>
              <w:ind w:right="-957"/>
              <w:textAlignment w:val="auto"/>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B769FC">
              <w:t xml:space="preserve"> </w:t>
            </w:r>
          </w:p>
          <w:p w14:paraId="0DE696B2" w14:textId="0D30F72E" w:rsidR="00F927A1" w:rsidRPr="005D3F07" w:rsidRDefault="00B769FC" w:rsidP="005D3F07">
            <w:pPr>
              <w:overflowPunct/>
              <w:autoSpaceDE/>
              <w:autoSpaceDN/>
              <w:adjustRightInd/>
              <w:ind w:right="-957"/>
              <w:textAlignment w:val="auto"/>
              <w:rPr>
                <w:rFonts w:ascii="Times New Roman" w:hAnsi="Times New Roman" w:cs="Times New Roman"/>
                <w:b/>
                <w:color w:val="auto"/>
                <w:sz w:val="48"/>
              </w:rPr>
            </w:pPr>
            <w:r w:rsidRPr="00B769FC">
              <w:rPr>
                <w:rFonts w:ascii="Times New Roman" w:hAnsi="Times New Roman" w:cs="Times New Roman"/>
                <w:b/>
                <w:color w:val="auto"/>
                <w:sz w:val="48"/>
              </w:rPr>
              <w:t>1600879</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5F952BF8" w14:textId="77777777" w:rsidR="007B7B50" w:rsidRDefault="007B7B50" w:rsidP="00FF7EBB">
            <w:pPr>
              <w:jc w:val="both"/>
              <w:rPr>
                <w:sz w:val="24"/>
                <w:szCs w:val="24"/>
              </w:rPr>
            </w:pPr>
          </w:p>
          <w:p w14:paraId="0D279C6C" w14:textId="77777777" w:rsidR="00B769FC" w:rsidRDefault="00B769FC" w:rsidP="00FF7EBB">
            <w:pPr>
              <w:jc w:val="both"/>
              <w:rPr>
                <w:sz w:val="24"/>
                <w:szCs w:val="24"/>
              </w:rPr>
            </w:pPr>
          </w:p>
          <w:p w14:paraId="39DA306D" w14:textId="77777777" w:rsidR="00B769FC" w:rsidRPr="00B769FC" w:rsidRDefault="00B769FC" w:rsidP="00B769FC">
            <w:pPr>
              <w:jc w:val="both"/>
              <w:rPr>
                <w:sz w:val="24"/>
                <w:szCs w:val="24"/>
              </w:rPr>
            </w:pPr>
            <w:r w:rsidRPr="00B769FC">
              <w:rPr>
                <w:sz w:val="24"/>
                <w:szCs w:val="24"/>
              </w:rPr>
              <w:t xml:space="preserve">As it pertains to adult safeguarding in Wales, the primary statutory framework is the Social Services and Well-being (Wales) Act 2014 (SSWBA 2014). The act covers the protection of adults at risk (Social Services and Wellbeing Act, 2014). </w:t>
            </w:r>
          </w:p>
          <w:p w14:paraId="02808E35" w14:textId="77777777" w:rsidR="00B769FC" w:rsidRDefault="00B769FC" w:rsidP="00B769FC">
            <w:pPr>
              <w:jc w:val="both"/>
              <w:rPr>
                <w:sz w:val="24"/>
                <w:szCs w:val="24"/>
              </w:rPr>
            </w:pPr>
            <w:r w:rsidRPr="00B769FC">
              <w:rPr>
                <w:sz w:val="24"/>
                <w:szCs w:val="24"/>
              </w:rPr>
              <w:t>An adult at risk is defined in section 126 of the SSWBA 2014, stating that an adult in this context is experiencing or is at risk of abuse, neglect or has needs for care and support, which because of those needs is unable to protect themselves against that abuse, neglect or risk of it (Social Services and Well</w:t>
            </w:r>
            <w:r w:rsidRPr="00B769FC">
              <w:rPr>
                <w:rFonts w:ascii="Cambria Math" w:hAnsi="Cambria Math" w:cs="Cambria Math"/>
                <w:sz w:val="24"/>
                <w:szCs w:val="24"/>
              </w:rPr>
              <w:t>‑</w:t>
            </w:r>
            <w:r w:rsidRPr="00B769FC">
              <w:rPr>
                <w:sz w:val="24"/>
                <w:szCs w:val="24"/>
              </w:rPr>
              <w:t xml:space="preserve">being (Wales) Act 2014, s.126). </w:t>
            </w:r>
          </w:p>
          <w:p w14:paraId="05CF6871" w14:textId="77777777" w:rsidR="00B769FC" w:rsidRPr="00B769FC" w:rsidRDefault="00B769FC" w:rsidP="00B769FC">
            <w:pPr>
              <w:jc w:val="both"/>
              <w:rPr>
                <w:sz w:val="24"/>
                <w:szCs w:val="24"/>
              </w:rPr>
            </w:pPr>
          </w:p>
          <w:p w14:paraId="18DC3B1B" w14:textId="77777777" w:rsidR="00B769FC" w:rsidRDefault="00B769FC" w:rsidP="00B769FC">
            <w:pPr>
              <w:jc w:val="both"/>
              <w:rPr>
                <w:sz w:val="24"/>
                <w:szCs w:val="24"/>
              </w:rPr>
            </w:pPr>
            <w:r w:rsidRPr="00B769FC">
              <w:rPr>
                <w:sz w:val="24"/>
                <w:szCs w:val="24"/>
              </w:rPr>
              <w:t>The SSWBA 2014 places a duty on public services including local authorities, health boards and police services to report adults at risk, in addition to making enquiries where an adult is believed to be at risk. The act also established the National Safeguarding Board (NISB) in addition to Regional Safeguarding Boards (RSB). The NISB operates in an advisory capacity, providing support and advice to the six RSB’s in addition to reporting to Welsh Government ministers on the effectiveness of safeguarding arrangements in Wales (Safeguarding Board Wales, 2026).</w:t>
            </w:r>
          </w:p>
          <w:p w14:paraId="222A135F" w14:textId="77777777" w:rsidR="00B769FC" w:rsidRPr="00B769FC" w:rsidRDefault="00B769FC" w:rsidP="00B769FC">
            <w:pPr>
              <w:jc w:val="both"/>
              <w:rPr>
                <w:sz w:val="24"/>
                <w:szCs w:val="24"/>
              </w:rPr>
            </w:pPr>
          </w:p>
          <w:p w14:paraId="53D448F6" w14:textId="77777777" w:rsidR="00B769FC" w:rsidRDefault="00B769FC" w:rsidP="00B769FC">
            <w:pPr>
              <w:jc w:val="both"/>
              <w:rPr>
                <w:sz w:val="24"/>
                <w:szCs w:val="24"/>
              </w:rPr>
            </w:pPr>
            <w:r w:rsidRPr="00B769FC">
              <w:rPr>
                <w:sz w:val="24"/>
                <w:szCs w:val="24"/>
              </w:rPr>
              <w:t>The RSB’s are statutory multi-agency partnerships, made up of local authorities, health boards, Police, probation, youth justice and fire and emergency services. RSB’s have a duty to achieve specific safeguarding objectives for adults who are experiencing or at risk of experiencing abuse, neglect or other harm as detailed under section 134 of the SSWBA 2014 (Social Services and Well-being (Wales) Act 2014, s.134).</w:t>
            </w:r>
          </w:p>
          <w:p w14:paraId="08708C71" w14:textId="77777777" w:rsidR="00B769FC" w:rsidRPr="00B769FC" w:rsidRDefault="00B769FC" w:rsidP="00B769FC">
            <w:pPr>
              <w:jc w:val="both"/>
              <w:rPr>
                <w:sz w:val="24"/>
                <w:szCs w:val="24"/>
              </w:rPr>
            </w:pPr>
          </w:p>
          <w:p w14:paraId="11FFE128" w14:textId="77777777" w:rsidR="00B769FC" w:rsidRPr="00B769FC" w:rsidRDefault="00B769FC" w:rsidP="00B769FC">
            <w:pPr>
              <w:jc w:val="both"/>
              <w:rPr>
                <w:sz w:val="24"/>
                <w:szCs w:val="24"/>
              </w:rPr>
            </w:pPr>
            <w:r w:rsidRPr="00B769FC">
              <w:rPr>
                <w:sz w:val="24"/>
                <w:szCs w:val="24"/>
              </w:rPr>
              <w:t xml:space="preserve">The Wales Safeguarding Procedures are used to guide practitioners within adult safeguarding processes, from providing guidance as to how to report incidents of abuse, screening thresholds for abuse or neglect to outlining where and when strategy meetings ought to be held (Social Care Wales, 2019). </w:t>
            </w:r>
          </w:p>
          <w:p w14:paraId="206D8291" w14:textId="77777777" w:rsidR="00B769FC" w:rsidRDefault="00B769FC" w:rsidP="00B769FC">
            <w:pPr>
              <w:jc w:val="both"/>
              <w:rPr>
                <w:sz w:val="24"/>
                <w:szCs w:val="24"/>
              </w:rPr>
            </w:pPr>
            <w:r w:rsidRPr="00B769FC">
              <w:rPr>
                <w:sz w:val="24"/>
                <w:szCs w:val="24"/>
              </w:rPr>
              <w:lastRenderedPageBreak/>
              <w:t>In addition to core safeguarding legislation the Mental Capacity Act 2005 (MCA 2005) provides a legal framework for acting on behalf of or making decisions for adults in England and Wales who lack the mental capacity to make certain decisions themselves. The acts core aims are to empower individuals to make decisions wherever possible, asserting that practitioners must always presume capacity unless proven otherwise (Mental Capacity Act 2005).</w:t>
            </w:r>
          </w:p>
          <w:p w14:paraId="087F5DA3" w14:textId="77777777" w:rsidR="00B769FC" w:rsidRPr="00B769FC" w:rsidRDefault="00B769FC" w:rsidP="00B769FC">
            <w:pPr>
              <w:jc w:val="both"/>
              <w:rPr>
                <w:sz w:val="24"/>
                <w:szCs w:val="24"/>
              </w:rPr>
            </w:pPr>
          </w:p>
          <w:p w14:paraId="2436AFA5" w14:textId="2B6121FC" w:rsidR="00B769FC" w:rsidRDefault="00B769FC" w:rsidP="00B769FC">
            <w:pPr>
              <w:jc w:val="both"/>
              <w:rPr>
                <w:sz w:val="24"/>
                <w:szCs w:val="24"/>
              </w:rPr>
            </w:pPr>
            <w:r w:rsidRPr="00B769FC">
              <w:rPr>
                <w:sz w:val="24"/>
                <w:szCs w:val="24"/>
              </w:rPr>
              <w:t xml:space="preserve">Under the MCA 2005, capacity is established </w:t>
            </w:r>
            <w:r w:rsidR="007B7B50">
              <w:rPr>
                <w:sz w:val="24"/>
                <w:szCs w:val="24"/>
              </w:rPr>
              <w:t>in relation</w:t>
            </w:r>
            <w:r w:rsidRPr="00B769FC">
              <w:rPr>
                <w:sz w:val="24"/>
                <w:szCs w:val="24"/>
              </w:rPr>
              <w:t xml:space="preserve"> to specific decisions; this can include welfare and care, financial decisions, or even medical treatment. Where an individual is deemed not to have capacity to make a certain decision a best interest decision can be taken on their behalf. A best interest decision must be taken </w:t>
            </w:r>
            <w:proofErr w:type="gramStart"/>
            <w:r w:rsidRPr="00B769FC">
              <w:rPr>
                <w:sz w:val="24"/>
                <w:szCs w:val="24"/>
              </w:rPr>
              <w:t>with regard to</w:t>
            </w:r>
            <w:proofErr w:type="gramEnd"/>
            <w:r w:rsidRPr="00B769FC">
              <w:rPr>
                <w:sz w:val="24"/>
                <w:szCs w:val="24"/>
              </w:rPr>
              <w:t xml:space="preserve"> the individuals past wishes, beliefs, values and carer </w:t>
            </w:r>
            <w:proofErr w:type="gramStart"/>
            <w:r w:rsidRPr="00B769FC">
              <w:rPr>
                <w:sz w:val="24"/>
                <w:szCs w:val="24"/>
              </w:rPr>
              <w:t>wishes</w:t>
            </w:r>
            <w:proofErr w:type="gramEnd"/>
            <w:r w:rsidRPr="00B769FC">
              <w:rPr>
                <w:sz w:val="24"/>
                <w:szCs w:val="24"/>
              </w:rPr>
              <w:t xml:space="preserve">, with emphasis on least restrictive options. It is also important to note that capacity can fluctuate (Mental Capacity Act 2005). </w:t>
            </w:r>
          </w:p>
          <w:p w14:paraId="13CD3D4A" w14:textId="77777777" w:rsidR="00B769FC" w:rsidRPr="00B769FC" w:rsidRDefault="00B769FC" w:rsidP="00B769FC">
            <w:pPr>
              <w:jc w:val="both"/>
              <w:rPr>
                <w:sz w:val="24"/>
                <w:szCs w:val="24"/>
              </w:rPr>
            </w:pPr>
          </w:p>
          <w:p w14:paraId="60FD24E8" w14:textId="77777777" w:rsidR="00B769FC" w:rsidRDefault="00B769FC" w:rsidP="00B769FC">
            <w:pPr>
              <w:jc w:val="both"/>
              <w:rPr>
                <w:sz w:val="24"/>
                <w:szCs w:val="24"/>
              </w:rPr>
            </w:pPr>
            <w:r w:rsidRPr="00B769FC">
              <w:rPr>
                <w:sz w:val="24"/>
                <w:szCs w:val="24"/>
              </w:rPr>
              <w:t>There are scenarios where an adult who lacks capacity may be subject to a Deprivation of Liberty Safeguards (</w:t>
            </w:r>
            <w:proofErr w:type="spellStart"/>
            <w:r w:rsidRPr="00B769FC">
              <w:rPr>
                <w:sz w:val="24"/>
                <w:szCs w:val="24"/>
              </w:rPr>
              <w:t>DoLS</w:t>
            </w:r>
            <w:proofErr w:type="spellEnd"/>
            <w:r w:rsidRPr="00B769FC">
              <w:rPr>
                <w:sz w:val="24"/>
                <w:szCs w:val="24"/>
              </w:rPr>
              <w:t>) where Under section A1 of the MCA 2005, restrictions are placed on an adult within care or hospital settings (Mental Capacity Act 2005, Deprivation of Liberty Safeguards).</w:t>
            </w:r>
          </w:p>
          <w:p w14:paraId="13C2D5BD" w14:textId="77777777" w:rsidR="00B769FC" w:rsidRPr="00B769FC" w:rsidRDefault="00B769FC" w:rsidP="00B769FC">
            <w:pPr>
              <w:jc w:val="both"/>
              <w:rPr>
                <w:sz w:val="24"/>
                <w:szCs w:val="24"/>
              </w:rPr>
            </w:pPr>
          </w:p>
          <w:p w14:paraId="37B0A8AC" w14:textId="6A7DBB8F" w:rsidR="00B769FC" w:rsidRDefault="00B769FC" w:rsidP="00B769FC">
            <w:pPr>
              <w:jc w:val="both"/>
              <w:rPr>
                <w:sz w:val="24"/>
                <w:szCs w:val="24"/>
              </w:rPr>
            </w:pPr>
            <w:r w:rsidRPr="00B769FC">
              <w:rPr>
                <w:sz w:val="24"/>
                <w:szCs w:val="24"/>
              </w:rPr>
              <w:t>National legislation is also underpinned by international statute, in this case the Human Rights Act 1998, which details an individual’s rights and freedoms particularly Article’s 5 the right to liberty, article 8 the right to a private life and article 3 the prohibition of degrading and inhumane treatment (Human Rights Act 1998).</w:t>
            </w:r>
          </w:p>
          <w:p w14:paraId="56E951F2" w14:textId="77777777" w:rsidR="00B769FC" w:rsidRDefault="00B769FC" w:rsidP="00B769FC">
            <w:pPr>
              <w:jc w:val="both"/>
              <w:rPr>
                <w:sz w:val="24"/>
                <w:szCs w:val="24"/>
              </w:rPr>
            </w:pPr>
          </w:p>
          <w:p w14:paraId="34247616" w14:textId="61BA8D2A" w:rsidR="00B769FC" w:rsidRDefault="00B769FC" w:rsidP="00B769FC">
            <w:pPr>
              <w:jc w:val="both"/>
              <w:rPr>
                <w:sz w:val="24"/>
                <w:szCs w:val="24"/>
              </w:rPr>
            </w:pPr>
            <w:r>
              <w:rPr>
                <w:sz w:val="24"/>
                <w:szCs w:val="24"/>
              </w:rPr>
              <w:t>Wordcount: 54</w:t>
            </w:r>
            <w:r w:rsidR="007B7B50">
              <w:rPr>
                <w:sz w:val="24"/>
                <w:szCs w:val="24"/>
              </w:rPr>
              <w:t>8</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14384B47" w14:textId="77777777" w:rsidR="00B769FC" w:rsidRDefault="00B769FC" w:rsidP="00FC0334">
            <w:pPr>
              <w:jc w:val="both"/>
              <w:rPr>
                <w:i/>
                <w:sz w:val="24"/>
                <w:szCs w:val="24"/>
              </w:rPr>
            </w:pPr>
          </w:p>
          <w:p w14:paraId="5C5E19EF" w14:textId="77777777" w:rsidR="004F0FA3" w:rsidRDefault="004F0FA3" w:rsidP="004F0FA3">
            <w:pPr>
              <w:jc w:val="both"/>
              <w:rPr>
                <w:iCs/>
                <w:sz w:val="24"/>
                <w:szCs w:val="24"/>
              </w:rPr>
            </w:pPr>
            <w:r w:rsidRPr="004F0FA3">
              <w:rPr>
                <w:iCs/>
                <w:sz w:val="24"/>
                <w:szCs w:val="24"/>
              </w:rPr>
              <w:t>Legal and definitional differences exist between children and adults safeguarding practice, a child under both the Children Act 1989 and the SSWBA 2014 is a child under the age of 18, where an adult is someone over the age of 18, with children on principle being seen as inherently vulnerable due to their age and dependency on others (Children Act 1989, s.17).</w:t>
            </w:r>
          </w:p>
          <w:p w14:paraId="01B71086" w14:textId="77777777" w:rsidR="005B4CC2" w:rsidRPr="004F0FA3" w:rsidRDefault="005B4CC2" w:rsidP="004F0FA3">
            <w:pPr>
              <w:jc w:val="both"/>
              <w:rPr>
                <w:iCs/>
                <w:sz w:val="24"/>
                <w:szCs w:val="24"/>
              </w:rPr>
            </w:pPr>
          </w:p>
          <w:p w14:paraId="2115CE6D" w14:textId="77777777" w:rsidR="004F0FA3" w:rsidRDefault="004F0FA3" w:rsidP="004F0FA3">
            <w:pPr>
              <w:jc w:val="both"/>
              <w:rPr>
                <w:iCs/>
                <w:sz w:val="24"/>
                <w:szCs w:val="24"/>
              </w:rPr>
            </w:pPr>
            <w:r w:rsidRPr="004F0FA3">
              <w:rPr>
                <w:iCs/>
                <w:sz w:val="24"/>
                <w:szCs w:val="24"/>
              </w:rPr>
              <w:t xml:space="preserve">This differs for adults, with adults at risk defined under the SSWBA 2014 as an adult who is experiencing or is at risk of experiencing abuse or neglect. Whilst both definitions are provided under the SSWBA 2014 the act provides differing legal definitions (Social Services and Wellbeing Act, 2014). </w:t>
            </w:r>
          </w:p>
          <w:p w14:paraId="209A69A7" w14:textId="77777777" w:rsidR="005B4CC2" w:rsidRPr="004F0FA3" w:rsidRDefault="005B4CC2" w:rsidP="004F0FA3">
            <w:pPr>
              <w:jc w:val="both"/>
              <w:rPr>
                <w:iCs/>
                <w:sz w:val="24"/>
                <w:szCs w:val="24"/>
              </w:rPr>
            </w:pPr>
          </w:p>
          <w:p w14:paraId="5C9CF4F3" w14:textId="6701A2A5" w:rsidR="004F0FA3" w:rsidRDefault="004F0FA3" w:rsidP="004F0FA3">
            <w:pPr>
              <w:jc w:val="both"/>
              <w:rPr>
                <w:iCs/>
                <w:sz w:val="24"/>
                <w:szCs w:val="24"/>
              </w:rPr>
            </w:pPr>
            <w:r w:rsidRPr="004F0FA3">
              <w:rPr>
                <w:iCs/>
                <w:sz w:val="24"/>
                <w:szCs w:val="24"/>
              </w:rPr>
              <w:t>Consent and choice provide additional differences between child and adult safeguarding practices. Whilst in general practice</w:t>
            </w:r>
            <w:r w:rsidR="005B4CC2">
              <w:rPr>
                <w:iCs/>
                <w:sz w:val="24"/>
                <w:szCs w:val="24"/>
              </w:rPr>
              <w:t>,</w:t>
            </w:r>
            <w:r w:rsidRPr="004F0FA3">
              <w:rPr>
                <w:iCs/>
                <w:sz w:val="24"/>
                <w:szCs w:val="24"/>
              </w:rPr>
              <w:t xml:space="preserve"> a child or young person’s choice and voice are always considered, consent is not required from the child to raise safeguarding concerns (Graham et al., 2013). </w:t>
            </w:r>
          </w:p>
          <w:p w14:paraId="6EEFD4DC" w14:textId="77777777" w:rsidR="005B4CC2" w:rsidRPr="004F0FA3" w:rsidRDefault="005B4CC2" w:rsidP="004F0FA3">
            <w:pPr>
              <w:jc w:val="both"/>
              <w:rPr>
                <w:iCs/>
                <w:sz w:val="24"/>
                <w:szCs w:val="24"/>
              </w:rPr>
            </w:pPr>
          </w:p>
          <w:p w14:paraId="0C6E07D1" w14:textId="77777777" w:rsidR="004F0FA3" w:rsidRDefault="004F0FA3" w:rsidP="004F0FA3">
            <w:pPr>
              <w:jc w:val="both"/>
              <w:rPr>
                <w:iCs/>
                <w:sz w:val="24"/>
                <w:szCs w:val="24"/>
              </w:rPr>
            </w:pPr>
            <w:r w:rsidRPr="004F0FA3">
              <w:rPr>
                <w:iCs/>
                <w:sz w:val="24"/>
                <w:szCs w:val="24"/>
              </w:rPr>
              <w:t xml:space="preserve">Whilst safeguarding concerns, override a child’s consent, a child’s consent to intervention or information that may be shared regarding them is a factor of consideration. This is widely known as Gillick Competence. A child under the age of 16 is Gillick Competent if they can understand the nature and purpose of a decision and can weigh up the risk’s, benefits and alternatives and the likely long-term implications of that decision. The framework derives from the case of Gillick v West Norfolk and Wisbech AHA, where it was ascertained that parental authority is not absolute (Elliston, 2007). </w:t>
            </w:r>
          </w:p>
          <w:p w14:paraId="0A66512B" w14:textId="77777777" w:rsidR="005B4CC2" w:rsidRPr="004F0FA3" w:rsidRDefault="005B4CC2" w:rsidP="004F0FA3">
            <w:pPr>
              <w:jc w:val="both"/>
              <w:rPr>
                <w:iCs/>
                <w:sz w:val="24"/>
                <w:szCs w:val="24"/>
              </w:rPr>
            </w:pPr>
          </w:p>
          <w:p w14:paraId="742E81DD" w14:textId="77777777" w:rsidR="004F0FA3" w:rsidRDefault="004F0FA3" w:rsidP="004F0FA3">
            <w:pPr>
              <w:jc w:val="both"/>
              <w:rPr>
                <w:iCs/>
                <w:sz w:val="24"/>
                <w:szCs w:val="24"/>
              </w:rPr>
            </w:pPr>
            <w:r w:rsidRPr="004F0FA3">
              <w:rPr>
                <w:iCs/>
                <w:sz w:val="24"/>
                <w:szCs w:val="24"/>
              </w:rPr>
              <w:t xml:space="preserve">Consent is central to adult safeguarding with action requiring the adults’ consent unless the adult lacks mental capacity under the MCA 2005, a serious crime is suspected, there is a risk to others or there is coercion or control. Safeguarding adults can be viewed as taking an empowerment focused approach, while child safeguarding takes a protection-focused approach (Graham et al., 2013). </w:t>
            </w:r>
          </w:p>
          <w:p w14:paraId="736747A4" w14:textId="77777777" w:rsidR="005B4CC2" w:rsidRPr="004F0FA3" w:rsidRDefault="005B4CC2" w:rsidP="004F0FA3">
            <w:pPr>
              <w:jc w:val="both"/>
              <w:rPr>
                <w:iCs/>
                <w:sz w:val="24"/>
                <w:szCs w:val="24"/>
              </w:rPr>
            </w:pPr>
          </w:p>
          <w:p w14:paraId="3738EA2E" w14:textId="77777777" w:rsidR="004F0FA3" w:rsidRDefault="004F0FA3" w:rsidP="004F0FA3">
            <w:pPr>
              <w:jc w:val="both"/>
              <w:rPr>
                <w:iCs/>
                <w:sz w:val="24"/>
                <w:szCs w:val="24"/>
              </w:rPr>
            </w:pPr>
            <w:r w:rsidRPr="004F0FA3">
              <w:rPr>
                <w:iCs/>
                <w:sz w:val="24"/>
                <w:szCs w:val="24"/>
              </w:rPr>
              <w:t xml:space="preserve">The role of families also differs between both adult and child safeguarding processes, where families are likely to be centrally involved with child safeguarding processes through parental responsibility, this may differ with adults who according to their wishes may decide as to how </w:t>
            </w:r>
            <w:proofErr w:type="gramStart"/>
            <w:r w:rsidRPr="004F0FA3">
              <w:rPr>
                <w:iCs/>
                <w:sz w:val="24"/>
                <w:szCs w:val="24"/>
              </w:rPr>
              <w:t>involved</w:t>
            </w:r>
            <w:proofErr w:type="gramEnd"/>
            <w:r w:rsidRPr="004F0FA3">
              <w:rPr>
                <w:iCs/>
                <w:sz w:val="24"/>
                <w:szCs w:val="24"/>
              </w:rPr>
              <w:t xml:space="preserve"> they wish family members to be (Cross, Hubbard and Jubayer, 2022).</w:t>
            </w:r>
          </w:p>
          <w:p w14:paraId="7FC48BF9" w14:textId="77777777" w:rsidR="005B4CC2" w:rsidRPr="004F0FA3" w:rsidRDefault="005B4CC2" w:rsidP="004F0FA3">
            <w:pPr>
              <w:jc w:val="both"/>
              <w:rPr>
                <w:iCs/>
                <w:sz w:val="24"/>
                <w:szCs w:val="24"/>
              </w:rPr>
            </w:pPr>
          </w:p>
          <w:p w14:paraId="1D7CB9F5" w14:textId="0F6D1617" w:rsidR="004F0FA3" w:rsidRPr="004F0FA3" w:rsidRDefault="004F0FA3" w:rsidP="004F0FA3">
            <w:pPr>
              <w:jc w:val="both"/>
              <w:rPr>
                <w:iCs/>
                <w:sz w:val="24"/>
                <w:szCs w:val="24"/>
              </w:rPr>
            </w:pPr>
            <w:r w:rsidRPr="004F0FA3">
              <w:rPr>
                <w:iCs/>
                <w:sz w:val="24"/>
                <w:szCs w:val="24"/>
              </w:rPr>
              <w:t>Whilst shared legislative and organisational processes govern both child and adult safeguarding practice from the SSWBA 2014, the role</w:t>
            </w:r>
            <w:r w:rsidR="005B4CC2">
              <w:rPr>
                <w:iCs/>
                <w:sz w:val="24"/>
                <w:szCs w:val="24"/>
              </w:rPr>
              <w:t xml:space="preserve"> of</w:t>
            </w:r>
            <w:r w:rsidRPr="004F0FA3">
              <w:rPr>
                <w:iCs/>
                <w:sz w:val="24"/>
                <w:szCs w:val="24"/>
              </w:rPr>
              <w:t xml:space="preserve"> safeguarding boards</w:t>
            </w:r>
            <w:r w:rsidR="005B4CC2">
              <w:rPr>
                <w:iCs/>
                <w:sz w:val="24"/>
                <w:szCs w:val="24"/>
              </w:rPr>
              <w:t xml:space="preserve"> to </w:t>
            </w:r>
            <w:r w:rsidRPr="004F0FA3">
              <w:rPr>
                <w:iCs/>
                <w:sz w:val="24"/>
                <w:szCs w:val="24"/>
              </w:rPr>
              <w:t xml:space="preserve">the use of the Wales Safeguarding Procedures, different pathways and considerations exists in both areas in addition to influence from different legislation whether England and Wales specific such as the MCA 2005 and Children Act 1989 or wider Human rights based legislation and international statute (Williams, 2017). </w:t>
            </w:r>
          </w:p>
          <w:p w14:paraId="4F4138E6" w14:textId="77777777" w:rsidR="00B769FC" w:rsidRDefault="00B769FC" w:rsidP="00FC0334">
            <w:pPr>
              <w:jc w:val="both"/>
              <w:rPr>
                <w:iCs/>
                <w:sz w:val="24"/>
                <w:szCs w:val="24"/>
              </w:rPr>
            </w:pPr>
          </w:p>
          <w:p w14:paraId="18EE6E35" w14:textId="68469333" w:rsidR="004F0FA3" w:rsidRPr="00B769FC" w:rsidRDefault="004F0FA3" w:rsidP="00FC0334">
            <w:pPr>
              <w:jc w:val="both"/>
              <w:rPr>
                <w:iCs/>
                <w:sz w:val="24"/>
                <w:szCs w:val="24"/>
              </w:rPr>
            </w:pPr>
            <w:r>
              <w:rPr>
                <w:iCs/>
                <w:sz w:val="24"/>
                <w:szCs w:val="24"/>
              </w:rPr>
              <w:t>Wordcount: 43</w:t>
            </w:r>
            <w:r w:rsidR="005B4CC2">
              <w:rPr>
                <w:iCs/>
                <w:sz w:val="24"/>
                <w:szCs w:val="24"/>
              </w:rPr>
              <w:t>5</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063F58" w14:textId="77777777" w:rsidR="00DF7484" w:rsidRDefault="00DF7484">
      <w:r>
        <w:separator/>
      </w:r>
    </w:p>
  </w:endnote>
  <w:endnote w:type="continuationSeparator" w:id="0">
    <w:p w14:paraId="0CF65E2F" w14:textId="77777777" w:rsidR="00DF7484" w:rsidRDefault="00DF74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CE9C1E" w14:textId="77777777" w:rsidR="00DF7484" w:rsidRDefault="00DF7484">
      <w:r>
        <w:separator/>
      </w:r>
    </w:p>
  </w:footnote>
  <w:footnote w:type="continuationSeparator" w:id="0">
    <w:p w14:paraId="522415BF" w14:textId="77777777" w:rsidR="00DF7484" w:rsidRDefault="00DF74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113A"/>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4B5C"/>
    <w:rsid w:val="00385414"/>
    <w:rsid w:val="00390074"/>
    <w:rsid w:val="00392F73"/>
    <w:rsid w:val="00393600"/>
    <w:rsid w:val="0039762B"/>
    <w:rsid w:val="003A01D3"/>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0FA3"/>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B4CC2"/>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B7B50"/>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69FC"/>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53F2"/>
    <w:rsid w:val="00DF7484"/>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1197</Words>
  <Characters>6431</Characters>
  <Application>Microsoft Office Word</Application>
  <DocSecurity>0</DocSecurity>
  <Lines>149</Lines>
  <Paragraphs>45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Steffan William Chambers (PLANT)</cp:lastModifiedBy>
  <cp:revision>3</cp:revision>
  <cp:lastPrinted>2020-02-11T19:20:00Z</cp:lastPrinted>
  <dcterms:created xsi:type="dcterms:W3CDTF">2026-02-17T14:39:00Z</dcterms:created>
  <dcterms:modified xsi:type="dcterms:W3CDTF">2026-02-23T11:27:00Z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