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A7880" w14:textId="77777777" w:rsidR="00321D83" w:rsidRPr="000057AC" w:rsidRDefault="00321D83" w:rsidP="000057AC">
      <w:pPr>
        <w:pStyle w:val="Title"/>
        <w:jc w:val="center"/>
        <w:rPr>
          <w:rFonts w:ascii="Arial" w:hAnsi="Arial"/>
          <w:sz w:val="32"/>
          <w:szCs w:val="32"/>
        </w:rPr>
      </w:pPr>
      <w:bookmarkStart w:id="0" w:name="_b2ce1oupyms0" w:colFirst="0" w:colLast="0"/>
      <w:bookmarkStart w:id="1" w:name="_3enk00c3o44z" w:colFirst="0" w:colLast="0"/>
      <w:bookmarkStart w:id="2" w:name="_u2fhiqhirxs1" w:colFirst="0" w:colLast="0"/>
      <w:bookmarkEnd w:id="0"/>
      <w:bookmarkEnd w:id="1"/>
      <w:bookmarkEnd w:id="2"/>
      <w:r w:rsidRPr="000057AC">
        <w:rPr>
          <w:rFonts w:ascii="Arial" w:hAnsi="Arial"/>
          <w:noProof/>
          <w:sz w:val="32"/>
          <w:szCs w:val="32"/>
          <w:lang w:bidi="hi-IN"/>
        </w:rPr>
        <w:drawing>
          <wp:inline distT="114300" distB="114300" distL="114300" distR="114300" wp14:anchorId="27609139" wp14:editId="3EAFFE24">
            <wp:extent cx="3028950" cy="714375"/>
            <wp:effectExtent l="0" t="0" r="0" b="9525"/>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028950" cy="714375"/>
                    </a:xfrm>
                    <a:prstGeom prst="rect">
                      <a:avLst/>
                    </a:prstGeom>
                    <a:ln/>
                  </pic:spPr>
                </pic:pic>
              </a:graphicData>
            </a:graphic>
          </wp:inline>
        </w:drawing>
      </w:r>
    </w:p>
    <w:p w14:paraId="539D81EB" w14:textId="77777777" w:rsidR="00321D83" w:rsidRPr="000057AC" w:rsidRDefault="00321D83" w:rsidP="000057AC">
      <w:pPr>
        <w:pStyle w:val="Title"/>
        <w:jc w:val="center"/>
        <w:rPr>
          <w:rFonts w:ascii="Arial" w:hAnsi="Arial"/>
          <w:sz w:val="32"/>
          <w:szCs w:val="32"/>
        </w:rPr>
      </w:pPr>
      <w:proofErr w:type="spellStart"/>
      <w:r w:rsidRPr="000057AC">
        <w:rPr>
          <w:rFonts w:ascii="Arial" w:hAnsi="Arial"/>
          <w:sz w:val="32"/>
          <w:szCs w:val="32"/>
        </w:rPr>
        <w:t>Programme</w:t>
      </w:r>
      <w:proofErr w:type="spellEnd"/>
      <w:r w:rsidRPr="000057AC">
        <w:rPr>
          <w:rFonts w:ascii="Arial" w:hAnsi="Arial"/>
          <w:sz w:val="32"/>
          <w:szCs w:val="32"/>
        </w:rPr>
        <w:t>: MSc Public Health and Social Care in Practice</w:t>
      </w:r>
    </w:p>
    <w:p w14:paraId="1BAC08C4" w14:textId="6D4F08C9" w:rsidR="00B9570A" w:rsidRPr="000057AC" w:rsidRDefault="00321D83" w:rsidP="000057AC">
      <w:pPr>
        <w:pStyle w:val="Title"/>
        <w:jc w:val="center"/>
        <w:rPr>
          <w:rFonts w:ascii="Arial" w:hAnsi="Arial"/>
          <w:sz w:val="32"/>
          <w:szCs w:val="32"/>
        </w:rPr>
      </w:pPr>
      <w:r w:rsidRPr="000057AC">
        <w:rPr>
          <w:rFonts w:ascii="Arial" w:hAnsi="Arial"/>
          <w:sz w:val="32"/>
          <w:szCs w:val="32"/>
        </w:rPr>
        <w:t>Module code and Title: LCHS700</w:t>
      </w:r>
      <w:r w:rsidR="00B9570A" w:rsidRPr="000057AC">
        <w:rPr>
          <w:rFonts w:ascii="Arial" w:hAnsi="Arial"/>
          <w:sz w:val="32"/>
          <w:szCs w:val="32"/>
        </w:rPr>
        <w:t>2</w:t>
      </w:r>
      <w:r w:rsidRPr="000057AC">
        <w:rPr>
          <w:rFonts w:ascii="Arial" w:hAnsi="Arial"/>
          <w:sz w:val="32"/>
          <w:szCs w:val="32"/>
        </w:rPr>
        <w:t xml:space="preserve"> </w:t>
      </w:r>
      <w:r w:rsidR="00B9570A" w:rsidRPr="000057AC">
        <w:rPr>
          <w:rFonts w:ascii="Arial" w:hAnsi="Arial"/>
          <w:sz w:val="32"/>
          <w:szCs w:val="32"/>
        </w:rPr>
        <w:t xml:space="preserve">Health Care System </w:t>
      </w:r>
      <w:proofErr w:type="spellStart"/>
      <w:r w:rsidR="00B9570A" w:rsidRPr="000057AC">
        <w:rPr>
          <w:rFonts w:ascii="Arial" w:hAnsi="Arial"/>
          <w:sz w:val="32"/>
          <w:szCs w:val="32"/>
        </w:rPr>
        <w:t>Organisation</w:t>
      </w:r>
      <w:proofErr w:type="spellEnd"/>
      <w:r w:rsidR="00B9570A" w:rsidRPr="000057AC">
        <w:rPr>
          <w:rFonts w:ascii="Arial" w:hAnsi="Arial"/>
          <w:sz w:val="32"/>
          <w:szCs w:val="32"/>
        </w:rPr>
        <w:t xml:space="preserve"> and Leadership</w:t>
      </w:r>
    </w:p>
    <w:p w14:paraId="4C34BC93" w14:textId="5B08E0A0" w:rsidR="00321D83" w:rsidRPr="000057AC" w:rsidRDefault="00321D83" w:rsidP="000057AC">
      <w:pPr>
        <w:pStyle w:val="Title"/>
        <w:jc w:val="center"/>
        <w:rPr>
          <w:rFonts w:ascii="Arial" w:hAnsi="Arial"/>
          <w:sz w:val="32"/>
          <w:szCs w:val="32"/>
        </w:rPr>
      </w:pPr>
      <w:r w:rsidRPr="000057AC">
        <w:rPr>
          <w:rFonts w:ascii="Arial" w:hAnsi="Arial"/>
          <w:sz w:val="32"/>
          <w:szCs w:val="32"/>
        </w:rPr>
        <w:t xml:space="preserve">Student Name: </w:t>
      </w:r>
      <w:proofErr w:type="spellStart"/>
      <w:r w:rsidRPr="000057AC">
        <w:rPr>
          <w:rFonts w:ascii="Arial" w:hAnsi="Arial"/>
          <w:sz w:val="32"/>
          <w:szCs w:val="32"/>
        </w:rPr>
        <w:t>Swetaben</w:t>
      </w:r>
      <w:proofErr w:type="spellEnd"/>
      <w:r w:rsidRPr="000057AC">
        <w:rPr>
          <w:rFonts w:ascii="Arial" w:hAnsi="Arial"/>
          <w:sz w:val="32"/>
          <w:szCs w:val="32"/>
        </w:rPr>
        <w:t xml:space="preserve"> </w:t>
      </w:r>
      <w:proofErr w:type="spellStart"/>
      <w:r w:rsidRPr="000057AC">
        <w:rPr>
          <w:rFonts w:ascii="Arial" w:hAnsi="Arial"/>
          <w:sz w:val="32"/>
          <w:szCs w:val="32"/>
        </w:rPr>
        <w:t>Pravinbhai</w:t>
      </w:r>
      <w:proofErr w:type="spellEnd"/>
      <w:r w:rsidRPr="000057AC">
        <w:rPr>
          <w:rFonts w:ascii="Arial" w:hAnsi="Arial"/>
          <w:sz w:val="32"/>
          <w:szCs w:val="32"/>
        </w:rPr>
        <w:t xml:space="preserve"> Parmar</w:t>
      </w:r>
    </w:p>
    <w:p w14:paraId="1E3322FB" w14:textId="77777777" w:rsidR="00321D83" w:rsidRPr="000057AC" w:rsidRDefault="00321D83" w:rsidP="000057AC">
      <w:pPr>
        <w:pStyle w:val="Title"/>
        <w:jc w:val="center"/>
        <w:rPr>
          <w:rFonts w:ascii="Arial" w:hAnsi="Arial"/>
          <w:sz w:val="32"/>
          <w:szCs w:val="32"/>
        </w:rPr>
      </w:pPr>
      <w:r w:rsidRPr="000057AC">
        <w:rPr>
          <w:rFonts w:ascii="Arial" w:hAnsi="Arial"/>
          <w:sz w:val="32"/>
          <w:szCs w:val="32"/>
        </w:rPr>
        <w:t>Student ID: 2313017</w:t>
      </w:r>
    </w:p>
    <w:p w14:paraId="135C2B26" w14:textId="77777777" w:rsidR="006E691F" w:rsidRPr="000057AC" w:rsidRDefault="006E691F" w:rsidP="000057AC">
      <w:pPr>
        <w:pStyle w:val="Title"/>
        <w:jc w:val="center"/>
        <w:rPr>
          <w:rFonts w:ascii="Arial" w:hAnsi="Arial"/>
          <w:sz w:val="32"/>
          <w:szCs w:val="32"/>
        </w:rPr>
      </w:pPr>
      <w:r w:rsidRPr="000057AC">
        <w:rPr>
          <w:rFonts w:ascii="Arial" w:hAnsi="Arial"/>
          <w:sz w:val="32"/>
          <w:szCs w:val="32"/>
        </w:rPr>
        <w:t>Case Study Analysis Report</w:t>
      </w:r>
    </w:p>
    <w:p w14:paraId="47FD2D88" w14:textId="01EEE504" w:rsidR="00321D83" w:rsidRPr="000057AC" w:rsidRDefault="00321D83" w:rsidP="000057AC">
      <w:pPr>
        <w:pStyle w:val="Title"/>
        <w:jc w:val="center"/>
        <w:rPr>
          <w:rFonts w:ascii="Arial" w:hAnsi="Arial"/>
          <w:sz w:val="32"/>
          <w:szCs w:val="32"/>
        </w:rPr>
      </w:pPr>
      <w:r w:rsidRPr="000057AC">
        <w:rPr>
          <w:rFonts w:ascii="Arial" w:hAnsi="Arial"/>
          <w:sz w:val="32"/>
          <w:szCs w:val="32"/>
        </w:rPr>
        <w:t>Lecturer Name:</w:t>
      </w:r>
      <w:r w:rsidR="00BF3E5E">
        <w:rPr>
          <w:rFonts w:ascii="Arial" w:hAnsi="Arial"/>
          <w:sz w:val="32"/>
          <w:szCs w:val="32"/>
        </w:rPr>
        <w:t xml:space="preserve"> </w:t>
      </w:r>
      <w:r w:rsidR="00685C45">
        <w:rPr>
          <w:rFonts w:ascii="Arial" w:hAnsi="Arial"/>
          <w:sz w:val="32"/>
          <w:szCs w:val="32"/>
        </w:rPr>
        <w:t xml:space="preserve">Dr </w:t>
      </w:r>
      <w:r w:rsidR="00D703F7">
        <w:rPr>
          <w:rFonts w:ascii="Arial" w:hAnsi="Arial"/>
          <w:sz w:val="32"/>
          <w:szCs w:val="32"/>
        </w:rPr>
        <w:t>Pas</w:t>
      </w:r>
      <w:r w:rsidR="003308F6">
        <w:rPr>
          <w:rFonts w:ascii="Arial" w:hAnsi="Arial"/>
          <w:sz w:val="32"/>
          <w:szCs w:val="32"/>
        </w:rPr>
        <w:t>cal Navelle</w:t>
      </w:r>
    </w:p>
    <w:p w14:paraId="56C8A208" w14:textId="536FA7F5" w:rsidR="00321D83" w:rsidRPr="000057AC" w:rsidRDefault="00321D83" w:rsidP="000057AC">
      <w:pPr>
        <w:pStyle w:val="Title"/>
        <w:jc w:val="center"/>
        <w:rPr>
          <w:rFonts w:ascii="Arial" w:hAnsi="Arial"/>
          <w:sz w:val="32"/>
          <w:szCs w:val="32"/>
        </w:rPr>
      </w:pPr>
      <w:r w:rsidRPr="000057AC">
        <w:rPr>
          <w:rFonts w:ascii="Arial" w:hAnsi="Arial"/>
          <w:sz w:val="32"/>
          <w:szCs w:val="32"/>
        </w:rPr>
        <w:t>Words:</w:t>
      </w:r>
      <w:r w:rsidR="000057AC">
        <w:rPr>
          <w:rFonts w:ascii="Arial" w:hAnsi="Arial"/>
          <w:sz w:val="32"/>
          <w:szCs w:val="32"/>
        </w:rPr>
        <w:t xml:space="preserve"> 4714</w:t>
      </w:r>
    </w:p>
    <w:p w14:paraId="69FCEEC3" w14:textId="6A572D6A" w:rsidR="00321D83" w:rsidRPr="000057AC" w:rsidRDefault="00321D83" w:rsidP="000057AC">
      <w:pPr>
        <w:pStyle w:val="Title"/>
        <w:jc w:val="center"/>
        <w:rPr>
          <w:rFonts w:ascii="Arial" w:hAnsi="Arial"/>
          <w:sz w:val="32"/>
          <w:szCs w:val="32"/>
        </w:rPr>
      </w:pPr>
      <w:r w:rsidRPr="000057AC">
        <w:rPr>
          <w:rFonts w:ascii="Arial" w:hAnsi="Arial"/>
          <w:sz w:val="32"/>
          <w:szCs w:val="32"/>
        </w:rPr>
        <w:t>Submission Date: 1</w:t>
      </w:r>
      <w:r w:rsidR="00EB529E" w:rsidRPr="000057AC">
        <w:rPr>
          <w:rFonts w:ascii="Arial" w:hAnsi="Arial"/>
          <w:sz w:val="32"/>
          <w:szCs w:val="32"/>
        </w:rPr>
        <w:t xml:space="preserve">1 August </w:t>
      </w:r>
      <w:r w:rsidRPr="000057AC">
        <w:rPr>
          <w:rFonts w:ascii="Arial" w:hAnsi="Arial"/>
          <w:sz w:val="32"/>
          <w:szCs w:val="32"/>
        </w:rPr>
        <w:t>2026</w:t>
      </w:r>
    </w:p>
    <w:p w14:paraId="02B8EC40" w14:textId="48D68F5D" w:rsidR="00DA672A" w:rsidRPr="00B42C13" w:rsidRDefault="005A330C" w:rsidP="00344801">
      <w:pPr>
        <w:spacing w:before="240" w:after="240"/>
        <w:rPr>
          <w:rFonts w:ascii="Arial" w:hAnsi="Arial"/>
          <w:b/>
          <w:bCs/>
          <w:color w:val="000000" w:themeColor="text1"/>
          <w:sz w:val="22"/>
          <w:lang w:val="en-GB"/>
        </w:rPr>
      </w:pPr>
      <w:r w:rsidRPr="00B42C13">
        <w:rPr>
          <w:rFonts w:ascii="Arial" w:hAnsi="Arial"/>
          <w:b/>
          <w:bCs/>
          <w:color w:val="000000" w:themeColor="text1"/>
          <w:sz w:val="22"/>
          <w:lang w:val="en-GB"/>
        </w:rPr>
        <w:br w:type="page"/>
      </w:r>
    </w:p>
    <w:sdt>
      <w:sdtPr>
        <w:rPr>
          <w:rFonts w:ascii="Arial" w:eastAsia="Arial" w:hAnsi="Arial" w:cs="Arial"/>
          <w:color w:val="000000" w:themeColor="text1"/>
          <w:sz w:val="22"/>
          <w:szCs w:val="22"/>
          <w:lang w:val="en-GB" w:eastAsia="en-GB"/>
        </w:rPr>
        <w:id w:val="-659695907"/>
        <w:docPartObj>
          <w:docPartGallery w:val="Table of Contents"/>
          <w:docPartUnique/>
        </w:docPartObj>
      </w:sdtPr>
      <w:sdtEndPr>
        <w:rPr>
          <w:b/>
          <w:bCs/>
          <w:noProof/>
        </w:rPr>
      </w:sdtEndPr>
      <w:sdtContent>
        <w:p w14:paraId="13ABC3A5" w14:textId="59494E8C" w:rsidR="00DA672A" w:rsidRPr="00CC7FEE" w:rsidRDefault="00DA672A" w:rsidP="00344801">
          <w:pPr>
            <w:pStyle w:val="TOCHeading"/>
            <w:spacing w:after="240" w:line="360" w:lineRule="auto"/>
            <w:jc w:val="both"/>
            <w:rPr>
              <w:rFonts w:ascii="Arial" w:hAnsi="Arial" w:cs="Arial"/>
              <w:b/>
              <w:bCs/>
              <w:color w:val="000000" w:themeColor="text1"/>
              <w:sz w:val="22"/>
              <w:szCs w:val="22"/>
              <w:lang w:val="en-GB"/>
            </w:rPr>
          </w:pPr>
          <w:r w:rsidRPr="00CC7FEE">
            <w:rPr>
              <w:rFonts w:ascii="Arial" w:hAnsi="Arial" w:cs="Arial"/>
              <w:b/>
              <w:bCs/>
              <w:color w:val="000000" w:themeColor="text1"/>
              <w:sz w:val="22"/>
              <w:szCs w:val="22"/>
              <w:lang w:val="en-GB"/>
            </w:rPr>
            <w:t>Table of Contents</w:t>
          </w:r>
        </w:p>
        <w:p w14:paraId="30B25AA7" w14:textId="021BC41A" w:rsidR="00B22B19" w:rsidRPr="00CC7FEE" w:rsidRDefault="00DA672A">
          <w:pPr>
            <w:pStyle w:val="TOC1"/>
            <w:tabs>
              <w:tab w:val="right" w:leader="dot" w:pos="9350"/>
            </w:tabs>
            <w:rPr>
              <w:rFonts w:ascii="Arial" w:eastAsiaTheme="minorEastAsia" w:hAnsi="Arial"/>
              <w:noProof/>
              <w:color w:val="000000" w:themeColor="text1"/>
              <w:kern w:val="2"/>
              <w:sz w:val="22"/>
              <w:lang w:val="en-IN" w:eastAsia="en-IN" w:bidi="bn-IN"/>
              <w14:ligatures w14:val="standardContextual"/>
            </w:rPr>
          </w:pPr>
          <w:r w:rsidRPr="00CC7FEE">
            <w:rPr>
              <w:rFonts w:ascii="Arial" w:hAnsi="Arial"/>
              <w:color w:val="000000" w:themeColor="text1"/>
              <w:sz w:val="22"/>
              <w:lang w:val="en-GB"/>
            </w:rPr>
            <w:fldChar w:fldCharType="begin"/>
          </w:r>
          <w:r w:rsidRPr="00CC7FEE">
            <w:rPr>
              <w:rFonts w:ascii="Arial" w:hAnsi="Arial"/>
              <w:color w:val="000000" w:themeColor="text1"/>
              <w:sz w:val="22"/>
              <w:lang w:val="en-GB"/>
            </w:rPr>
            <w:instrText xml:space="preserve"> TOC \o "1-3" \h \z \u </w:instrText>
          </w:r>
          <w:r w:rsidRPr="00CC7FEE">
            <w:rPr>
              <w:rFonts w:ascii="Arial" w:hAnsi="Arial"/>
              <w:color w:val="000000" w:themeColor="text1"/>
              <w:sz w:val="22"/>
              <w:lang w:val="en-GB"/>
            </w:rPr>
            <w:fldChar w:fldCharType="separate"/>
          </w:r>
          <w:hyperlink w:anchor="_Toc236752154" w:history="1">
            <w:r w:rsidR="00B22B19" w:rsidRPr="00CC7FEE">
              <w:rPr>
                <w:rStyle w:val="Hyperlink"/>
                <w:rFonts w:ascii="Arial" w:eastAsia="Times New Roman" w:hAnsi="Arial"/>
                <w:bCs/>
                <w:noProof/>
                <w:color w:val="000000" w:themeColor="text1"/>
                <w:sz w:val="22"/>
                <w:lang w:val="en-GB"/>
              </w:rPr>
              <w:t>1. Introduction</w:t>
            </w:r>
            <w:r w:rsidR="00B22B19" w:rsidRPr="00CC7FEE">
              <w:rPr>
                <w:rFonts w:ascii="Arial" w:hAnsi="Arial"/>
                <w:noProof/>
                <w:webHidden/>
                <w:color w:val="000000" w:themeColor="text1"/>
                <w:sz w:val="22"/>
              </w:rPr>
              <w:tab/>
            </w:r>
            <w:r w:rsidR="00B22B19" w:rsidRPr="00CC7FEE">
              <w:rPr>
                <w:rFonts w:ascii="Arial" w:hAnsi="Arial"/>
                <w:noProof/>
                <w:webHidden/>
                <w:color w:val="000000" w:themeColor="text1"/>
                <w:sz w:val="22"/>
              </w:rPr>
              <w:fldChar w:fldCharType="begin"/>
            </w:r>
            <w:r w:rsidR="00B22B19" w:rsidRPr="00CC7FEE">
              <w:rPr>
                <w:rFonts w:ascii="Arial" w:hAnsi="Arial"/>
                <w:noProof/>
                <w:webHidden/>
                <w:color w:val="000000" w:themeColor="text1"/>
                <w:sz w:val="22"/>
              </w:rPr>
              <w:instrText xml:space="preserve"> PAGEREF _Toc236752154 \h </w:instrText>
            </w:r>
            <w:r w:rsidR="00B22B19" w:rsidRPr="00CC7FEE">
              <w:rPr>
                <w:rFonts w:ascii="Arial" w:hAnsi="Arial"/>
                <w:noProof/>
                <w:webHidden/>
                <w:color w:val="000000" w:themeColor="text1"/>
                <w:sz w:val="22"/>
              </w:rPr>
            </w:r>
            <w:r w:rsidR="00B22B19" w:rsidRPr="00CC7FEE">
              <w:rPr>
                <w:rFonts w:ascii="Arial" w:hAnsi="Arial"/>
                <w:noProof/>
                <w:webHidden/>
                <w:color w:val="000000" w:themeColor="text1"/>
                <w:sz w:val="22"/>
              </w:rPr>
              <w:fldChar w:fldCharType="separate"/>
            </w:r>
            <w:r w:rsidR="00B22B19" w:rsidRPr="00CC7FEE">
              <w:rPr>
                <w:rFonts w:ascii="Arial" w:hAnsi="Arial"/>
                <w:noProof/>
                <w:webHidden/>
                <w:color w:val="000000" w:themeColor="text1"/>
                <w:sz w:val="22"/>
              </w:rPr>
              <w:t>3</w:t>
            </w:r>
            <w:r w:rsidR="00B22B19" w:rsidRPr="00CC7FEE">
              <w:rPr>
                <w:rFonts w:ascii="Arial" w:hAnsi="Arial"/>
                <w:noProof/>
                <w:webHidden/>
                <w:color w:val="000000" w:themeColor="text1"/>
                <w:sz w:val="22"/>
              </w:rPr>
              <w:fldChar w:fldCharType="end"/>
            </w:r>
          </w:hyperlink>
        </w:p>
        <w:p w14:paraId="454C7609" w14:textId="4B705E16" w:rsidR="00B22B19" w:rsidRPr="00CC7FEE" w:rsidRDefault="00B22B19">
          <w:pPr>
            <w:pStyle w:val="TOC1"/>
            <w:tabs>
              <w:tab w:val="right" w:leader="dot" w:pos="9350"/>
            </w:tabs>
            <w:rPr>
              <w:rFonts w:ascii="Arial" w:eastAsiaTheme="minorEastAsia" w:hAnsi="Arial"/>
              <w:noProof/>
              <w:color w:val="000000" w:themeColor="text1"/>
              <w:kern w:val="2"/>
              <w:sz w:val="22"/>
              <w:lang w:val="en-IN" w:eastAsia="en-IN" w:bidi="bn-IN"/>
              <w14:ligatures w14:val="standardContextual"/>
            </w:rPr>
          </w:pPr>
          <w:hyperlink w:anchor="_Toc236752155" w:history="1">
            <w:r w:rsidRPr="00CC7FEE">
              <w:rPr>
                <w:rStyle w:val="Hyperlink"/>
                <w:rFonts w:ascii="Arial" w:hAnsi="Arial"/>
                <w:noProof/>
                <w:color w:val="000000" w:themeColor="text1"/>
                <w:sz w:val="22"/>
                <w:lang w:val="en-GB"/>
              </w:rPr>
              <w:t>2. Main Analysis</w:t>
            </w:r>
            <w:r w:rsidRPr="00CC7FEE">
              <w:rPr>
                <w:rFonts w:ascii="Arial" w:hAnsi="Arial"/>
                <w:noProof/>
                <w:webHidden/>
                <w:color w:val="000000" w:themeColor="text1"/>
                <w:sz w:val="22"/>
              </w:rPr>
              <w:tab/>
            </w:r>
            <w:r w:rsidRPr="00CC7FEE">
              <w:rPr>
                <w:rFonts w:ascii="Arial" w:hAnsi="Arial"/>
                <w:noProof/>
                <w:webHidden/>
                <w:color w:val="000000" w:themeColor="text1"/>
                <w:sz w:val="22"/>
              </w:rPr>
              <w:fldChar w:fldCharType="begin"/>
            </w:r>
            <w:r w:rsidRPr="00CC7FEE">
              <w:rPr>
                <w:rFonts w:ascii="Arial" w:hAnsi="Arial"/>
                <w:noProof/>
                <w:webHidden/>
                <w:color w:val="000000" w:themeColor="text1"/>
                <w:sz w:val="22"/>
              </w:rPr>
              <w:instrText xml:space="preserve"> PAGEREF _Toc236752155 \h </w:instrText>
            </w:r>
            <w:r w:rsidRPr="00CC7FEE">
              <w:rPr>
                <w:rFonts w:ascii="Arial" w:hAnsi="Arial"/>
                <w:noProof/>
                <w:webHidden/>
                <w:color w:val="000000" w:themeColor="text1"/>
                <w:sz w:val="22"/>
              </w:rPr>
            </w:r>
            <w:r w:rsidRPr="00CC7FEE">
              <w:rPr>
                <w:rFonts w:ascii="Arial" w:hAnsi="Arial"/>
                <w:noProof/>
                <w:webHidden/>
                <w:color w:val="000000" w:themeColor="text1"/>
                <w:sz w:val="22"/>
              </w:rPr>
              <w:fldChar w:fldCharType="separate"/>
            </w:r>
            <w:r w:rsidRPr="00CC7FEE">
              <w:rPr>
                <w:rFonts w:ascii="Arial" w:hAnsi="Arial"/>
                <w:noProof/>
                <w:webHidden/>
                <w:color w:val="000000" w:themeColor="text1"/>
                <w:sz w:val="22"/>
              </w:rPr>
              <w:t>4</w:t>
            </w:r>
            <w:r w:rsidRPr="00CC7FEE">
              <w:rPr>
                <w:rFonts w:ascii="Arial" w:hAnsi="Arial"/>
                <w:noProof/>
                <w:webHidden/>
                <w:color w:val="000000" w:themeColor="text1"/>
                <w:sz w:val="22"/>
              </w:rPr>
              <w:fldChar w:fldCharType="end"/>
            </w:r>
          </w:hyperlink>
        </w:p>
        <w:p w14:paraId="2159080B" w14:textId="2B2A5965" w:rsidR="00B22B19" w:rsidRPr="00CC7FEE" w:rsidRDefault="00B22B19">
          <w:pPr>
            <w:pStyle w:val="TOC2"/>
            <w:tabs>
              <w:tab w:val="right" w:leader="dot" w:pos="9350"/>
            </w:tabs>
            <w:rPr>
              <w:rFonts w:ascii="Arial" w:eastAsiaTheme="minorEastAsia" w:hAnsi="Arial"/>
              <w:noProof/>
              <w:color w:val="000000" w:themeColor="text1"/>
              <w:kern w:val="2"/>
              <w:sz w:val="22"/>
              <w:lang w:val="en-IN" w:eastAsia="en-IN" w:bidi="bn-IN"/>
              <w14:ligatures w14:val="standardContextual"/>
            </w:rPr>
          </w:pPr>
          <w:hyperlink w:anchor="_Toc236752156" w:history="1">
            <w:r w:rsidRPr="00CC7FEE">
              <w:rPr>
                <w:rStyle w:val="Hyperlink"/>
                <w:rFonts w:ascii="Arial" w:hAnsi="Arial"/>
                <w:noProof/>
                <w:color w:val="000000" w:themeColor="text1"/>
                <w:sz w:val="22"/>
                <w:lang w:val="en-GB"/>
              </w:rPr>
              <w:t>2.1 Identifying the Problem and Setting the System Context</w:t>
            </w:r>
            <w:r w:rsidRPr="00CC7FEE">
              <w:rPr>
                <w:rFonts w:ascii="Arial" w:hAnsi="Arial"/>
                <w:noProof/>
                <w:webHidden/>
                <w:color w:val="000000" w:themeColor="text1"/>
                <w:sz w:val="22"/>
              </w:rPr>
              <w:tab/>
            </w:r>
            <w:r w:rsidRPr="00CC7FEE">
              <w:rPr>
                <w:rFonts w:ascii="Arial" w:hAnsi="Arial"/>
                <w:noProof/>
                <w:webHidden/>
                <w:color w:val="000000" w:themeColor="text1"/>
                <w:sz w:val="22"/>
              </w:rPr>
              <w:fldChar w:fldCharType="begin"/>
            </w:r>
            <w:r w:rsidRPr="00CC7FEE">
              <w:rPr>
                <w:rFonts w:ascii="Arial" w:hAnsi="Arial"/>
                <w:noProof/>
                <w:webHidden/>
                <w:color w:val="000000" w:themeColor="text1"/>
                <w:sz w:val="22"/>
              </w:rPr>
              <w:instrText xml:space="preserve"> PAGEREF _Toc236752156 \h </w:instrText>
            </w:r>
            <w:r w:rsidRPr="00CC7FEE">
              <w:rPr>
                <w:rFonts w:ascii="Arial" w:hAnsi="Arial"/>
                <w:noProof/>
                <w:webHidden/>
                <w:color w:val="000000" w:themeColor="text1"/>
                <w:sz w:val="22"/>
              </w:rPr>
            </w:r>
            <w:r w:rsidRPr="00CC7FEE">
              <w:rPr>
                <w:rFonts w:ascii="Arial" w:hAnsi="Arial"/>
                <w:noProof/>
                <w:webHidden/>
                <w:color w:val="000000" w:themeColor="text1"/>
                <w:sz w:val="22"/>
              </w:rPr>
              <w:fldChar w:fldCharType="separate"/>
            </w:r>
            <w:r w:rsidRPr="00CC7FEE">
              <w:rPr>
                <w:rFonts w:ascii="Arial" w:hAnsi="Arial"/>
                <w:noProof/>
                <w:webHidden/>
                <w:color w:val="000000" w:themeColor="text1"/>
                <w:sz w:val="22"/>
              </w:rPr>
              <w:t>4</w:t>
            </w:r>
            <w:r w:rsidRPr="00CC7FEE">
              <w:rPr>
                <w:rFonts w:ascii="Arial" w:hAnsi="Arial"/>
                <w:noProof/>
                <w:webHidden/>
                <w:color w:val="000000" w:themeColor="text1"/>
                <w:sz w:val="22"/>
              </w:rPr>
              <w:fldChar w:fldCharType="end"/>
            </w:r>
          </w:hyperlink>
        </w:p>
        <w:p w14:paraId="6F96607D" w14:textId="260E151B" w:rsidR="00B22B19" w:rsidRPr="00CC7FEE" w:rsidRDefault="00B22B19">
          <w:pPr>
            <w:pStyle w:val="TOC2"/>
            <w:tabs>
              <w:tab w:val="right" w:leader="dot" w:pos="9350"/>
            </w:tabs>
            <w:rPr>
              <w:rFonts w:ascii="Arial" w:eastAsiaTheme="minorEastAsia" w:hAnsi="Arial"/>
              <w:noProof/>
              <w:color w:val="000000" w:themeColor="text1"/>
              <w:kern w:val="2"/>
              <w:sz w:val="22"/>
              <w:lang w:val="en-IN" w:eastAsia="en-IN" w:bidi="bn-IN"/>
              <w14:ligatures w14:val="standardContextual"/>
            </w:rPr>
          </w:pPr>
          <w:hyperlink w:anchor="_Toc236752157" w:history="1">
            <w:r w:rsidRPr="00CC7FEE">
              <w:rPr>
                <w:rStyle w:val="Hyperlink"/>
                <w:rFonts w:ascii="Arial" w:hAnsi="Arial"/>
                <w:noProof/>
                <w:color w:val="000000" w:themeColor="text1"/>
                <w:sz w:val="22"/>
                <w:lang w:val="en-GB"/>
              </w:rPr>
              <w:t>2.2 Centralisation versus Decentralisation</w:t>
            </w:r>
            <w:r w:rsidRPr="00CC7FEE">
              <w:rPr>
                <w:rFonts w:ascii="Arial" w:hAnsi="Arial"/>
                <w:noProof/>
                <w:webHidden/>
                <w:color w:val="000000" w:themeColor="text1"/>
                <w:sz w:val="22"/>
              </w:rPr>
              <w:tab/>
            </w:r>
            <w:r w:rsidRPr="00CC7FEE">
              <w:rPr>
                <w:rFonts w:ascii="Arial" w:hAnsi="Arial"/>
                <w:noProof/>
                <w:webHidden/>
                <w:color w:val="000000" w:themeColor="text1"/>
                <w:sz w:val="22"/>
              </w:rPr>
              <w:fldChar w:fldCharType="begin"/>
            </w:r>
            <w:r w:rsidRPr="00CC7FEE">
              <w:rPr>
                <w:rFonts w:ascii="Arial" w:hAnsi="Arial"/>
                <w:noProof/>
                <w:webHidden/>
                <w:color w:val="000000" w:themeColor="text1"/>
                <w:sz w:val="22"/>
              </w:rPr>
              <w:instrText xml:space="preserve"> PAGEREF _Toc236752157 \h </w:instrText>
            </w:r>
            <w:r w:rsidRPr="00CC7FEE">
              <w:rPr>
                <w:rFonts w:ascii="Arial" w:hAnsi="Arial"/>
                <w:noProof/>
                <w:webHidden/>
                <w:color w:val="000000" w:themeColor="text1"/>
                <w:sz w:val="22"/>
              </w:rPr>
            </w:r>
            <w:r w:rsidRPr="00CC7FEE">
              <w:rPr>
                <w:rFonts w:ascii="Arial" w:hAnsi="Arial"/>
                <w:noProof/>
                <w:webHidden/>
                <w:color w:val="000000" w:themeColor="text1"/>
                <w:sz w:val="22"/>
              </w:rPr>
              <w:fldChar w:fldCharType="separate"/>
            </w:r>
            <w:r w:rsidRPr="00CC7FEE">
              <w:rPr>
                <w:rFonts w:ascii="Arial" w:hAnsi="Arial"/>
                <w:noProof/>
                <w:webHidden/>
                <w:color w:val="000000" w:themeColor="text1"/>
                <w:sz w:val="22"/>
              </w:rPr>
              <w:t>8</w:t>
            </w:r>
            <w:r w:rsidRPr="00CC7FEE">
              <w:rPr>
                <w:rFonts w:ascii="Arial" w:hAnsi="Arial"/>
                <w:noProof/>
                <w:webHidden/>
                <w:color w:val="000000" w:themeColor="text1"/>
                <w:sz w:val="22"/>
              </w:rPr>
              <w:fldChar w:fldCharType="end"/>
            </w:r>
          </w:hyperlink>
        </w:p>
        <w:p w14:paraId="77009B16" w14:textId="5E44A01F" w:rsidR="00B22B19" w:rsidRPr="00CC7FEE" w:rsidRDefault="00B22B19">
          <w:pPr>
            <w:pStyle w:val="TOC2"/>
            <w:tabs>
              <w:tab w:val="right" w:leader="dot" w:pos="9350"/>
            </w:tabs>
            <w:rPr>
              <w:rFonts w:ascii="Arial" w:eastAsiaTheme="minorEastAsia" w:hAnsi="Arial"/>
              <w:noProof/>
              <w:color w:val="000000" w:themeColor="text1"/>
              <w:kern w:val="2"/>
              <w:sz w:val="22"/>
              <w:lang w:val="en-IN" w:eastAsia="en-IN" w:bidi="bn-IN"/>
              <w14:ligatures w14:val="standardContextual"/>
            </w:rPr>
          </w:pPr>
          <w:hyperlink w:anchor="_Toc236752158" w:history="1">
            <w:r w:rsidRPr="00CC7FEE">
              <w:rPr>
                <w:rStyle w:val="Hyperlink"/>
                <w:rFonts w:ascii="Arial" w:hAnsi="Arial"/>
                <w:noProof/>
                <w:color w:val="000000" w:themeColor="text1"/>
                <w:sz w:val="22"/>
                <w:lang w:val="en-GB"/>
              </w:rPr>
              <w:t>2.3 Leadership Theories and Application</w:t>
            </w:r>
            <w:r w:rsidRPr="00CC7FEE">
              <w:rPr>
                <w:rFonts w:ascii="Arial" w:hAnsi="Arial"/>
                <w:noProof/>
                <w:webHidden/>
                <w:color w:val="000000" w:themeColor="text1"/>
                <w:sz w:val="22"/>
              </w:rPr>
              <w:tab/>
            </w:r>
            <w:r w:rsidRPr="00CC7FEE">
              <w:rPr>
                <w:rFonts w:ascii="Arial" w:hAnsi="Arial"/>
                <w:noProof/>
                <w:webHidden/>
                <w:color w:val="000000" w:themeColor="text1"/>
                <w:sz w:val="22"/>
              </w:rPr>
              <w:fldChar w:fldCharType="begin"/>
            </w:r>
            <w:r w:rsidRPr="00CC7FEE">
              <w:rPr>
                <w:rFonts w:ascii="Arial" w:hAnsi="Arial"/>
                <w:noProof/>
                <w:webHidden/>
                <w:color w:val="000000" w:themeColor="text1"/>
                <w:sz w:val="22"/>
              </w:rPr>
              <w:instrText xml:space="preserve"> PAGEREF _Toc236752158 \h </w:instrText>
            </w:r>
            <w:r w:rsidRPr="00CC7FEE">
              <w:rPr>
                <w:rFonts w:ascii="Arial" w:hAnsi="Arial"/>
                <w:noProof/>
                <w:webHidden/>
                <w:color w:val="000000" w:themeColor="text1"/>
                <w:sz w:val="22"/>
              </w:rPr>
            </w:r>
            <w:r w:rsidRPr="00CC7FEE">
              <w:rPr>
                <w:rFonts w:ascii="Arial" w:hAnsi="Arial"/>
                <w:noProof/>
                <w:webHidden/>
                <w:color w:val="000000" w:themeColor="text1"/>
                <w:sz w:val="22"/>
              </w:rPr>
              <w:fldChar w:fldCharType="separate"/>
            </w:r>
            <w:r w:rsidRPr="00CC7FEE">
              <w:rPr>
                <w:rFonts w:ascii="Arial" w:hAnsi="Arial"/>
                <w:noProof/>
                <w:webHidden/>
                <w:color w:val="000000" w:themeColor="text1"/>
                <w:sz w:val="22"/>
              </w:rPr>
              <w:t>11</w:t>
            </w:r>
            <w:r w:rsidRPr="00CC7FEE">
              <w:rPr>
                <w:rFonts w:ascii="Arial" w:hAnsi="Arial"/>
                <w:noProof/>
                <w:webHidden/>
                <w:color w:val="000000" w:themeColor="text1"/>
                <w:sz w:val="22"/>
              </w:rPr>
              <w:fldChar w:fldCharType="end"/>
            </w:r>
          </w:hyperlink>
        </w:p>
        <w:p w14:paraId="6D4A889C" w14:textId="18D42846" w:rsidR="00B22B19" w:rsidRPr="00CC7FEE" w:rsidRDefault="00B22B19">
          <w:pPr>
            <w:pStyle w:val="TOC2"/>
            <w:tabs>
              <w:tab w:val="right" w:leader="dot" w:pos="9350"/>
            </w:tabs>
            <w:rPr>
              <w:rFonts w:ascii="Arial" w:eastAsiaTheme="minorEastAsia" w:hAnsi="Arial"/>
              <w:noProof/>
              <w:color w:val="000000" w:themeColor="text1"/>
              <w:kern w:val="2"/>
              <w:sz w:val="22"/>
              <w:lang w:val="en-IN" w:eastAsia="en-IN" w:bidi="bn-IN"/>
              <w14:ligatures w14:val="standardContextual"/>
            </w:rPr>
          </w:pPr>
          <w:hyperlink w:anchor="_Toc236752159" w:history="1">
            <w:r w:rsidRPr="00CC7FEE">
              <w:rPr>
                <w:rStyle w:val="Hyperlink"/>
                <w:rFonts w:ascii="Arial" w:hAnsi="Arial"/>
                <w:noProof/>
                <w:color w:val="000000" w:themeColor="text1"/>
                <w:sz w:val="22"/>
                <w:lang w:val="en-GB"/>
              </w:rPr>
              <w:t>2.4 Improvement and Lessons Learned</w:t>
            </w:r>
            <w:r w:rsidRPr="00CC7FEE">
              <w:rPr>
                <w:rFonts w:ascii="Arial" w:hAnsi="Arial"/>
                <w:noProof/>
                <w:webHidden/>
                <w:color w:val="000000" w:themeColor="text1"/>
                <w:sz w:val="22"/>
              </w:rPr>
              <w:tab/>
            </w:r>
            <w:r w:rsidRPr="00CC7FEE">
              <w:rPr>
                <w:rFonts w:ascii="Arial" w:hAnsi="Arial"/>
                <w:noProof/>
                <w:webHidden/>
                <w:color w:val="000000" w:themeColor="text1"/>
                <w:sz w:val="22"/>
              </w:rPr>
              <w:fldChar w:fldCharType="begin"/>
            </w:r>
            <w:r w:rsidRPr="00CC7FEE">
              <w:rPr>
                <w:rFonts w:ascii="Arial" w:hAnsi="Arial"/>
                <w:noProof/>
                <w:webHidden/>
                <w:color w:val="000000" w:themeColor="text1"/>
                <w:sz w:val="22"/>
              </w:rPr>
              <w:instrText xml:space="preserve"> PAGEREF _Toc236752159 \h </w:instrText>
            </w:r>
            <w:r w:rsidRPr="00CC7FEE">
              <w:rPr>
                <w:rFonts w:ascii="Arial" w:hAnsi="Arial"/>
                <w:noProof/>
                <w:webHidden/>
                <w:color w:val="000000" w:themeColor="text1"/>
                <w:sz w:val="22"/>
              </w:rPr>
            </w:r>
            <w:r w:rsidRPr="00CC7FEE">
              <w:rPr>
                <w:rFonts w:ascii="Arial" w:hAnsi="Arial"/>
                <w:noProof/>
                <w:webHidden/>
                <w:color w:val="000000" w:themeColor="text1"/>
                <w:sz w:val="22"/>
              </w:rPr>
              <w:fldChar w:fldCharType="separate"/>
            </w:r>
            <w:r w:rsidRPr="00CC7FEE">
              <w:rPr>
                <w:rFonts w:ascii="Arial" w:hAnsi="Arial"/>
                <w:noProof/>
                <w:webHidden/>
                <w:color w:val="000000" w:themeColor="text1"/>
                <w:sz w:val="22"/>
              </w:rPr>
              <w:t>13</w:t>
            </w:r>
            <w:r w:rsidRPr="00CC7FEE">
              <w:rPr>
                <w:rFonts w:ascii="Arial" w:hAnsi="Arial"/>
                <w:noProof/>
                <w:webHidden/>
                <w:color w:val="000000" w:themeColor="text1"/>
                <w:sz w:val="22"/>
              </w:rPr>
              <w:fldChar w:fldCharType="end"/>
            </w:r>
          </w:hyperlink>
        </w:p>
        <w:p w14:paraId="5F67BEFB" w14:textId="5CC8E317" w:rsidR="00B22B19" w:rsidRPr="00CC7FEE" w:rsidRDefault="00B22B19">
          <w:pPr>
            <w:pStyle w:val="TOC1"/>
            <w:tabs>
              <w:tab w:val="right" w:leader="dot" w:pos="9350"/>
            </w:tabs>
            <w:rPr>
              <w:rFonts w:ascii="Arial" w:eastAsiaTheme="minorEastAsia" w:hAnsi="Arial"/>
              <w:noProof/>
              <w:color w:val="000000" w:themeColor="text1"/>
              <w:kern w:val="2"/>
              <w:sz w:val="22"/>
              <w:lang w:val="en-IN" w:eastAsia="en-IN" w:bidi="bn-IN"/>
              <w14:ligatures w14:val="standardContextual"/>
            </w:rPr>
          </w:pPr>
          <w:hyperlink w:anchor="_Toc236752160" w:history="1">
            <w:r w:rsidRPr="00CC7FEE">
              <w:rPr>
                <w:rStyle w:val="Hyperlink"/>
                <w:rFonts w:ascii="Arial" w:hAnsi="Arial"/>
                <w:noProof/>
                <w:color w:val="000000" w:themeColor="text1"/>
                <w:sz w:val="22"/>
                <w:lang w:val="en-GB"/>
              </w:rPr>
              <w:t>3. Recommendations</w:t>
            </w:r>
            <w:r w:rsidRPr="00CC7FEE">
              <w:rPr>
                <w:rFonts w:ascii="Arial" w:hAnsi="Arial"/>
                <w:noProof/>
                <w:webHidden/>
                <w:color w:val="000000" w:themeColor="text1"/>
                <w:sz w:val="22"/>
              </w:rPr>
              <w:tab/>
            </w:r>
            <w:r w:rsidRPr="00CC7FEE">
              <w:rPr>
                <w:rFonts w:ascii="Arial" w:hAnsi="Arial"/>
                <w:noProof/>
                <w:webHidden/>
                <w:color w:val="000000" w:themeColor="text1"/>
                <w:sz w:val="22"/>
              </w:rPr>
              <w:fldChar w:fldCharType="begin"/>
            </w:r>
            <w:r w:rsidRPr="00CC7FEE">
              <w:rPr>
                <w:rFonts w:ascii="Arial" w:hAnsi="Arial"/>
                <w:noProof/>
                <w:webHidden/>
                <w:color w:val="000000" w:themeColor="text1"/>
                <w:sz w:val="22"/>
              </w:rPr>
              <w:instrText xml:space="preserve"> PAGEREF _Toc236752160 \h </w:instrText>
            </w:r>
            <w:r w:rsidRPr="00CC7FEE">
              <w:rPr>
                <w:rFonts w:ascii="Arial" w:hAnsi="Arial"/>
                <w:noProof/>
                <w:webHidden/>
                <w:color w:val="000000" w:themeColor="text1"/>
                <w:sz w:val="22"/>
              </w:rPr>
            </w:r>
            <w:r w:rsidRPr="00CC7FEE">
              <w:rPr>
                <w:rFonts w:ascii="Arial" w:hAnsi="Arial"/>
                <w:noProof/>
                <w:webHidden/>
                <w:color w:val="000000" w:themeColor="text1"/>
                <w:sz w:val="22"/>
              </w:rPr>
              <w:fldChar w:fldCharType="separate"/>
            </w:r>
            <w:r w:rsidRPr="00CC7FEE">
              <w:rPr>
                <w:rFonts w:ascii="Arial" w:hAnsi="Arial"/>
                <w:noProof/>
                <w:webHidden/>
                <w:color w:val="000000" w:themeColor="text1"/>
                <w:sz w:val="22"/>
              </w:rPr>
              <w:t>15</w:t>
            </w:r>
            <w:r w:rsidRPr="00CC7FEE">
              <w:rPr>
                <w:rFonts w:ascii="Arial" w:hAnsi="Arial"/>
                <w:noProof/>
                <w:webHidden/>
                <w:color w:val="000000" w:themeColor="text1"/>
                <w:sz w:val="22"/>
              </w:rPr>
              <w:fldChar w:fldCharType="end"/>
            </w:r>
          </w:hyperlink>
        </w:p>
        <w:p w14:paraId="2A169C32" w14:textId="61656929" w:rsidR="00B22B19" w:rsidRPr="00CC7FEE" w:rsidRDefault="00B22B19">
          <w:pPr>
            <w:pStyle w:val="TOC1"/>
            <w:tabs>
              <w:tab w:val="right" w:leader="dot" w:pos="9350"/>
            </w:tabs>
            <w:rPr>
              <w:rFonts w:ascii="Arial" w:eastAsiaTheme="minorEastAsia" w:hAnsi="Arial"/>
              <w:noProof/>
              <w:color w:val="000000" w:themeColor="text1"/>
              <w:kern w:val="2"/>
              <w:sz w:val="22"/>
              <w:lang w:val="en-IN" w:eastAsia="en-IN" w:bidi="bn-IN"/>
              <w14:ligatures w14:val="standardContextual"/>
            </w:rPr>
          </w:pPr>
          <w:hyperlink w:anchor="_Toc236752161" w:history="1">
            <w:r w:rsidRPr="00CC7FEE">
              <w:rPr>
                <w:rStyle w:val="Hyperlink"/>
                <w:rFonts w:ascii="Arial" w:hAnsi="Arial"/>
                <w:noProof/>
                <w:color w:val="000000" w:themeColor="text1"/>
                <w:sz w:val="22"/>
                <w:lang w:val="en-GB"/>
              </w:rPr>
              <w:t>4. Conclusion</w:t>
            </w:r>
            <w:r w:rsidRPr="00CC7FEE">
              <w:rPr>
                <w:rFonts w:ascii="Arial" w:hAnsi="Arial"/>
                <w:noProof/>
                <w:webHidden/>
                <w:color w:val="000000" w:themeColor="text1"/>
                <w:sz w:val="22"/>
              </w:rPr>
              <w:tab/>
            </w:r>
            <w:r w:rsidRPr="00CC7FEE">
              <w:rPr>
                <w:rFonts w:ascii="Arial" w:hAnsi="Arial"/>
                <w:noProof/>
                <w:webHidden/>
                <w:color w:val="000000" w:themeColor="text1"/>
                <w:sz w:val="22"/>
              </w:rPr>
              <w:fldChar w:fldCharType="begin"/>
            </w:r>
            <w:r w:rsidRPr="00CC7FEE">
              <w:rPr>
                <w:rFonts w:ascii="Arial" w:hAnsi="Arial"/>
                <w:noProof/>
                <w:webHidden/>
                <w:color w:val="000000" w:themeColor="text1"/>
                <w:sz w:val="22"/>
              </w:rPr>
              <w:instrText xml:space="preserve"> PAGEREF _Toc236752161 \h </w:instrText>
            </w:r>
            <w:r w:rsidRPr="00CC7FEE">
              <w:rPr>
                <w:rFonts w:ascii="Arial" w:hAnsi="Arial"/>
                <w:noProof/>
                <w:webHidden/>
                <w:color w:val="000000" w:themeColor="text1"/>
                <w:sz w:val="22"/>
              </w:rPr>
            </w:r>
            <w:r w:rsidRPr="00CC7FEE">
              <w:rPr>
                <w:rFonts w:ascii="Arial" w:hAnsi="Arial"/>
                <w:noProof/>
                <w:webHidden/>
                <w:color w:val="000000" w:themeColor="text1"/>
                <w:sz w:val="22"/>
              </w:rPr>
              <w:fldChar w:fldCharType="separate"/>
            </w:r>
            <w:r w:rsidRPr="00CC7FEE">
              <w:rPr>
                <w:rFonts w:ascii="Arial" w:hAnsi="Arial"/>
                <w:noProof/>
                <w:webHidden/>
                <w:color w:val="000000" w:themeColor="text1"/>
                <w:sz w:val="22"/>
              </w:rPr>
              <w:t>17</w:t>
            </w:r>
            <w:r w:rsidRPr="00CC7FEE">
              <w:rPr>
                <w:rFonts w:ascii="Arial" w:hAnsi="Arial"/>
                <w:noProof/>
                <w:webHidden/>
                <w:color w:val="000000" w:themeColor="text1"/>
                <w:sz w:val="22"/>
              </w:rPr>
              <w:fldChar w:fldCharType="end"/>
            </w:r>
          </w:hyperlink>
        </w:p>
        <w:p w14:paraId="4072EB0D" w14:textId="763477ED" w:rsidR="00B22B19" w:rsidRPr="00CC7FEE" w:rsidRDefault="00B22B19">
          <w:pPr>
            <w:pStyle w:val="TOC1"/>
            <w:tabs>
              <w:tab w:val="right" w:leader="dot" w:pos="9350"/>
            </w:tabs>
            <w:rPr>
              <w:rFonts w:ascii="Arial" w:eastAsiaTheme="minorEastAsia" w:hAnsi="Arial"/>
              <w:noProof/>
              <w:color w:val="000000" w:themeColor="text1"/>
              <w:kern w:val="2"/>
              <w:sz w:val="22"/>
              <w:lang w:val="en-IN" w:eastAsia="en-IN" w:bidi="bn-IN"/>
              <w14:ligatures w14:val="standardContextual"/>
            </w:rPr>
          </w:pPr>
          <w:hyperlink w:anchor="_Toc236752162" w:history="1">
            <w:r w:rsidRPr="00CC7FEE">
              <w:rPr>
                <w:rStyle w:val="Hyperlink"/>
                <w:rFonts w:ascii="Arial" w:hAnsi="Arial"/>
                <w:noProof/>
                <w:color w:val="000000" w:themeColor="text1"/>
                <w:sz w:val="22"/>
                <w:lang w:val="en-GB"/>
              </w:rPr>
              <w:t>References</w:t>
            </w:r>
            <w:r w:rsidRPr="00CC7FEE">
              <w:rPr>
                <w:rFonts w:ascii="Arial" w:hAnsi="Arial"/>
                <w:noProof/>
                <w:webHidden/>
                <w:color w:val="000000" w:themeColor="text1"/>
                <w:sz w:val="22"/>
              </w:rPr>
              <w:tab/>
            </w:r>
            <w:r w:rsidRPr="00CC7FEE">
              <w:rPr>
                <w:rFonts w:ascii="Arial" w:hAnsi="Arial"/>
                <w:noProof/>
                <w:webHidden/>
                <w:color w:val="000000" w:themeColor="text1"/>
                <w:sz w:val="22"/>
              </w:rPr>
              <w:fldChar w:fldCharType="begin"/>
            </w:r>
            <w:r w:rsidRPr="00CC7FEE">
              <w:rPr>
                <w:rFonts w:ascii="Arial" w:hAnsi="Arial"/>
                <w:noProof/>
                <w:webHidden/>
                <w:color w:val="000000" w:themeColor="text1"/>
                <w:sz w:val="22"/>
              </w:rPr>
              <w:instrText xml:space="preserve"> PAGEREF _Toc236752162 \h </w:instrText>
            </w:r>
            <w:r w:rsidRPr="00CC7FEE">
              <w:rPr>
                <w:rFonts w:ascii="Arial" w:hAnsi="Arial"/>
                <w:noProof/>
                <w:webHidden/>
                <w:color w:val="000000" w:themeColor="text1"/>
                <w:sz w:val="22"/>
              </w:rPr>
            </w:r>
            <w:r w:rsidRPr="00CC7FEE">
              <w:rPr>
                <w:rFonts w:ascii="Arial" w:hAnsi="Arial"/>
                <w:noProof/>
                <w:webHidden/>
                <w:color w:val="000000" w:themeColor="text1"/>
                <w:sz w:val="22"/>
              </w:rPr>
              <w:fldChar w:fldCharType="separate"/>
            </w:r>
            <w:r w:rsidRPr="00CC7FEE">
              <w:rPr>
                <w:rFonts w:ascii="Arial" w:hAnsi="Arial"/>
                <w:noProof/>
                <w:webHidden/>
                <w:color w:val="000000" w:themeColor="text1"/>
                <w:sz w:val="22"/>
              </w:rPr>
              <w:t>18</w:t>
            </w:r>
            <w:r w:rsidRPr="00CC7FEE">
              <w:rPr>
                <w:rFonts w:ascii="Arial" w:hAnsi="Arial"/>
                <w:noProof/>
                <w:webHidden/>
                <w:color w:val="000000" w:themeColor="text1"/>
                <w:sz w:val="22"/>
              </w:rPr>
              <w:fldChar w:fldCharType="end"/>
            </w:r>
          </w:hyperlink>
        </w:p>
        <w:p w14:paraId="3F7D4CE2" w14:textId="13B0371B" w:rsidR="00DA672A" w:rsidRPr="00B42C13" w:rsidRDefault="00DA672A" w:rsidP="00344801">
          <w:pPr>
            <w:spacing w:before="240" w:after="240"/>
            <w:rPr>
              <w:rFonts w:ascii="Arial" w:hAnsi="Arial"/>
              <w:color w:val="000000" w:themeColor="text1"/>
              <w:sz w:val="22"/>
              <w:lang w:val="en-GB"/>
            </w:rPr>
          </w:pPr>
          <w:r w:rsidRPr="00CC7FEE">
            <w:rPr>
              <w:rFonts w:ascii="Arial" w:hAnsi="Arial"/>
              <w:b/>
              <w:bCs/>
              <w:noProof/>
              <w:color w:val="000000" w:themeColor="text1"/>
              <w:sz w:val="22"/>
              <w:lang w:val="en-GB"/>
            </w:rPr>
            <w:fldChar w:fldCharType="end"/>
          </w:r>
        </w:p>
      </w:sdtContent>
    </w:sdt>
    <w:p w14:paraId="55328C09" w14:textId="77777777" w:rsidR="00F34D4C" w:rsidRPr="00B42C13" w:rsidRDefault="00F34D4C" w:rsidP="00344801">
      <w:pPr>
        <w:spacing w:before="240" w:after="240"/>
        <w:rPr>
          <w:rFonts w:ascii="Arial" w:hAnsi="Arial"/>
          <w:b/>
          <w:bCs/>
          <w:color w:val="000000" w:themeColor="text1"/>
          <w:sz w:val="22"/>
          <w:lang w:val="en-GB"/>
        </w:rPr>
      </w:pPr>
    </w:p>
    <w:p w14:paraId="431AED79" w14:textId="77777777" w:rsidR="00DA672A" w:rsidRPr="00B42C13" w:rsidRDefault="00DA672A" w:rsidP="00344801">
      <w:pPr>
        <w:spacing w:before="240" w:after="240"/>
        <w:rPr>
          <w:rFonts w:ascii="Arial" w:eastAsia="Times New Roman" w:hAnsi="Arial"/>
          <w:b/>
          <w:bCs/>
          <w:color w:val="000000" w:themeColor="text1"/>
          <w:sz w:val="22"/>
          <w:lang w:val="en-GB"/>
        </w:rPr>
      </w:pPr>
      <w:bookmarkStart w:id="3" w:name="_kexesjle3ml3" w:colFirst="0" w:colLast="0"/>
      <w:bookmarkEnd w:id="3"/>
      <w:r w:rsidRPr="00B42C13">
        <w:rPr>
          <w:rFonts w:ascii="Arial" w:eastAsia="Times New Roman" w:hAnsi="Arial"/>
          <w:bCs/>
          <w:color w:val="000000" w:themeColor="text1"/>
          <w:sz w:val="22"/>
          <w:lang w:val="en-GB"/>
        </w:rPr>
        <w:br w:type="page"/>
      </w:r>
    </w:p>
    <w:p w14:paraId="0B4C0EF9" w14:textId="7FA3B663" w:rsidR="00F34D4C" w:rsidRPr="00B42C13" w:rsidRDefault="00863DA2" w:rsidP="00344801">
      <w:pPr>
        <w:pStyle w:val="Heading1"/>
        <w:keepNext w:val="0"/>
        <w:keepLines w:val="0"/>
        <w:spacing w:before="240" w:after="240"/>
        <w:rPr>
          <w:rFonts w:ascii="Arial" w:eastAsia="Times New Roman" w:hAnsi="Arial"/>
          <w:b w:val="0"/>
          <w:bCs/>
          <w:color w:val="000000" w:themeColor="text1"/>
          <w:sz w:val="22"/>
          <w:szCs w:val="22"/>
          <w:lang w:val="en-GB"/>
        </w:rPr>
      </w:pPr>
      <w:bookmarkStart w:id="4" w:name="_Toc236752154"/>
      <w:r w:rsidRPr="00B42C13">
        <w:rPr>
          <w:rFonts w:ascii="Arial" w:eastAsia="Times New Roman" w:hAnsi="Arial"/>
          <w:bCs/>
          <w:color w:val="000000" w:themeColor="text1"/>
          <w:sz w:val="22"/>
          <w:szCs w:val="22"/>
          <w:lang w:val="en-GB"/>
        </w:rPr>
        <w:lastRenderedPageBreak/>
        <w:t>1. Introduction</w:t>
      </w:r>
      <w:bookmarkEnd w:id="4"/>
      <w:r w:rsidR="00B42C13">
        <w:rPr>
          <w:rFonts w:ascii="Arial" w:eastAsia="Times New Roman" w:hAnsi="Arial"/>
          <w:bCs/>
          <w:color w:val="000000" w:themeColor="text1"/>
          <w:sz w:val="22"/>
          <w:szCs w:val="22"/>
          <w:lang w:val="en-GB"/>
        </w:rPr>
        <w:t xml:space="preserve"> </w:t>
      </w:r>
    </w:p>
    <w:p w14:paraId="7FE71104" w14:textId="77777777" w:rsidR="00F34D4C" w:rsidRPr="00B42C13" w:rsidRDefault="00863DA2" w:rsidP="00344801">
      <w:pPr>
        <w:spacing w:before="240" w:after="240"/>
        <w:rPr>
          <w:rFonts w:ascii="Arial" w:eastAsia="Times New Roman" w:hAnsi="Arial"/>
          <w:color w:val="000000" w:themeColor="text1"/>
          <w:sz w:val="22"/>
          <w:lang w:val="en-GB"/>
        </w:rPr>
      </w:pPr>
      <w:r w:rsidRPr="00B42C13">
        <w:rPr>
          <w:rFonts w:ascii="Arial" w:eastAsia="Times New Roman" w:hAnsi="Arial"/>
          <w:color w:val="000000" w:themeColor="text1"/>
          <w:sz w:val="22"/>
          <w:lang w:val="en-GB"/>
        </w:rPr>
        <w:t xml:space="preserve">Medication-related harm is a significant patient safety concern which continues to impact the healthcare system around the world with older adults being especially vulnerable because of the complicated health conditions, polypharmacy and reduced physiological resilience. This report determines a case study that concerns the death of Len, an 89-year-old man with Charcot-Marie-Tooth (CMT) disease, following an unintentional overdose of morphine sulfate oral solution. After dealing a fall accompanied by chest </w:t>
      </w:r>
      <w:r w:rsidRPr="00B42C13">
        <w:rPr>
          <w:rFonts w:ascii="Arial" w:eastAsia="Times New Roman" w:hAnsi="Arial"/>
          <w:color w:val="000000" w:themeColor="text1"/>
          <w:sz w:val="22"/>
          <w:lang w:val="en-GB"/>
        </w:rPr>
        <w:t>pain and breathlessness, Len received treatment from his general practitioner (GP) and hospital clinicians before being prescribed oral morphine for the pain management. Therefore, a misunderstanding of the medication label by Len and his wife has resulted in the administration of a higher dose than the prescribed. The investigation by the Healthcare Services Safety Investigations Body (HSSIB) summarized the incident arose from various interacting failures such as ineffective communication, inadequate patie</w:t>
      </w:r>
      <w:r w:rsidRPr="00B42C13">
        <w:rPr>
          <w:rFonts w:ascii="Arial" w:eastAsia="Times New Roman" w:hAnsi="Arial"/>
          <w:color w:val="000000" w:themeColor="text1"/>
          <w:sz w:val="22"/>
          <w:lang w:val="en-GB"/>
        </w:rPr>
        <w:t xml:space="preserve">nt education, weaknesses in medication safety processes and governance deficiencies instead of the actions of a single healthcare professional (Mitchell, 2024). </w:t>
      </w:r>
    </w:p>
    <w:p w14:paraId="5E84BDE1" w14:textId="77777777" w:rsidR="00F34D4C" w:rsidRPr="00B42C13" w:rsidRDefault="00863DA2" w:rsidP="00344801">
      <w:pPr>
        <w:spacing w:before="240" w:after="240"/>
        <w:rPr>
          <w:rFonts w:ascii="Arial" w:eastAsia="Times New Roman" w:hAnsi="Arial"/>
          <w:color w:val="000000" w:themeColor="text1"/>
          <w:sz w:val="22"/>
          <w:lang w:val="en-GB"/>
        </w:rPr>
      </w:pPr>
      <w:r w:rsidRPr="00B42C13">
        <w:rPr>
          <w:rFonts w:ascii="Arial" w:eastAsia="Times New Roman" w:hAnsi="Arial"/>
          <w:color w:val="000000" w:themeColor="text1"/>
          <w:sz w:val="22"/>
          <w:lang w:val="en-GB"/>
        </w:rPr>
        <w:t xml:space="preserve">Leadership in health and social care refers to the capability to influence individuals and multidisciplinary teams across achieving the shared goals to deliver safe, effective and patient-centred care (Michielsen </w:t>
      </w:r>
      <w:r w:rsidRPr="00B42C13">
        <w:rPr>
          <w:rFonts w:ascii="Arial" w:eastAsia="Times New Roman" w:hAnsi="Arial"/>
          <w:i/>
          <w:iCs/>
          <w:color w:val="000000" w:themeColor="text1"/>
          <w:sz w:val="22"/>
          <w:lang w:val="en-GB"/>
        </w:rPr>
        <w:t>et al</w:t>
      </w:r>
      <w:r w:rsidRPr="00B42C13">
        <w:rPr>
          <w:rFonts w:ascii="Arial" w:eastAsia="Times New Roman" w:hAnsi="Arial"/>
          <w:color w:val="000000" w:themeColor="text1"/>
          <w:sz w:val="22"/>
          <w:lang w:val="en-GB"/>
        </w:rPr>
        <w:t>. 2023). Efficient leaders develop a culture of collaboration, accountability and constant learning while ensuring that the healthcare services mostly respond effectively to changing patient requirements along with the organizational challenges. Healthcare organizations mostly operate both the decentralized and centralized system. Centralisation promotes consistency through the national policies, standardised clinical guidelines and regulatory oversight, whereas the decentralization empowers frontline profe</w:t>
      </w:r>
      <w:r w:rsidRPr="00B42C13">
        <w:rPr>
          <w:rFonts w:ascii="Arial" w:eastAsia="Times New Roman" w:hAnsi="Arial"/>
          <w:color w:val="000000" w:themeColor="text1"/>
          <w:sz w:val="22"/>
          <w:lang w:val="en-GB"/>
        </w:rPr>
        <w:t xml:space="preserve">ssionals as well as local organizations </w:t>
      </w:r>
      <w:r w:rsidRPr="00B42C13">
        <w:rPr>
          <w:rFonts w:ascii="Arial" w:eastAsia="Times New Roman" w:hAnsi="Arial"/>
          <w:color w:val="000000" w:themeColor="text1"/>
          <w:sz w:val="22"/>
          <w:lang w:val="en-GB"/>
        </w:rPr>
        <w:t xml:space="preserve">in order to make decisions which respond to particular patient circumstances. In this context, choosing a proper leadership approach such as transformational, transactional and situational leadership is especially significant during the organizational change period or the patient safety crises as leadership influences communication, decision-making, staff engagement and organisational resilience. </w:t>
      </w:r>
    </w:p>
    <w:p w14:paraId="25753FF9" w14:textId="366583C5" w:rsidR="00F34D4C" w:rsidRPr="00B42C13" w:rsidRDefault="00863DA2" w:rsidP="00344801">
      <w:pPr>
        <w:spacing w:before="240" w:after="240"/>
        <w:rPr>
          <w:rFonts w:ascii="Arial" w:eastAsia="Times New Roman" w:hAnsi="Arial"/>
          <w:b/>
          <w:bCs/>
          <w:color w:val="000000" w:themeColor="text1"/>
          <w:sz w:val="22"/>
          <w:lang w:val="en-GB"/>
        </w:rPr>
      </w:pPr>
      <w:r w:rsidRPr="00B42C13">
        <w:rPr>
          <w:rFonts w:ascii="Arial" w:eastAsia="Times New Roman" w:hAnsi="Arial"/>
          <w:color w:val="000000" w:themeColor="text1"/>
          <w:sz w:val="22"/>
          <w:lang w:val="en-GB"/>
        </w:rPr>
        <w:t xml:space="preserve">This report mainly </w:t>
      </w:r>
      <w:r w:rsidR="00D93E70" w:rsidRPr="00B42C13">
        <w:rPr>
          <w:rFonts w:ascii="Arial" w:eastAsia="Times New Roman" w:hAnsi="Arial"/>
          <w:color w:val="000000" w:themeColor="text1"/>
          <w:sz w:val="22"/>
          <w:lang w:val="en-GB"/>
        </w:rPr>
        <w:t>analyses</w:t>
      </w:r>
      <w:r w:rsidRPr="00B42C13">
        <w:rPr>
          <w:rFonts w:ascii="Arial" w:eastAsia="Times New Roman" w:hAnsi="Arial"/>
          <w:color w:val="000000" w:themeColor="text1"/>
          <w:sz w:val="22"/>
          <w:lang w:val="en-GB"/>
        </w:rPr>
        <w:t xml:space="preserve"> Len’s case through implementing leadership theories, governance principles and systems thinking for determining the main causes of the incident. In addition, it determines the influence of decentralized and centralized healthcare structures, determines the way leadership impacts patient safety outcomes and finds out opportunities for organizational enhancement. Finally, the report shows evidence-based suggestions to improve medication </w:t>
      </w:r>
      <w:r w:rsidRPr="00B42C13">
        <w:rPr>
          <w:rFonts w:ascii="Arial" w:eastAsia="Times New Roman" w:hAnsi="Arial"/>
          <w:color w:val="000000" w:themeColor="text1"/>
          <w:sz w:val="22"/>
          <w:lang w:val="en-GB"/>
        </w:rPr>
        <w:lastRenderedPageBreak/>
        <w:t xml:space="preserve">safety, governance, communication and continuous learning within the health and social care organizations by supporting safer and high-quality patient care. </w:t>
      </w:r>
    </w:p>
    <w:p w14:paraId="1E240821" w14:textId="77777777" w:rsidR="00F34D4C" w:rsidRPr="00B42C13" w:rsidRDefault="00863DA2" w:rsidP="00344801">
      <w:pPr>
        <w:pStyle w:val="Heading1"/>
        <w:spacing w:before="240" w:after="240"/>
        <w:rPr>
          <w:rFonts w:ascii="Arial" w:hAnsi="Arial"/>
          <w:color w:val="000000" w:themeColor="text1"/>
          <w:sz w:val="22"/>
          <w:szCs w:val="22"/>
          <w:lang w:val="en-GB"/>
        </w:rPr>
      </w:pPr>
      <w:bookmarkStart w:id="5" w:name="_Toc236752155"/>
      <w:r w:rsidRPr="00B42C13">
        <w:rPr>
          <w:rFonts w:ascii="Arial" w:hAnsi="Arial"/>
          <w:color w:val="000000" w:themeColor="text1"/>
          <w:sz w:val="22"/>
          <w:szCs w:val="22"/>
          <w:lang w:val="en-GB"/>
        </w:rPr>
        <w:t>2. Main Analysis</w:t>
      </w:r>
      <w:bookmarkEnd w:id="5"/>
      <w:r w:rsidRPr="00B42C13">
        <w:rPr>
          <w:rFonts w:ascii="Arial" w:hAnsi="Arial"/>
          <w:color w:val="000000" w:themeColor="text1"/>
          <w:sz w:val="22"/>
          <w:szCs w:val="22"/>
          <w:lang w:val="en-GB"/>
        </w:rPr>
        <w:t xml:space="preserve"> </w:t>
      </w:r>
    </w:p>
    <w:p w14:paraId="67589734" w14:textId="77777777" w:rsidR="00F34D4C" w:rsidRPr="00B42C13" w:rsidRDefault="00863DA2" w:rsidP="00344801">
      <w:pPr>
        <w:pStyle w:val="Heading2"/>
        <w:spacing w:before="240" w:after="240"/>
        <w:rPr>
          <w:rFonts w:ascii="Arial" w:hAnsi="Arial"/>
          <w:color w:val="000000" w:themeColor="text1"/>
          <w:sz w:val="22"/>
          <w:szCs w:val="22"/>
          <w:lang w:val="en-GB"/>
        </w:rPr>
      </w:pPr>
      <w:bookmarkStart w:id="6" w:name="_Toc236752156"/>
      <w:r w:rsidRPr="00B42C13">
        <w:rPr>
          <w:rFonts w:ascii="Arial" w:hAnsi="Arial"/>
          <w:color w:val="000000" w:themeColor="text1"/>
          <w:sz w:val="22"/>
          <w:szCs w:val="22"/>
          <w:lang w:val="en-GB"/>
        </w:rPr>
        <w:t>2.1 Identifying the Problem and Setting the System Context</w:t>
      </w:r>
      <w:bookmarkEnd w:id="6"/>
      <w:r w:rsidRPr="00B42C13">
        <w:rPr>
          <w:rFonts w:ascii="Arial" w:hAnsi="Arial"/>
          <w:color w:val="000000" w:themeColor="text1"/>
          <w:sz w:val="22"/>
          <w:szCs w:val="22"/>
          <w:lang w:val="en-GB"/>
        </w:rPr>
        <w:t xml:space="preserve"> </w:t>
      </w:r>
    </w:p>
    <w:p w14:paraId="4CAD8F17" w14:textId="7435EB28" w:rsidR="00F34D4C" w:rsidRPr="00B42C13" w:rsidRDefault="00863DA2" w:rsidP="00344801">
      <w:pPr>
        <w:spacing w:before="240" w:after="240"/>
        <w:rPr>
          <w:rFonts w:ascii="Arial" w:eastAsia="Times New Roman" w:hAnsi="Arial"/>
          <w:color w:val="000000" w:themeColor="text1"/>
          <w:sz w:val="22"/>
          <w:lang w:val="en-GB"/>
        </w:rPr>
      </w:pPr>
      <w:r w:rsidRPr="00B42C13">
        <w:rPr>
          <w:rFonts w:ascii="Arial" w:eastAsia="Times New Roman" w:hAnsi="Arial"/>
          <w:color w:val="000000" w:themeColor="text1"/>
          <w:sz w:val="22"/>
          <w:lang w:val="en-GB"/>
        </w:rPr>
        <w:t xml:space="preserve">The main problem in this case study is the occurrence of an unwanted morphine overdose that resulted in the death of Len, an 89-year-old man with Charcot-Marie-Tooth (CMT) disease. Following a fall that was associated with chest pain and breathlessness, Len was assessed through </w:t>
      </w:r>
      <w:r w:rsidR="005A330C" w:rsidRPr="00B42C13">
        <w:rPr>
          <w:rFonts w:ascii="Arial" w:eastAsia="Times New Roman" w:hAnsi="Arial"/>
          <w:color w:val="000000" w:themeColor="text1"/>
          <w:sz w:val="22"/>
          <w:lang w:val="en-GB"/>
        </w:rPr>
        <w:t>his general</w:t>
      </w:r>
      <w:r w:rsidRPr="00B42C13">
        <w:rPr>
          <w:rFonts w:ascii="Arial" w:eastAsia="Times New Roman" w:hAnsi="Arial"/>
          <w:color w:val="000000" w:themeColor="text1"/>
          <w:sz w:val="22"/>
          <w:lang w:val="en-GB"/>
        </w:rPr>
        <w:t xml:space="preserve"> practitioner (GP) and later attended hospital, where he was prescribed morphine sulfate oral solution to manage pain. Therefore, both Len and wife misunderstood the instruction of the dosage on the medication label </w:t>
      </w:r>
      <w:r w:rsidRPr="00B42C13">
        <w:rPr>
          <w:rFonts w:ascii="Arial" w:eastAsia="Times New Roman" w:hAnsi="Arial"/>
          <w:color w:val="000000" w:themeColor="text1"/>
          <w:sz w:val="22"/>
          <w:lang w:val="en-GB"/>
        </w:rPr>
        <w:t>and also</w:t>
      </w:r>
      <w:r w:rsidRPr="00B42C13">
        <w:rPr>
          <w:rFonts w:ascii="Arial" w:eastAsia="Times New Roman" w:hAnsi="Arial"/>
          <w:color w:val="000000" w:themeColor="text1"/>
          <w:sz w:val="22"/>
          <w:lang w:val="en-GB"/>
        </w:rPr>
        <w:t xml:space="preserve"> administered a higher dose as compared to prescribed. The following morning, Len was found unresponsive and admitted to hospital with a suspected morphine overdose, pneumonia and worsening CMT. Therefore, his situation primarily improved but he subsequently deteriorated and died. The Healthcare Services Safety Investigations Body (HSSIB) has concluded that the incident was not attributable to a particular clinical error thus resulting from various iterating failures including medication labelling, communic</w:t>
      </w:r>
      <w:r w:rsidRPr="00B42C13">
        <w:rPr>
          <w:rFonts w:ascii="Arial" w:eastAsia="Times New Roman" w:hAnsi="Arial"/>
          <w:color w:val="000000" w:themeColor="text1"/>
          <w:sz w:val="22"/>
          <w:lang w:val="en-GB"/>
        </w:rPr>
        <w:t xml:space="preserve">ation, patient education, prescribing practices and organisational governance. </w:t>
      </w:r>
    </w:p>
    <w:p w14:paraId="39574018" w14:textId="77777777" w:rsidR="00F34D4C" w:rsidRPr="00B42C13" w:rsidRDefault="00863DA2" w:rsidP="001776F8">
      <w:pPr>
        <w:spacing w:before="240" w:after="240"/>
        <w:jc w:val="center"/>
        <w:rPr>
          <w:rFonts w:ascii="Arial" w:eastAsia="Times New Roman" w:hAnsi="Arial"/>
          <w:color w:val="000000" w:themeColor="text1"/>
          <w:sz w:val="22"/>
          <w:lang w:val="en-GB"/>
        </w:rPr>
      </w:pPr>
      <w:r w:rsidRPr="00B42C13">
        <w:rPr>
          <w:rFonts w:ascii="Arial" w:eastAsia="Times New Roman" w:hAnsi="Arial"/>
          <w:noProof/>
          <w:color w:val="000000" w:themeColor="text1"/>
          <w:sz w:val="22"/>
          <w:lang w:val="en-GB"/>
        </w:rPr>
        <w:drawing>
          <wp:inline distT="114300" distB="114300" distL="114300" distR="114300" wp14:anchorId="68F24FC1" wp14:editId="3FC1C108">
            <wp:extent cx="5943600" cy="2921000"/>
            <wp:effectExtent l="76200" t="76200" r="133350" b="1270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2921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42B148" w14:textId="5B406BE4" w:rsidR="00F34D4C" w:rsidRPr="00B42C13" w:rsidRDefault="00863DA2" w:rsidP="001776F8">
      <w:pPr>
        <w:spacing w:before="240" w:after="240"/>
        <w:jc w:val="center"/>
        <w:rPr>
          <w:rFonts w:ascii="Arial" w:eastAsia="Times New Roman" w:hAnsi="Arial"/>
          <w:b/>
          <w:bCs/>
          <w:color w:val="000000" w:themeColor="text1"/>
          <w:sz w:val="22"/>
          <w:lang w:val="en-GB"/>
        </w:rPr>
      </w:pPr>
      <w:r w:rsidRPr="00B42C13">
        <w:rPr>
          <w:rFonts w:ascii="Arial" w:eastAsia="Times New Roman" w:hAnsi="Arial"/>
          <w:b/>
          <w:bCs/>
          <w:color w:val="000000" w:themeColor="text1"/>
          <w:sz w:val="22"/>
          <w:lang w:val="en-GB"/>
        </w:rPr>
        <w:t>Figure 1: Summary timeline of Len’s care in 2021</w:t>
      </w:r>
    </w:p>
    <w:p w14:paraId="10980BD3" w14:textId="77777777" w:rsidR="00F34D4C" w:rsidRPr="00B42C13" w:rsidRDefault="00863DA2" w:rsidP="001776F8">
      <w:pPr>
        <w:spacing w:before="240" w:after="240"/>
        <w:jc w:val="center"/>
        <w:rPr>
          <w:rFonts w:ascii="Arial" w:eastAsia="Times New Roman" w:hAnsi="Arial"/>
          <w:b/>
          <w:bCs/>
          <w:color w:val="000000" w:themeColor="text1"/>
          <w:sz w:val="22"/>
          <w:lang w:val="en-GB"/>
        </w:rPr>
      </w:pPr>
      <w:r w:rsidRPr="00B42C13">
        <w:rPr>
          <w:rFonts w:ascii="Arial" w:eastAsia="Times New Roman" w:hAnsi="Arial"/>
          <w:color w:val="000000" w:themeColor="text1"/>
          <w:sz w:val="22"/>
          <w:lang w:val="en-GB"/>
        </w:rPr>
        <w:lastRenderedPageBreak/>
        <w:t>(Source: Unintentional overdose of morphine sulfate oral solution, 2022)</w:t>
      </w:r>
    </w:p>
    <w:p w14:paraId="340A4A03" w14:textId="77777777" w:rsidR="00F34D4C" w:rsidRPr="00B42C13" w:rsidRDefault="00863DA2" w:rsidP="00344801">
      <w:pPr>
        <w:spacing w:before="240" w:after="240"/>
        <w:rPr>
          <w:rFonts w:ascii="Arial" w:eastAsia="Times New Roman" w:hAnsi="Arial"/>
          <w:color w:val="000000" w:themeColor="text1"/>
          <w:sz w:val="22"/>
          <w:lang w:val="en-GB"/>
        </w:rPr>
      </w:pPr>
      <w:r w:rsidRPr="00B42C13">
        <w:rPr>
          <w:rFonts w:ascii="Arial" w:eastAsia="Times New Roman" w:hAnsi="Arial"/>
          <w:color w:val="000000" w:themeColor="text1"/>
          <w:sz w:val="22"/>
          <w:lang w:val="en-GB"/>
        </w:rPr>
        <w:t>This is an example of a larger patient safety problem with medication errors internationally. The World Health Organization (WHO) reported that on average 1.3 million people are injured and at least one person dies every year due to medication-related harm globally (World Health Organization, 2023). Moreover, worldwide costs of medication errors are projected to be more than US$42 billion annually and more than 1% of the global health expenditure. Physiological changes related to aging, recurrent chronic he</w:t>
      </w:r>
      <w:r w:rsidRPr="00B42C13">
        <w:rPr>
          <w:rFonts w:ascii="Arial" w:eastAsia="Times New Roman" w:hAnsi="Arial"/>
          <w:color w:val="000000" w:themeColor="text1"/>
          <w:sz w:val="22"/>
          <w:lang w:val="en-GB"/>
        </w:rPr>
        <w:t xml:space="preserve">alth conditions, cognitive deficit and medication use, such as polypharmacy increase the risk of occurrence of adverse drug events in older adults. </w:t>
      </w:r>
      <w:r w:rsidRPr="00B42C13">
        <w:rPr>
          <w:rFonts w:ascii="Arial" w:eastAsia="Times New Roman" w:hAnsi="Arial"/>
          <w:color w:val="000000" w:themeColor="text1"/>
          <w:sz w:val="22"/>
          <w:lang w:val="en-GB"/>
        </w:rPr>
        <w:t>In order to</w:t>
      </w:r>
      <w:r w:rsidRPr="00B42C13">
        <w:rPr>
          <w:rFonts w:ascii="Arial" w:eastAsia="Times New Roman" w:hAnsi="Arial"/>
          <w:color w:val="000000" w:themeColor="text1"/>
          <w:sz w:val="22"/>
          <w:lang w:val="en-GB"/>
        </w:rPr>
        <w:t xml:space="preserve"> address these concerns, WHO started the Medication Without Harm Global Patient Safety Challenge to cut in half severe preventable harm in the context of medicines, largely by improving medicine prescribing safety, dispensing safety, admin safety and patient engagement. Len's case is a good example of the ongoing importance of this worldwide patient safety priority, bringing into sharper focus the dangers of not communicating with patients after discharge, or not communicating with them after discharge suff</w:t>
      </w:r>
      <w:r w:rsidRPr="00B42C13">
        <w:rPr>
          <w:rFonts w:ascii="Arial" w:eastAsia="Times New Roman" w:hAnsi="Arial"/>
          <w:color w:val="000000" w:themeColor="text1"/>
          <w:sz w:val="22"/>
          <w:lang w:val="en-GB"/>
        </w:rPr>
        <w:t>iciently.</w:t>
      </w:r>
    </w:p>
    <w:p w14:paraId="09C61CF3" w14:textId="3A5F42A2" w:rsidR="00F34D4C" w:rsidRPr="00B42C13" w:rsidRDefault="00863DA2" w:rsidP="00344801">
      <w:pPr>
        <w:spacing w:before="240" w:after="240"/>
        <w:rPr>
          <w:rFonts w:ascii="Arial" w:eastAsia="Times New Roman" w:hAnsi="Arial"/>
          <w:color w:val="000000" w:themeColor="text1"/>
          <w:sz w:val="22"/>
          <w:lang w:val="en-GB"/>
        </w:rPr>
      </w:pPr>
      <w:r w:rsidRPr="00B42C13">
        <w:rPr>
          <w:rFonts w:ascii="Arial" w:eastAsia="Times New Roman" w:hAnsi="Arial"/>
          <w:color w:val="000000" w:themeColor="text1"/>
          <w:sz w:val="22"/>
          <w:lang w:val="en-GB"/>
        </w:rPr>
        <w:t>At the national level, medication safety keeps one of the most important patient safety concerns within the National Health Service (NHS). NHS England determines medication-related incidents as one of the reported categories of patient safety events towards the healthcare settings such as hospitals, community pharmacies and primary care (</w:t>
      </w:r>
      <w:proofErr w:type="spellStart"/>
      <w:r w:rsidRPr="00B42C13">
        <w:rPr>
          <w:rFonts w:ascii="Arial" w:eastAsia="Times New Roman" w:hAnsi="Arial"/>
          <w:color w:val="000000" w:themeColor="text1"/>
          <w:sz w:val="22"/>
          <w:lang w:val="en-GB"/>
        </w:rPr>
        <w:t>Alqenae</w:t>
      </w:r>
      <w:proofErr w:type="spellEnd"/>
      <w:r w:rsidRPr="00B42C13">
        <w:rPr>
          <w:rFonts w:ascii="Arial" w:eastAsia="Times New Roman" w:hAnsi="Arial"/>
          <w:color w:val="000000" w:themeColor="text1"/>
          <w:sz w:val="22"/>
          <w:lang w:val="en-GB"/>
        </w:rPr>
        <w:t xml:space="preserve"> </w:t>
      </w:r>
      <w:r w:rsidRPr="00B42C13">
        <w:rPr>
          <w:rFonts w:ascii="Arial" w:eastAsia="Times New Roman" w:hAnsi="Arial"/>
          <w:i/>
          <w:iCs/>
          <w:color w:val="000000" w:themeColor="text1"/>
          <w:sz w:val="22"/>
          <w:lang w:val="en-GB"/>
        </w:rPr>
        <w:t>et al.</w:t>
      </w:r>
      <w:r w:rsidRPr="00B42C13">
        <w:rPr>
          <w:rFonts w:ascii="Arial" w:eastAsia="Times New Roman" w:hAnsi="Arial"/>
          <w:color w:val="000000" w:themeColor="text1"/>
          <w:sz w:val="22"/>
          <w:lang w:val="en-GB"/>
        </w:rPr>
        <w:t xml:space="preserve"> 2023). Research commissioned through the Department of Health estimates that the NHS experiences hundreds of millions of medication errors yearly towards </w:t>
      </w:r>
      <w:r w:rsidR="005A330C" w:rsidRPr="00B42C13">
        <w:rPr>
          <w:rFonts w:ascii="Arial" w:eastAsia="Times New Roman" w:hAnsi="Arial"/>
          <w:color w:val="000000" w:themeColor="text1"/>
          <w:sz w:val="22"/>
          <w:lang w:val="en-GB"/>
        </w:rPr>
        <w:t>the medicine’s</w:t>
      </w:r>
      <w:r w:rsidRPr="00B42C13">
        <w:rPr>
          <w:rFonts w:ascii="Arial" w:eastAsia="Times New Roman" w:hAnsi="Arial"/>
          <w:color w:val="000000" w:themeColor="text1"/>
          <w:sz w:val="22"/>
          <w:lang w:val="en-GB"/>
        </w:rPr>
        <w:t xml:space="preserve"> pathway. However, thousands of patients deal with avoidable moderate or serious harm per year that resulted in prolonged hospital admissions, higher healthcare costs and protectable mortality. Thus, medication errors including opioids including the morphine are especially concerning as incorrect dosing may </w:t>
      </w:r>
      <w:r w:rsidR="005A330C" w:rsidRPr="00B42C13">
        <w:rPr>
          <w:rFonts w:ascii="Arial" w:eastAsia="Times New Roman" w:hAnsi="Arial"/>
          <w:color w:val="000000" w:themeColor="text1"/>
          <w:sz w:val="22"/>
          <w:lang w:val="en-GB"/>
        </w:rPr>
        <w:t>cause respiratory</w:t>
      </w:r>
      <w:r w:rsidRPr="00B42C13">
        <w:rPr>
          <w:rFonts w:ascii="Arial" w:eastAsia="Times New Roman" w:hAnsi="Arial"/>
          <w:color w:val="000000" w:themeColor="text1"/>
          <w:sz w:val="22"/>
          <w:lang w:val="en-GB"/>
        </w:rPr>
        <w:t xml:space="preserve"> depression, unconsciousness and death, especially among frail older patients. On the other hand, organizations such as Medicines and Healthcare products Regulatory Agency (MHRA) and NHS England have been issued repeated safety alerts that emphasize clearer prescribing, enhanced labelling as well as proper patient counselling for the high-risk medicines. </w:t>
      </w:r>
    </w:p>
    <w:p w14:paraId="1051512D" w14:textId="0062DD6B" w:rsidR="00F34D4C" w:rsidRPr="00B42C13" w:rsidRDefault="00863DA2" w:rsidP="00344801">
      <w:pPr>
        <w:spacing w:before="240" w:after="240"/>
        <w:rPr>
          <w:rFonts w:ascii="Arial" w:eastAsia="Times New Roman" w:hAnsi="Arial"/>
          <w:color w:val="000000" w:themeColor="text1"/>
          <w:sz w:val="22"/>
          <w:lang w:val="en-GB"/>
        </w:rPr>
      </w:pPr>
      <w:r w:rsidRPr="00B42C13">
        <w:rPr>
          <w:rFonts w:ascii="Arial" w:eastAsia="Times New Roman" w:hAnsi="Arial"/>
          <w:color w:val="000000" w:themeColor="text1"/>
          <w:sz w:val="22"/>
          <w:lang w:val="en-GB"/>
        </w:rPr>
        <w:t xml:space="preserve">There is additional support from international organisations which further underscores the problem's value. Medication safety is a simple part of healthcare delivery that IHI has understood has consistently been a part of quality care and is focused on going to a systems-based solution to blaming individual clinicians. Similarly, the Organisation for Economic Co-operation and Development (OECD) recognized that unsafe care that includes harm from medication is a large </w:t>
      </w:r>
      <w:r w:rsidRPr="00B42C13">
        <w:rPr>
          <w:rFonts w:ascii="Arial" w:eastAsia="Times New Roman" w:hAnsi="Arial"/>
          <w:color w:val="000000" w:themeColor="text1"/>
          <w:sz w:val="22"/>
          <w:lang w:val="en-GB"/>
        </w:rPr>
        <w:lastRenderedPageBreak/>
        <w:t xml:space="preserve">component of preventable morbidity in developed health care systems (The economics of patient safety, 2024). The results </w:t>
      </w:r>
      <w:r w:rsidR="001776F8" w:rsidRPr="00B42C13">
        <w:rPr>
          <w:rFonts w:ascii="Arial" w:eastAsia="Times New Roman" w:hAnsi="Arial"/>
          <w:color w:val="000000" w:themeColor="text1"/>
          <w:sz w:val="22"/>
          <w:lang w:val="en-GB"/>
        </w:rPr>
        <w:t>crosscut</w:t>
      </w:r>
      <w:r w:rsidRPr="00B42C13">
        <w:rPr>
          <w:rFonts w:ascii="Arial" w:eastAsia="Times New Roman" w:hAnsi="Arial"/>
          <w:color w:val="000000" w:themeColor="text1"/>
          <w:sz w:val="22"/>
          <w:lang w:val="en-GB"/>
        </w:rPr>
        <w:t xml:space="preserve"> the issue of medication errors as they show that errors result from system weaknesses instead of just lapses on the part of health professionals. The case of Len also highlights a larger patient safety issue on an international scale that draws upon coordinated leadership, governance and patient quality improvement, extending the urban clinical incident to a broader issue. In addition, Len's case also illustrates a patient safety problem on an international level necessitating coordinated leadership, gover</w:t>
      </w:r>
      <w:r w:rsidRPr="00B42C13">
        <w:rPr>
          <w:rFonts w:ascii="Arial" w:eastAsia="Times New Roman" w:hAnsi="Arial"/>
          <w:color w:val="000000" w:themeColor="text1"/>
          <w:sz w:val="22"/>
          <w:lang w:val="en-GB"/>
        </w:rPr>
        <w:t>nance and quality improvement, expanding the urban clinical incident to a larger issue.</w:t>
      </w:r>
    </w:p>
    <w:p w14:paraId="1AA3D5FC" w14:textId="246EEF73" w:rsidR="00F34D4C" w:rsidRPr="00B42C13" w:rsidRDefault="00863DA2" w:rsidP="00344801">
      <w:pPr>
        <w:spacing w:before="240" w:after="240"/>
        <w:rPr>
          <w:rFonts w:ascii="Arial" w:eastAsia="Times New Roman" w:hAnsi="Arial"/>
          <w:color w:val="000000" w:themeColor="text1"/>
          <w:sz w:val="22"/>
          <w:lang w:val="en-GB"/>
        </w:rPr>
      </w:pPr>
      <w:r w:rsidRPr="00B42C13">
        <w:rPr>
          <w:rFonts w:ascii="Arial" w:eastAsia="Times New Roman" w:hAnsi="Arial"/>
          <w:color w:val="000000" w:themeColor="text1"/>
          <w:sz w:val="22"/>
          <w:lang w:val="en-GB"/>
        </w:rPr>
        <w:t xml:space="preserve">Implementing a system thinking perspective allows a detailed understanding of the reason that the incident happened. System thinking views healthcare as a complicated adaptive system in that patient outcomes are influenced through the interactions among the people, technology, organisational processes, policies and environmental factors instead of the individual actions. In Len's case, various components of the healthcare system interacted improperly. The GP has also prescribed </w:t>
      </w:r>
      <w:r w:rsidR="00F714B6" w:rsidRPr="00B42C13">
        <w:rPr>
          <w:rFonts w:ascii="Arial" w:eastAsia="Times New Roman" w:hAnsi="Arial"/>
          <w:color w:val="000000" w:themeColor="text1"/>
          <w:sz w:val="22"/>
          <w:lang w:val="en-GB"/>
        </w:rPr>
        <w:t>morphine,</w:t>
      </w:r>
      <w:r w:rsidRPr="00B42C13">
        <w:rPr>
          <w:rFonts w:ascii="Arial" w:eastAsia="Times New Roman" w:hAnsi="Arial"/>
          <w:color w:val="000000" w:themeColor="text1"/>
          <w:sz w:val="22"/>
          <w:lang w:val="en-GB"/>
        </w:rPr>
        <w:t xml:space="preserve"> and the pharmacy dispensed the medication, written dosage instructions have been provided on the label, healthcare professionals offered verbal explanations, and Len and his wife interpreted the instructions independently at home. Len’s morphine overdose mostly resulted from the interconnected failures towards the national, regional and local healthcare governance. However, NHS England, the MHRA and NICE provided medication-safety guidance, weaknesses in local implementation, patient counselling and commun</w:t>
      </w:r>
      <w:r w:rsidRPr="00B42C13">
        <w:rPr>
          <w:rFonts w:ascii="Arial" w:eastAsia="Times New Roman" w:hAnsi="Arial"/>
          <w:color w:val="000000" w:themeColor="text1"/>
          <w:sz w:val="22"/>
          <w:lang w:val="en-GB"/>
        </w:rPr>
        <w:t xml:space="preserve">ication minimized its overall effectiveness (Bhatti </w:t>
      </w:r>
      <w:r w:rsidRPr="00B42C13">
        <w:rPr>
          <w:rFonts w:ascii="Arial" w:eastAsia="Times New Roman" w:hAnsi="Arial"/>
          <w:i/>
          <w:iCs/>
          <w:color w:val="000000" w:themeColor="text1"/>
          <w:sz w:val="22"/>
          <w:lang w:val="en-GB"/>
        </w:rPr>
        <w:t>et al.</w:t>
      </w:r>
      <w:r w:rsidRPr="00B42C13">
        <w:rPr>
          <w:rFonts w:ascii="Arial" w:eastAsia="Times New Roman" w:hAnsi="Arial"/>
          <w:color w:val="000000" w:themeColor="text1"/>
          <w:sz w:val="22"/>
          <w:lang w:val="en-GB"/>
        </w:rPr>
        <w:t xml:space="preserve"> 2022). In addition, workforce shortages, higher service needs, complicated medicines management as well as financial pressure also gained the risk or error. In this context, a Rich Picture places Len and his wife at the centre and maps their relationships with the hospital clinicians, regulators and pharmacy. Broken communication pathways and improper feedback loops described that the overdose, hospitalisation and death arose from system-wide failures instead of one healthcare professional mistake.  </w:t>
      </w:r>
    </w:p>
    <w:p w14:paraId="1A54E596" w14:textId="77777777" w:rsidR="00F34D4C" w:rsidRPr="00B42C13" w:rsidRDefault="00863DA2" w:rsidP="00F714B6">
      <w:pPr>
        <w:spacing w:before="240" w:after="240"/>
        <w:jc w:val="center"/>
        <w:rPr>
          <w:rFonts w:ascii="Arial" w:eastAsia="Times New Roman" w:hAnsi="Arial"/>
          <w:color w:val="000000" w:themeColor="text1"/>
          <w:sz w:val="22"/>
          <w:lang w:val="en-GB"/>
        </w:rPr>
      </w:pPr>
      <w:r w:rsidRPr="00B42C13">
        <w:rPr>
          <w:rFonts w:ascii="Arial" w:eastAsia="Times New Roman" w:hAnsi="Arial"/>
          <w:noProof/>
          <w:color w:val="000000" w:themeColor="text1"/>
          <w:sz w:val="22"/>
          <w:lang w:val="en-GB"/>
        </w:rPr>
        <w:lastRenderedPageBreak/>
        <w:drawing>
          <wp:inline distT="114300" distB="114300" distL="114300" distR="114300" wp14:anchorId="6AF4FA5E" wp14:editId="5FA6EEE4">
            <wp:extent cx="5553075" cy="8610600"/>
            <wp:effectExtent l="0" t="0" r="9525"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553075" cy="8610600"/>
                    </a:xfrm>
                    <a:prstGeom prst="rect">
                      <a:avLst/>
                    </a:prstGeom>
                    <a:ln/>
                  </pic:spPr>
                </pic:pic>
              </a:graphicData>
            </a:graphic>
          </wp:inline>
        </w:drawing>
      </w:r>
    </w:p>
    <w:p w14:paraId="45F87872" w14:textId="77777777" w:rsidR="00F34D4C" w:rsidRPr="00B42C13" w:rsidRDefault="00863DA2" w:rsidP="00F714B6">
      <w:pPr>
        <w:spacing w:before="240" w:after="240"/>
        <w:jc w:val="center"/>
        <w:rPr>
          <w:rFonts w:ascii="Arial" w:eastAsia="Times New Roman" w:hAnsi="Arial"/>
          <w:b/>
          <w:bCs/>
          <w:color w:val="000000" w:themeColor="text1"/>
          <w:sz w:val="22"/>
          <w:lang w:val="en-GB"/>
        </w:rPr>
      </w:pPr>
      <w:r w:rsidRPr="00B42C13">
        <w:rPr>
          <w:rFonts w:ascii="Arial" w:eastAsia="Times New Roman" w:hAnsi="Arial"/>
          <w:b/>
          <w:bCs/>
          <w:color w:val="000000" w:themeColor="text1"/>
          <w:sz w:val="22"/>
          <w:lang w:val="en-GB"/>
        </w:rPr>
        <w:lastRenderedPageBreak/>
        <w:t>Figure 1: RICH Picture</w:t>
      </w:r>
    </w:p>
    <w:p w14:paraId="683175CB" w14:textId="77777777" w:rsidR="00F34D4C" w:rsidRPr="00B42C13" w:rsidRDefault="00863DA2" w:rsidP="00F714B6">
      <w:pPr>
        <w:spacing w:before="240" w:after="240"/>
        <w:jc w:val="center"/>
        <w:rPr>
          <w:rFonts w:ascii="Arial" w:eastAsia="Times New Roman" w:hAnsi="Arial"/>
          <w:color w:val="000000" w:themeColor="text1"/>
          <w:sz w:val="22"/>
          <w:lang w:val="en-GB"/>
        </w:rPr>
      </w:pPr>
      <w:r w:rsidRPr="00B42C13">
        <w:rPr>
          <w:rFonts w:ascii="Arial" w:eastAsia="Times New Roman" w:hAnsi="Arial"/>
          <w:color w:val="000000" w:themeColor="text1"/>
          <w:sz w:val="22"/>
          <w:lang w:val="en-GB"/>
        </w:rPr>
        <w:t>(Source: Self-developed)</w:t>
      </w:r>
    </w:p>
    <w:p w14:paraId="4C80D86B" w14:textId="77777777" w:rsidR="00F34D4C" w:rsidRPr="00B42C13" w:rsidRDefault="00863DA2" w:rsidP="00344801">
      <w:pPr>
        <w:pStyle w:val="Heading2"/>
        <w:spacing w:before="240" w:after="240"/>
        <w:rPr>
          <w:rFonts w:ascii="Arial" w:hAnsi="Arial"/>
          <w:color w:val="000000" w:themeColor="text1"/>
          <w:sz w:val="22"/>
          <w:szCs w:val="22"/>
          <w:lang w:val="en-GB"/>
        </w:rPr>
      </w:pPr>
      <w:bookmarkStart w:id="7" w:name="_Toc236752157"/>
      <w:r w:rsidRPr="00B42C13">
        <w:rPr>
          <w:rFonts w:ascii="Arial" w:hAnsi="Arial"/>
          <w:color w:val="000000" w:themeColor="text1"/>
          <w:sz w:val="22"/>
          <w:szCs w:val="22"/>
          <w:lang w:val="en-GB"/>
        </w:rPr>
        <w:t>2.2 Centralisation versus Decentralisation</w:t>
      </w:r>
      <w:bookmarkEnd w:id="7"/>
      <w:r w:rsidRPr="00B42C13">
        <w:rPr>
          <w:rFonts w:ascii="Arial" w:hAnsi="Arial"/>
          <w:color w:val="000000" w:themeColor="text1"/>
          <w:sz w:val="22"/>
          <w:szCs w:val="22"/>
          <w:lang w:val="en-GB"/>
        </w:rPr>
        <w:t xml:space="preserve"> </w:t>
      </w:r>
    </w:p>
    <w:p w14:paraId="05FB5B63" w14:textId="77777777" w:rsidR="00F34D4C" w:rsidRPr="00B42C13" w:rsidRDefault="00863DA2" w:rsidP="00344801">
      <w:pPr>
        <w:spacing w:before="240" w:after="240"/>
        <w:rPr>
          <w:rFonts w:ascii="Arial" w:eastAsia="Times New Roman" w:hAnsi="Arial"/>
          <w:color w:val="000000" w:themeColor="text1"/>
          <w:sz w:val="22"/>
          <w:lang w:val="en-GB"/>
        </w:rPr>
      </w:pPr>
      <w:r w:rsidRPr="00B42C13">
        <w:rPr>
          <w:rFonts w:ascii="Arial" w:eastAsia="Times New Roman" w:hAnsi="Arial"/>
          <w:color w:val="000000" w:themeColor="text1"/>
          <w:sz w:val="22"/>
          <w:lang w:val="en-GB"/>
        </w:rPr>
        <w:t xml:space="preserve">The National Health Service (NHS) in England mostly operates through a hybrid governance model which includes centralized strategic leadership with decentralized service delivery (Thapa </w:t>
      </w:r>
      <w:r w:rsidRPr="00B42C13">
        <w:rPr>
          <w:rFonts w:ascii="Arial" w:eastAsia="Times New Roman" w:hAnsi="Arial"/>
          <w:i/>
          <w:iCs/>
          <w:color w:val="000000" w:themeColor="text1"/>
          <w:sz w:val="22"/>
          <w:lang w:val="en-GB"/>
        </w:rPr>
        <w:t>et al.</w:t>
      </w:r>
      <w:r w:rsidRPr="00B42C13">
        <w:rPr>
          <w:rFonts w:ascii="Arial" w:eastAsia="Times New Roman" w:hAnsi="Arial"/>
          <w:color w:val="000000" w:themeColor="text1"/>
          <w:sz w:val="22"/>
          <w:lang w:val="en-GB"/>
        </w:rPr>
        <w:t xml:space="preserve"> 2026). Centralized organizations such as NHS England, the Medicines and Healthcare products Regulatory Agency (MHRA) and the National Institute for Health and Care Excellence (NICE) develop national prescribing policies, medication safety standards and clinical governance frameworks. Therefore, responsibility to apply these standards is decentralized to the Integrated Care Boards (ICBs), hospital trusts, GP practices and community pharmacies that allows healthcare professionals to make better and clinical </w:t>
      </w:r>
      <w:r w:rsidRPr="00B42C13">
        <w:rPr>
          <w:rFonts w:ascii="Arial" w:eastAsia="Times New Roman" w:hAnsi="Arial"/>
          <w:color w:val="000000" w:themeColor="text1"/>
          <w:sz w:val="22"/>
          <w:lang w:val="en-GB"/>
        </w:rPr>
        <w:t>decisions as per the individual patient needs. In this context, Len’s case describes that although centralized governance develops proper medication safety guidance, failures in the decentralized application that contributes to communication breakdowns, medication misunderstanding and a fatal morphine overdose.</w:t>
      </w:r>
    </w:p>
    <w:p w14:paraId="16EDA8A1" w14:textId="77777777" w:rsidR="00F34D4C" w:rsidRPr="00B42C13" w:rsidRDefault="00863DA2" w:rsidP="00344801">
      <w:pPr>
        <w:spacing w:before="240" w:after="240"/>
        <w:rPr>
          <w:rFonts w:ascii="Arial" w:eastAsia="Times New Roman" w:hAnsi="Arial"/>
          <w:color w:val="000000" w:themeColor="text1"/>
          <w:sz w:val="22"/>
          <w:lang w:val="en-GB"/>
        </w:rPr>
      </w:pPr>
      <w:r w:rsidRPr="00B42C13">
        <w:rPr>
          <w:rFonts w:ascii="Arial" w:eastAsia="Times New Roman" w:hAnsi="Arial"/>
          <w:color w:val="000000" w:themeColor="text1"/>
          <w:sz w:val="22"/>
          <w:lang w:val="en-GB"/>
        </w:rPr>
        <w:t>Medication-related harm keeps a massive global patient safety issue that emphasizes the significance of proper governance towards the healthcare system. The World Health Organization (WHO) estimates that some medication errors also cause at least one death each day and also</w:t>
      </w:r>
      <w:r w:rsidRPr="00B42C13">
        <w:rPr>
          <w:rFonts w:ascii="Arial" w:eastAsia="Times New Roman" w:hAnsi="Arial"/>
          <w:color w:val="000000" w:themeColor="text1"/>
          <w:sz w:val="22"/>
          <w:lang w:val="en-GB"/>
        </w:rPr>
        <w:t xml:space="preserve"> harm nearly 1.3 million people yearly in the year, while generating an estimated economic burden of US$42 billion every year (WHO, 2022). In this response, the WHO has launched the Medication Without Harm Global Patient Safety Challenge that aims to minimize various avoidable medication-related harm nearly 50 percent through safer prescribing, dispensing and patient engagement. These statistics show that Len’s case shows a larger international healthcare challenge instead of isolated local incidents. </w:t>
      </w:r>
    </w:p>
    <w:p w14:paraId="366ADCCA" w14:textId="77777777" w:rsidR="00F34D4C" w:rsidRPr="00F714B6" w:rsidRDefault="00863DA2" w:rsidP="00F714B6">
      <w:pPr>
        <w:spacing w:before="240" w:after="240"/>
        <w:jc w:val="center"/>
        <w:rPr>
          <w:rFonts w:ascii="Arial" w:eastAsia="Times New Roman" w:hAnsi="Arial"/>
          <w:color w:val="000000" w:themeColor="text1"/>
          <w:sz w:val="22"/>
          <w:lang w:val="en-GB"/>
        </w:rPr>
      </w:pPr>
      <w:r w:rsidRPr="00F714B6">
        <w:rPr>
          <w:rFonts w:ascii="Arial" w:eastAsia="Times New Roman" w:hAnsi="Arial"/>
          <w:noProof/>
          <w:color w:val="000000" w:themeColor="text1"/>
          <w:sz w:val="22"/>
          <w:lang w:val="en-GB"/>
        </w:rPr>
        <w:lastRenderedPageBreak/>
        <w:drawing>
          <wp:inline distT="114300" distB="114300" distL="114300" distR="114300" wp14:anchorId="52FD9A73" wp14:editId="071E1A2D">
            <wp:extent cx="5943600" cy="3695700"/>
            <wp:effectExtent l="76200" t="76200" r="133350" b="13335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3695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A502FB" w14:textId="77777777" w:rsidR="00F34D4C" w:rsidRPr="00F714B6" w:rsidRDefault="00863DA2" w:rsidP="00F714B6">
      <w:pPr>
        <w:spacing w:before="240" w:after="240"/>
        <w:jc w:val="center"/>
        <w:rPr>
          <w:rFonts w:ascii="Arial" w:eastAsia="Times New Roman" w:hAnsi="Arial"/>
          <w:b/>
          <w:bCs/>
          <w:color w:val="000000" w:themeColor="text1"/>
          <w:sz w:val="22"/>
          <w:shd w:val="clear" w:color="auto" w:fill="F4FAF9"/>
          <w:lang w:val="en-GB"/>
        </w:rPr>
      </w:pPr>
      <w:r w:rsidRPr="00F714B6">
        <w:rPr>
          <w:rFonts w:ascii="Arial" w:eastAsia="Times New Roman" w:hAnsi="Arial"/>
          <w:b/>
          <w:bCs/>
          <w:color w:val="000000" w:themeColor="text1"/>
          <w:sz w:val="22"/>
          <w:lang w:val="en-GB"/>
        </w:rPr>
        <w:t xml:space="preserve">Figure 2: </w:t>
      </w:r>
      <w:r w:rsidRPr="00F714B6">
        <w:rPr>
          <w:rFonts w:ascii="Arial" w:eastAsia="Times New Roman" w:hAnsi="Arial"/>
          <w:b/>
          <w:bCs/>
          <w:color w:val="000000" w:themeColor="text1"/>
          <w:sz w:val="22"/>
          <w:shd w:val="clear" w:color="auto" w:fill="F4FAF9"/>
          <w:lang w:val="en-GB"/>
        </w:rPr>
        <w:t>Summary timeline of how HSIB processed Len’s referral</w:t>
      </w:r>
    </w:p>
    <w:p w14:paraId="2170299B" w14:textId="4EE4D19D" w:rsidR="00F34D4C" w:rsidRPr="00B42C13" w:rsidRDefault="00863DA2" w:rsidP="00F714B6">
      <w:pPr>
        <w:spacing w:before="240" w:after="240"/>
        <w:jc w:val="center"/>
        <w:rPr>
          <w:rFonts w:ascii="Arial" w:eastAsia="Times New Roman" w:hAnsi="Arial"/>
          <w:b/>
          <w:bCs/>
          <w:color w:val="000000" w:themeColor="text1"/>
          <w:sz w:val="22"/>
          <w:lang w:val="en-GB"/>
        </w:rPr>
      </w:pPr>
      <w:r w:rsidRPr="00F714B6">
        <w:rPr>
          <w:rFonts w:ascii="Arial" w:eastAsia="Times New Roman" w:hAnsi="Arial"/>
          <w:color w:val="000000" w:themeColor="text1"/>
          <w:sz w:val="22"/>
          <w:lang w:val="en-GB"/>
        </w:rPr>
        <w:t>(Source: Unintentional overdose of morphine sulfate oral solution, 2022)</w:t>
      </w:r>
    </w:p>
    <w:p w14:paraId="66F8F1A7" w14:textId="50B1B0BC" w:rsidR="00F34D4C" w:rsidRPr="00B42C13" w:rsidRDefault="00863DA2" w:rsidP="00344801">
      <w:pPr>
        <w:spacing w:before="240" w:after="240"/>
        <w:rPr>
          <w:rFonts w:ascii="Arial" w:eastAsia="Times New Roman" w:hAnsi="Arial"/>
          <w:color w:val="000000" w:themeColor="text1"/>
          <w:sz w:val="22"/>
          <w:lang w:val="en-GB"/>
        </w:rPr>
      </w:pPr>
      <w:r w:rsidRPr="00B42C13">
        <w:rPr>
          <w:rFonts w:ascii="Arial" w:eastAsia="Times New Roman" w:hAnsi="Arial"/>
          <w:color w:val="000000" w:themeColor="text1"/>
          <w:sz w:val="22"/>
          <w:lang w:val="en-GB"/>
        </w:rPr>
        <w:t xml:space="preserve"> The Department of Health and Social Care calculated that around 237 million medication errors occur each year, with around 66 million of these having the potential for clinical harm (Elliott</w:t>
      </w:r>
      <w:r w:rsidRPr="00B42C13">
        <w:rPr>
          <w:rFonts w:ascii="Arial" w:eastAsia="Times New Roman" w:hAnsi="Arial"/>
          <w:i/>
          <w:iCs/>
          <w:color w:val="000000" w:themeColor="text1"/>
          <w:sz w:val="22"/>
          <w:lang w:val="en-GB"/>
        </w:rPr>
        <w:t xml:space="preserve"> et al.</w:t>
      </w:r>
      <w:r w:rsidRPr="00B42C13">
        <w:rPr>
          <w:rFonts w:ascii="Arial" w:eastAsia="Times New Roman" w:hAnsi="Arial"/>
          <w:color w:val="000000" w:themeColor="text1"/>
          <w:sz w:val="22"/>
          <w:lang w:val="en-GB"/>
        </w:rPr>
        <w:t xml:space="preserve"> 2022). Medication incidents are one of the most common patient safety incidents reported across NHS service, including in respect of </w:t>
      </w:r>
      <w:r w:rsidR="005A330C" w:rsidRPr="00B42C13">
        <w:rPr>
          <w:rFonts w:ascii="Arial" w:eastAsia="Times New Roman" w:hAnsi="Arial"/>
          <w:color w:val="000000" w:themeColor="text1"/>
          <w:sz w:val="22"/>
          <w:lang w:val="en-GB"/>
        </w:rPr>
        <w:t>high-risk</w:t>
      </w:r>
      <w:r w:rsidRPr="00B42C13">
        <w:rPr>
          <w:rFonts w:ascii="Arial" w:eastAsia="Times New Roman" w:hAnsi="Arial"/>
          <w:color w:val="000000" w:themeColor="text1"/>
          <w:sz w:val="22"/>
          <w:lang w:val="en-GB"/>
        </w:rPr>
        <w:t xml:space="preserve"> medicines like opioids. Therefore, NHS England, NICE and the MHRA have established detailed prescribing advice, medicines safety warnings and medicines optimisation policies to guide decision making to ensure patient safety. The findings from the countries are consistent with the WHO </w:t>
      </w:r>
      <w:r w:rsidR="00B93688" w:rsidRPr="00B42C13">
        <w:rPr>
          <w:rFonts w:ascii="Arial" w:eastAsia="Times New Roman" w:hAnsi="Arial"/>
          <w:color w:val="000000" w:themeColor="text1"/>
          <w:sz w:val="22"/>
          <w:lang w:val="en-GB"/>
        </w:rPr>
        <w:t>evidence and</w:t>
      </w:r>
      <w:r w:rsidRPr="00B42C13">
        <w:rPr>
          <w:rFonts w:ascii="Arial" w:eastAsia="Times New Roman" w:hAnsi="Arial"/>
          <w:color w:val="000000" w:themeColor="text1"/>
          <w:sz w:val="22"/>
          <w:lang w:val="en-GB"/>
        </w:rPr>
        <w:t xml:space="preserve"> confirm the continued concerns about medication safety at both the national and international levels. The Institute for Healthcare Improvement (IHI) also believes that an individual careless worker is unlikely to be responsible for medication errors, but that it more likely originated from errors or flaws in the complex healthcare delivery system. </w:t>
      </w:r>
    </w:p>
    <w:p w14:paraId="775B8568" w14:textId="77777777" w:rsidR="00F34D4C" w:rsidRPr="00B42C13" w:rsidRDefault="00863DA2" w:rsidP="00344801">
      <w:pPr>
        <w:spacing w:before="240" w:after="240"/>
        <w:rPr>
          <w:rFonts w:ascii="Arial" w:eastAsia="Times New Roman" w:hAnsi="Arial"/>
          <w:color w:val="000000" w:themeColor="text1"/>
          <w:sz w:val="22"/>
          <w:lang w:val="en-GB"/>
        </w:rPr>
      </w:pPr>
      <w:r w:rsidRPr="00B42C13">
        <w:rPr>
          <w:rFonts w:ascii="Arial" w:eastAsia="Times New Roman" w:hAnsi="Arial"/>
          <w:color w:val="000000" w:themeColor="text1"/>
          <w:sz w:val="22"/>
          <w:lang w:val="en-GB"/>
        </w:rPr>
        <w:t xml:space="preserve">The system's approach is in accordance with the HSSIB investigation into Len's death, which determined that this was the result of a series of overlapping failures within a system. In this </w:t>
      </w:r>
      <w:r w:rsidRPr="00B42C13">
        <w:rPr>
          <w:rFonts w:ascii="Arial" w:eastAsia="Times New Roman" w:hAnsi="Arial"/>
          <w:color w:val="000000" w:themeColor="text1"/>
          <w:sz w:val="22"/>
          <w:lang w:val="en-GB"/>
        </w:rPr>
        <w:lastRenderedPageBreak/>
        <w:t>context, for the last 30 or 40 years, international organisations have encouraged improvements in communication, organisational learning and governance, rather than faulting individual clinicians. Nationally established clinical guidelines assure that the healthcare organizations follow continuous evidence-based prescribing practices. While regulatory bodies monitor the compliance through the safety alerts, clinical audits and incident reporting systems. Standardisation minimises unnecessary variation in ca</w:t>
      </w:r>
      <w:r w:rsidRPr="00B42C13">
        <w:rPr>
          <w:rFonts w:ascii="Arial" w:eastAsia="Times New Roman" w:hAnsi="Arial"/>
          <w:color w:val="000000" w:themeColor="text1"/>
          <w:sz w:val="22"/>
          <w:lang w:val="en-GB"/>
        </w:rPr>
        <w:t>re and accountability in health care organisations (Benning</w:t>
      </w:r>
      <w:r w:rsidRPr="00B42C13">
        <w:rPr>
          <w:rFonts w:ascii="Arial" w:eastAsia="Times New Roman" w:hAnsi="Arial"/>
          <w:i/>
          <w:iCs/>
          <w:color w:val="000000" w:themeColor="text1"/>
          <w:sz w:val="22"/>
          <w:lang w:val="en-GB"/>
        </w:rPr>
        <w:t xml:space="preserve"> et al.</w:t>
      </w:r>
      <w:r w:rsidRPr="00B42C13">
        <w:rPr>
          <w:rFonts w:ascii="Arial" w:eastAsia="Times New Roman" w:hAnsi="Arial"/>
          <w:color w:val="000000" w:themeColor="text1"/>
          <w:sz w:val="22"/>
          <w:lang w:val="en-GB"/>
        </w:rPr>
        <w:t xml:space="preserve"> 2022). There was no doubt that in the case of Len, there existed a regulatory framework at the national level in advance, both in relation to prescribing practices and in relation to medication safety.</w:t>
      </w:r>
    </w:p>
    <w:p w14:paraId="0D19DCA6" w14:textId="77777777" w:rsidR="00F34D4C" w:rsidRPr="00B42C13" w:rsidRDefault="00863DA2" w:rsidP="00344801">
      <w:pPr>
        <w:spacing w:before="240" w:after="240"/>
        <w:rPr>
          <w:rFonts w:ascii="Arial" w:eastAsia="Times New Roman" w:hAnsi="Arial"/>
          <w:color w:val="000000" w:themeColor="text1"/>
          <w:sz w:val="22"/>
          <w:lang w:val="en-GB"/>
        </w:rPr>
      </w:pPr>
      <w:r w:rsidRPr="00B42C13">
        <w:rPr>
          <w:rFonts w:ascii="Arial" w:eastAsia="Times New Roman" w:hAnsi="Arial"/>
          <w:color w:val="000000" w:themeColor="text1"/>
          <w:sz w:val="22"/>
          <w:lang w:val="en-GB"/>
        </w:rPr>
        <w:t xml:space="preserve">De-centralisation sits alongside central governance and empowers local organisations with the ability to offer patient care that is flexible and adaptable to the unique needs of each patient (Mold </w:t>
      </w:r>
      <w:r w:rsidRPr="00B42C13">
        <w:rPr>
          <w:rFonts w:ascii="Arial" w:eastAsia="Times New Roman" w:hAnsi="Arial"/>
          <w:i/>
          <w:iCs/>
          <w:color w:val="000000" w:themeColor="text1"/>
          <w:sz w:val="22"/>
          <w:lang w:val="en-GB"/>
        </w:rPr>
        <w:t xml:space="preserve">et al. </w:t>
      </w:r>
      <w:r w:rsidRPr="00B42C13">
        <w:rPr>
          <w:rFonts w:ascii="Arial" w:eastAsia="Times New Roman" w:hAnsi="Arial"/>
          <w:color w:val="000000" w:themeColor="text1"/>
          <w:sz w:val="22"/>
          <w:lang w:val="en-GB"/>
        </w:rPr>
        <w:t>2023). GPs, pharmacists and hospital clinicians have professional independence to prescribe medications, offer counselling and engage family caregivers in decision making about treatment. This is adaptable to patient-centred care, especially for older people with multiple chronic conditions. However, as illustrated in Len's case, decentralisation can lead to variations in practice also. There was no standardised procedure to ensure that Len and his wife had been given the correct dose, which also allowed fo</w:t>
      </w:r>
      <w:r w:rsidRPr="00B42C13">
        <w:rPr>
          <w:rFonts w:ascii="Arial" w:eastAsia="Times New Roman" w:hAnsi="Arial"/>
          <w:color w:val="000000" w:themeColor="text1"/>
          <w:sz w:val="22"/>
          <w:lang w:val="en-GB"/>
        </w:rPr>
        <w:t xml:space="preserve">r an error in giving him the drug. The incident also focuses on some of the underlying flaws in the healthcare delivery system. Communication failures also occurred throughout the prescribing and dispensing pathway with ineffective attempts to ensure patient understanding using structured methods such as teach-back. </w:t>
      </w:r>
    </w:p>
    <w:p w14:paraId="6C4F3700" w14:textId="77777777" w:rsidR="002F0559" w:rsidRPr="00B42C13" w:rsidRDefault="00863DA2" w:rsidP="00344801">
      <w:pPr>
        <w:spacing w:before="240" w:after="240"/>
        <w:rPr>
          <w:rFonts w:ascii="Arial" w:eastAsia="Times New Roman" w:hAnsi="Arial"/>
          <w:color w:val="000000" w:themeColor="text1"/>
          <w:sz w:val="22"/>
          <w:lang w:val="en-GB"/>
        </w:rPr>
      </w:pPr>
      <w:r w:rsidRPr="00B42C13">
        <w:rPr>
          <w:rFonts w:ascii="Arial" w:eastAsia="Times New Roman" w:hAnsi="Arial"/>
          <w:color w:val="000000" w:themeColor="text1"/>
          <w:sz w:val="22"/>
          <w:lang w:val="en-GB"/>
        </w:rPr>
        <w:t>Accountable responsibility was split between GP practice, community pharmacy and hospital services, with none of these taking responsibility for ensuring the patient was understood when discharged. Poor leadership was reflected, for example, in the discrepancy between not having comprehensive systems in place to identify medication misunderstandings prior to harm. Organisation stresses also affected the quality of the decentralised care. RHWS data indicates that over a number of</w:t>
      </w:r>
      <w:r w:rsidRPr="00B42C13">
        <w:rPr>
          <w:rFonts w:ascii="Arial" w:eastAsia="Times New Roman" w:hAnsi="Arial"/>
          <w:color w:val="000000" w:themeColor="text1"/>
          <w:sz w:val="22"/>
          <w:lang w:val="en-GB"/>
        </w:rPr>
        <w:t xml:space="preserve"> years there have been over 100,000 vacancies in the nursing, medical and pharmacist professions within the NHS along with increased workload and decreased consultation time (NHS England, 2024). Increasing numbers of older people with multiple chronic conditions and financial pressures, combined with an increase in demand for services also restrict opportunities for comprehensive medication counselling. </w:t>
      </w:r>
    </w:p>
    <w:p w14:paraId="1D761EF8" w14:textId="77777777" w:rsidR="00E709D4" w:rsidRPr="00B42C13" w:rsidRDefault="00E709D4" w:rsidP="00344801">
      <w:pPr>
        <w:pStyle w:val="Heading2"/>
        <w:spacing w:before="240" w:after="240"/>
        <w:rPr>
          <w:rFonts w:ascii="Arial" w:hAnsi="Arial"/>
          <w:color w:val="000000" w:themeColor="text1"/>
          <w:sz w:val="22"/>
          <w:szCs w:val="22"/>
          <w:lang w:val="en-GB"/>
        </w:rPr>
      </w:pPr>
      <w:bookmarkStart w:id="8" w:name="_Toc236752158"/>
      <w:r w:rsidRPr="00B42C13">
        <w:rPr>
          <w:rFonts w:ascii="Arial" w:hAnsi="Arial"/>
          <w:color w:val="000000" w:themeColor="text1"/>
          <w:sz w:val="22"/>
          <w:szCs w:val="22"/>
          <w:lang w:val="en-GB"/>
        </w:rPr>
        <w:lastRenderedPageBreak/>
        <w:t>2.3 Leadership Theories and Application</w:t>
      </w:r>
      <w:bookmarkEnd w:id="8"/>
      <w:r w:rsidRPr="00B42C13">
        <w:rPr>
          <w:rFonts w:ascii="Arial" w:hAnsi="Arial"/>
          <w:color w:val="000000" w:themeColor="text1"/>
          <w:sz w:val="22"/>
          <w:szCs w:val="22"/>
          <w:lang w:val="en-GB"/>
        </w:rPr>
        <w:t> </w:t>
      </w:r>
    </w:p>
    <w:p w14:paraId="578EC644" w14:textId="77777777"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Leadership is an integral part of patient safety as it affects the priorities of the organisation, staff behaviour, communication and learning from error. The accidental overdose of morphine is not a simple mistake by the person giving the dose to Len. It showed areas of weakness in prescribing, dispensing, communication and patient education and organisational oversight. Thus, the role of leadership should be considered as one approach to linkage to safety in the context of the professional and organisational boundaries (</w:t>
      </w:r>
      <w:proofErr w:type="spellStart"/>
      <w:r w:rsidRPr="00B42C13">
        <w:rPr>
          <w:rFonts w:ascii="Arial" w:hAnsi="Arial"/>
          <w:color w:val="000000" w:themeColor="text1"/>
          <w:sz w:val="22"/>
          <w:lang w:val="en-GB"/>
        </w:rPr>
        <w:t>Lyubykh</w:t>
      </w:r>
      <w:proofErr w:type="spellEnd"/>
      <w:r w:rsidRPr="00B42C13">
        <w:rPr>
          <w:rFonts w:ascii="Arial" w:hAnsi="Arial"/>
          <w:color w:val="000000" w:themeColor="text1"/>
          <w:sz w:val="22"/>
          <w:lang w:val="en-GB"/>
        </w:rPr>
        <w:t xml:space="preserve"> </w:t>
      </w:r>
      <w:r w:rsidRPr="00B42C13">
        <w:rPr>
          <w:rFonts w:ascii="Arial" w:hAnsi="Arial"/>
          <w:i/>
          <w:iCs/>
          <w:color w:val="000000" w:themeColor="text1"/>
          <w:sz w:val="22"/>
          <w:lang w:val="en-GB"/>
        </w:rPr>
        <w:t>et al</w:t>
      </w:r>
      <w:r w:rsidRPr="00B42C13">
        <w:rPr>
          <w:rFonts w:ascii="Arial" w:hAnsi="Arial"/>
          <w:color w:val="000000" w:themeColor="text1"/>
          <w:sz w:val="22"/>
          <w:lang w:val="en-GB"/>
        </w:rPr>
        <w:t>., 2022). In particular, transformational, transactional and distributed leadership as well as emotionally intelligent leadership are relevant.</w:t>
      </w:r>
    </w:p>
    <w:p w14:paraId="1B59050F" w14:textId="77777777"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 xml:space="preserve">Transformational leadership is geared toward developing a vision and inspiring employees and change in the organization. Transformational leaders in healthcare can help to enhance patient safety by fostering a culture of shared responsibility and enabling employees to recognize safety hazards (Hamdan </w:t>
      </w:r>
      <w:r w:rsidRPr="00B42C13">
        <w:rPr>
          <w:rFonts w:ascii="Arial" w:hAnsi="Arial"/>
          <w:i/>
          <w:iCs/>
          <w:color w:val="000000" w:themeColor="text1"/>
          <w:sz w:val="22"/>
          <w:lang w:val="en-GB"/>
        </w:rPr>
        <w:t>et al</w:t>
      </w:r>
      <w:r w:rsidRPr="00B42C13">
        <w:rPr>
          <w:rFonts w:ascii="Arial" w:hAnsi="Arial"/>
          <w:color w:val="000000" w:themeColor="text1"/>
          <w:sz w:val="22"/>
          <w:lang w:val="en-GB"/>
        </w:rPr>
        <w:t>., 2024). If applied to Len's case it could have led to professionals in primary care, pharmacy and hospital services to see medication safety as an individual task rather than a shared responsibility. Leaders might have identified the oral morphine as a high-risk medication and have focused on good communication about dosage, concentration and administration. But with vision and motivation, transformational leadership is not enough to ensure safety as effective procedures and clinical controls need to be in place. Hence, it is most effective if used in conjunction with transactional mechanisms.</w:t>
      </w:r>
    </w:p>
    <w:p w14:paraId="4123C892" w14:textId="77777777"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Transactional leadership focuses on rules, standards, monitoring and accountability (Dong, 2023). This is important to medication safety as medication administration procedures can be standardized to limit variation and the potential for medication error. Len's problems could have been solved by using transactional leadership that would have enabled them to require verification of doses, provide clear instructions for dispensing and have documented evidence that the patient had understood the instructions and had an appropriate plan in case of uncertainty. These controls offer a measurable accountability. But overuse of transactional leadership can lead to compliance that does not allow for due consideration of whether the procedures are suitable for individual patients (</w:t>
      </w:r>
      <w:proofErr w:type="spellStart"/>
      <w:r w:rsidRPr="00B42C13">
        <w:rPr>
          <w:rFonts w:ascii="Arial" w:hAnsi="Arial"/>
          <w:color w:val="000000" w:themeColor="text1"/>
          <w:sz w:val="22"/>
          <w:lang w:val="en-GB"/>
        </w:rPr>
        <w:t>Gruessner</w:t>
      </w:r>
      <w:proofErr w:type="spellEnd"/>
      <w:r w:rsidRPr="00B42C13">
        <w:rPr>
          <w:rFonts w:ascii="Arial" w:hAnsi="Arial"/>
          <w:color w:val="000000" w:themeColor="text1"/>
          <w:sz w:val="22"/>
          <w:lang w:val="en-GB"/>
        </w:rPr>
        <w:t>, 2023). Len's case illustrates that having a prescription or written label is not necessarily enough. So, without patient-centred communication a command-driven approach would have been inadequate.</w:t>
      </w:r>
    </w:p>
    <w:p w14:paraId="14D264C1" w14:textId="435B990C"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Distributed leadership is relevant as Len's care entailed a number of interconnected actors, GP, hospital, pharmacy services, Len and his wife. This way of thinking sees leadership as multi-</w:t>
      </w:r>
      <w:r w:rsidRPr="00B42C13">
        <w:rPr>
          <w:rFonts w:ascii="Arial" w:hAnsi="Arial"/>
          <w:color w:val="000000" w:themeColor="text1"/>
          <w:sz w:val="22"/>
          <w:lang w:val="en-GB"/>
        </w:rPr>
        <w:lastRenderedPageBreak/>
        <w:t xml:space="preserve">faceted, spread amongst the professions and not limited to top management. In this case, distributed leadership might have enabled professionals to question unclear instructions and communicate risks and share responsibility for medication safety. It would also acknowledge that Len and his wife are active members of safe care. However, distributed leadership can be problematic in the sense that responsibilities are not clearly defined, causing uncertainty of accountability. Effective governance is therefore necessary to determine who should be responsible for checking the understanding of the medication, record counselling and ensure the continuity between services (Ojo </w:t>
      </w:r>
      <w:r w:rsidRPr="00B42C13">
        <w:rPr>
          <w:rFonts w:ascii="Arial" w:hAnsi="Arial"/>
          <w:i/>
          <w:iCs/>
          <w:color w:val="000000" w:themeColor="text1"/>
          <w:sz w:val="22"/>
          <w:lang w:val="en-GB"/>
        </w:rPr>
        <w:t>et al</w:t>
      </w:r>
      <w:r w:rsidRPr="00B42C13">
        <w:rPr>
          <w:rFonts w:ascii="Arial" w:hAnsi="Arial"/>
          <w:color w:val="000000" w:themeColor="text1"/>
          <w:sz w:val="22"/>
          <w:lang w:val="en-GB"/>
        </w:rPr>
        <w:t>., 2024).</w:t>
      </w:r>
    </w:p>
    <w:p w14:paraId="68C3C03B" w14:textId="77777777" w:rsidR="00B93688"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 xml:space="preserve">Additionally, the case illustrates the importance of "emotional intelligence" and "compassionate leadership. Leaders and professionals need to be able to recognise patients' individual needs and respond to them appropriately which is emotional intelligence. In Len's case this would be checking to see if he and his wife really knew how to take the medicine and not taking it for granted they had read them. Compassionate leadership involves being attuned to others, listening and involving others in decision making (Ramachandran </w:t>
      </w:r>
      <w:r w:rsidRPr="00B42C13">
        <w:rPr>
          <w:rFonts w:ascii="Arial" w:hAnsi="Arial"/>
          <w:i/>
          <w:iCs/>
          <w:color w:val="000000" w:themeColor="text1"/>
          <w:sz w:val="22"/>
          <w:lang w:val="en-GB"/>
        </w:rPr>
        <w:t>et al.</w:t>
      </w:r>
      <w:r w:rsidRPr="00B42C13">
        <w:rPr>
          <w:rFonts w:ascii="Arial" w:hAnsi="Arial"/>
          <w:color w:val="000000" w:themeColor="text1"/>
          <w:sz w:val="22"/>
          <w:lang w:val="en-GB"/>
        </w:rPr>
        <w:t xml:space="preserve">, 2023). One application that I can think of would be using a teach-back approach such as using Len or his wife to explain how much morphine they intended to give. This may have led to a miscommunication before damage was done. Safety information once again emphasizes the need for good leadership. Medication-related harm is a major contributor to avoidable harm in the world, in fact it is estimated that annual medication error-related harm costs the world around US$42 billion (WHO, 2022). </w:t>
      </w:r>
    </w:p>
    <w:p w14:paraId="6670002D" w14:textId="4BD5EBCC"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 xml:space="preserve">Similarly, </w:t>
      </w:r>
      <w:proofErr w:type="spellStart"/>
      <w:r w:rsidRPr="00B42C13">
        <w:rPr>
          <w:rFonts w:ascii="Arial" w:hAnsi="Arial"/>
          <w:color w:val="000000" w:themeColor="text1"/>
          <w:sz w:val="22"/>
          <w:lang w:val="en-GB"/>
        </w:rPr>
        <w:t>Alrowily</w:t>
      </w:r>
      <w:proofErr w:type="spellEnd"/>
      <w:r w:rsidRPr="00B42C13">
        <w:rPr>
          <w:rFonts w:ascii="Arial" w:hAnsi="Arial"/>
          <w:color w:val="000000" w:themeColor="text1"/>
          <w:sz w:val="22"/>
          <w:lang w:val="en-GB"/>
        </w:rPr>
        <w:t xml:space="preserve"> </w:t>
      </w:r>
      <w:r w:rsidRPr="00B42C13">
        <w:rPr>
          <w:rFonts w:ascii="Arial" w:hAnsi="Arial"/>
          <w:i/>
          <w:iCs/>
          <w:color w:val="000000" w:themeColor="text1"/>
          <w:sz w:val="22"/>
          <w:lang w:val="en-GB"/>
        </w:rPr>
        <w:t xml:space="preserve">et al </w:t>
      </w:r>
      <w:r w:rsidRPr="00B42C13">
        <w:rPr>
          <w:rFonts w:ascii="Arial" w:hAnsi="Arial"/>
          <w:color w:val="000000" w:themeColor="text1"/>
          <w:sz w:val="22"/>
          <w:lang w:val="en-GB"/>
        </w:rPr>
        <w:t>(2024) shows that the scale of incidents relating to medicines remains high in the UK and communication, human factors and system weaknesses are persistent issues. The results indicate that the ability of leaders to be effective in improving safety is being judged not only by policies but also in terms of resulting safety outcomes. Employees' commitment is also a factor. Evidence from staff surveys conducted within the NHS (2026) has been robustly consistent in showing the relationship between leadership, team working, psychological safety and perception of quality of care. In situations where staff do not feel confident to speak up or challenge unsafe practices, risks can be overlooked and only come to light when significant harm has already happened.</w:t>
      </w:r>
    </w:p>
    <w:p w14:paraId="3E28EC43" w14:textId="77777777" w:rsidR="00E20CEF"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 xml:space="preserve">In Len's case leadership is more reactive than proactive. The system responded when there </w:t>
      </w:r>
      <w:r w:rsidR="00E20CEF" w:rsidRPr="00B42C13">
        <w:rPr>
          <w:rFonts w:ascii="Arial" w:hAnsi="Arial"/>
          <w:color w:val="000000" w:themeColor="text1"/>
          <w:sz w:val="22"/>
          <w:lang w:val="en-GB"/>
        </w:rPr>
        <w:t>were</w:t>
      </w:r>
      <w:r w:rsidRPr="00B42C13">
        <w:rPr>
          <w:rFonts w:ascii="Arial" w:hAnsi="Arial"/>
          <w:color w:val="000000" w:themeColor="text1"/>
          <w:sz w:val="22"/>
          <w:lang w:val="en-GB"/>
        </w:rPr>
        <w:t xml:space="preserve"> suspected overdose and clinical deterioration and not in anticipation of risks with complex medication instructions for an older patient. These risks would have been identified, and measures undertaken to prevent their occurrence, in a purpose-driven approach. Hence, there is </w:t>
      </w:r>
      <w:r w:rsidRPr="00B42C13">
        <w:rPr>
          <w:rFonts w:ascii="Arial" w:hAnsi="Arial"/>
          <w:color w:val="000000" w:themeColor="text1"/>
          <w:sz w:val="22"/>
          <w:lang w:val="en-GB"/>
        </w:rPr>
        <w:lastRenderedPageBreak/>
        <w:t xml:space="preserve">no single leadership theory that can be used. This would be more appropriate with a mixture of transformational, distributed and emotionally intelligent leadership and transactional controls. </w:t>
      </w:r>
    </w:p>
    <w:p w14:paraId="796FC710" w14:textId="42BBEABB"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 xml:space="preserve">Transformational leadership could create a shared goal for medication safety, distributed leadership could enhance cross-organisational responsibility, emotionally intelligent leadership could help capture patient and family needs and transactional mechanisms could offer a consistent way to perform medication safety checks. This hybrid method might help to foster a proactive learning culture in which risk data from safety and staff feedback, along with incident reporting, are leveraged to discover risks and prevent unnecessary patient harm (Jiang </w:t>
      </w:r>
      <w:r w:rsidRPr="00B42C13">
        <w:rPr>
          <w:rFonts w:ascii="Arial" w:hAnsi="Arial"/>
          <w:i/>
          <w:iCs/>
          <w:color w:val="000000" w:themeColor="text1"/>
          <w:sz w:val="22"/>
          <w:lang w:val="en-GB"/>
        </w:rPr>
        <w:t>et al</w:t>
      </w:r>
      <w:r w:rsidRPr="00B42C13">
        <w:rPr>
          <w:rFonts w:ascii="Arial" w:hAnsi="Arial"/>
          <w:color w:val="000000" w:themeColor="text1"/>
          <w:sz w:val="22"/>
          <w:lang w:val="en-GB"/>
        </w:rPr>
        <w:t>., 2024).</w:t>
      </w:r>
    </w:p>
    <w:p w14:paraId="503497B0" w14:textId="77777777" w:rsidR="00E709D4" w:rsidRPr="00B42C13" w:rsidRDefault="00E709D4" w:rsidP="00344801">
      <w:pPr>
        <w:pStyle w:val="Heading2"/>
        <w:spacing w:before="240" w:after="240"/>
        <w:rPr>
          <w:rFonts w:ascii="Arial" w:hAnsi="Arial"/>
          <w:color w:val="000000" w:themeColor="text1"/>
          <w:sz w:val="22"/>
          <w:szCs w:val="22"/>
          <w:lang w:val="en-GB"/>
        </w:rPr>
      </w:pPr>
      <w:bookmarkStart w:id="9" w:name="_Toc236752159"/>
      <w:r w:rsidRPr="00B42C13">
        <w:rPr>
          <w:rFonts w:ascii="Arial" w:hAnsi="Arial"/>
          <w:color w:val="000000" w:themeColor="text1"/>
          <w:sz w:val="22"/>
          <w:szCs w:val="22"/>
          <w:lang w:val="en-GB"/>
        </w:rPr>
        <w:t>2.4 Improvement and Lessons Learned</w:t>
      </w:r>
      <w:bookmarkEnd w:id="9"/>
      <w:r w:rsidRPr="00B42C13">
        <w:rPr>
          <w:rFonts w:ascii="Arial" w:hAnsi="Arial"/>
          <w:color w:val="000000" w:themeColor="text1"/>
          <w:sz w:val="22"/>
          <w:szCs w:val="22"/>
          <w:lang w:val="en-GB"/>
        </w:rPr>
        <w:t> </w:t>
      </w:r>
    </w:p>
    <w:p w14:paraId="0CAC23EA" w14:textId="77777777"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Len's case illustrates that patient safety mistakes can be the result of interaction between leadership and governance, or the design of systems, not just because of one person's error. The HSSIB investigation uncovered a number of areas in which additional leadership and governance could have prevented the over-dosing of morphine.</w:t>
      </w:r>
    </w:p>
    <w:p w14:paraId="42EA8DD7" w14:textId="77777777" w:rsidR="00E709D4" w:rsidRPr="00B42C13" w:rsidRDefault="00E709D4" w:rsidP="00344801">
      <w:pPr>
        <w:spacing w:before="240" w:after="240"/>
        <w:rPr>
          <w:rFonts w:ascii="Arial" w:hAnsi="Arial"/>
          <w:color w:val="000000" w:themeColor="text1"/>
          <w:sz w:val="22"/>
          <w:lang w:val="en-GB"/>
        </w:rPr>
      </w:pPr>
      <w:r w:rsidRPr="00B42C13">
        <w:rPr>
          <w:rFonts w:ascii="Arial" w:hAnsi="Arial"/>
          <w:b/>
          <w:bCs/>
          <w:color w:val="000000" w:themeColor="text1"/>
          <w:sz w:val="22"/>
          <w:lang w:val="en-GB"/>
        </w:rPr>
        <w:t>Problem</w:t>
      </w:r>
      <w:r w:rsidRPr="00B42C13">
        <w:rPr>
          <w:rFonts w:ascii="Arial" w:hAnsi="Arial"/>
          <w:color w:val="000000" w:themeColor="text1"/>
          <w:sz w:val="22"/>
          <w:lang w:val="en-GB"/>
        </w:rPr>
        <w:t>: The problem was collaboration between primary care, hospital and pharmacy services. The care provided by Len involved a number of agencies and professionals, which meant there was a potential for the responsibility for managing medicines to be spread out. There was not enough coordination to ensure that Len and his wife grasped the prescribed dose of the morphine prescription, though this was deemed appropriate. Thus, leadership was reactive rather than proactive, taking steps after the harm of an overdose rather than steps to reduce the risks to an older person taking a high-risk medicine. </w:t>
      </w:r>
    </w:p>
    <w:p w14:paraId="3B505609" w14:textId="41226EA6" w:rsidR="00E709D4" w:rsidRPr="00B42C13" w:rsidRDefault="00E709D4" w:rsidP="00344801">
      <w:pPr>
        <w:spacing w:before="240" w:after="240"/>
        <w:rPr>
          <w:rFonts w:ascii="Arial" w:hAnsi="Arial"/>
          <w:color w:val="000000" w:themeColor="text1"/>
          <w:sz w:val="22"/>
          <w:lang w:val="en-GB"/>
        </w:rPr>
      </w:pPr>
      <w:r w:rsidRPr="00B42C13">
        <w:rPr>
          <w:rFonts w:ascii="Arial" w:hAnsi="Arial"/>
          <w:b/>
          <w:bCs/>
          <w:color w:val="000000" w:themeColor="text1"/>
          <w:sz w:val="22"/>
          <w:lang w:val="en-GB"/>
        </w:rPr>
        <w:t>Data</w:t>
      </w:r>
      <w:r w:rsidRPr="00B42C13">
        <w:rPr>
          <w:rFonts w:ascii="Arial" w:hAnsi="Arial"/>
          <w:color w:val="000000" w:themeColor="text1"/>
          <w:sz w:val="22"/>
          <w:lang w:val="en-GB"/>
        </w:rPr>
        <w:t>: The dispensing label attached to the outer packaging clearly showed the correct dose. However, Len and his wife were not able to see this. Instead, they used information provided by the manufacturer on the bottle, which indicated the strength of the medicine and was misinterpreted to be the required dose.</w:t>
      </w:r>
    </w:p>
    <w:p w14:paraId="14016473" w14:textId="77777777" w:rsidR="00E709D4" w:rsidRPr="00B42C13" w:rsidRDefault="00E709D4" w:rsidP="00344801">
      <w:pPr>
        <w:spacing w:before="240" w:after="240"/>
        <w:rPr>
          <w:rFonts w:ascii="Arial" w:hAnsi="Arial"/>
          <w:color w:val="000000" w:themeColor="text1"/>
          <w:sz w:val="22"/>
          <w:lang w:val="en-GB"/>
        </w:rPr>
      </w:pPr>
      <w:r w:rsidRPr="00B42C13">
        <w:rPr>
          <w:rFonts w:ascii="Arial" w:hAnsi="Arial"/>
          <w:b/>
          <w:bCs/>
          <w:color w:val="000000" w:themeColor="text1"/>
          <w:sz w:val="22"/>
          <w:lang w:val="en-GB"/>
        </w:rPr>
        <w:t>Improvement</w:t>
      </w:r>
      <w:r w:rsidRPr="00B42C13">
        <w:rPr>
          <w:rFonts w:ascii="Arial" w:hAnsi="Arial"/>
          <w:color w:val="000000" w:themeColor="text1"/>
          <w:sz w:val="22"/>
          <w:lang w:val="en-GB"/>
        </w:rPr>
        <w:t>: Embed distributed leadership and has clearly established cross organisation accountability. The roles of prescribers and pharmacists must be shared in confirming patient understanding and local multidisciplinary teams must have the ability to recognise and escalate medication risks. This would bring together the central governance standards and the decentralised professional decision making.     </w:t>
      </w:r>
    </w:p>
    <w:p w14:paraId="147746B4" w14:textId="77777777" w:rsidR="00E709D4" w:rsidRPr="00B42C13" w:rsidRDefault="00E709D4" w:rsidP="00344801">
      <w:pPr>
        <w:spacing w:before="240" w:after="240"/>
        <w:rPr>
          <w:rFonts w:ascii="Arial" w:hAnsi="Arial"/>
          <w:color w:val="000000" w:themeColor="text1"/>
          <w:sz w:val="22"/>
          <w:lang w:val="en-GB"/>
        </w:rPr>
      </w:pPr>
      <w:r w:rsidRPr="00B42C13">
        <w:rPr>
          <w:rFonts w:ascii="Arial" w:hAnsi="Arial"/>
          <w:b/>
          <w:bCs/>
          <w:color w:val="000000" w:themeColor="text1"/>
          <w:sz w:val="22"/>
          <w:lang w:val="en-GB"/>
        </w:rPr>
        <w:lastRenderedPageBreak/>
        <w:t xml:space="preserve">Problem: </w:t>
      </w:r>
      <w:r w:rsidRPr="00B42C13">
        <w:rPr>
          <w:rFonts w:ascii="Arial" w:hAnsi="Arial"/>
          <w:color w:val="000000" w:themeColor="text1"/>
          <w:sz w:val="22"/>
          <w:lang w:val="en-GB"/>
        </w:rPr>
        <w:t>Information about medicines was available but it was not accessible or understood. The case illustrates that giving written information does not ensure safe medication usage. There were discrepancies between information provision and comprehension. Len and his wife had a misunderstanding about the differences between the medicine’s concentration and the prescribed dose. </w:t>
      </w:r>
    </w:p>
    <w:p w14:paraId="3EE02056" w14:textId="043917D4" w:rsidR="00E709D4" w:rsidRPr="00B42C13" w:rsidRDefault="00E709D4" w:rsidP="00344801">
      <w:pPr>
        <w:spacing w:before="240" w:after="240"/>
        <w:rPr>
          <w:rFonts w:ascii="Arial" w:hAnsi="Arial"/>
          <w:color w:val="000000" w:themeColor="text1"/>
          <w:sz w:val="22"/>
          <w:lang w:val="en-GB"/>
        </w:rPr>
      </w:pPr>
      <w:r w:rsidRPr="00B42C13">
        <w:rPr>
          <w:rFonts w:ascii="Arial" w:hAnsi="Arial"/>
          <w:b/>
          <w:bCs/>
          <w:color w:val="000000" w:themeColor="text1"/>
          <w:sz w:val="22"/>
          <w:lang w:val="en-GB"/>
        </w:rPr>
        <w:t xml:space="preserve">Data: </w:t>
      </w:r>
      <w:r w:rsidRPr="00B42C13">
        <w:rPr>
          <w:rFonts w:ascii="Arial" w:hAnsi="Arial"/>
          <w:color w:val="000000" w:themeColor="text1"/>
          <w:sz w:val="22"/>
          <w:lang w:val="en-GB"/>
        </w:rPr>
        <w:t xml:space="preserve">The HSSIB investigation found that there was a prescribed dose on the outer dispensing </w:t>
      </w:r>
      <w:r w:rsidR="005B1857" w:rsidRPr="00B42C13">
        <w:rPr>
          <w:rFonts w:ascii="Arial" w:hAnsi="Arial"/>
          <w:color w:val="000000" w:themeColor="text1"/>
          <w:sz w:val="22"/>
          <w:lang w:val="en-GB"/>
        </w:rPr>
        <w:t>label,</w:t>
      </w:r>
      <w:r w:rsidRPr="00B42C13">
        <w:rPr>
          <w:rFonts w:ascii="Arial" w:hAnsi="Arial"/>
          <w:color w:val="000000" w:themeColor="text1"/>
          <w:sz w:val="22"/>
          <w:lang w:val="en-GB"/>
        </w:rPr>
        <w:t xml:space="preserve"> but Len and his wife did not see it. Thai suggests that the safety system was relying on the patient's ability to detect and interpret written information.</w:t>
      </w:r>
      <w:r w:rsidRPr="00B42C13">
        <w:rPr>
          <w:rFonts w:ascii="Arial" w:hAnsi="Arial"/>
          <w:b/>
          <w:bCs/>
          <w:color w:val="000000" w:themeColor="text1"/>
          <w:sz w:val="22"/>
          <w:lang w:val="en-GB"/>
        </w:rPr>
        <w:t> </w:t>
      </w:r>
    </w:p>
    <w:p w14:paraId="37455EE1" w14:textId="3224EE9F" w:rsidR="00E709D4" w:rsidRPr="00B42C13" w:rsidRDefault="00E709D4" w:rsidP="00344801">
      <w:pPr>
        <w:spacing w:before="240" w:after="240"/>
        <w:rPr>
          <w:rFonts w:ascii="Arial" w:hAnsi="Arial"/>
          <w:color w:val="000000" w:themeColor="text1"/>
          <w:sz w:val="22"/>
          <w:lang w:val="en-GB"/>
        </w:rPr>
      </w:pPr>
      <w:r w:rsidRPr="00B42C13">
        <w:rPr>
          <w:rFonts w:ascii="Arial" w:hAnsi="Arial"/>
          <w:b/>
          <w:bCs/>
          <w:color w:val="000000" w:themeColor="text1"/>
          <w:sz w:val="22"/>
          <w:lang w:val="en-GB"/>
        </w:rPr>
        <w:t xml:space="preserve">Improvement: </w:t>
      </w:r>
      <w:r w:rsidRPr="00B42C13">
        <w:rPr>
          <w:rFonts w:ascii="Arial" w:hAnsi="Arial"/>
          <w:color w:val="000000" w:themeColor="text1"/>
          <w:sz w:val="22"/>
          <w:lang w:val="en-GB"/>
        </w:rPr>
        <w:t xml:space="preserve">Implement a compulsory patient-centred counselling for high-risk medicines. The teach-back approach should be used to help the healthcare professionals who should ask the </w:t>
      </w:r>
      <w:r w:rsidR="005B1857" w:rsidRPr="00B42C13">
        <w:rPr>
          <w:rFonts w:ascii="Arial" w:hAnsi="Arial"/>
          <w:color w:val="000000" w:themeColor="text1"/>
          <w:sz w:val="22"/>
          <w:lang w:val="en-GB"/>
        </w:rPr>
        <w:t>caregiver</w:t>
      </w:r>
      <w:r w:rsidRPr="00B42C13">
        <w:rPr>
          <w:rFonts w:ascii="Arial" w:hAnsi="Arial"/>
          <w:color w:val="000000" w:themeColor="text1"/>
          <w:sz w:val="22"/>
          <w:lang w:val="en-GB"/>
        </w:rPr>
        <w:t xml:space="preserve"> to check how they will be taking the dose. Labels should be clearly differentiated between medicine strength and prescribed dose and measuring devices should cover the full range of prescribed doses. </w:t>
      </w:r>
    </w:p>
    <w:p w14:paraId="7B55BD32" w14:textId="77777777" w:rsidR="00E709D4" w:rsidRPr="00B42C13" w:rsidRDefault="00E709D4" w:rsidP="00344801">
      <w:pPr>
        <w:spacing w:before="240" w:after="240"/>
        <w:rPr>
          <w:rFonts w:ascii="Arial" w:hAnsi="Arial"/>
          <w:color w:val="000000" w:themeColor="text1"/>
          <w:sz w:val="22"/>
          <w:lang w:val="en-GB"/>
        </w:rPr>
      </w:pPr>
      <w:r w:rsidRPr="00B42C13">
        <w:rPr>
          <w:rFonts w:ascii="Arial" w:hAnsi="Arial"/>
          <w:b/>
          <w:bCs/>
          <w:color w:val="000000" w:themeColor="text1"/>
          <w:sz w:val="22"/>
          <w:lang w:val="en-GB"/>
        </w:rPr>
        <w:t xml:space="preserve">Problem: </w:t>
      </w:r>
      <w:r w:rsidRPr="00B42C13">
        <w:rPr>
          <w:rFonts w:ascii="Arial" w:hAnsi="Arial"/>
          <w:color w:val="000000" w:themeColor="text1"/>
          <w:sz w:val="22"/>
          <w:lang w:val="en-GB"/>
        </w:rPr>
        <w:t>Limited proactively learning and weak system feedback. The case of Len emphasises the need to consider medication incidents as an indicator of the broader system risk. Isolated professional accountability will not ensure safety, as medication errors may happen when prescribing, dispensing, administration and monitoring.</w:t>
      </w:r>
    </w:p>
    <w:p w14:paraId="234810BD" w14:textId="77777777" w:rsidR="00E709D4" w:rsidRPr="00B42C13" w:rsidRDefault="00E709D4" w:rsidP="00344801">
      <w:pPr>
        <w:spacing w:before="240" w:after="240"/>
        <w:rPr>
          <w:rFonts w:ascii="Arial" w:hAnsi="Arial"/>
          <w:color w:val="000000" w:themeColor="text1"/>
          <w:sz w:val="22"/>
          <w:lang w:val="en-GB"/>
        </w:rPr>
      </w:pPr>
      <w:r w:rsidRPr="00B42C13">
        <w:rPr>
          <w:rFonts w:ascii="Arial" w:hAnsi="Arial"/>
          <w:b/>
          <w:bCs/>
          <w:color w:val="000000" w:themeColor="text1"/>
          <w:sz w:val="22"/>
          <w:lang w:val="en-GB"/>
        </w:rPr>
        <w:t xml:space="preserve">Data: </w:t>
      </w:r>
      <w:r w:rsidRPr="00B42C13">
        <w:rPr>
          <w:rFonts w:ascii="Arial" w:hAnsi="Arial"/>
          <w:color w:val="000000" w:themeColor="text1"/>
          <w:sz w:val="22"/>
          <w:lang w:val="en-GB"/>
        </w:rPr>
        <w:t>WHO estimates that about US$42 billion of money is lost in the world annually as a result of preventable medication-related harm due to medication errors. Continued incidents show that the focus on individual vigilance is not enough, healthcare organisations need to bolster learning systems.</w:t>
      </w:r>
    </w:p>
    <w:p w14:paraId="6C9FD091" w14:textId="613795E8" w:rsidR="00E709D4" w:rsidRPr="00B42C13" w:rsidRDefault="00E709D4" w:rsidP="00344801">
      <w:pPr>
        <w:spacing w:before="240" w:after="240"/>
        <w:rPr>
          <w:rFonts w:ascii="Arial" w:hAnsi="Arial"/>
          <w:color w:val="000000" w:themeColor="text1"/>
          <w:sz w:val="22"/>
          <w:lang w:val="en-GB"/>
        </w:rPr>
      </w:pPr>
      <w:r w:rsidRPr="00B42C13">
        <w:rPr>
          <w:rFonts w:ascii="Arial" w:hAnsi="Arial"/>
          <w:b/>
          <w:bCs/>
          <w:color w:val="000000" w:themeColor="text1"/>
          <w:sz w:val="22"/>
          <w:lang w:val="en-GB"/>
        </w:rPr>
        <w:t xml:space="preserve">Improvement: </w:t>
      </w:r>
      <w:r w:rsidRPr="00B42C13">
        <w:rPr>
          <w:rFonts w:ascii="Arial" w:hAnsi="Arial"/>
          <w:color w:val="000000" w:themeColor="text1"/>
          <w:sz w:val="22"/>
          <w:lang w:val="en-GB"/>
        </w:rPr>
        <w:t>Create integrated medication-safety dashboards that integrate incident reports with prescribing errors, pharmacy feedback, and patient complaints and staff concerns. Leaders need to analyse these data in multidisciplinary governance meetings and apply PDSA cycles to challenge interventions. This would let organisations know what risks keep recurring and also determine if any improvements are really decreasing harm.</w:t>
      </w:r>
    </w:p>
    <w:p w14:paraId="4A113D17" w14:textId="77777777" w:rsidR="00E709D4" w:rsidRPr="00B42C13" w:rsidRDefault="00E709D4" w:rsidP="00344801">
      <w:pPr>
        <w:spacing w:before="240" w:after="240"/>
        <w:rPr>
          <w:rFonts w:ascii="Arial" w:hAnsi="Arial"/>
          <w:color w:val="000000" w:themeColor="text1"/>
          <w:sz w:val="22"/>
          <w:lang w:val="en-GB"/>
        </w:rPr>
      </w:pPr>
      <w:r w:rsidRPr="00B42C13">
        <w:rPr>
          <w:rFonts w:ascii="Arial" w:hAnsi="Arial"/>
          <w:b/>
          <w:bCs/>
          <w:color w:val="000000" w:themeColor="text1"/>
          <w:sz w:val="22"/>
          <w:lang w:val="en-GB"/>
        </w:rPr>
        <w:t xml:space="preserve">Problem: </w:t>
      </w:r>
      <w:r w:rsidRPr="00B42C13">
        <w:rPr>
          <w:rFonts w:ascii="Arial" w:hAnsi="Arial"/>
          <w:color w:val="000000" w:themeColor="text1"/>
          <w:sz w:val="22"/>
          <w:lang w:val="en-GB"/>
        </w:rPr>
        <w:t>The need for centralised governance is a key problem in achieving uniform medication-safety requirements, but a standardised approach to policy may not satisfy the needs of all patients. Len's case illustrates that an older patient or carer might need more than just standard written directions.</w:t>
      </w:r>
    </w:p>
    <w:p w14:paraId="41F63886" w14:textId="6F9C7B6A" w:rsidR="00E709D4" w:rsidRPr="00B42C13" w:rsidRDefault="00E709D4" w:rsidP="00344801">
      <w:pPr>
        <w:spacing w:before="240" w:after="240"/>
        <w:rPr>
          <w:rFonts w:ascii="Arial" w:hAnsi="Arial"/>
          <w:color w:val="000000" w:themeColor="text1"/>
          <w:sz w:val="22"/>
          <w:lang w:val="en-GB"/>
        </w:rPr>
      </w:pPr>
      <w:r w:rsidRPr="00B42C13">
        <w:rPr>
          <w:rFonts w:ascii="Arial" w:hAnsi="Arial"/>
          <w:b/>
          <w:bCs/>
          <w:color w:val="000000" w:themeColor="text1"/>
          <w:sz w:val="22"/>
          <w:lang w:val="en-GB"/>
        </w:rPr>
        <w:lastRenderedPageBreak/>
        <w:t xml:space="preserve">Data: </w:t>
      </w:r>
      <w:r w:rsidRPr="00B42C13">
        <w:rPr>
          <w:rFonts w:ascii="Arial" w:hAnsi="Arial"/>
          <w:color w:val="000000" w:themeColor="text1"/>
          <w:sz w:val="22"/>
          <w:lang w:val="en-GB"/>
        </w:rPr>
        <w:t>The findings of HSSIB (2023) indicate that the medication and the prescribed dosage was suitable. However, the process of communication and understanding was not effective. This indicates that, if there are patient-specific circumstances that are not taken into account by the processes of a system, then clinical correctness is not enough.</w:t>
      </w:r>
    </w:p>
    <w:p w14:paraId="1DE33E94" w14:textId="77777777" w:rsidR="00E709D4" w:rsidRPr="00B42C13" w:rsidRDefault="00E709D4" w:rsidP="00344801">
      <w:pPr>
        <w:spacing w:before="240" w:after="240"/>
        <w:rPr>
          <w:rFonts w:ascii="Arial" w:hAnsi="Arial"/>
          <w:color w:val="000000" w:themeColor="text1"/>
          <w:sz w:val="22"/>
          <w:lang w:val="en-GB"/>
        </w:rPr>
      </w:pPr>
      <w:r w:rsidRPr="00B42C13">
        <w:rPr>
          <w:rFonts w:ascii="Arial" w:hAnsi="Arial"/>
          <w:b/>
          <w:bCs/>
          <w:color w:val="000000" w:themeColor="text1"/>
          <w:sz w:val="22"/>
          <w:lang w:val="en-GB"/>
        </w:rPr>
        <w:t xml:space="preserve">Improvement: </w:t>
      </w:r>
      <w:r w:rsidRPr="00B42C13">
        <w:rPr>
          <w:rFonts w:ascii="Arial" w:hAnsi="Arial"/>
          <w:color w:val="000000" w:themeColor="text1"/>
          <w:sz w:val="22"/>
          <w:lang w:val="en-GB"/>
        </w:rPr>
        <w:t>Implementing a hybrid governance would be effective. National and organisational leaders should set minimum standards for prescribing, labelling and counselling and local teams should be granted autonomy in providing extra support as needed by patients. For instance, these medicines might be given extra counselling, carer involvement and follow-up contact to older or vulnerable patients.</w:t>
      </w:r>
      <w:r w:rsidRPr="00B42C13">
        <w:rPr>
          <w:rFonts w:ascii="Arial" w:hAnsi="Arial"/>
          <w:b/>
          <w:bCs/>
          <w:color w:val="000000" w:themeColor="text1"/>
          <w:sz w:val="22"/>
          <w:lang w:val="en-GB"/>
        </w:rPr>
        <w:t> </w:t>
      </w:r>
    </w:p>
    <w:p w14:paraId="31E47BB3" w14:textId="40986D01"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 xml:space="preserve">There are two key points to be learned from Len’s case. Both distributed and emotionally intelligent leadership combined with centralised governance can ensure that standards are tailored to the needs of individual patients while also being standardised and accountable. The leadership response in this instance was </w:t>
      </w:r>
      <w:r w:rsidR="005B1857" w:rsidRPr="00B42C13">
        <w:rPr>
          <w:rFonts w:ascii="Arial" w:hAnsi="Arial"/>
          <w:color w:val="000000" w:themeColor="text1"/>
          <w:sz w:val="22"/>
          <w:lang w:val="en-GB"/>
        </w:rPr>
        <w:t>reactive,</w:t>
      </w:r>
      <w:r w:rsidRPr="00B42C13">
        <w:rPr>
          <w:rFonts w:ascii="Arial" w:hAnsi="Arial"/>
          <w:color w:val="000000" w:themeColor="text1"/>
          <w:sz w:val="22"/>
          <w:lang w:val="en-GB"/>
        </w:rPr>
        <w:t xml:space="preserve"> and their response could have been more proactive and purposeful to predict the potential for medicine strength to be confused with the prescribed dose. Thus, other healthcare organisations can learn that safe prescribing does not equal safe outcomes. Medication safety needs to be coordinated throughout the whole pathway, from prescribing, through dispensing to patient knowledge and monitoring.</w:t>
      </w:r>
    </w:p>
    <w:p w14:paraId="78BB4EB4" w14:textId="61FA7626"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Evidence and data should be the basis for continuous improvement and accountability. Medication incidents and feedback from patients, staff concerns, compliance with counselling and audit results should be monitored routinely. These data should be used by multi-disciplinary governance groups and responsibilities should be set for implementing and evaluating improvement. This establishes a cycle of incident, analysis, intervention, measurement and learning, which is integrated into the organization's practices. The key take-home message from Len's case is that healthcare organisations need to embed central standards within local flexibility, leadership with shared accountability and incident reporting with ongoing learning to shift the focus from reacting to harm to proactively preventing avoidable patient safety incidents.</w:t>
      </w:r>
    </w:p>
    <w:p w14:paraId="44C7372B" w14:textId="77777777" w:rsidR="00E709D4" w:rsidRPr="00B42C13" w:rsidRDefault="00E709D4" w:rsidP="00344801">
      <w:pPr>
        <w:pStyle w:val="Heading1"/>
        <w:spacing w:before="240" w:after="240"/>
        <w:rPr>
          <w:rFonts w:ascii="Arial" w:hAnsi="Arial"/>
          <w:color w:val="000000" w:themeColor="text1"/>
          <w:sz w:val="22"/>
          <w:szCs w:val="22"/>
          <w:lang w:val="en-GB"/>
        </w:rPr>
      </w:pPr>
      <w:bookmarkStart w:id="10" w:name="_Toc236752160"/>
      <w:r w:rsidRPr="00B42C13">
        <w:rPr>
          <w:rFonts w:ascii="Arial" w:hAnsi="Arial"/>
          <w:color w:val="000000" w:themeColor="text1"/>
          <w:sz w:val="22"/>
          <w:szCs w:val="22"/>
          <w:lang w:val="en-GB"/>
        </w:rPr>
        <w:t>3. Recommendations</w:t>
      </w:r>
      <w:bookmarkEnd w:id="10"/>
      <w:r w:rsidRPr="00B42C13">
        <w:rPr>
          <w:rFonts w:ascii="Arial" w:hAnsi="Arial"/>
          <w:color w:val="000000" w:themeColor="text1"/>
          <w:sz w:val="22"/>
          <w:szCs w:val="22"/>
          <w:lang w:val="en-GB"/>
        </w:rPr>
        <w:t> </w:t>
      </w:r>
    </w:p>
    <w:p w14:paraId="299C3621" w14:textId="77777777"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 xml:space="preserve">The organisation needs to have a proactive approach and recognise that medication safety should be patient-centred and treat risks at prescribing, dispensing, communication and medicine use levels based on the analysis of Len's case. There is a need to integrate transformational, distributed and emotionally intelligent leadership into the most effective leadership approach. </w:t>
      </w:r>
      <w:r w:rsidRPr="00B42C13">
        <w:rPr>
          <w:rFonts w:ascii="Arial" w:hAnsi="Arial"/>
          <w:color w:val="000000" w:themeColor="text1"/>
          <w:sz w:val="22"/>
          <w:lang w:val="en-GB"/>
        </w:rPr>
        <w:lastRenderedPageBreak/>
        <w:t xml:space="preserve">Transformational leaders should set the agenda for safe medication use within the organisation, and distributed leadership should ensure that the responsibilities for recognising and escalating medication risks is shared between GPs, pharmacists and nurses (Alharbi </w:t>
      </w:r>
      <w:r w:rsidRPr="00B42C13">
        <w:rPr>
          <w:rFonts w:ascii="Arial" w:hAnsi="Arial"/>
          <w:i/>
          <w:iCs/>
          <w:color w:val="000000" w:themeColor="text1"/>
          <w:sz w:val="22"/>
          <w:lang w:val="en-GB"/>
        </w:rPr>
        <w:t>et al.</w:t>
      </w:r>
      <w:r w:rsidRPr="00B42C13">
        <w:rPr>
          <w:rFonts w:ascii="Arial" w:hAnsi="Arial"/>
          <w:color w:val="000000" w:themeColor="text1"/>
          <w:sz w:val="22"/>
          <w:lang w:val="en-GB"/>
        </w:rPr>
        <w:t>, 2025). Leaders of emotionally intelligent care should ensure that there is a focus on the needs, capabilities and concerns of older patients and older carers. This mix would shift the organisation from a reactive, command and control to a purpose-driven, proactive approach to improvement.</w:t>
      </w:r>
    </w:p>
    <w:p w14:paraId="68D54ABB" w14:textId="3D3335E2"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 xml:space="preserve">Governance must be enhanced by clarity of accountability in the case of medicines that present risks. A standardized pathway for the administration of medication should involve dose verification, accurate labelling, counselling and confirmation of the patient's understanding of the medication (Russell </w:t>
      </w:r>
      <w:r w:rsidRPr="00B42C13">
        <w:rPr>
          <w:rFonts w:ascii="Arial" w:hAnsi="Arial"/>
          <w:i/>
          <w:iCs/>
          <w:color w:val="000000" w:themeColor="text1"/>
          <w:sz w:val="22"/>
          <w:lang w:val="en-GB"/>
        </w:rPr>
        <w:t>et al.</w:t>
      </w:r>
      <w:r w:rsidRPr="00B42C13">
        <w:rPr>
          <w:rFonts w:ascii="Arial" w:hAnsi="Arial"/>
          <w:color w:val="000000" w:themeColor="text1"/>
          <w:sz w:val="22"/>
          <w:lang w:val="en-GB"/>
        </w:rPr>
        <w:t xml:space="preserve">, 2023). But national and organisational standards must be tempered by local </w:t>
      </w:r>
      <w:r w:rsidR="00125F77" w:rsidRPr="00B42C13">
        <w:rPr>
          <w:rFonts w:ascii="Arial" w:hAnsi="Arial"/>
          <w:color w:val="000000" w:themeColor="text1"/>
          <w:sz w:val="22"/>
          <w:lang w:val="en-GB"/>
        </w:rPr>
        <w:t>flexibility and</w:t>
      </w:r>
      <w:r w:rsidRPr="00B42C13">
        <w:rPr>
          <w:rFonts w:ascii="Arial" w:hAnsi="Arial"/>
          <w:color w:val="000000" w:themeColor="text1"/>
          <w:sz w:val="22"/>
          <w:lang w:val="en-GB"/>
        </w:rPr>
        <w:t xml:space="preserve"> allow multidisciplinary teams to tailor interventions to the needs of the individual patient. There should be medicine safety audits and dashboards on a regular basis to track medicine prescribing errors, medicine incidents that are high risk, counselling completion, repeat medicine incidents, and patient feedback. Senior clinical and governance leaders to be clear about ownership as any risks identified need to lead to measurable action.</w:t>
      </w:r>
    </w:p>
    <w:p w14:paraId="59A0D15B" w14:textId="6618D6EF"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Communication and systems integration must be enhanced by ensuring that information is shared electronically and transferred effectively between primary care, community pharmacy and hospital services. In cases where technically possible, electronic prescribing and clinical decision-support systems should include warnings on high-risk medicines and enable to communicate accurately prescribed dose and concentration. Clear verbal and written instructions must be given to the patient or carer, and the teach-back method should be employed to help ensure understanding (Mahmoodi, 2025). Contact should be considered for vulnerable patients after dispensing as a follow-up.</w:t>
      </w:r>
    </w:p>
    <w:p w14:paraId="098C7FB5" w14:textId="4F887970"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 xml:space="preserve">Avoidable medication errors, duplication and rework can be </w:t>
      </w:r>
      <w:r w:rsidR="00125F77" w:rsidRPr="00B42C13">
        <w:rPr>
          <w:rFonts w:ascii="Arial" w:hAnsi="Arial"/>
          <w:color w:val="000000" w:themeColor="text1"/>
          <w:sz w:val="22"/>
          <w:lang w:val="en-GB"/>
        </w:rPr>
        <w:t>minimized,</w:t>
      </w:r>
      <w:r w:rsidRPr="00B42C13">
        <w:rPr>
          <w:rFonts w:ascii="Arial" w:hAnsi="Arial"/>
          <w:color w:val="000000" w:themeColor="text1"/>
          <w:sz w:val="22"/>
          <w:lang w:val="en-GB"/>
        </w:rPr>
        <w:t xml:space="preserve"> or a standardised digital process, proper measuring instruments and medication reconciliation can help to improve technical efficiency. Allocative efficiency involves allocating resources to interventions that provide the best possible safety outcomes and includes increased counselling and follow-up for older and clinically vulnerable people using high-risk medicines (Wagner</w:t>
      </w:r>
      <w:r w:rsidRPr="00B42C13">
        <w:rPr>
          <w:rFonts w:ascii="Arial" w:hAnsi="Arial"/>
          <w:i/>
          <w:iCs/>
          <w:color w:val="000000" w:themeColor="text1"/>
          <w:sz w:val="22"/>
          <w:lang w:val="en-GB"/>
        </w:rPr>
        <w:t xml:space="preserve"> et al</w:t>
      </w:r>
      <w:r w:rsidRPr="00B42C13">
        <w:rPr>
          <w:rFonts w:ascii="Arial" w:hAnsi="Arial"/>
          <w:color w:val="000000" w:themeColor="text1"/>
          <w:sz w:val="22"/>
          <w:lang w:val="en-GB"/>
        </w:rPr>
        <w:t xml:space="preserve">., 2025). Lastly, the organisation needs to incorporate continuous learning and co-production. The principles of PSIRF should be applied to incident reviews and system learning should be the emphasis over individual blame. Patients, carers, pharmacists and frontline staff should be involved in safety reviews and improvement projects. Staff surveys, patient feedback, incident data and audit results should be </w:t>
      </w:r>
      <w:r w:rsidRPr="00B42C13">
        <w:rPr>
          <w:rFonts w:ascii="Arial" w:hAnsi="Arial"/>
          <w:color w:val="000000" w:themeColor="text1"/>
          <w:sz w:val="22"/>
          <w:lang w:val="en-GB"/>
        </w:rPr>
        <w:lastRenderedPageBreak/>
        <w:t xml:space="preserve">reviewed </w:t>
      </w:r>
      <w:r w:rsidR="00125F77" w:rsidRPr="00B42C13">
        <w:rPr>
          <w:rFonts w:ascii="Arial" w:hAnsi="Arial"/>
          <w:color w:val="000000" w:themeColor="text1"/>
          <w:sz w:val="22"/>
          <w:lang w:val="en-GB"/>
        </w:rPr>
        <w:t>regularly,</w:t>
      </w:r>
      <w:r w:rsidRPr="00B42C13">
        <w:rPr>
          <w:rFonts w:ascii="Arial" w:hAnsi="Arial"/>
          <w:color w:val="000000" w:themeColor="text1"/>
          <w:sz w:val="22"/>
          <w:lang w:val="en-GB"/>
        </w:rPr>
        <w:t xml:space="preserve"> and interventions can be tested using the PDSA cycles before they are implemented on a wider scale (AHRQ, 2024). Progress to be monitored via governance structures, thus holding individuals accountable for progress. Together, these recommendations would create a strong governance and distributed leadership environment, with patient engagement and learning from data as integral components, to shift the organisation from responding to harm related to medication use to proactively preventing it and continually improving.</w:t>
      </w:r>
    </w:p>
    <w:p w14:paraId="59E6DEA4" w14:textId="77777777" w:rsidR="00E709D4" w:rsidRPr="00B42C13" w:rsidRDefault="00E709D4" w:rsidP="00344801">
      <w:pPr>
        <w:pStyle w:val="Heading1"/>
        <w:spacing w:before="240" w:after="240"/>
        <w:rPr>
          <w:rFonts w:ascii="Arial" w:hAnsi="Arial"/>
          <w:color w:val="000000" w:themeColor="text1"/>
          <w:sz w:val="22"/>
          <w:szCs w:val="22"/>
          <w:lang w:val="en-GB"/>
        </w:rPr>
      </w:pPr>
      <w:bookmarkStart w:id="11" w:name="_Toc236752161"/>
      <w:r w:rsidRPr="00B42C13">
        <w:rPr>
          <w:rFonts w:ascii="Arial" w:hAnsi="Arial"/>
          <w:color w:val="000000" w:themeColor="text1"/>
          <w:sz w:val="22"/>
          <w:szCs w:val="22"/>
          <w:lang w:val="en-GB"/>
        </w:rPr>
        <w:t>4. Conclusion</w:t>
      </w:r>
      <w:bookmarkEnd w:id="11"/>
      <w:r w:rsidRPr="00B42C13">
        <w:rPr>
          <w:rFonts w:ascii="Arial" w:hAnsi="Arial"/>
          <w:color w:val="000000" w:themeColor="text1"/>
          <w:sz w:val="22"/>
          <w:szCs w:val="22"/>
          <w:lang w:val="en-GB"/>
        </w:rPr>
        <w:t> </w:t>
      </w:r>
    </w:p>
    <w:p w14:paraId="165DC153" w14:textId="77777777" w:rsidR="00EF0FB7"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It is clear from the analysis of Len’s case that the accidental morphine overdose was due to a series of failures in communication, labelling of medicines, care coordination and governance rather than a single person's mistake. The medicine and dose given were clinically appropriate but the many gaps along the medication pathway meant that Len and his wife were not as well informed as they could be about the right dose, which resulted in avoidable harm. Also, lack of co-ordinated leadership due to fragmented responsibilities was identified as a limitation, suggesting better co-ordinated working between primary care and pharmacy and hospital services.</w:t>
      </w:r>
    </w:p>
    <w:p w14:paraId="08F8281A" w14:textId="25CE4C52"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Good leadership and governance and systems thinking are therefore crucial to ensuring sustainable improvement of patient safety. Shared responsibility and patient-centred care can be encouraged through transformational, distributed and emotionally intelligent leadership, and strong governance can foster standardisation and over-sight. Systems thinking helps organisations to look at how people, systems and processes are working together, and helps them recognise proactively risks based on evidence, feedback and learning. However, for healthcare organisations to go beyond simply reacting to incidents and enable them to anticipate risks and actively drive improvements in patient safety, they will need to implement systems integration.</w:t>
      </w:r>
    </w:p>
    <w:p w14:paraId="43DB58F2" w14:textId="33271DDA"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br/>
      </w:r>
      <w:r w:rsidRPr="00B42C13">
        <w:rPr>
          <w:rFonts w:ascii="Arial" w:hAnsi="Arial"/>
          <w:color w:val="000000" w:themeColor="text1"/>
          <w:sz w:val="22"/>
          <w:lang w:val="en-GB"/>
        </w:rPr>
        <w:br/>
      </w:r>
      <w:r w:rsidRPr="00B42C13">
        <w:rPr>
          <w:rFonts w:ascii="Arial" w:hAnsi="Arial"/>
          <w:color w:val="000000" w:themeColor="text1"/>
          <w:sz w:val="22"/>
          <w:lang w:val="en-GB"/>
        </w:rPr>
        <w:br/>
      </w:r>
      <w:r w:rsidRPr="00B42C13">
        <w:rPr>
          <w:rFonts w:ascii="Arial" w:hAnsi="Arial"/>
          <w:color w:val="000000" w:themeColor="text1"/>
          <w:sz w:val="22"/>
          <w:lang w:val="en-GB"/>
        </w:rPr>
        <w:br/>
      </w:r>
    </w:p>
    <w:p w14:paraId="34CB98B7" w14:textId="77777777" w:rsidR="007748C4" w:rsidRDefault="007748C4">
      <w:pPr>
        <w:spacing w:line="276" w:lineRule="auto"/>
        <w:jc w:val="left"/>
        <w:rPr>
          <w:rFonts w:ascii="Arial" w:hAnsi="Arial"/>
          <w:color w:val="000000" w:themeColor="text1"/>
          <w:sz w:val="22"/>
          <w:lang w:val="en-GB"/>
        </w:rPr>
      </w:pPr>
      <w:r>
        <w:rPr>
          <w:rFonts w:ascii="Arial" w:hAnsi="Arial"/>
          <w:color w:val="000000" w:themeColor="text1"/>
          <w:sz w:val="22"/>
          <w:lang w:val="en-GB"/>
        </w:rPr>
        <w:br w:type="page"/>
      </w:r>
    </w:p>
    <w:p w14:paraId="69411D01" w14:textId="1D7F3972" w:rsidR="005A330C" w:rsidRPr="0051230B" w:rsidRDefault="00863DA2" w:rsidP="0051230B">
      <w:pPr>
        <w:pStyle w:val="Heading1"/>
        <w:rPr>
          <w:rFonts w:ascii="Arial" w:hAnsi="Arial"/>
          <w:sz w:val="22"/>
          <w:szCs w:val="22"/>
          <w:lang w:val="en-GB"/>
        </w:rPr>
      </w:pPr>
      <w:bookmarkStart w:id="12" w:name="_Toc236752162"/>
      <w:r w:rsidRPr="0051230B">
        <w:rPr>
          <w:rFonts w:ascii="Arial" w:hAnsi="Arial"/>
          <w:sz w:val="22"/>
          <w:szCs w:val="22"/>
          <w:lang w:val="en-GB"/>
        </w:rPr>
        <w:lastRenderedPageBreak/>
        <w:t>References</w:t>
      </w:r>
      <w:bookmarkEnd w:id="12"/>
      <w:r w:rsidRPr="0051230B">
        <w:rPr>
          <w:rFonts w:ascii="Arial" w:hAnsi="Arial"/>
          <w:sz w:val="22"/>
          <w:szCs w:val="22"/>
          <w:lang w:val="en-GB"/>
        </w:rPr>
        <w:t xml:space="preserve"> </w:t>
      </w:r>
    </w:p>
    <w:p w14:paraId="05D51C7A" w14:textId="2CC8FE7D"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AHRQ</w:t>
      </w:r>
      <w:r w:rsidR="00126C78">
        <w:rPr>
          <w:rFonts w:ascii="Arial" w:hAnsi="Arial"/>
          <w:color w:val="000000" w:themeColor="text1"/>
          <w:sz w:val="22"/>
          <w:lang w:val="en-GB"/>
        </w:rPr>
        <w:t xml:space="preserve">., </w:t>
      </w:r>
      <w:r w:rsidRPr="00B42C13">
        <w:rPr>
          <w:rFonts w:ascii="Arial" w:hAnsi="Arial"/>
          <w:color w:val="000000" w:themeColor="text1"/>
          <w:sz w:val="22"/>
          <w:lang w:val="en-GB"/>
        </w:rPr>
        <w:t xml:space="preserve">2024. </w:t>
      </w:r>
      <w:r w:rsidRPr="00B42C13">
        <w:rPr>
          <w:rFonts w:ascii="Arial" w:hAnsi="Arial"/>
          <w:i/>
          <w:iCs/>
          <w:color w:val="000000" w:themeColor="text1"/>
          <w:sz w:val="22"/>
          <w:lang w:val="en-GB"/>
        </w:rPr>
        <w:t>Plan-do-study-act (</w:t>
      </w:r>
      <w:proofErr w:type="spellStart"/>
      <w:r w:rsidRPr="00B42C13">
        <w:rPr>
          <w:rFonts w:ascii="Arial" w:hAnsi="Arial"/>
          <w:i/>
          <w:iCs/>
          <w:color w:val="000000" w:themeColor="text1"/>
          <w:sz w:val="22"/>
          <w:lang w:val="en-GB"/>
        </w:rPr>
        <w:t>pdsa</w:t>
      </w:r>
      <w:proofErr w:type="spellEnd"/>
      <w:r w:rsidRPr="00B42C13">
        <w:rPr>
          <w:rFonts w:ascii="Arial" w:hAnsi="Arial"/>
          <w:i/>
          <w:iCs/>
          <w:color w:val="000000" w:themeColor="text1"/>
          <w:sz w:val="22"/>
          <w:lang w:val="en-GB"/>
        </w:rPr>
        <w:t>) directions and examples</w:t>
      </w:r>
      <w:r w:rsidRPr="00B42C13">
        <w:rPr>
          <w:rFonts w:ascii="Arial" w:hAnsi="Arial"/>
          <w:color w:val="000000" w:themeColor="text1"/>
          <w:sz w:val="22"/>
          <w:lang w:val="en-GB"/>
        </w:rPr>
        <w:t xml:space="preserve">. [online] </w:t>
      </w:r>
      <w:r w:rsidRPr="00B42C13">
        <w:rPr>
          <w:rFonts w:ascii="Arial" w:hAnsi="Arial"/>
          <w:i/>
          <w:iCs/>
          <w:color w:val="000000" w:themeColor="text1"/>
          <w:sz w:val="22"/>
          <w:lang w:val="en-GB"/>
        </w:rPr>
        <w:t>Agency for Healthcare Research and Quality</w:t>
      </w:r>
      <w:r w:rsidRPr="00B42C13">
        <w:rPr>
          <w:rFonts w:ascii="Arial" w:hAnsi="Arial"/>
          <w:color w:val="000000" w:themeColor="text1"/>
          <w:sz w:val="22"/>
          <w:lang w:val="en-GB"/>
        </w:rPr>
        <w:t xml:space="preserve">. Available at: </w:t>
      </w:r>
      <w:hyperlink r:id="rId11" w:history="1">
        <w:r w:rsidRPr="00B42C13">
          <w:rPr>
            <w:rStyle w:val="Hyperlink"/>
            <w:rFonts w:ascii="Arial" w:hAnsi="Arial"/>
            <w:color w:val="000000" w:themeColor="text1"/>
            <w:sz w:val="22"/>
            <w:lang w:val="en-GB"/>
          </w:rPr>
          <w:t>https://www.ahrq.gov/health-literacy/improve/precautions/tool2b.html</w:t>
        </w:r>
      </w:hyperlink>
      <w:r w:rsidRPr="00B42C13">
        <w:rPr>
          <w:rFonts w:ascii="Arial" w:hAnsi="Arial"/>
          <w:color w:val="000000" w:themeColor="text1"/>
          <w:sz w:val="22"/>
          <w:lang w:val="en-GB"/>
        </w:rPr>
        <w:t xml:space="preserve"> [Accessed 29 July 2026]. </w:t>
      </w:r>
    </w:p>
    <w:p w14:paraId="5BB2179C" w14:textId="77777777"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 xml:space="preserve">Alharbi, F.A., Abdulaziz Hamdi Alshammari, Osamah Hassen Altalhi, Fahad Saleh Aldughayyim and Alotaibi, W.M., 2025. Transformational leadership and the medication: Error management climate. </w:t>
      </w:r>
      <w:r w:rsidRPr="00B42C13">
        <w:rPr>
          <w:rFonts w:ascii="Arial" w:hAnsi="Arial"/>
          <w:i/>
          <w:iCs/>
          <w:color w:val="000000" w:themeColor="text1"/>
          <w:sz w:val="22"/>
          <w:lang w:val="en-GB"/>
        </w:rPr>
        <w:t>International Journal of Health Sciences</w:t>
      </w:r>
      <w:r w:rsidRPr="00B42C13">
        <w:rPr>
          <w:rFonts w:ascii="Arial" w:hAnsi="Arial"/>
          <w:color w:val="000000" w:themeColor="text1"/>
          <w:sz w:val="22"/>
          <w:lang w:val="en-GB"/>
        </w:rPr>
        <w:t xml:space="preserve">, 9(S1), pp.61–72. </w:t>
      </w:r>
      <w:hyperlink r:id="rId12" w:history="1">
        <w:r w:rsidRPr="00B42C13">
          <w:rPr>
            <w:rStyle w:val="Hyperlink"/>
            <w:rFonts w:ascii="Arial" w:hAnsi="Arial"/>
            <w:color w:val="000000" w:themeColor="text1"/>
            <w:sz w:val="22"/>
            <w:lang w:val="en-GB"/>
          </w:rPr>
          <w:t>https://doi.org/10.53730/ijhs.v9nS1.15558</w:t>
        </w:r>
      </w:hyperlink>
    </w:p>
    <w:p w14:paraId="5A40AAB7" w14:textId="77777777" w:rsidR="00E709D4" w:rsidRPr="00B42C13" w:rsidRDefault="00E709D4" w:rsidP="00344801">
      <w:pPr>
        <w:spacing w:before="240" w:after="240"/>
        <w:rPr>
          <w:rFonts w:ascii="Arial" w:hAnsi="Arial"/>
          <w:color w:val="000000" w:themeColor="text1"/>
          <w:sz w:val="22"/>
          <w:lang w:val="en-GB"/>
        </w:rPr>
      </w:pPr>
      <w:proofErr w:type="spellStart"/>
      <w:r w:rsidRPr="00B42C13">
        <w:rPr>
          <w:rFonts w:ascii="Arial" w:hAnsi="Arial"/>
          <w:color w:val="000000" w:themeColor="text1"/>
          <w:sz w:val="22"/>
          <w:highlight w:val="white"/>
          <w:lang w:val="en-GB"/>
        </w:rPr>
        <w:t>Alqenae</w:t>
      </w:r>
      <w:proofErr w:type="spellEnd"/>
      <w:r w:rsidRPr="00B42C13">
        <w:rPr>
          <w:rFonts w:ascii="Arial" w:hAnsi="Arial"/>
          <w:color w:val="000000" w:themeColor="text1"/>
          <w:sz w:val="22"/>
          <w:highlight w:val="white"/>
          <w:lang w:val="en-GB"/>
        </w:rPr>
        <w:t xml:space="preserve">, F.A., Steinke, D., Carson-Stevens, A. and Keers, R.N., 2023. Analysis of the nature and contributory factors of medication safety incidents following hospital discharge using National Reporting and Learning System (NRLS) data from England and Wales: a multi-method study. </w:t>
      </w:r>
      <w:r w:rsidRPr="00B42C13">
        <w:rPr>
          <w:rFonts w:ascii="Arial" w:hAnsi="Arial"/>
          <w:i/>
          <w:iCs/>
          <w:color w:val="000000" w:themeColor="text1"/>
          <w:sz w:val="22"/>
          <w:highlight w:val="white"/>
          <w:lang w:val="en-GB"/>
        </w:rPr>
        <w:t>Therapeutic advances in drug safety</w:t>
      </w:r>
      <w:r w:rsidRPr="00B42C13">
        <w:rPr>
          <w:rFonts w:ascii="Arial" w:hAnsi="Arial"/>
          <w:color w:val="000000" w:themeColor="text1"/>
          <w:sz w:val="22"/>
          <w:highlight w:val="white"/>
          <w:lang w:val="en-GB"/>
        </w:rPr>
        <w:t xml:space="preserve">, </w:t>
      </w:r>
      <w:r w:rsidRPr="00B42C13">
        <w:rPr>
          <w:rFonts w:ascii="Arial" w:hAnsi="Arial"/>
          <w:i/>
          <w:iCs/>
          <w:color w:val="000000" w:themeColor="text1"/>
          <w:sz w:val="22"/>
          <w:highlight w:val="white"/>
          <w:lang w:val="en-GB"/>
        </w:rPr>
        <w:t>14</w:t>
      </w:r>
      <w:r w:rsidRPr="00B42C13">
        <w:rPr>
          <w:rFonts w:ascii="Arial" w:hAnsi="Arial"/>
          <w:color w:val="000000" w:themeColor="text1"/>
          <w:sz w:val="22"/>
          <w:highlight w:val="white"/>
          <w:lang w:val="en-GB"/>
        </w:rPr>
        <w:t>, p.20420986231154365.</w:t>
      </w:r>
      <w:r w:rsidRPr="00B42C13">
        <w:rPr>
          <w:rFonts w:ascii="Arial" w:hAnsi="Arial"/>
          <w:color w:val="000000" w:themeColor="text1"/>
          <w:sz w:val="22"/>
          <w:lang w:val="en-GB"/>
        </w:rPr>
        <w:t xml:space="preserve">  </w:t>
      </w:r>
      <w:hyperlink r:id="rId13">
        <w:r w:rsidRPr="00B42C13">
          <w:rPr>
            <w:rFonts w:ascii="Arial" w:hAnsi="Arial"/>
            <w:color w:val="000000" w:themeColor="text1"/>
            <w:sz w:val="22"/>
            <w:u w:val="single"/>
            <w:lang w:val="en-GB"/>
          </w:rPr>
          <w:t>https://doi.org/10.1177/20420986231154365</w:t>
        </w:r>
      </w:hyperlink>
    </w:p>
    <w:p w14:paraId="7DE20FA9" w14:textId="77777777" w:rsidR="00E709D4" w:rsidRPr="00B42C13" w:rsidRDefault="00E709D4" w:rsidP="00344801">
      <w:pPr>
        <w:spacing w:before="240" w:after="240"/>
        <w:rPr>
          <w:rFonts w:ascii="Arial" w:hAnsi="Arial"/>
          <w:color w:val="000000" w:themeColor="text1"/>
          <w:sz w:val="22"/>
          <w:lang w:val="en-GB"/>
        </w:rPr>
      </w:pPr>
      <w:proofErr w:type="spellStart"/>
      <w:r w:rsidRPr="00B42C13">
        <w:rPr>
          <w:rFonts w:ascii="Arial" w:hAnsi="Arial"/>
          <w:color w:val="000000" w:themeColor="text1"/>
          <w:sz w:val="22"/>
          <w:lang w:val="en-GB"/>
        </w:rPr>
        <w:t>Alrowily</w:t>
      </w:r>
      <w:proofErr w:type="spellEnd"/>
      <w:r w:rsidRPr="00B42C13">
        <w:rPr>
          <w:rFonts w:ascii="Arial" w:hAnsi="Arial"/>
          <w:color w:val="000000" w:themeColor="text1"/>
          <w:sz w:val="22"/>
          <w:lang w:val="en-GB"/>
        </w:rPr>
        <w:t xml:space="preserve">, A., </w:t>
      </w:r>
      <w:proofErr w:type="spellStart"/>
      <w:r w:rsidRPr="00B42C13">
        <w:rPr>
          <w:rFonts w:ascii="Arial" w:hAnsi="Arial"/>
          <w:color w:val="000000" w:themeColor="text1"/>
          <w:sz w:val="22"/>
          <w:lang w:val="en-GB"/>
        </w:rPr>
        <w:t>Alfaraidy</w:t>
      </w:r>
      <w:proofErr w:type="spellEnd"/>
      <w:r w:rsidRPr="00B42C13">
        <w:rPr>
          <w:rFonts w:ascii="Arial" w:hAnsi="Arial"/>
          <w:color w:val="000000" w:themeColor="text1"/>
          <w:sz w:val="22"/>
          <w:lang w:val="en-GB"/>
        </w:rPr>
        <w:t xml:space="preserve">, K., Almutairi, S., Alamri, A., </w:t>
      </w:r>
      <w:proofErr w:type="spellStart"/>
      <w:r w:rsidRPr="00B42C13">
        <w:rPr>
          <w:rFonts w:ascii="Arial" w:hAnsi="Arial"/>
          <w:color w:val="000000" w:themeColor="text1"/>
          <w:sz w:val="22"/>
          <w:lang w:val="en-GB"/>
        </w:rPr>
        <w:t>Alrowily</w:t>
      </w:r>
      <w:proofErr w:type="spellEnd"/>
      <w:r w:rsidRPr="00B42C13">
        <w:rPr>
          <w:rFonts w:ascii="Arial" w:hAnsi="Arial"/>
          <w:color w:val="000000" w:themeColor="text1"/>
          <w:sz w:val="22"/>
          <w:lang w:val="en-GB"/>
        </w:rPr>
        <w:t xml:space="preserve">, W., Abutaleb, M., </w:t>
      </w:r>
      <w:proofErr w:type="spellStart"/>
      <w:r w:rsidRPr="00B42C13">
        <w:rPr>
          <w:rFonts w:ascii="Arial" w:hAnsi="Arial"/>
          <w:color w:val="000000" w:themeColor="text1"/>
          <w:sz w:val="22"/>
          <w:lang w:val="en-GB"/>
        </w:rPr>
        <w:t>Zaitoun</w:t>
      </w:r>
      <w:proofErr w:type="spellEnd"/>
      <w:r w:rsidRPr="00B42C13">
        <w:rPr>
          <w:rFonts w:ascii="Arial" w:hAnsi="Arial"/>
          <w:color w:val="000000" w:themeColor="text1"/>
          <w:sz w:val="22"/>
          <w:lang w:val="en-GB"/>
        </w:rPr>
        <w:t xml:space="preserve">, M., </w:t>
      </w:r>
      <w:proofErr w:type="spellStart"/>
      <w:r w:rsidRPr="00B42C13">
        <w:rPr>
          <w:rFonts w:ascii="Arial" w:hAnsi="Arial"/>
          <w:color w:val="000000" w:themeColor="text1"/>
          <w:sz w:val="22"/>
          <w:lang w:val="en-GB"/>
        </w:rPr>
        <w:t>Sarawi</w:t>
      </w:r>
      <w:proofErr w:type="spellEnd"/>
      <w:r w:rsidRPr="00B42C13">
        <w:rPr>
          <w:rFonts w:ascii="Arial" w:hAnsi="Arial"/>
          <w:color w:val="000000" w:themeColor="text1"/>
          <w:sz w:val="22"/>
          <w:lang w:val="en-GB"/>
        </w:rPr>
        <w:t xml:space="preserve">, W. and </w:t>
      </w:r>
      <w:proofErr w:type="spellStart"/>
      <w:r w:rsidRPr="00B42C13">
        <w:rPr>
          <w:rFonts w:ascii="Arial" w:hAnsi="Arial"/>
          <w:color w:val="000000" w:themeColor="text1"/>
          <w:sz w:val="22"/>
          <w:lang w:val="en-GB"/>
        </w:rPr>
        <w:t>Aljead</w:t>
      </w:r>
      <w:proofErr w:type="spellEnd"/>
      <w:r w:rsidRPr="00B42C13">
        <w:rPr>
          <w:rFonts w:ascii="Arial" w:hAnsi="Arial"/>
          <w:color w:val="000000" w:themeColor="text1"/>
          <w:sz w:val="22"/>
          <w:lang w:val="en-GB"/>
        </w:rPr>
        <w:t xml:space="preserve">, M., 2024. High-risk medication errors: insight from the UK National Reporting and Learning System. </w:t>
      </w:r>
      <w:r w:rsidRPr="00B42C13">
        <w:rPr>
          <w:rFonts w:ascii="Arial" w:hAnsi="Arial"/>
          <w:i/>
          <w:iCs/>
          <w:color w:val="000000" w:themeColor="text1"/>
          <w:sz w:val="22"/>
          <w:lang w:val="en-GB"/>
        </w:rPr>
        <w:t>Exploratory Research in Clinical and Social Pharmacy</w:t>
      </w:r>
      <w:r w:rsidRPr="00B42C13">
        <w:rPr>
          <w:rFonts w:ascii="Arial" w:hAnsi="Arial"/>
          <w:color w:val="000000" w:themeColor="text1"/>
          <w:sz w:val="22"/>
          <w:lang w:val="en-GB"/>
        </w:rPr>
        <w:t>, [online] 17(100531), p.100531.  </w:t>
      </w:r>
      <w:hyperlink r:id="rId14" w:history="1">
        <w:r w:rsidRPr="00B42C13">
          <w:rPr>
            <w:rStyle w:val="Hyperlink"/>
            <w:rFonts w:ascii="Arial" w:hAnsi="Arial"/>
            <w:color w:val="000000" w:themeColor="text1"/>
            <w:sz w:val="22"/>
            <w:lang w:val="en-GB"/>
          </w:rPr>
          <w:t>https://doi.org/10.1016/j.rcsop.2024.100531</w:t>
        </w:r>
      </w:hyperlink>
    </w:p>
    <w:p w14:paraId="647FB6C9" w14:textId="77777777"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highlight w:val="white"/>
          <w:lang w:val="en-GB"/>
        </w:rPr>
        <w:t xml:space="preserve">Benning, L., Das-Gupta, Z., Sousa Fialho, L., </w:t>
      </w:r>
      <w:proofErr w:type="spellStart"/>
      <w:r w:rsidRPr="00B42C13">
        <w:rPr>
          <w:rFonts w:ascii="Arial" w:hAnsi="Arial"/>
          <w:color w:val="000000" w:themeColor="text1"/>
          <w:sz w:val="22"/>
          <w:highlight w:val="white"/>
          <w:lang w:val="en-GB"/>
        </w:rPr>
        <w:t>Wissig</w:t>
      </w:r>
      <w:proofErr w:type="spellEnd"/>
      <w:r w:rsidRPr="00B42C13">
        <w:rPr>
          <w:rFonts w:ascii="Arial" w:hAnsi="Arial"/>
          <w:color w:val="000000" w:themeColor="text1"/>
          <w:sz w:val="22"/>
          <w:highlight w:val="white"/>
          <w:lang w:val="en-GB"/>
        </w:rPr>
        <w:t xml:space="preserve">, S., </w:t>
      </w:r>
      <w:proofErr w:type="spellStart"/>
      <w:r w:rsidRPr="00B42C13">
        <w:rPr>
          <w:rFonts w:ascii="Arial" w:hAnsi="Arial"/>
          <w:color w:val="000000" w:themeColor="text1"/>
          <w:sz w:val="22"/>
          <w:highlight w:val="white"/>
          <w:lang w:val="en-GB"/>
        </w:rPr>
        <w:t>Tapela</w:t>
      </w:r>
      <w:proofErr w:type="spellEnd"/>
      <w:r w:rsidRPr="00B42C13">
        <w:rPr>
          <w:rFonts w:ascii="Arial" w:hAnsi="Arial"/>
          <w:color w:val="000000" w:themeColor="text1"/>
          <w:sz w:val="22"/>
          <w:highlight w:val="white"/>
          <w:lang w:val="en-GB"/>
        </w:rPr>
        <w:t xml:space="preserve">, N. and Gaunt, S., 2022. Balancing adaptability and standardisation: insights from 27 routinely implemented ICHOM standard sets. </w:t>
      </w:r>
      <w:r w:rsidRPr="00B42C13">
        <w:rPr>
          <w:rFonts w:ascii="Arial" w:hAnsi="Arial"/>
          <w:i/>
          <w:iCs/>
          <w:color w:val="000000" w:themeColor="text1"/>
          <w:sz w:val="22"/>
          <w:highlight w:val="white"/>
          <w:lang w:val="en-GB"/>
        </w:rPr>
        <w:t>BMC health services research</w:t>
      </w:r>
      <w:r w:rsidRPr="00B42C13">
        <w:rPr>
          <w:rFonts w:ascii="Arial" w:hAnsi="Arial"/>
          <w:color w:val="000000" w:themeColor="text1"/>
          <w:sz w:val="22"/>
          <w:highlight w:val="white"/>
          <w:lang w:val="en-GB"/>
        </w:rPr>
        <w:t xml:space="preserve">, </w:t>
      </w:r>
      <w:r w:rsidRPr="00B42C13">
        <w:rPr>
          <w:rFonts w:ascii="Arial" w:hAnsi="Arial"/>
          <w:i/>
          <w:iCs/>
          <w:color w:val="000000" w:themeColor="text1"/>
          <w:sz w:val="22"/>
          <w:highlight w:val="white"/>
          <w:lang w:val="en-GB"/>
        </w:rPr>
        <w:t>22</w:t>
      </w:r>
      <w:r w:rsidRPr="00B42C13">
        <w:rPr>
          <w:rFonts w:ascii="Arial" w:hAnsi="Arial"/>
          <w:color w:val="000000" w:themeColor="text1"/>
          <w:sz w:val="22"/>
          <w:highlight w:val="white"/>
          <w:lang w:val="en-GB"/>
        </w:rPr>
        <w:t>(1), p.1424.</w:t>
      </w:r>
      <w:r w:rsidRPr="00B42C13">
        <w:rPr>
          <w:rFonts w:ascii="Arial" w:hAnsi="Arial"/>
          <w:color w:val="000000" w:themeColor="text1"/>
          <w:sz w:val="22"/>
          <w:lang w:val="en-GB"/>
        </w:rPr>
        <w:t xml:space="preserve">  </w:t>
      </w:r>
      <w:hyperlink r:id="rId15">
        <w:r w:rsidRPr="00B42C13">
          <w:rPr>
            <w:rFonts w:ascii="Arial" w:hAnsi="Arial"/>
            <w:color w:val="000000" w:themeColor="text1"/>
            <w:sz w:val="22"/>
            <w:u w:val="single"/>
            <w:lang w:val="en-GB"/>
          </w:rPr>
          <w:t>https://doi.org/10.1186/s12913-022-08694-9</w:t>
        </w:r>
      </w:hyperlink>
    </w:p>
    <w:p w14:paraId="1294288B" w14:textId="77777777"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highlight w:val="white"/>
          <w:lang w:val="en-GB"/>
        </w:rPr>
        <w:t xml:space="preserve">Bhatti, S., Wake, N. and Jani, Y., 2022. Evaluating the effectiveness of digital communication within the National Medication Safety Network for England. </w:t>
      </w:r>
      <w:r w:rsidRPr="00B42C13">
        <w:rPr>
          <w:rFonts w:ascii="Arial" w:hAnsi="Arial"/>
          <w:i/>
          <w:iCs/>
          <w:color w:val="000000" w:themeColor="text1"/>
          <w:sz w:val="22"/>
          <w:highlight w:val="white"/>
          <w:lang w:val="en-GB"/>
        </w:rPr>
        <w:t>European Journal of Hospital Pharmacy</w:t>
      </w:r>
      <w:r w:rsidRPr="00B42C13">
        <w:rPr>
          <w:rFonts w:ascii="Arial" w:hAnsi="Arial"/>
          <w:color w:val="000000" w:themeColor="text1"/>
          <w:sz w:val="22"/>
          <w:highlight w:val="white"/>
          <w:lang w:val="en-GB"/>
        </w:rPr>
        <w:t xml:space="preserve">, </w:t>
      </w:r>
      <w:r w:rsidRPr="00B42C13">
        <w:rPr>
          <w:rFonts w:ascii="Arial" w:hAnsi="Arial"/>
          <w:i/>
          <w:iCs/>
          <w:color w:val="000000" w:themeColor="text1"/>
          <w:sz w:val="22"/>
          <w:highlight w:val="white"/>
          <w:lang w:val="en-GB"/>
        </w:rPr>
        <w:t>29</w:t>
      </w:r>
      <w:r w:rsidRPr="00B42C13">
        <w:rPr>
          <w:rFonts w:ascii="Arial" w:hAnsi="Arial"/>
          <w:color w:val="000000" w:themeColor="text1"/>
          <w:sz w:val="22"/>
          <w:highlight w:val="white"/>
          <w:lang w:val="en-GB"/>
        </w:rPr>
        <w:t>(5), pp.275-279.</w:t>
      </w:r>
      <w:r w:rsidRPr="00B42C13">
        <w:rPr>
          <w:rFonts w:ascii="Arial" w:hAnsi="Arial"/>
          <w:color w:val="000000" w:themeColor="text1"/>
          <w:sz w:val="22"/>
          <w:lang w:val="en-GB"/>
        </w:rPr>
        <w:t xml:space="preserve">  </w:t>
      </w:r>
      <w:hyperlink r:id="rId16">
        <w:r w:rsidRPr="00B42C13">
          <w:rPr>
            <w:rFonts w:ascii="Arial" w:hAnsi="Arial"/>
            <w:color w:val="000000" w:themeColor="text1"/>
            <w:sz w:val="22"/>
            <w:u w:val="single"/>
            <w:lang w:val="en-GB"/>
          </w:rPr>
          <w:t>https://ejhp.bmj.com/content/ejhpharm/29/5/275.full.pdf</w:t>
        </w:r>
      </w:hyperlink>
    </w:p>
    <w:p w14:paraId="58E42912" w14:textId="77777777"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 xml:space="preserve">Dong, B., 2023. A systematic review of the transactional leadership literature and future outlook. </w:t>
      </w:r>
      <w:r w:rsidRPr="00B42C13">
        <w:rPr>
          <w:rFonts w:ascii="Arial" w:hAnsi="Arial"/>
          <w:i/>
          <w:iCs/>
          <w:color w:val="000000" w:themeColor="text1"/>
          <w:sz w:val="22"/>
          <w:lang w:val="en-GB"/>
        </w:rPr>
        <w:t>Academic Journal of Management and Social Sciences</w:t>
      </w:r>
      <w:r w:rsidRPr="00B42C13">
        <w:rPr>
          <w:rFonts w:ascii="Arial" w:hAnsi="Arial"/>
          <w:color w:val="000000" w:themeColor="text1"/>
          <w:sz w:val="22"/>
          <w:lang w:val="en-GB"/>
        </w:rPr>
        <w:t>, [online] 2(3), pp.21–25.</w:t>
      </w:r>
      <w:hyperlink r:id="rId17" w:history="1">
        <w:r w:rsidRPr="00B42C13">
          <w:rPr>
            <w:rStyle w:val="Hyperlink"/>
            <w:rFonts w:ascii="Arial" w:hAnsi="Arial"/>
            <w:color w:val="000000" w:themeColor="text1"/>
            <w:sz w:val="22"/>
            <w:lang w:val="en-GB"/>
          </w:rPr>
          <w:t>https://doi.org/10.54097/ajmss.v2i3.7972</w:t>
        </w:r>
      </w:hyperlink>
    </w:p>
    <w:p w14:paraId="440889CE" w14:textId="7C16E72E"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lastRenderedPageBreak/>
        <w:t xml:space="preserve">Elliott, R.A., Camacho, E., Jankovic, D., </w:t>
      </w:r>
      <w:proofErr w:type="spellStart"/>
      <w:r w:rsidRPr="00B42C13">
        <w:rPr>
          <w:rFonts w:ascii="Arial" w:hAnsi="Arial"/>
          <w:color w:val="000000" w:themeColor="text1"/>
          <w:sz w:val="22"/>
          <w:lang w:val="en-GB"/>
        </w:rPr>
        <w:t>Sculpher</w:t>
      </w:r>
      <w:proofErr w:type="spellEnd"/>
      <w:r w:rsidRPr="00B42C13">
        <w:rPr>
          <w:rFonts w:ascii="Arial" w:hAnsi="Arial"/>
          <w:color w:val="000000" w:themeColor="text1"/>
          <w:sz w:val="22"/>
          <w:lang w:val="en-GB"/>
        </w:rPr>
        <w:t>, M.J. and Faria, R.</w:t>
      </w:r>
      <w:r w:rsidR="000E5264">
        <w:rPr>
          <w:rFonts w:ascii="Arial" w:hAnsi="Arial"/>
          <w:color w:val="000000" w:themeColor="text1"/>
          <w:sz w:val="22"/>
          <w:lang w:val="en-GB"/>
        </w:rPr>
        <w:t xml:space="preserve">, </w:t>
      </w:r>
      <w:r w:rsidRPr="00B42C13">
        <w:rPr>
          <w:rFonts w:ascii="Arial" w:hAnsi="Arial"/>
          <w:color w:val="000000" w:themeColor="text1"/>
          <w:sz w:val="22"/>
          <w:lang w:val="en-GB"/>
        </w:rPr>
        <w:t xml:space="preserve">2021. Economic Analysis of the Prevalence and Clinical and Economic Burden of Medication Error in England. </w:t>
      </w:r>
      <w:r w:rsidRPr="00B42C13">
        <w:rPr>
          <w:rFonts w:ascii="Arial" w:hAnsi="Arial"/>
          <w:i/>
          <w:iCs/>
          <w:color w:val="000000" w:themeColor="text1"/>
          <w:sz w:val="22"/>
          <w:lang w:val="en-GB"/>
        </w:rPr>
        <w:t>BMJ Quality &amp; Safety</w:t>
      </w:r>
      <w:r w:rsidRPr="00B42C13">
        <w:rPr>
          <w:rFonts w:ascii="Arial" w:hAnsi="Arial"/>
          <w:color w:val="000000" w:themeColor="text1"/>
          <w:sz w:val="22"/>
          <w:lang w:val="en-GB"/>
        </w:rPr>
        <w:t>, [online] 30(2), pp.96–105. doi:10.1136/bmjqs-2019-010206</w:t>
      </w:r>
    </w:p>
    <w:p w14:paraId="169B7DC1" w14:textId="77777777" w:rsidR="00E709D4" w:rsidRPr="00B42C13" w:rsidRDefault="00E709D4" w:rsidP="00344801">
      <w:pPr>
        <w:spacing w:before="240" w:after="240"/>
        <w:rPr>
          <w:rFonts w:ascii="Arial" w:hAnsi="Arial"/>
          <w:color w:val="000000" w:themeColor="text1"/>
          <w:sz w:val="22"/>
          <w:lang w:val="en-GB"/>
        </w:rPr>
      </w:pPr>
      <w:proofErr w:type="spellStart"/>
      <w:r w:rsidRPr="00B42C13">
        <w:rPr>
          <w:rFonts w:ascii="Arial" w:hAnsi="Arial"/>
          <w:color w:val="000000" w:themeColor="text1"/>
          <w:sz w:val="22"/>
          <w:lang w:val="en-GB"/>
        </w:rPr>
        <w:t>Gruessner</w:t>
      </w:r>
      <w:proofErr w:type="spellEnd"/>
      <w:r w:rsidRPr="00B42C13">
        <w:rPr>
          <w:rFonts w:ascii="Arial" w:hAnsi="Arial"/>
          <w:color w:val="000000" w:themeColor="text1"/>
          <w:sz w:val="22"/>
          <w:lang w:val="en-GB"/>
        </w:rPr>
        <w:t xml:space="preserve">, R., 2023. The need for transformational and transactional leadership in modern health care systems and hospitals. </w:t>
      </w:r>
      <w:r w:rsidRPr="00B42C13">
        <w:rPr>
          <w:rFonts w:ascii="Arial" w:hAnsi="Arial"/>
          <w:i/>
          <w:iCs/>
          <w:color w:val="000000" w:themeColor="text1"/>
          <w:sz w:val="22"/>
          <w:lang w:val="en-GB"/>
        </w:rPr>
        <w:t>Annals of Public Health &amp; Epidemiology</w:t>
      </w:r>
      <w:r w:rsidRPr="00B42C13">
        <w:rPr>
          <w:rFonts w:ascii="Arial" w:hAnsi="Arial"/>
          <w:color w:val="000000" w:themeColor="text1"/>
          <w:sz w:val="22"/>
          <w:lang w:val="en-GB"/>
        </w:rPr>
        <w:t>, [online] 2(2).  </w:t>
      </w:r>
      <w:hyperlink r:id="rId18" w:history="1">
        <w:r w:rsidRPr="00B42C13">
          <w:rPr>
            <w:rStyle w:val="Hyperlink"/>
            <w:rFonts w:ascii="Arial" w:hAnsi="Arial"/>
            <w:color w:val="000000" w:themeColor="text1"/>
            <w:sz w:val="22"/>
            <w:lang w:val="en-GB"/>
          </w:rPr>
          <w:t>http://dx.doi.org/10.33552/APHE.2023.02.000534</w:t>
        </w:r>
      </w:hyperlink>
    </w:p>
    <w:p w14:paraId="66340763" w14:textId="77777777"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 xml:space="preserve">Hamdan, M., Jaaffar, A.H., </w:t>
      </w:r>
      <w:proofErr w:type="spellStart"/>
      <w:r w:rsidRPr="00B42C13">
        <w:rPr>
          <w:rFonts w:ascii="Arial" w:hAnsi="Arial"/>
          <w:color w:val="000000" w:themeColor="text1"/>
          <w:sz w:val="22"/>
          <w:lang w:val="en-GB"/>
        </w:rPr>
        <w:t>Khraisat</w:t>
      </w:r>
      <w:proofErr w:type="spellEnd"/>
      <w:r w:rsidRPr="00B42C13">
        <w:rPr>
          <w:rFonts w:ascii="Arial" w:hAnsi="Arial"/>
          <w:color w:val="000000" w:themeColor="text1"/>
          <w:sz w:val="22"/>
          <w:lang w:val="en-GB"/>
        </w:rPr>
        <w:t xml:space="preserve">, O., Issa, M.R. and Jarrar, M.T., 2024. The association of transformational leadership on safety practices among nurses: the mediating role of patient safety culture. </w:t>
      </w:r>
      <w:r w:rsidRPr="00B42C13">
        <w:rPr>
          <w:rFonts w:ascii="Arial" w:hAnsi="Arial"/>
          <w:i/>
          <w:iCs/>
          <w:color w:val="000000" w:themeColor="text1"/>
          <w:sz w:val="22"/>
          <w:lang w:val="en-GB"/>
        </w:rPr>
        <w:t>Risk Management and Healthcare Policy</w:t>
      </w:r>
      <w:r w:rsidRPr="00B42C13">
        <w:rPr>
          <w:rFonts w:ascii="Arial" w:hAnsi="Arial"/>
          <w:color w:val="000000" w:themeColor="text1"/>
          <w:sz w:val="22"/>
          <w:lang w:val="en-GB"/>
        </w:rPr>
        <w:t xml:space="preserve">, pp.1687-1700. </w:t>
      </w:r>
      <w:hyperlink r:id="rId19" w:history="1">
        <w:r w:rsidRPr="00B42C13">
          <w:rPr>
            <w:rStyle w:val="Hyperlink"/>
            <w:rFonts w:ascii="Arial" w:hAnsi="Arial"/>
            <w:color w:val="000000" w:themeColor="text1"/>
            <w:sz w:val="22"/>
            <w:lang w:val="en-GB"/>
          </w:rPr>
          <w:t>https://doi.org/10.2147/RMHP.S458505</w:t>
        </w:r>
      </w:hyperlink>
    </w:p>
    <w:p w14:paraId="750C5C98" w14:textId="62DA4C86"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HSSIB</w:t>
      </w:r>
      <w:r w:rsidR="00E36794">
        <w:rPr>
          <w:rFonts w:ascii="Arial" w:hAnsi="Arial"/>
          <w:color w:val="000000" w:themeColor="text1"/>
          <w:sz w:val="22"/>
          <w:lang w:val="en-GB"/>
        </w:rPr>
        <w:t xml:space="preserve">., </w:t>
      </w:r>
      <w:r w:rsidRPr="00B42C13">
        <w:rPr>
          <w:rFonts w:ascii="Arial" w:hAnsi="Arial"/>
          <w:color w:val="000000" w:themeColor="text1"/>
          <w:sz w:val="22"/>
          <w:lang w:val="en-GB"/>
        </w:rPr>
        <w:t xml:space="preserve">2023. </w:t>
      </w:r>
      <w:r w:rsidRPr="00B42C13">
        <w:rPr>
          <w:rFonts w:ascii="Arial" w:hAnsi="Arial"/>
          <w:i/>
          <w:iCs/>
          <w:color w:val="000000" w:themeColor="text1"/>
          <w:sz w:val="22"/>
          <w:lang w:val="en-GB"/>
        </w:rPr>
        <w:t>Health Services Safety Investigations Body (HSSIB)</w:t>
      </w:r>
      <w:r w:rsidRPr="00B42C13">
        <w:rPr>
          <w:rFonts w:ascii="Arial" w:hAnsi="Arial"/>
          <w:color w:val="000000" w:themeColor="text1"/>
          <w:sz w:val="22"/>
          <w:lang w:val="en-GB"/>
        </w:rPr>
        <w:t xml:space="preserve">. [online] </w:t>
      </w:r>
      <w:r w:rsidRPr="00B42C13">
        <w:rPr>
          <w:rFonts w:ascii="Arial" w:hAnsi="Arial"/>
          <w:i/>
          <w:iCs/>
          <w:color w:val="000000" w:themeColor="text1"/>
          <w:sz w:val="22"/>
          <w:lang w:val="en-GB"/>
        </w:rPr>
        <w:t>HSSIB</w:t>
      </w:r>
      <w:r w:rsidRPr="00B42C13">
        <w:rPr>
          <w:rFonts w:ascii="Arial" w:hAnsi="Arial"/>
          <w:color w:val="000000" w:themeColor="text1"/>
          <w:sz w:val="22"/>
          <w:lang w:val="en-GB"/>
        </w:rPr>
        <w:t xml:space="preserve">. Available at: </w:t>
      </w:r>
      <w:hyperlink r:id="rId20" w:history="1">
        <w:r w:rsidRPr="00B42C13">
          <w:rPr>
            <w:rStyle w:val="Hyperlink"/>
            <w:rFonts w:ascii="Arial" w:hAnsi="Arial"/>
            <w:color w:val="000000" w:themeColor="text1"/>
            <w:sz w:val="22"/>
            <w:lang w:val="en-GB"/>
          </w:rPr>
          <w:t>https://www.hssib.org.uk/</w:t>
        </w:r>
      </w:hyperlink>
      <w:r w:rsidRPr="00B42C13">
        <w:rPr>
          <w:rFonts w:ascii="Arial" w:hAnsi="Arial"/>
          <w:color w:val="000000" w:themeColor="text1"/>
          <w:sz w:val="22"/>
          <w:lang w:val="en-GB"/>
        </w:rPr>
        <w:t xml:space="preserve"> [Accessed 29 July 2026]. </w:t>
      </w:r>
    </w:p>
    <w:p w14:paraId="7649282E" w14:textId="77777777"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 xml:space="preserve">Jiang, Z., Zhao, X., Wang, Z. and Herbert, K., 2024. Safety leadership: a bibliometric literature review and future research directions. </w:t>
      </w:r>
      <w:r w:rsidRPr="00B42C13">
        <w:rPr>
          <w:rFonts w:ascii="Arial" w:hAnsi="Arial"/>
          <w:i/>
          <w:iCs/>
          <w:color w:val="000000" w:themeColor="text1"/>
          <w:sz w:val="22"/>
          <w:lang w:val="en-GB"/>
        </w:rPr>
        <w:t>Journal of Business Research</w:t>
      </w:r>
      <w:r w:rsidRPr="00B42C13">
        <w:rPr>
          <w:rFonts w:ascii="Arial" w:hAnsi="Arial"/>
          <w:color w:val="000000" w:themeColor="text1"/>
          <w:sz w:val="22"/>
          <w:lang w:val="en-GB"/>
        </w:rPr>
        <w:t>, [online] 172, p.114437.  </w:t>
      </w:r>
      <w:hyperlink r:id="rId21" w:history="1">
        <w:r w:rsidRPr="00B42C13">
          <w:rPr>
            <w:rStyle w:val="Hyperlink"/>
            <w:rFonts w:ascii="Arial" w:hAnsi="Arial"/>
            <w:color w:val="000000" w:themeColor="text1"/>
            <w:sz w:val="22"/>
            <w:lang w:val="en-GB"/>
          </w:rPr>
          <w:t>https://doi.org/10.1016/j.jbusres.2023.114437</w:t>
        </w:r>
      </w:hyperlink>
    </w:p>
    <w:p w14:paraId="6F975B61" w14:textId="77777777" w:rsidR="00E709D4" w:rsidRPr="00B42C13" w:rsidRDefault="00E709D4" w:rsidP="00344801">
      <w:pPr>
        <w:spacing w:before="240" w:after="240"/>
        <w:rPr>
          <w:rFonts w:ascii="Arial" w:hAnsi="Arial"/>
          <w:color w:val="000000" w:themeColor="text1"/>
          <w:sz w:val="22"/>
          <w:lang w:val="en-GB"/>
        </w:rPr>
      </w:pPr>
      <w:proofErr w:type="spellStart"/>
      <w:r w:rsidRPr="00B42C13">
        <w:rPr>
          <w:rFonts w:ascii="Arial" w:hAnsi="Arial"/>
          <w:color w:val="000000" w:themeColor="text1"/>
          <w:sz w:val="22"/>
          <w:lang w:val="en-GB"/>
        </w:rPr>
        <w:t>Lyubykh</w:t>
      </w:r>
      <w:proofErr w:type="spellEnd"/>
      <w:r w:rsidRPr="00B42C13">
        <w:rPr>
          <w:rFonts w:ascii="Arial" w:hAnsi="Arial"/>
          <w:color w:val="000000" w:themeColor="text1"/>
          <w:sz w:val="22"/>
          <w:lang w:val="en-GB"/>
        </w:rPr>
        <w:t xml:space="preserve">, Z., </w:t>
      </w:r>
      <w:proofErr w:type="spellStart"/>
      <w:r w:rsidRPr="00B42C13">
        <w:rPr>
          <w:rFonts w:ascii="Arial" w:hAnsi="Arial"/>
          <w:color w:val="000000" w:themeColor="text1"/>
          <w:sz w:val="22"/>
          <w:lang w:val="en-GB"/>
        </w:rPr>
        <w:t>Gulseren</w:t>
      </w:r>
      <w:proofErr w:type="spellEnd"/>
      <w:r w:rsidRPr="00B42C13">
        <w:rPr>
          <w:rFonts w:ascii="Arial" w:hAnsi="Arial"/>
          <w:color w:val="000000" w:themeColor="text1"/>
          <w:sz w:val="22"/>
          <w:lang w:val="en-GB"/>
        </w:rPr>
        <w:t xml:space="preserve">, D., Turner, N., Barling, J. and Seifert, M., 2022. Shared transformational leadership and safety behaviours of employees, leaders, and teams: A multilevel investigation. </w:t>
      </w:r>
      <w:r w:rsidRPr="00B42C13">
        <w:rPr>
          <w:rFonts w:ascii="Arial" w:hAnsi="Arial"/>
          <w:i/>
          <w:iCs/>
          <w:color w:val="000000" w:themeColor="text1"/>
          <w:sz w:val="22"/>
          <w:lang w:val="en-GB"/>
        </w:rPr>
        <w:t>Journal of Occupational and Organizational Psychology</w:t>
      </w:r>
      <w:r w:rsidRPr="00B42C13">
        <w:rPr>
          <w:rFonts w:ascii="Arial" w:hAnsi="Arial"/>
          <w:color w:val="000000" w:themeColor="text1"/>
          <w:sz w:val="22"/>
          <w:lang w:val="en-GB"/>
        </w:rPr>
        <w:t xml:space="preserve">, </w:t>
      </w:r>
      <w:r w:rsidRPr="00B42C13">
        <w:rPr>
          <w:rFonts w:ascii="Arial" w:hAnsi="Arial"/>
          <w:i/>
          <w:iCs/>
          <w:color w:val="000000" w:themeColor="text1"/>
          <w:sz w:val="22"/>
          <w:lang w:val="en-GB"/>
        </w:rPr>
        <w:t>95</w:t>
      </w:r>
      <w:r w:rsidRPr="00B42C13">
        <w:rPr>
          <w:rFonts w:ascii="Arial" w:hAnsi="Arial"/>
          <w:color w:val="000000" w:themeColor="text1"/>
          <w:sz w:val="22"/>
          <w:lang w:val="en-GB"/>
        </w:rPr>
        <w:t xml:space="preserve">(2), pp.431-458. </w:t>
      </w:r>
      <w:hyperlink r:id="rId22" w:history="1">
        <w:r w:rsidRPr="00B42C13">
          <w:rPr>
            <w:rStyle w:val="Hyperlink"/>
            <w:rFonts w:ascii="Arial" w:hAnsi="Arial"/>
            <w:color w:val="000000" w:themeColor="text1"/>
            <w:sz w:val="22"/>
            <w:lang w:val="en-GB"/>
          </w:rPr>
          <w:t>https://doi.org/10.1111/joop.12381</w:t>
        </w:r>
      </w:hyperlink>
    </w:p>
    <w:p w14:paraId="1C997D05" w14:textId="77777777"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 xml:space="preserve">Mahmoodi, H., 2025. Empowering patients through effective communication: the teach-back method as a tool for health literacy. </w:t>
      </w:r>
      <w:r w:rsidRPr="00B42C13">
        <w:rPr>
          <w:rFonts w:ascii="Arial" w:hAnsi="Arial"/>
          <w:i/>
          <w:iCs/>
          <w:color w:val="000000" w:themeColor="text1"/>
          <w:sz w:val="22"/>
          <w:lang w:val="en-GB"/>
        </w:rPr>
        <w:t>Health Promotion Perspectives</w:t>
      </w:r>
      <w:r w:rsidRPr="00B42C13">
        <w:rPr>
          <w:rFonts w:ascii="Arial" w:hAnsi="Arial"/>
          <w:color w:val="000000" w:themeColor="text1"/>
          <w:sz w:val="22"/>
          <w:lang w:val="en-GB"/>
        </w:rPr>
        <w:t>, 15(3), pp.211–212.  </w:t>
      </w:r>
      <w:hyperlink r:id="rId23" w:history="1">
        <w:r w:rsidRPr="00B42C13">
          <w:rPr>
            <w:rStyle w:val="Hyperlink"/>
            <w:rFonts w:ascii="Arial" w:hAnsi="Arial"/>
            <w:color w:val="000000" w:themeColor="text1"/>
            <w:sz w:val="22"/>
            <w:lang w:val="en-GB"/>
          </w:rPr>
          <w:t>https://doi.org/10.34172/hpp.025.44214</w:t>
        </w:r>
      </w:hyperlink>
    </w:p>
    <w:p w14:paraId="475DE821" w14:textId="77777777"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highlight w:val="white"/>
          <w:lang w:val="en-GB"/>
        </w:rPr>
        <w:t xml:space="preserve">Michielsen, L., Bischoff, E.W., Schermer, T. and Laurant, M., 2023. Primary healthcare competencies needed in the management of person-centred integrated care for chronic illness and multimorbidity: Results of a scoping review. </w:t>
      </w:r>
      <w:r w:rsidRPr="00B42C13">
        <w:rPr>
          <w:rFonts w:ascii="Arial" w:hAnsi="Arial"/>
          <w:i/>
          <w:iCs/>
          <w:color w:val="000000" w:themeColor="text1"/>
          <w:sz w:val="22"/>
          <w:highlight w:val="white"/>
          <w:lang w:val="en-GB"/>
        </w:rPr>
        <w:t>BMC primary care</w:t>
      </w:r>
      <w:r w:rsidRPr="00B42C13">
        <w:rPr>
          <w:rFonts w:ascii="Arial" w:hAnsi="Arial"/>
          <w:color w:val="000000" w:themeColor="text1"/>
          <w:sz w:val="22"/>
          <w:highlight w:val="white"/>
          <w:lang w:val="en-GB"/>
        </w:rPr>
        <w:t xml:space="preserve">, </w:t>
      </w:r>
      <w:r w:rsidRPr="00B42C13">
        <w:rPr>
          <w:rFonts w:ascii="Arial" w:hAnsi="Arial"/>
          <w:i/>
          <w:iCs/>
          <w:color w:val="000000" w:themeColor="text1"/>
          <w:sz w:val="22"/>
          <w:highlight w:val="white"/>
          <w:lang w:val="en-GB"/>
        </w:rPr>
        <w:t>24</w:t>
      </w:r>
      <w:r w:rsidRPr="00B42C13">
        <w:rPr>
          <w:rFonts w:ascii="Arial" w:hAnsi="Arial"/>
          <w:color w:val="000000" w:themeColor="text1"/>
          <w:sz w:val="22"/>
          <w:highlight w:val="white"/>
          <w:lang w:val="en-GB"/>
        </w:rPr>
        <w:t>(1), p.98.</w:t>
      </w:r>
      <w:r w:rsidRPr="00B42C13">
        <w:rPr>
          <w:rFonts w:ascii="Arial" w:hAnsi="Arial"/>
          <w:color w:val="000000" w:themeColor="text1"/>
          <w:sz w:val="22"/>
          <w:lang w:val="en-GB"/>
        </w:rPr>
        <w:t xml:space="preserve">  </w:t>
      </w:r>
      <w:hyperlink r:id="rId24">
        <w:r w:rsidRPr="00B42C13">
          <w:rPr>
            <w:rFonts w:ascii="Arial" w:hAnsi="Arial"/>
            <w:color w:val="000000" w:themeColor="text1"/>
            <w:sz w:val="22"/>
            <w:u w:val="single"/>
            <w:lang w:val="en-GB"/>
          </w:rPr>
          <w:t>https://doi.org/10.1186/s12875-023-02050-4</w:t>
        </w:r>
      </w:hyperlink>
    </w:p>
    <w:p w14:paraId="789F267B" w14:textId="2F0794F9"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Mitchell, H.</w:t>
      </w:r>
      <w:r w:rsidR="00B42769">
        <w:rPr>
          <w:rFonts w:ascii="Arial" w:hAnsi="Arial"/>
          <w:color w:val="000000" w:themeColor="text1"/>
          <w:sz w:val="22"/>
          <w:lang w:val="en-GB"/>
        </w:rPr>
        <w:t xml:space="preserve">, </w:t>
      </w:r>
      <w:r w:rsidRPr="00B42C13">
        <w:rPr>
          <w:rFonts w:ascii="Arial" w:hAnsi="Arial"/>
          <w:color w:val="000000" w:themeColor="text1"/>
          <w:sz w:val="22"/>
          <w:lang w:val="en-GB"/>
        </w:rPr>
        <w:t xml:space="preserve">2024. </w:t>
      </w:r>
      <w:r w:rsidRPr="00B42C13">
        <w:rPr>
          <w:rFonts w:ascii="Arial" w:hAnsi="Arial"/>
          <w:i/>
          <w:iCs/>
          <w:color w:val="000000" w:themeColor="text1"/>
          <w:sz w:val="22"/>
          <w:lang w:val="en-GB"/>
        </w:rPr>
        <w:t>Medication related harm</w:t>
      </w:r>
      <w:r w:rsidRPr="00B42C13">
        <w:rPr>
          <w:rFonts w:ascii="Arial" w:hAnsi="Arial"/>
          <w:color w:val="000000" w:themeColor="text1"/>
          <w:sz w:val="22"/>
          <w:lang w:val="en-GB"/>
        </w:rPr>
        <w:t xml:space="preserve">. [online] </w:t>
      </w:r>
      <w:r w:rsidRPr="00B42C13">
        <w:rPr>
          <w:rFonts w:ascii="Arial" w:hAnsi="Arial"/>
          <w:i/>
          <w:iCs/>
          <w:color w:val="000000" w:themeColor="text1"/>
          <w:sz w:val="22"/>
          <w:lang w:val="en-GB"/>
        </w:rPr>
        <w:t>HSSIB</w:t>
      </w:r>
      <w:r w:rsidRPr="00B42C13">
        <w:rPr>
          <w:rFonts w:ascii="Arial" w:hAnsi="Arial"/>
          <w:color w:val="000000" w:themeColor="text1"/>
          <w:sz w:val="22"/>
          <w:lang w:val="en-GB"/>
        </w:rPr>
        <w:t xml:space="preserve">. Available at: </w:t>
      </w:r>
      <w:hyperlink r:id="rId25">
        <w:r w:rsidRPr="00B42C13">
          <w:rPr>
            <w:rFonts w:ascii="Arial" w:hAnsi="Arial"/>
            <w:color w:val="000000" w:themeColor="text1"/>
            <w:sz w:val="22"/>
            <w:u w:val="single"/>
            <w:lang w:val="en-GB"/>
          </w:rPr>
          <w:t>https://www.hssib.org.uk/patient-safety-investigations/medication-related-harm/</w:t>
        </w:r>
      </w:hyperlink>
    </w:p>
    <w:p w14:paraId="0C943D7D" w14:textId="77777777"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highlight w:val="white"/>
          <w:lang w:val="en-GB"/>
        </w:rPr>
        <w:lastRenderedPageBreak/>
        <w:t xml:space="preserve">Mold, A., Berridge, V., Gorsky, M., Crook, T., Sheard, S. and Seaton, A., 2023. Lessons from the history of British health policy. </w:t>
      </w:r>
      <w:r w:rsidRPr="00B42C13">
        <w:rPr>
          <w:rFonts w:ascii="Arial" w:hAnsi="Arial"/>
          <w:i/>
          <w:iCs/>
          <w:color w:val="000000" w:themeColor="text1"/>
          <w:sz w:val="22"/>
          <w:highlight w:val="white"/>
          <w:lang w:val="en-GB"/>
        </w:rPr>
        <w:t>Lessons from the History of British Health Policy</w:t>
      </w:r>
      <w:r w:rsidRPr="00B42C13">
        <w:rPr>
          <w:rFonts w:ascii="Arial" w:hAnsi="Arial"/>
          <w:color w:val="000000" w:themeColor="text1"/>
          <w:sz w:val="22"/>
          <w:highlight w:val="white"/>
          <w:lang w:val="en-GB"/>
        </w:rPr>
        <w:t>.</w:t>
      </w:r>
      <w:r w:rsidRPr="00B42C13">
        <w:rPr>
          <w:rFonts w:ascii="Arial" w:hAnsi="Arial"/>
          <w:color w:val="000000" w:themeColor="text1"/>
          <w:sz w:val="22"/>
          <w:lang w:val="en-GB"/>
        </w:rPr>
        <w:t xml:space="preserve">  </w:t>
      </w:r>
      <w:hyperlink r:id="rId26">
        <w:r w:rsidRPr="00B42C13">
          <w:rPr>
            <w:rFonts w:ascii="Arial" w:hAnsi="Arial"/>
            <w:color w:val="000000" w:themeColor="text1"/>
            <w:sz w:val="22"/>
            <w:u w:val="single"/>
            <w:lang w:val="en-GB"/>
          </w:rPr>
          <w:t>https://researchonline.lshtm.ac.uk/id/eprint/4671562/1/Mold_etal_2023_Lessons_from_the_History_of_British_Health_Policy.pdf</w:t>
        </w:r>
      </w:hyperlink>
    </w:p>
    <w:p w14:paraId="2E07A12E" w14:textId="7806DB21"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NHS</w:t>
      </w:r>
      <w:r w:rsidR="002925F4">
        <w:rPr>
          <w:rFonts w:ascii="Arial" w:hAnsi="Arial"/>
          <w:color w:val="000000" w:themeColor="text1"/>
          <w:sz w:val="22"/>
          <w:lang w:val="en-GB"/>
        </w:rPr>
        <w:t xml:space="preserve">., </w:t>
      </w:r>
      <w:r w:rsidRPr="00B42C13">
        <w:rPr>
          <w:rFonts w:ascii="Arial" w:hAnsi="Arial"/>
          <w:color w:val="000000" w:themeColor="text1"/>
          <w:sz w:val="22"/>
          <w:lang w:val="en-GB"/>
        </w:rPr>
        <w:t xml:space="preserve">2026. Department of Health and Social Care. </w:t>
      </w:r>
      <w:proofErr w:type="spellStart"/>
      <w:r w:rsidRPr="00B42C13">
        <w:rPr>
          <w:rFonts w:ascii="Arial" w:hAnsi="Arial"/>
          <w:i/>
          <w:iCs/>
          <w:color w:val="000000" w:themeColor="text1"/>
          <w:sz w:val="22"/>
          <w:lang w:val="en-GB"/>
        </w:rPr>
        <w:t>nhs</w:t>
      </w:r>
      <w:proofErr w:type="spellEnd"/>
      <w:r w:rsidRPr="00B42C13">
        <w:rPr>
          <w:rFonts w:ascii="Arial" w:hAnsi="Arial"/>
          <w:i/>
          <w:iCs/>
          <w:color w:val="000000" w:themeColor="text1"/>
          <w:sz w:val="22"/>
          <w:lang w:val="en-GB"/>
        </w:rPr>
        <w:t xml:space="preserve"> staff standards: detailed requirements for employers</w:t>
      </w:r>
      <w:r w:rsidRPr="00B42C13">
        <w:rPr>
          <w:rFonts w:ascii="Arial" w:hAnsi="Arial"/>
          <w:color w:val="000000" w:themeColor="text1"/>
          <w:sz w:val="22"/>
          <w:lang w:val="en-GB"/>
        </w:rPr>
        <w:t xml:space="preserve">. [online] GOV.UK. Available at: </w:t>
      </w:r>
      <w:hyperlink r:id="rId27" w:anchor="health-and-wellbeing" w:history="1">
        <w:r w:rsidRPr="00B42C13">
          <w:rPr>
            <w:rStyle w:val="Hyperlink"/>
            <w:rFonts w:ascii="Arial" w:hAnsi="Arial"/>
            <w:color w:val="000000" w:themeColor="text1"/>
            <w:sz w:val="22"/>
            <w:lang w:val="en-GB"/>
          </w:rPr>
          <w:t>https://www.gov.uk/government/publications/nhs-staff-standards/nhs-staff-standards-detailed-requirements-for-employers#health-and-wellbeing</w:t>
        </w:r>
      </w:hyperlink>
      <w:r w:rsidRPr="00B42C13">
        <w:rPr>
          <w:rFonts w:ascii="Arial" w:hAnsi="Arial"/>
          <w:color w:val="000000" w:themeColor="text1"/>
          <w:sz w:val="22"/>
          <w:lang w:val="en-GB"/>
        </w:rPr>
        <w:t xml:space="preserve"> [Accessed 29 July 2026]. </w:t>
      </w:r>
    </w:p>
    <w:p w14:paraId="75BF2119" w14:textId="03F9B312"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NHS England</w:t>
      </w:r>
      <w:r w:rsidR="007766AD">
        <w:rPr>
          <w:rFonts w:ascii="Arial" w:hAnsi="Arial"/>
          <w:color w:val="000000" w:themeColor="text1"/>
          <w:sz w:val="22"/>
          <w:lang w:val="en-GB"/>
        </w:rPr>
        <w:t xml:space="preserve">., </w:t>
      </w:r>
      <w:r w:rsidRPr="00B42C13">
        <w:rPr>
          <w:rFonts w:ascii="Arial" w:hAnsi="Arial"/>
          <w:color w:val="000000" w:themeColor="text1"/>
          <w:sz w:val="22"/>
          <w:lang w:val="en-GB"/>
        </w:rPr>
        <w:t xml:space="preserve">2024. </w:t>
      </w:r>
      <w:r w:rsidRPr="00B42C13">
        <w:rPr>
          <w:rFonts w:ascii="Arial" w:hAnsi="Arial"/>
          <w:i/>
          <w:iCs/>
          <w:color w:val="000000" w:themeColor="text1"/>
          <w:sz w:val="22"/>
          <w:lang w:val="en-GB"/>
        </w:rPr>
        <w:t>NHS England - NHS Long Term Workforce Plan</w:t>
      </w:r>
      <w:r w:rsidRPr="00B42C13">
        <w:rPr>
          <w:rFonts w:ascii="Arial" w:hAnsi="Arial"/>
          <w:color w:val="000000" w:themeColor="text1"/>
          <w:sz w:val="22"/>
          <w:lang w:val="en-GB"/>
        </w:rPr>
        <w:t xml:space="preserve">. [online] </w:t>
      </w:r>
      <w:r w:rsidRPr="00B42C13">
        <w:rPr>
          <w:rFonts w:ascii="Arial" w:hAnsi="Arial"/>
          <w:i/>
          <w:iCs/>
          <w:color w:val="000000" w:themeColor="text1"/>
          <w:sz w:val="22"/>
          <w:lang w:val="en-GB"/>
        </w:rPr>
        <w:t>NHS England</w:t>
      </w:r>
      <w:r w:rsidRPr="00B42C13">
        <w:rPr>
          <w:rFonts w:ascii="Arial" w:hAnsi="Arial"/>
          <w:color w:val="000000" w:themeColor="text1"/>
          <w:sz w:val="22"/>
          <w:lang w:val="en-GB"/>
        </w:rPr>
        <w:t xml:space="preserve">. NHS England. Available at: </w:t>
      </w:r>
      <w:hyperlink r:id="rId28">
        <w:r w:rsidRPr="00B42C13">
          <w:rPr>
            <w:rFonts w:ascii="Arial" w:hAnsi="Arial"/>
            <w:color w:val="000000" w:themeColor="text1"/>
            <w:sz w:val="22"/>
            <w:u w:val="single"/>
            <w:lang w:val="en-GB"/>
          </w:rPr>
          <w:t>https://www.england.nhs.uk/long-read/nhs-long-term-workforce-plan-2/</w:t>
        </w:r>
      </w:hyperlink>
    </w:p>
    <w:p w14:paraId="4065AF8C" w14:textId="77777777"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 xml:space="preserve">Ojo, S., Okoye, T.O., Olaniyi, S.A., </w:t>
      </w:r>
      <w:proofErr w:type="spellStart"/>
      <w:r w:rsidRPr="00B42C13">
        <w:rPr>
          <w:rFonts w:ascii="Arial" w:hAnsi="Arial"/>
          <w:color w:val="000000" w:themeColor="text1"/>
          <w:sz w:val="22"/>
          <w:lang w:val="en-GB"/>
        </w:rPr>
        <w:t>Ofochukwu</w:t>
      </w:r>
      <w:proofErr w:type="spellEnd"/>
      <w:r w:rsidRPr="00B42C13">
        <w:rPr>
          <w:rFonts w:ascii="Arial" w:hAnsi="Arial"/>
          <w:color w:val="000000" w:themeColor="text1"/>
          <w:sz w:val="22"/>
          <w:lang w:val="en-GB"/>
        </w:rPr>
        <w:t xml:space="preserve">, V.C., Obi, M.O., Nwokolo, A.S., Okeke-Moffatt, C., </w:t>
      </w:r>
      <w:proofErr w:type="spellStart"/>
      <w:r w:rsidRPr="00B42C13">
        <w:rPr>
          <w:rFonts w:ascii="Arial" w:hAnsi="Arial"/>
          <w:color w:val="000000" w:themeColor="text1"/>
          <w:sz w:val="22"/>
          <w:lang w:val="en-GB"/>
        </w:rPr>
        <w:t>Iyun</w:t>
      </w:r>
      <w:proofErr w:type="spellEnd"/>
      <w:r w:rsidRPr="00B42C13">
        <w:rPr>
          <w:rFonts w:ascii="Arial" w:hAnsi="Arial"/>
          <w:color w:val="000000" w:themeColor="text1"/>
          <w:sz w:val="22"/>
          <w:lang w:val="en-GB"/>
        </w:rPr>
        <w:t xml:space="preserve">, O.B., Idemudia, E.A., Obodo, O.R., </w:t>
      </w:r>
      <w:proofErr w:type="spellStart"/>
      <w:r w:rsidRPr="00B42C13">
        <w:rPr>
          <w:rFonts w:ascii="Arial" w:hAnsi="Arial"/>
          <w:color w:val="000000" w:themeColor="text1"/>
          <w:sz w:val="22"/>
          <w:lang w:val="en-GB"/>
        </w:rPr>
        <w:t>Mokwenye</w:t>
      </w:r>
      <w:proofErr w:type="spellEnd"/>
      <w:r w:rsidRPr="00B42C13">
        <w:rPr>
          <w:rFonts w:ascii="Arial" w:hAnsi="Arial"/>
          <w:color w:val="000000" w:themeColor="text1"/>
          <w:sz w:val="22"/>
          <w:lang w:val="en-GB"/>
        </w:rPr>
        <w:t xml:space="preserve">, V.C. and </w:t>
      </w:r>
      <w:proofErr w:type="spellStart"/>
      <w:r w:rsidRPr="00B42C13">
        <w:rPr>
          <w:rFonts w:ascii="Arial" w:hAnsi="Arial"/>
          <w:color w:val="000000" w:themeColor="text1"/>
          <w:sz w:val="22"/>
          <w:lang w:val="en-GB"/>
        </w:rPr>
        <w:t>Okobi</w:t>
      </w:r>
      <w:proofErr w:type="spellEnd"/>
      <w:r w:rsidRPr="00B42C13">
        <w:rPr>
          <w:rFonts w:ascii="Arial" w:hAnsi="Arial"/>
          <w:color w:val="000000" w:themeColor="text1"/>
          <w:sz w:val="22"/>
          <w:lang w:val="en-GB"/>
        </w:rPr>
        <w:t xml:space="preserve">, O.E., 2024. Ensuring continuity of care: effective strategies for the post-hospitalization transition of psychiatric patients in a family medicine outpatient clinic. </w:t>
      </w:r>
      <w:r w:rsidRPr="00B42C13">
        <w:rPr>
          <w:rFonts w:ascii="Arial" w:hAnsi="Arial"/>
          <w:i/>
          <w:iCs/>
          <w:color w:val="000000" w:themeColor="text1"/>
          <w:sz w:val="22"/>
          <w:lang w:val="en-GB"/>
        </w:rPr>
        <w:t>Cureus</w:t>
      </w:r>
      <w:r w:rsidRPr="00B42C13">
        <w:rPr>
          <w:rFonts w:ascii="Arial" w:hAnsi="Arial"/>
          <w:color w:val="000000" w:themeColor="text1"/>
          <w:sz w:val="22"/>
          <w:lang w:val="en-GB"/>
        </w:rPr>
        <w:t>, [online] 16(1).  </w:t>
      </w:r>
      <w:hyperlink r:id="rId29" w:history="1">
        <w:r w:rsidRPr="00B42C13">
          <w:rPr>
            <w:rStyle w:val="Hyperlink"/>
            <w:rFonts w:ascii="Arial" w:hAnsi="Arial"/>
            <w:color w:val="000000" w:themeColor="text1"/>
            <w:sz w:val="22"/>
            <w:lang w:val="en-GB"/>
          </w:rPr>
          <w:t>https://doi.org/10.7759/cureus.52263</w:t>
        </w:r>
      </w:hyperlink>
    </w:p>
    <w:p w14:paraId="180C6441" w14:textId="77777777"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 xml:space="preserve">Ramachandran, S., Balasubramanian, S., James, W.F. and Al Masaeid, T., 2023. Whither compassionate leadership? A systematic review. </w:t>
      </w:r>
      <w:r w:rsidRPr="00B42C13">
        <w:rPr>
          <w:rFonts w:ascii="Arial" w:hAnsi="Arial"/>
          <w:i/>
          <w:iCs/>
          <w:color w:val="000000" w:themeColor="text1"/>
          <w:sz w:val="22"/>
          <w:lang w:val="en-GB"/>
        </w:rPr>
        <w:t>Management Review Quarterly</w:t>
      </w:r>
      <w:r w:rsidRPr="00B42C13">
        <w:rPr>
          <w:rFonts w:ascii="Arial" w:hAnsi="Arial"/>
          <w:color w:val="000000" w:themeColor="text1"/>
          <w:sz w:val="22"/>
          <w:lang w:val="en-GB"/>
        </w:rPr>
        <w:t xml:space="preserve">, 1(1). </w:t>
      </w:r>
      <w:hyperlink r:id="rId30" w:history="1">
        <w:r w:rsidRPr="00B42C13">
          <w:rPr>
            <w:rStyle w:val="Hyperlink"/>
            <w:rFonts w:ascii="Arial" w:hAnsi="Arial"/>
            <w:color w:val="000000" w:themeColor="text1"/>
            <w:sz w:val="22"/>
            <w:lang w:val="en-GB"/>
          </w:rPr>
          <w:t>https://doi.org/10.1007/s11301-023-00340-w</w:t>
        </w:r>
      </w:hyperlink>
    </w:p>
    <w:p w14:paraId="2E6ED5A6" w14:textId="77777777"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 xml:space="preserve">Russell, A.M., </w:t>
      </w:r>
      <w:proofErr w:type="spellStart"/>
      <w:r w:rsidRPr="00B42C13">
        <w:rPr>
          <w:rFonts w:ascii="Arial" w:hAnsi="Arial"/>
          <w:color w:val="000000" w:themeColor="text1"/>
          <w:sz w:val="22"/>
          <w:lang w:val="en-GB"/>
        </w:rPr>
        <w:t>Opsasnick</w:t>
      </w:r>
      <w:proofErr w:type="spellEnd"/>
      <w:r w:rsidRPr="00B42C13">
        <w:rPr>
          <w:rFonts w:ascii="Arial" w:hAnsi="Arial"/>
          <w:color w:val="000000" w:themeColor="text1"/>
          <w:sz w:val="22"/>
          <w:lang w:val="en-GB"/>
        </w:rPr>
        <w:t xml:space="preserve">, L., Weiner-Light, S., Bailey, S.C., O’Brien, M. and Wolf, M.S., 2023. Medication dosing schedules, medication knowledge, and dosing errors of adults taking complex drug regimens. </w:t>
      </w:r>
      <w:r w:rsidRPr="00B42C13">
        <w:rPr>
          <w:rFonts w:ascii="Arial" w:hAnsi="Arial"/>
          <w:i/>
          <w:iCs/>
          <w:color w:val="000000" w:themeColor="text1"/>
          <w:sz w:val="22"/>
          <w:lang w:val="en-GB"/>
        </w:rPr>
        <w:t>Journal of Health Care for the Poor and Underserved</w:t>
      </w:r>
      <w:r w:rsidRPr="00B42C13">
        <w:rPr>
          <w:rFonts w:ascii="Arial" w:hAnsi="Arial"/>
          <w:color w:val="000000" w:themeColor="text1"/>
          <w:sz w:val="22"/>
          <w:lang w:val="en-GB"/>
        </w:rPr>
        <w:t>, 34(1), pp.192–207.  </w:t>
      </w:r>
      <w:hyperlink r:id="rId31" w:history="1">
        <w:r w:rsidRPr="00B42C13">
          <w:rPr>
            <w:rStyle w:val="Hyperlink"/>
            <w:rFonts w:ascii="Arial" w:hAnsi="Arial"/>
            <w:color w:val="000000" w:themeColor="text1"/>
            <w:sz w:val="22"/>
            <w:lang w:val="en-GB"/>
          </w:rPr>
          <w:t>https://doi.org/10.1353/hpu.2023.0013</w:t>
        </w:r>
      </w:hyperlink>
    </w:p>
    <w:p w14:paraId="6D071872" w14:textId="6D03FD05"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Thapa, A., Pratikshya Gyawali and Dhirendra Kalauni</w:t>
      </w:r>
      <w:r w:rsidR="009A1B55">
        <w:rPr>
          <w:rFonts w:ascii="Arial" w:hAnsi="Arial"/>
          <w:color w:val="000000" w:themeColor="text1"/>
          <w:sz w:val="22"/>
          <w:lang w:val="en-GB"/>
        </w:rPr>
        <w:t xml:space="preserve">., </w:t>
      </w:r>
      <w:r w:rsidRPr="00B42C13">
        <w:rPr>
          <w:rFonts w:ascii="Arial" w:hAnsi="Arial"/>
          <w:color w:val="000000" w:themeColor="text1"/>
          <w:sz w:val="22"/>
          <w:lang w:val="en-GB"/>
        </w:rPr>
        <w:t xml:space="preserve">2026. Leadership strategies to foster innovation in healthcare organizations of the UK: a systematic review. </w:t>
      </w:r>
      <w:r w:rsidRPr="00B42C13">
        <w:rPr>
          <w:rFonts w:ascii="Arial" w:hAnsi="Arial"/>
          <w:i/>
          <w:iCs/>
          <w:color w:val="000000" w:themeColor="text1"/>
          <w:sz w:val="22"/>
          <w:lang w:val="en-GB"/>
        </w:rPr>
        <w:t>BMC Health Services Research</w:t>
      </w:r>
      <w:r w:rsidRPr="00B42C13">
        <w:rPr>
          <w:rFonts w:ascii="Arial" w:hAnsi="Arial"/>
          <w:color w:val="000000" w:themeColor="text1"/>
          <w:sz w:val="22"/>
          <w:lang w:val="en-GB"/>
        </w:rPr>
        <w:t>. doi:10.1186/s12913-026-14017-z</w:t>
      </w:r>
    </w:p>
    <w:p w14:paraId="4441B0C5" w14:textId="032F8008"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The economics of patient safety.</w:t>
      </w:r>
      <w:r w:rsidR="009A1B55">
        <w:rPr>
          <w:rFonts w:ascii="Arial" w:hAnsi="Arial"/>
          <w:color w:val="000000" w:themeColor="text1"/>
          <w:sz w:val="22"/>
          <w:lang w:val="en-GB"/>
        </w:rPr>
        <w:t xml:space="preserve">, </w:t>
      </w:r>
      <w:r w:rsidRPr="00B42C13">
        <w:rPr>
          <w:rFonts w:ascii="Arial" w:hAnsi="Arial"/>
          <w:color w:val="000000" w:themeColor="text1"/>
          <w:sz w:val="22"/>
          <w:lang w:val="en-GB"/>
        </w:rPr>
        <w:t xml:space="preserve">2024. [online] </w:t>
      </w:r>
      <w:r w:rsidRPr="00B42C13">
        <w:rPr>
          <w:rFonts w:ascii="Arial" w:hAnsi="Arial"/>
          <w:i/>
          <w:iCs/>
          <w:color w:val="000000" w:themeColor="text1"/>
          <w:sz w:val="22"/>
          <w:lang w:val="en-GB"/>
        </w:rPr>
        <w:t>OECD</w:t>
      </w:r>
      <w:r w:rsidRPr="00B42C13">
        <w:rPr>
          <w:rFonts w:ascii="Arial" w:hAnsi="Arial"/>
          <w:color w:val="000000" w:themeColor="text1"/>
          <w:sz w:val="22"/>
          <w:lang w:val="en-GB"/>
        </w:rPr>
        <w:t xml:space="preserve">. Available at: </w:t>
      </w:r>
      <w:hyperlink r:id="rId32">
        <w:r w:rsidRPr="00B42C13">
          <w:rPr>
            <w:rFonts w:ascii="Arial" w:hAnsi="Arial"/>
            <w:color w:val="000000" w:themeColor="text1"/>
            <w:sz w:val="22"/>
            <w:u w:val="single"/>
            <w:lang w:val="en-GB"/>
          </w:rPr>
          <w:t>https://www.oecd.org/en/publications/the-economics-of-patient-safety_761f2da8-en.html</w:t>
        </w:r>
      </w:hyperlink>
    </w:p>
    <w:p w14:paraId="27274A03" w14:textId="49795B49"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lastRenderedPageBreak/>
        <w:t>Unintentional overdose of morphine sulfate oral solution.</w:t>
      </w:r>
      <w:r w:rsidR="00552321">
        <w:rPr>
          <w:rFonts w:ascii="Arial" w:hAnsi="Arial"/>
          <w:color w:val="000000" w:themeColor="text1"/>
          <w:sz w:val="22"/>
          <w:lang w:val="en-GB"/>
        </w:rPr>
        <w:t xml:space="preserve">, </w:t>
      </w:r>
      <w:r w:rsidRPr="00B42C13">
        <w:rPr>
          <w:rFonts w:ascii="Arial" w:hAnsi="Arial"/>
          <w:color w:val="000000" w:themeColor="text1"/>
          <w:sz w:val="22"/>
          <w:lang w:val="en-GB"/>
        </w:rPr>
        <w:t xml:space="preserve">2022. [online] </w:t>
      </w:r>
      <w:r w:rsidRPr="00B42C13">
        <w:rPr>
          <w:rFonts w:ascii="Arial" w:hAnsi="Arial"/>
          <w:i/>
          <w:iCs/>
          <w:color w:val="000000" w:themeColor="text1"/>
          <w:sz w:val="22"/>
          <w:lang w:val="en-GB"/>
        </w:rPr>
        <w:t>HSSIB</w:t>
      </w:r>
      <w:r w:rsidRPr="00B42C13">
        <w:rPr>
          <w:rFonts w:ascii="Arial" w:hAnsi="Arial"/>
          <w:color w:val="000000" w:themeColor="text1"/>
          <w:sz w:val="22"/>
          <w:lang w:val="en-GB"/>
        </w:rPr>
        <w:t xml:space="preserve">. Available at: </w:t>
      </w:r>
      <w:hyperlink r:id="rId33">
        <w:r w:rsidRPr="00B42C13">
          <w:rPr>
            <w:rFonts w:ascii="Arial" w:hAnsi="Arial"/>
            <w:color w:val="000000" w:themeColor="text1"/>
            <w:sz w:val="22"/>
            <w:u w:val="single"/>
            <w:lang w:val="en-GB"/>
          </w:rPr>
          <w:t>https://www.hssib.org.uk/patient-safety-investigations/unintentional-overdose-of-morphine-sulfate-oral-solution/investigation-report/?utm_</w:t>
        </w:r>
      </w:hyperlink>
    </w:p>
    <w:p w14:paraId="294F23C4" w14:textId="77777777"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 xml:space="preserve">Wagner, T.H., </w:t>
      </w:r>
      <w:proofErr w:type="spellStart"/>
      <w:r w:rsidRPr="00B42C13">
        <w:rPr>
          <w:rFonts w:ascii="Arial" w:hAnsi="Arial"/>
          <w:color w:val="000000" w:themeColor="text1"/>
          <w:sz w:val="22"/>
          <w:lang w:val="en-GB"/>
        </w:rPr>
        <w:t>Hoomans</w:t>
      </w:r>
      <w:proofErr w:type="spellEnd"/>
      <w:r w:rsidRPr="00B42C13">
        <w:rPr>
          <w:rFonts w:ascii="Arial" w:hAnsi="Arial"/>
          <w:color w:val="000000" w:themeColor="text1"/>
          <w:sz w:val="22"/>
          <w:lang w:val="en-GB"/>
        </w:rPr>
        <w:t xml:space="preserve">, T., Salloum, R.G. and Levy, D.E., 2025. Efficiency in health care: connecting economic evaluations with implementation objectives. </w:t>
      </w:r>
      <w:r w:rsidRPr="00B42C13">
        <w:rPr>
          <w:rFonts w:ascii="Arial" w:hAnsi="Arial"/>
          <w:i/>
          <w:iCs/>
          <w:color w:val="000000" w:themeColor="text1"/>
          <w:sz w:val="22"/>
          <w:lang w:val="en-GB"/>
        </w:rPr>
        <w:t>Implementation Science Communications</w:t>
      </w:r>
      <w:r w:rsidRPr="00B42C13">
        <w:rPr>
          <w:rFonts w:ascii="Arial" w:hAnsi="Arial"/>
          <w:color w:val="000000" w:themeColor="text1"/>
          <w:sz w:val="22"/>
          <w:lang w:val="en-GB"/>
        </w:rPr>
        <w:t>, 6(1).  </w:t>
      </w:r>
      <w:hyperlink r:id="rId34" w:history="1">
        <w:r w:rsidRPr="00B42C13">
          <w:rPr>
            <w:rStyle w:val="Hyperlink"/>
            <w:rFonts w:ascii="Arial" w:hAnsi="Arial"/>
            <w:color w:val="000000" w:themeColor="text1"/>
            <w:sz w:val="22"/>
            <w:lang w:val="en-GB"/>
          </w:rPr>
          <w:t>https://doi.org/10.1186/s43058-025-00763-4</w:t>
        </w:r>
      </w:hyperlink>
    </w:p>
    <w:p w14:paraId="5C1BE567" w14:textId="6F738FB6"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WHO</w:t>
      </w:r>
      <w:r w:rsidR="00C61CD4">
        <w:rPr>
          <w:rFonts w:ascii="Arial" w:hAnsi="Arial"/>
          <w:color w:val="000000" w:themeColor="text1"/>
          <w:sz w:val="22"/>
          <w:lang w:val="en-GB"/>
        </w:rPr>
        <w:t>., 2</w:t>
      </w:r>
      <w:r w:rsidRPr="00B42C13">
        <w:rPr>
          <w:rFonts w:ascii="Arial" w:hAnsi="Arial"/>
          <w:color w:val="000000" w:themeColor="text1"/>
          <w:sz w:val="22"/>
          <w:lang w:val="en-GB"/>
        </w:rPr>
        <w:t xml:space="preserve">022. </w:t>
      </w:r>
      <w:r w:rsidRPr="00B42C13">
        <w:rPr>
          <w:rFonts w:ascii="Arial" w:hAnsi="Arial"/>
          <w:i/>
          <w:iCs/>
          <w:color w:val="000000" w:themeColor="text1"/>
          <w:sz w:val="22"/>
          <w:lang w:val="en-GB"/>
        </w:rPr>
        <w:t>Medication without harm</w:t>
      </w:r>
      <w:r w:rsidRPr="00B42C13">
        <w:rPr>
          <w:rFonts w:ascii="Arial" w:hAnsi="Arial"/>
          <w:color w:val="000000" w:themeColor="text1"/>
          <w:sz w:val="22"/>
          <w:lang w:val="en-GB"/>
        </w:rPr>
        <w:t xml:space="preserve">. [online] </w:t>
      </w:r>
      <w:r w:rsidRPr="00B42C13">
        <w:rPr>
          <w:rFonts w:ascii="Arial" w:hAnsi="Arial"/>
          <w:i/>
          <w:iCs/>
          <w:color w:val="000000" w:themeColor="text1"/>
          <w:sz w:val="22"/>
          <w:lang w:val="en-GB"/>
        </w:rPr>
        <w:t>World Health Organization</w:t>
      </w:r>
      <w:r w:rsidRPr="00B42C13">
        <w:rPr>
          <w:rFonts w:ascii="Arial" w:hAnsi="Arial"/>
          <w:color w:val="000000" w:themeColor="text1"/>
          <w:sz w:val="22"/>
          <w:lang w:val="en-GB"/>
        </w:rPr>
        <w:t xml:space="preserve">. Available at: </w:t>
      </w:r>
      <w:hyperlink r:id="rId35">
        <w:r w:rsidRPr="00B42C13">
          <w:rPr>
            <w:rFonts w:ascii="Arial" w:hAnsi="Arial"/>
            <w:color w:val="000000" w:themeColor="text1"/>
            <w:sz w:val="22"/>
            <w:u w:val="single"/>
            <w:lang w:val="en-GB"/>
          </w:rPr>
          <w:t>https://www.who.int/initiatives/medication-without-harm</w:t>
        </w:r>
      </w:hyperlink>
    </w:p>
    <w:p w14:paraId="353C7A08" w14:textId="538C5FB6"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WHO</w:t>
      </w:r>
      <w:r w:rsidR="00C61CD4">
        <w:rPr>
          <w:rFonts w:ascii="Arial" w:hAnsi="Arial"/>
          <w:color w:val="000000" w:themeColor="text1"/>
          <w:sz w:val="22"/>
          <w:lang w:val="en-GB"/>
        </w:rPr>
        <w:t xml:space="preserve">., </w:t>
      </w:r>
      <w:r w:rsidRPr="00B42C13">
        <w:rPr>
          <w:rFonts w:ascii="Arial" w:hAnsi="Arial"/>
          <w:color w:val="000000" w:themeColor="text1"/>
          <w:sz w:val="22"/>
          <w:lang w:val="en-GB"/>
        </w:rPr>
        <w:t xml:space="preserve">2022. </w:t>
      </w:r>
      <w:r w:rsidRPr="00B42C13">
        <w:rPr>
          <w:rFonts w:ascii="Arial" w:hAnsi="Arial"/>
          <w:i/>
          <w:iCs/>
          <w:color w:val="000000" w:themeColor="text1"/>
          <w:sz w:val="22"/>
          <w:lang w:val="en-GB"/>
        </w:rPr>
        <w:t>Medication without harm</w:t>
      </w:r>
      <w:r w:rsidRPr="00B42C13">
        <w:rPr>
          <w:rFonts w:ascii="Arial" w:hAnsi="Arial"/>
          <w:color w:val="000000" w:themeColor="text1"/>
          <w:sz w:val="22"/>
          <w:lang w:val="en-GB"/>
        </w:rPr>
        <w:t xml:space="preserve">. [online] </w:t>
      </w:r>
      <w:r w:rsidRPr="00B42C13">
        <w:rPr>
          <w:rFonts w:ascii="Arial" w:hAnsi="Arial"/>
          <w:i/>
          <w:iCs/>
          <w:color w:val="000000" w:themeColor="text1"/>
          <w:sz w:val="22"/>
          <w:lang w:val="en-GB"/>
        </w:rPr>
        <w:t>World Health Organization</w:t>
      </w:r>
      <w:r w:rsidRPr="00B42C13">
        <w:rPr>
          <w:rFonts w:ascii="Arial" w:hAnsi="Arial"/>
          <w:color w:val="000000" w:themeColor="text1"/>
          <w:sz w:val="22"/>
          <w:lang w:val="en-GB"/>
        </w:rPr>
        <w:t xml:space="preserve">. Available at: </w:t>
      </w:r>
      <w:hyperlink r:id="rId36" w:history="1">
        <w:r w:rsidRPr="00B42C13">
          <w:rPr>
            <w:rStyle w:val="Hyperlink"/>
            <w:rFonts w:ascii="Arial" w:hAnsi="Arial"/>
            <w:color w:val="000000" w:themeColor="text1"/>
            <w:sz w:val="22"/>
            <w:lang w:val="en-GB"/>
          </w:rPr>
          <w:t>https://www.who.int/initiatives/medication-without-harm</w:t>
        </w:r>
      </w:hyperlink>
      <w:r w:rsidRPr="00B42C13">
        <w:rPr>
          <w:rFonts w:ascii="Arial" w:hAnsi="Arial"/>
          <w:color w:val="000000" w:themeColor="text1"/>
          <w:sz w:val="22"/>
          <w:lang w:val="en-GB"/>
        </w:rPr>
        <w:t xml:space="preserve"> [Accessed 29 July 2026]. </w:t>
      </w:r>
    </w:p>
    <w:p w14:paraId="6C226809" w14:textId="786862BA" w:rsidR="00E709D4" w:rsidRPr="00B42C13" w:rsidRDefault="00E709D4" w:rsidP="00344801">
      <w:pPr>
        <w:spacing w:before="240" w:after="240"/>
        <w:rPr>
          <w:rFonts w:ascii="Arial" w:hAnsi="Arial"/>
          <w:color w:val="000000" w:themeColor="text1"/>
          <w:sz w:val="22"/>
          <w:lang w:val="en-GB"/>
        </w:rPr>
      </w:pPr>
      <w:r w:rsidRPr="00B42C13">
        <w:rPr>
          <w:rFonts w:ascii="Arial" w:hAnsi="Arial"/>
          <w:color w:val="000000" w:themeColor="text1"/>
          <w:sz w:val="22"/>
          <w:lang w:val="en-GB"/>
        </w:rPr>
        <w:t>World Health Organization</w:t>
      </w:r>
      <w:r w:rsidR="00C61CD4">
        <w:rPr>
          <w:rFonts w:ascii="Arial" w:hAnsi="Arial"/>
          <w:color w:val="000000" w:themeColor="text1"/>
          <w:sz w:val="22"/>
          <w:lang w:val="en-GB"/>
        </w:rPr>
        <w:t xml:space="preserve">., </w:t>
      </w:r>
      <w:r w:rsidRPr="00B42C13">
        <w:rPr>
          <w:rFonts w:ascii="Arial" w:hAnsi="Arial"/>
          <w:color w:val="000000" w:themeColor="text1"/>
          <w:sz w:val="22"/>
          <w:lang w:val="en-GB"/>
        </w:rPr>
        <w:t xml:space="preserve">2023. </w:t>
      </w:r>
      <w:r w:rsidRPr="00B42C13">
        <w:rPr>
          <w:rFonts w:ascii="Arial" w:hAnsi="Arial"/>
          <w:i/>
          <w:iCs/>
          <w:color w:val="000000" w:themeColor="text1"/>
          <w:sz w:val="22"/>
          <w:lang w:val="en-GB"/>
        </w:rPr>
        <w:t>Patient safety</w:t>
      </w:r>
      <w:r w:rsidRPr="00B42C13">
        <w:rPr>
          <w:rFonts w:ascii="Arial" w:hAnsi="Arial"/>
          <w:color w:val="000000" w:themeColor="text1"/>
          <w:sz w:val="22"/>
          <w:lang w:val="en-GB"/>
        </w:rPr>
        <w:t xml:space="preserve">. [online] </w:t>
      </w:r>
      <w:r w:rsidRPr="00B42C13">
        <w:rPr>
          <w:rFonts w:ascii="Arial" w:hAnsi="Arial"/>
          <w:i/>
          <w:iCs/>
          <w:color w:val="000000" w:themeColor="text1"/>
          <w:sz w:val="22"/>
          <w:lang w:val="en-GB"/>
        </w:rPr>
        <w:t>World Health Organization</w:t>
      </w:r>
      <w:r w:rsidRPr="00B42C13">
        <w:rPr>
          <w:rFonts w:ascii="Arial" w:hAnsi="Arial"/>
          <w:color w:val="000000" w:themeColor="text1"/>
          <w:sz w:val="22"/>
          <w:lang w:val="en-GB"/>
        </w:rPr>
        <w:t xml:space="preserve">. Available at: </w:t>
      </w:r>
      <w:hyperlink r:id="rId37">
        <w:r w:rsidRPr="00B42C13">
          <w:rPr>
            <w:rFonts w:ascii="Arial" w:hAnsi="Arial"/>
            <w:color w:val="000000" w:themeColor="text1"/>
            <w:sz w:val="22"/>
            <w:u w:val="single"/>
            <w:lang w:val="en-GB"/>
          </w:rPr>
          <w:t>https://www.who.int/news-room/fact-sheets/detail/patient-safety</w:t>
        </w:r>
      </w:hyperlink>
    </w:p>
    <w:p w14:paraId="45414CD4" w14:textId="77777777" w:rsidR="00E709D4" w:rsidRPr="00B42C13" w:rsidRDefault="00E709D4" w:rsidP="00344801">
      <w:pPr>
        <w:spacing w:before="240" w:after="240"/>
        <w:rPr>
          <w:rFonts w:ascii="Arial" w:hAnsi="Arial"/>
          <w:color w:val="000000" w:themeColor="text1"/>
          <w:sz w:val="22"/>
          <w:lang w:val="en-GB"/>
        </w:rPr>
      </w:pPr>
    </w:p>
    <w:p w14:paraId="76E6AC03" w14:textId="77777777" w:rsidR="00F34D4C" w:rsidRPr="00B42C13" w:rsidRDefault="00F34D4C" w:rsidP="00344801">
      <w:pPr>
        <w:spacing w:before="240" w:after="240"/>
        <w:rPr>
          <w:rFonts w:ascii="Arial" w:eastAsia="Times New Roman" w:hAnsi="Arial"/>
          <w:color w:val="000000" w:themeColor="text1"/>
          <w:sz w:val="22"/>
          <w:lang w:val="en-GB"/>
        </w:rPr>
      </w:pPr>
    </w:p>
    <w:p w14:paraId="0A61E747" w14:textId="77777777" w:rsidR="00F34D4C" w:rsidRPr="00B42C13" w:rsidRDefault="00F34D4C" w:rsidP="00344801">
      <w:pPr>
        <w:spacing w:before="240" w:after="240"/>
        <w:rPr>
          <w:rFonts w:ascii="Arial" w:eastAsia="Times New Roman" w:hAnsi="Arial"/>
          <w:color w:val="000000" w:themeColor="text1"/>
          <w:sz w:val="22"/>
          <w:lang w:val="en-GB"/>
        </w:rPr>
      </w:pPr>
    </w:p>
    <w:sectPr w:rsidR="00F34D4C" w:rsidRPr="00B42C13" w:rsidSect="00D7092C">
      <w:footerReference w:type="default" r:id="rId38"/>
      <w:pgSz w:w="12240" w:h="15840"/>
      <w:pgMar w:top="1440" w:right="1440" w:bottom="1440" w:left="1440" w:header="720" w:footer="720" w:gutter="0"/>
      <w:pgBorders w:offsetFrom="page">
        <w:top w:val="double" w:sz="18" w:space="24" w:color="auto"/>
        <w:left w:val="double" w:sz="18" w:space="24" w:color="auto"/>
        <w:bottom w:val="double" w:sz="18" w:space="24" w:color="auto"/>
        <w:right w:val="double" w:sz="18"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8E2F2" w14:textId="77777777" w:rsidR="00863DA2" w:rsidRDefault="00863DA2" w:rsidP="005A330C">
      <w:pPr>
        <w:spacing w:line="240" w:lineRule="auto"/>
      </w:pPr>
      <w:r>
        <w:separator/>
      </w:r>
    </w:p>
  </w:endnote>
  <w:endnote w:type="continuationSeparator" w:id="0">
    <w:p w14:paraId="29D661A7" w14:textId="77777777" w:rsidR="00863DA2" w:rsidRDefault="00863DA2" w:rsidP="005A33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7AE518EE-1A27-4AC6-969F-26FE0A5724BD}"/>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2" w:fontKey="{02ACBB33-3209-4C2A-8D37-67865ED1E58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2065000"/>
      <w:docPartObj>
        <w:docPartGallery w:val="Page Numbers (Bottom of Page)"/>
        <w:docPartUnique/>
      </w:docPartObj>
    </w:sdtPr>
    <w:sdtEndPr>
      <w:rPr>
        <w:noProof/>
        <w:sz w:val="20"/>
        <w:szCs w:val="20"/>
      </w:rPr>
    </w:sdtEndPr>
    <w:sdtContent>
      <w:p w14:paraId="3CC094CD" w14:textId="3E8CA72C" w:rsidR="005A330C" w:rsidRPr="005A330C" w:rsidRDefault="005A330C">
        <w:pPr>
          <w:pStyle w:val="Footer"/>
          <w:jc w:val="right"/>
          <w:rPr>
            <w:sz w:val="20"/>
            <w:szCs w:val="20"/>
          </w:rPr>
        </w:pPr>
        <w:r w:rsidRPr="005A330C">
          <w:rPr>
            <w:sz w:val="20"/>
            <w:szCs w:val="20"/>
          </w:rPr>
          <w:fldChar w:fldCharType="begin"/>
        </w:r>
        <w:r w:rsidRPr="005A330C">
          <w:rPr>
            <w:sz w:val="20"/>
            <w:szCs w:val="20"/>
          </w:rPr>
          <w:instrText xml:space="preserve"> PAGE   \* MERGEFORMAT </w:instrText>
        </w:r>
        <w:r w:rsidRPr="005A330C">
          <w:rPr>
            <w:sz w:val="20"/>
            <w:szCs w:val="20"/>
          </w:rPr>
          <w:fldChar w:fldCharType="separate"/>
        </w:r>
        <w:r w:rsidRPr="005A330C">
          <w:rPr>
            <w:noProof/>
            <w:sz w:val="20"/>
            <w:szCs w:val="20"/>
          </w:rPr>
          <w:t>2</w:t>
        </w:r>
        <w:r w:rsidRPr="005A330C">
          <w:rPr>
            <w:noProof/>
            <w:sz w:val="20"/>
            <w:szCs w:val="20"/>
          </w:rPr>
          <w:fldChar w:fldCharType="end"/>
        </w:r>
      </w:p>
    </w:sdtContent>
  </w:sdt>
  <w:p w14:paraId="03B7F83D" w14:textId="77777777" w:rsidR="005A330C" w:rsidRDefault="005A33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4533E" w14:textId="77777777" w:rsidR="00863DA2" w:rsidRDefault="00863DA2" w:rsidP="005A330C">
      <w:pPr>
        <w:spacing w:line="240" w:lineRule="auto"/>
      </w:pPr>
      <w:r>
        <w:separator/>
      </w:r>
    </w:p>
  </w:footnote>
  <w:footnote w:type="continuationSeparator" w:id="0">
    <w:p w14:paraId="6AFFD0C0" w14:textId="77777777" w:rsidR="00863DA2" w:rsidRDefault="00863DA2" w:rsidP="005A330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D4C"/>
    <w:rsid w:val="000057AC"/>
    <w:rsid w:val="00061F8B"/>
    <w:rsid w:val="000E5264"/>
    <w:rsid w:val="00125F77"/>
    <w:rsid w:val="00126C78"/>
    <w:rsid w:val="00136E8A"/>
    <w:rsid w:val="001776F8"/>
    <w:rsid w:val="001A7A3F"/>
    <w:rsid w:val="002925F4"/>
    <w:rsid w:val="002F0559"/>
    <w:rsid w:val="00321D83"/>
    <w:rsid w:val="003308F6"/>
    <w:rsid w:val="00344801"/>
    <w:rsid w:val="0051230B"/>
    <w:rsid w:val="00552321"/>
    <w:rsid w:val="005A330C"/>
    <w:rsid w:val="005B1857"/>
    <w:rsid w:val="005C59E3"/>
    <w:rsid w:val="00685C45"/>
    <w:rsid w:val="0068613C"/>
    <w:rsid w:val="006B4833"/>
    <w:rsid w:val="006E691F"/>
    <w:rsid w:val="007748C4"/>
    <w:rsid w:val="007766AD"/>
    <w:rsid w:val="00863DA2"/>
    <w:rsid w:val="009A1B55"/>
    <w:rsid w:val="00A2512D"/>
    <w:rsid w:val="00B22B19"/>
    <w:rsid w:val="00B363D4"/>
    <w:rsid w:val="00B42769"/>
    <w:rsid w:val="00B42C13"/>
    <w:rsid w:val="00B93688"/>
    <w:rsid w:val="00B9570A"/>
    <w:rsid w:val="00BD3423"/>
    <w:rsid w:val="00BF3E5E"/>
    <w:rsid w:val="00C61CD4"/>
    <w:rsid w:val="00CC7FEE"/>
    <w:rsid w:val="00D54007"/>
    <w:rsid w:val="00D703F7"/>
    <w:rsid w:val="00D7092C"/>
    <w:rsid w:val="00D93E70"/>
    <w:rsid w:val="00DA672A"/>
    <w:rsid w:val="00E20CEF"/>
    <w:rsid w:val="00E36794"/>
    <w:rsid w:val="00E709D4"/>
    <w:rsid w:val="00EB529E"/>
    <w:rsid w:val="00EF0FB7"/>
    <w:rsid w:val="00F31232"/>
    <w:rsid w:val="00F34D4C"/>
    <w:rsid w:val="00F714B6"/>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46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30C"/>
    <w:pPr>
      <w:spacing w:line="360" w:lineRule="auto"/>
      <w:jc w:val="both"/>
    </w:pPr>
    <w:rPr>
      <w:rFonts w:ascii="Times New Roman" w:hAnsi="Times New Roman"/>
      <w:sz w:val="24"/>
    </w:rPr>
  </w:style>
  <w:style w:type="paragraph" w:styleId="Heading1">
    <w:name w:val="heading 1"/>
    <w:basedOn w:val="Normal"/>
    <w:next w:val="Normal"/>
    <w:uiPriority w:val="9"/>
    <w:qFormat/>
    <w:rsid w:val="005A330C"/>
    <w:pPr>
      <w:keepNext/>
      <w:keepLines/>
      <w:spacing w:before="400" w:after="120"/>
      <w:outlineLvl w:val="0"/>
    </w:pPr>
    <w:rPr>
      <w:b/>
      <w:sz w:val="28"/>
      <w:szCs w:val="40"/>
    </w:rPr>
  </w:style>
  <w:style w:type="paragraph" w:styleId="Heading2">
    <w:name w:val="heading 2"/>
    <w:basedOn w:val="Normal"/>
    <w:next w:val="Normal"/>
    <w:uiPriority w:val="9"/>
    <w:unhideWhenUsed/>
    <w:qFormat/>
    <w:rsid w:val="005A330C"/>
    <w:pPr>
      <w:keepNext/>
      <w:keepLines/>
      <w:spacing w:before="360" w:after="120"/>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Header">
    <w:name w:val="header"/>
    <w:basedOn w:val="Normal"/>
    <w:link w:val="HeaderChar"/>
    <w:uiPriority w:val="99"/>
    <w:unhideWhenUsed/>
    <w:rsid w:val="005A330C"/>
    <w:pPr>
      <w:tabs>
        <w:tab w:val="center" w:pos="4513"/>
        <w:tab w:val="right" w:pos="9026"/>
      </w:tabs>
      <w:spacing w:line="240" w:lineRule="auto"/>
    </w:pPr>
  </w:style>
  <w:style w:type="character" w:customStyle="1" w:styleId="HeaderChar">
    <w:name w:val="Header Char"/>
    <w:basedOn w:val="DefaultParagraphFont"/>
    <w:link w:val="Header"/>
    <w:uiPriority w:val="99"/>
    <w:rsid w:val="005A330C"/>
    <w:rPr>
      <w:rFonts w:ascii="Times New Roman" w:hAnsi="Times New Roman"/>
      <w:sz w:val="24"/>
    </w:rPr>
  </w:style>
  <w:style w:type="paragraph" w:styleId="Footer">
    <w:name w:val="footer"/>
    <w:basedOn w:val="Normal"/>
    <w:link w:val="FooterChar"/>
    <w:uiPriority w:val="99"/>
    <w:unhideWhenUsed/>
    <w:rsid w:val="005A330C"/>
    <w:pPr>
      <w:tabs>
        <w:tab w:val="center" w:pos="4513"/>
        <w:tab w:val="right" w:pos="9026"/>
      </w:tabs>
      <w:spacing w:line="240" w:lineRule="auto"/>
    </w:pPr>
  </w:style>
  <w:style w:type="character" w:customStyle="1" w:styleId="FooterChar">
    <w:name w:val="Footer Char"/>
    <w:basedOn w:val="DefaultParagraphFont"/>
    <w:link w:val="Footer"/>
    <w:uiPriority w:val="99"/>
    <w:rsid w:val="005A330C"/>
    <w:rPr>
      <w:rFonts w:ascii="Times New Roman" w:hAnsi="Times New Roman"/>
      <w:sz w:val="24"/>
    </w:rPr>
  </w:style>
  <w:style w:type="paragraph" w:styleId="TOCHeading">
    <w:name w:val="TOC Heading"/>
    <w:basedOn w:val="Heading1"/>
    <w:next w:val="Normal"/>
    <w:uiPriority w:val="39"/>
    <w:unhideWhenUsed/>
    <w:qFormat/>
    <w:rsid w:val="00DA672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A672A"/>
    <w:pPr>
      <w:spacing w:after="100"/>
    </w:pPr>
  </w:style>
  <w:style w:type="paragraph" w:styleId="TOC2">
    <w:name w:val="toc 2"/>
    <w:basedOn w:val="Normal"/>
    <w:next w:val="Normal"/>
    <w:autoRedefine/>
    <w:uiPriority w:val="39"/>
    <w:unhideWhenUsed/>
    <w:rsid w:val="00DA672A"/>
    <w:pPr>
      <w:spacing w:after="100"/>
      <w:ind w:left="240"/>
    </w:pPr>
  </w:style>
  <w:style w:type="character" w:styleId="Hyperlink">
    <w:name w:val="Hyperlink"/>
    <w:basedOn w:val="DefaultParagraphFont"/>
    <w:uiPriority w:val="99"/>
    <w:unhideWhenUsed/>
    <w:rsid w:val="00DA672A"/>
    <w:rPr>
      <w:color w:val="0000FF" w:themeColor="hyperlink"/>
      <w:u w:val="single"/>
    </w:rPr>
  </w:style>
  <w:style w:type="character" w:styleId="UnresolvedMention">
    <w:name w:val="Unresolved Mention"/>
    <w:basedOn w:val="DefaultParagraphFont"/>
    <w:uiPriority w:val="99"/>
    <w:semiHidden/>
    <w:unhideWhenUsed/>
    <w:rsid w:val="00E709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177/20420986231154365" TargetMode="External"/><Relationship Id="rId18" Type="http://schemas.openxmlformats.org/officeDocument/2006/relationships/hyperlink" Target="http://dx.doi.org/10.33552/APHE.2023.02.000534" TargetMode="External"/><Relationship Id="rId26" Type="http://schemas.openxmlformats.org/officeDocument/2006/relationships/hyperlink" Target="https://researchonline.lshtm.ac.uk/id/eprint/4671562/1/Mold_etal_2023_Lessons_from_the_History_of_British_Health_Policy.pdf" TargetMode="External"/><Relationship Id="rId39" Type="http://schemas.openxmlformats.org/officeDocument/2006/relationships/fontTable" Target="fontTable.xml"/><Relationship Id="rId21" Type="http://schemas.openxmlformats.org/officeDocument/2006/relationships/hyperlink" Target="https://doi.org/10.1016/j.jbusres.2023.114437" TargetMode="External"/><Relationship Id="rId34" Type="http://schemas.openxmlformats.org/officeDocument/2006/relationships/hyperlink" Target="https://doi.org/10.1186/s43058-025-00763-4" TargetMode="External"/><Relationship Id="rId7" Type="http://schemas.openxmlformats.org/officeDocument/2006/relationships/image" Target="media/image1.png"/><Relationship Id="rId12" Type="http://schemas.openxmlformats.org/officeDocument/2006/relationships/hyperlink" Target="https://doi.org/10.53730/ijhs.v9nS1.15558" TargetMode="External"/><Relationship Id="rId17" Type="http://schemas.openxmlformats.org/officeDocument/2006/relationships/hyperlink" Target="https://doi.org/10.54097/ajmss.v2i3.7972" TargetMode="External"/><Relationship Id="rId25" Type="http://schemas.openxmlformats.org/officeDocument/2006/relationships/hyperlink" Target="https://www.hssib.org.uk/patient-safety-investigations/medication-related-harm/" TargetMode="External"/><Relationship Id="rId33" Type="http://schemas.openxmlformats.org/officeDocument/2006/relationships/hyperlink" Target="https://www.hssib.org.uk/patient-safety-investigations/unintentional-overdose-of-morphine-sulfate-oral-solution/investigation-report/?utm_source=chatgpt.com"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ejhp.bmj.com/content/ejhpharm/29/5/275.full.pdf" TargetMode="External"/><Relationship Id="rId20" Type="http://schemas.openxmlformats.org/officeDocument/2006/relationships/hyperlink" Target="https://www.hssib.org.uk/" TargetMode="External"/><Relationship Id="rId29" Type="http://schemas.openxmlformats.org/officeDocument/2006/relationships/hyperlink" Target="https://doi.org/10.7759/cureus.5226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hrq.gov/health-literacy/improve/precautions/tool2b.html" TargetMode="External"/><Relationship Id="rId24" Type="http://schemas.openxmlformats.org/officeDocument/2006/relationships/hyperlink" Target="https://doi.org/10.1186/s12875-023-02050-4" TargetMode="External"/><Relationship Id="rId32" Type="http://schemas.openxmlformats.org/officeDocument/2006/relationships/hyperlink" Target="https://www.oecd.org/en/publications/the-economics-of-patient-safety_761f2da8-en.html" TargetMode="External"/><Relationship Id="rId37" Type="http://schemas.openxmlformats.org/officeDocument/2006/relationships/hyperlink" Target="https://www.who.int/news-room/fact-sheets/detail/patient-safety"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186/s12913-022-08694-9" TargetMode="External"/><Relationship Id="rId23" Type="http://schemas.openxmlformats.org/officeDocument/2006/relationships/hyperlink" Target="https://doi.org/10.34172/hpp.025.44214" TargetMode="External"/><Relationship Id="rId28" Type="http://schemas.openxmlformats.org/officeDocument/2006/relationships/hyperlink" Target="https://www.england.nhs.uk/long-read/nhs-long-term-workforce-plan-2/" TargetMode="External"/><Relationship Id="rId36" Type="http://schemas.openxmlformats.org/officeDocument/2006/relationships/hyperlink" Target="https://www.who.int/initiatives/medication-without-harm" TargetMode="External"/><Relationship Id="rId10" Type="http://schemas.openxmlformats.org/officeDocument/2006/relationships/image" Target="media/image4.png"/><Relationship Id="rId19" Type="http://schemas.openxmlformats.org/officeDocument/2006/relationships/hyperlink" Target="https://doi.org/10.2147/RMHP.S458505" TargetMode="External"/><Relationship Id="rId31" Type="http://schemas.openxmlformats.org/officeDocument/2006/relationships/hyperlink" Target="https://doi.org/10.1353/hpu.2023.0013"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16/j.rcsop.2024.100531" TargetMode="External"/><Relationship Id="rId22" Type="http://schemas.openxmlformats.org/officeDocument/2006/relationships/hyperlink" Target="https://doi.org/10.1111/joop.12381" TargetMode="External"/><Relationship Id="rId27" Type="http://schemas.openxmlformats.org/officeDocument/2006/relationships/hyperlink" Target="https://www.gov.uk/government/publications/nhs-staff-standards/nhs-staff-standards-detailed-requirements-for-employers" TargetMode="External"/><Relationship Id="rId30" Type="http://schemas.openxmlformats.org/officeDocument/2006/relationships/hyperlink" Target="https://doi.org/10.1007/s11301-023-00340-w" TargetMode="External"/><Relationship Id="rId35" Type="http://schemas.openxmlformats.org/officeDocument/2006/relationships/hyperlink" Target="https://www.who.int/initiatives/medication-without-harm" TargetMode="External"/><Relationship Id="rId8" Type="http://schemas.openxmlformats.org/officeDocument/2006/relationships/image" Target="media/image2.pn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98D38-99A7-4DC1-AD09-6EB7305AF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6574</Words>
  <Characters>37472</Characters>
  <Application>Microsoft Office Word</Application>
  <DocSecurity>0</DocSecurity>
  <Lines>312</Lines>
  <Paragraphs>87</Paragraphs>
  <ScaleCrop>false</ScaleCrop>
  <Company/>
  <LinksUpToDate>false</LinksUpToDate>
  <CharactersWithSpaces>43959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2026-08-04T10:39:00Z</dcterms:created>
  <dcterms:modified xsi:type="dcterms:W3CDTF">2026-08-10T19:43:00Z</dcterms:modified>
</cp:coreProperties>
</file>