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6F984" w14:textId="77777777" w:rsidR="00FC2ADC" w:rsidRDefault="001F511A" w:rsidP="00181F57">
      <w:pPr>
        <w:spacing w:after="0" w:line="240" w:lineRule="auto"/>
        <w:jc w:val="both"/>
        <w:rPr>
          <w:rFonts w:ascii="Cambria" w:eastAsiaTheme="minorEastAsia" w:hAnsi="Cambria" w:cs="Times New Roman"/>
          <w:color w:val="000000"/>
          <w:sz w:val="42"/>
          <w:szCs w:val="42"/>
          <w:lang w:val="en-GB" w:eastAsia="en-GB"/>
        </w:rPr>
      </w:pPr>
      <w:r>
        <w:rPr>
          <w:rFonts w:ascii="Cambria" w:eastAsiaTheme="minorEastAsia" w:hAnsi="Cambria" w:cs="Times New Roman"/>
          <w:color w:val="000000"/>
          <w:sz w:val="42"/>
          <w:szCs w:val="42"/>
          <w:lang w:val="en-GB" w:eastAsia="en-GB"/>
        </w:rPr>
        <w:t xml:space="preserve">        Gina Lu</w:t>
      </w:r>
      <w:r w:rsidR="00FC2ADC">
        <w:rPr>
          <w:rFonts w:ascii="Cambria" w:eastAsiaTheme="minorEastAsia" w:hAnsi="Cambria" w:cs="Times New Roman"/>
          <w:color w:val="000000"/>
          <w:sz w:val="42"/>
          <w:szCs w:val="42"/>
          <w:lang w:val="en-GB" w:eastAsia="en-GB"/>
        </w:rPr>
        <w:t>ca(19</w:t>
      </w:r>
      <w:r w:rsidR="00171282">
        <w:rPr>
          <w:rFonts w:ascii="Cambria" w:eastAsiaTheme="minorEastAsia" w:hAnsi="Cambria" w:cs="Times New Roman"/>
          <w:color w:val="000000"/>
          <w:sz w:val="42"/>
          <w:szCs w:val="42"/>
          <w:lang w:val="en-GB" w:eastAsia="en-GB"/>
        </w:rPr>
        <w:t>17569)</w:t>
      </w:r>
    </w:p>
    <w:p w14:paraId="465EF6B9" w14:textId="77777777" w:rsidR="00FC2ADC" w:rsidRDefault="00FC2ADC" w:rsidP="00181F57">
      <w:pPr>
        <w:spacing w:after="0" w:line="240" w:lineRule="auto"/>
        <w:jc w:val="both"/>
        <w:rPr>
          <w:rFonts w:ascii="Cambria" w:eastAsiaTheme="minorEastAsia" w:hAnsi="Cambria" w:cs="Times New Roman"/>
          <w:color w:val="000000"/>
          <w:sz w:val="42"/>
          <w:szCs w:val="42"/>
          <w:lang w:val="en-GB" w:eastAsia="en-GB"/>
        </w:rPr>
      </w:pPr>
      <w:r>
        <w:rPr>
          <w:rFonts w:ascii="Cambria" w:eastAsiaTheme="minorEastAsia" w:hAnsi="Cambria" w:cs="Times New Roman"/>
          <w:color w:val="000000"/>
          <w:sz w:val="42"/>
          <w:szCs w:val="42"/>
          <w:lang w:val="en-GB" w:eastAsia="en-GB"/>
        </w:rPr>
        <w:t xml:space="preserve">Module name </w:t>
      </w:r>
      <w:r w:rsidR="00171282">
        <w:rPr>
          <w:rFonts w:ascii="Cambria" w:eastAsiaTheme="minorEastAsia" w:hAnsi="Cambria" w:cs="Times New Roman"/>
          <w:color w:val="000000"/>
          <w:sz w:val="42"/>
          <w:szCs w:val="42"/>
          <w:lang w:val="en-GB" w:eastAsia="en-GB"/>
        </w:rPr>
        <w:t xml:space="preserve">:BMSW </w:t>
      </w:r>
      <w:r w:rsidR="00BF24D4">
        <w:rPr>
          <w:rFonts w:ascii="Cambria" w:eastAsiaTheme="minorEastAsia" w:hAnsi="Cambria" w:cs="Times New Roman"/>
          <w:color w:val="000000"/>
          <w:sz w:val="42"/>
          <w:szCs w:val="42"/>
          <w:lang w:val="en-GB" w:eastAsia="en-GB"/>
        </w:rPr>
        <w:t>4001</w:t>
      </w:r>
    </w:p>
    <w:p w14:paraId="442BF2C5" w14:textId="77777777" w:rsidR="00BF24D4" w:rsidRDefault="00BF24D4" w:rsidP="00181F57">
      <w:pPr>
        <w:spacing w:after="0" w:line="240" w:lineRule="auto"/>
        <w:jc w:val="both"/>
        <w:rPr>
          <w:rFonts w:ascii="Cambria" w:eastAsiaTheme="minorEastAsia" w:hAnsi="Cambria" w:cs="Times New Roman"/>
          <w:color w:val="000000"/>
          <w:sz w:val="42"/>
          <w:szCs w:val="42"/>
          <w:lang w:val="en-GB" w:eastAsia="en-GB"/>
        </w:rPr>
      </w:pPr>
      <w:r>
        <w:rPr>
          <w:rFonts w:ascii="Cambria" w:eastAsiaTheme="minorEastAsia" w:hAnsi="Cambria" w:cs="Times New Roman"/>
          <w:color w:val="000000"/>
          <w:sz w:val="42"/>
          <w:szCs w:val="42"/>
          <w:lang w:val="en-GB" w:eastAsia="en-GB"/>
        </w:rPr>
        <w:t>Module teacher:</w:t>
      </w:r>
      <w:r w:rsidR="000778B6">
        <w:rPr>
          <w:rFonts w:ascii="Cambria" w:eastAsiaTheme="minorEastAsia" w:hAnsi="Cambria" w:cs="Times New Roman"/>
          <w:color w:val="000000"/>
          <w:sz w:val="42"/>
          <w:szCs w:val="42"/>
          <w:lang w:val="en-GB" w:eastAsia="en-GB"/>
        </w:rPr>
        <w:t>Silvia Hoffman</w:t>
      </w:r>
    </w:p>
    <w:p w14:paraId="650D480E" w14:textId="77777777" w:rsidR="000778B6" w:rsidRDefault="000778B6" w:rsidP="00181F57">
      <w:pPr>
        <w:spacing w:after="0" w:line="240" w:lineRule="auto"/>
        <w:jc w:val="both"/>
        <w:rPr>
          <w:rFonts w:ascii="Cambria" w:eastAsiaTheme="minorEastAsia" w:hAnsi="Cambria" w:cs="Times New Roman"/>
          <w:color w:val="000000"/>
          <w:sz w:val="42"/>
          <w:szCs w:val="42"/>
          <w:lang w:val="en-GB" w:eastAsia="en-GB"/>
        </w:rPr>
      </w:pPr>
    </w:p>
    <w:p w14:paraId="49922EC8" w14:textId="77777777" w:rsidR="000778B6" w:rsidRDefault="000778B6" w:rsidP="00181F57">
      <w:pPr>
        <w:spacing w:after="0" w:line="240" w:lineRule="auto"/>
        <w:jc w:val="both"/>
        <w:rPr>
          <w:rFonts w:ascii="Cambria" w:eastAsiaTheme="minorEastAsia" w:hAnsi="Cambria" w:cs="Times New Roman"/>
          <w:color w:val="000000"/>
          <w:sz w:val="42"/>
          <w:szCs w:val="42"/>
          <w:lang w:val="en-GB" w:eastAsia="en-GB"/>
        </w:rPr>
      </w:pPr>
    </w:p>
    <w:p w14:paraId="08198580" w14:textId="77777777" w:rsidR="00171282" w:rsidRDefault="00171282" w:rsidP="00181F57">
      <w:pPr>
        <w:spacing w:after="0" w:line="240" w:lineRule="auto"/>
        <w:jc w:val="both"/>
        <w:rPr>
          <w:rFonts w:ascii="Cambria" w:eastAsiaTheme="minorEastAsia" w:hAnsi="Cambria" w:cs="Times New Roman"/>
          <w:color w:val="000000"/>
          <w:sz w:val="42"/>
          <w:szCs w:val="42"/>
          <w:lang w:val="en-GB" w:eastAsia="en-GB"/>
        </w:rPr>
      </w:pPr>
    </w:p>
    <w:p w14:paraId="562346FB" w14:textId="77777777" w:rsidR="00171282" w:rsidRDefault="001F511A" w:rsidP="00181F57">
      <w:pPr>
        <w:spacing w:after="0" w:line="240" w:lineRule="auto"/>
        <w:jc w:val="both"/>
        <w:rPr>
          <w:rFonts w:ascii="Cambria" w:eastAsiaTheme="minorEastAsia" w:hAnsi="Cambria" w:cs="Times New Roman"/>
          <w:color w:val="000000"/>
          <w:sz w:val="42"/>
          <w:szCs w:val="42"/>
          <w:lang w:val="en-GB" w:eastAsia="en-GB"/>
        </w:rPr>
      </w:pPr>
      <w:r>
        <w:rPr>
          <w:rFonts w:ascii="Cambria" w:eastAsiaTheme="minorEastAsia" w:hAnsi="Cambria" w:cs="Times New Roman"/>
          <w:color w:val="000000"/>
          <w:sz w:val="42"/>
          <w:szCs w:val="42"/>
          <w:lang w:val="en-GB" w:eastAsia="en-GB"/>
        </w:rPr>
        <w:t xml:space="preserve">    </w:t>
      </w:r>
    </w:p>
    <w:p w14:paraId="2266EFF7" w14:textId="77777777" w:rsidR="00181F57" w:rsidRPr="00181F57" w:rsidRDefault="001F511A" w:rsidP="00181F57">
      <w:pPr>
        <w:spacing w:after="0" w:line="240" w:lineRule="auto"/>
        <w:jc w:val="both"/>
        <w:rPr>
          <w:rFonts w:ascii="-webkit-standard" w:eastAsiaTheme="minorEastAsia" w:hAnsi="-webkit-standard" w:cs="Times New Roman"/>
          <w:color w:val="000000"/>
          <w:sz w:val="27"/>
          <w:szCs w:val="27"/>
          <w:lang w:val="en-GB" w:eastAsia="en-GB"/>
        </w:rPr>
      </w:pPr>
      <w:r>
        <w:rPr>
          <w:rFonts w:ascii="Cambria" w:eastAsiaTheme="minorEastAsia" w:hAnsi="Cambria" w:cs="Times New Roman"/>
          <w:color w:val="000000"/>
          <w:sz w:val="42"/>
          <w:szCs w:val="42"/>
          <w:lang w:val="en-GB" w:eastAsia="en-GB"/>
        </w:rPr>
        <w:t xml:space="preserve">                                                                      </w:t>
      </w:r>
      <w:r w:rsidR="000778B6">
        <w:rPr>
          <w:rFonts w:ascii="Cambria" w:eastAsiaTheme="minorEastAsia" w:hAnsi="Cambria" w:cs="Times New Roman"/>
          <w:color w:val="000000"/>
          <w:sz w:val="42"/>
          <w:szCs w:val="42"/>
          <w:lang w:val="en-GB" w:eastAsia="en-GB"/>
        </w:rPr>
        <w:t xml:space="preserve">     </w:t>
      </w:r>
      <w:r>
        <w:rPr>
          <w:rFonts w:ascii="Cambria" w:eastAsiaTheme="minorEastAsia" w:hAnsi="Cambria" w:cs="Times New Roman"/>
          <w:color w:val="000000"/>
          <w:sz w:val="42"/>
          <w:szCs w:val="42"/>
          <w:lang w:val="en-GB" w:eastAsia="en-GB"/>
        </w:rPr>
        <w:t xml:space="preserve">   </w:t>
      </w:r>
      <w:r w:rsidR="00181F57" w:rsidRPr="00181F57">
        <w:rPr>
          <w:rFonts w:ascii="Cambria" w:eastAsiaTheme="minorEastAsia" w:hAnsi="Cambria" w:cs="Times New Roman"/>
          <w:color w:val="000000"/>
          <w:sz w:val="42"/>
          <w:szCs w:val="42"/>
          <w:lang w:val="en-GB" w:eastAsia="en-GB"/>
        </w:rPr>
        <w:t>Application of the Gibbs model of reflection on topics learnt in the class. </w:t>
      </w:r>
    </w:p>
    <w:p w14:paraId="621095F8" w14:textId="77777777" w:rsid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156309F" w14:textId="77777777" w:rsidR="000778B6" w:rsidRPr="00181F57" w:rsidRDefault="000778B6" w:rsidP="00181F57">
      <w:pPr>
        <w:spacing w:after="0" w:line="240" w:lineRule="auto"/>
        <w:jc w:val="both"/>
        <w:rPr>
          <w:rFonts w:ascii="-webkit-standard" w:eastAsiaTheme="minorEastAsia" w:hAnsi="-webkit-standard" w:cs="Times New Roman"/>
          <w:color w:val="000000"/>
          <w:sz w:val="27"/>
          <w:szCs w:val="27"/>
          <w:lang w:val="en-GB" w:eastAsia="en-GB"/>
        </w:rPr>
      </w:pPr>
    </w:p>
    <w:p w14:paraId="5294225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7F5867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1348BE6"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7E7DC6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4FE6FA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00EEBA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774560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514AF3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591DF9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83C6AB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0D5EE4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A22FBC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B22B16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CFD873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53993B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CE5813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B9B06BB"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55DEF0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FA8ABA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4CCF42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5BFBD5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7CF4A3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65EB57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A6534E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lastRenderedPageBreak/>
        <w:t>Executive summary – This assignment is an evaluation of the Gibbs model of reflection theory. It is used against four given topics that have been covered in the just completed classes of term 1 and term 2. Each topic is evaluated through the Gibbs model of reflection, so that experiences derived from each one of them can be used to get the best of the results. It may be for the current purposes or for any futuristic scenarios.  The assignment starts with introduction. It then moves on to the topics namely - Analytical and critical thinking, Reflective writing, Public speaking skills, CV writing. Last is references.  </w:t>
      </w:r>
    </w:p>
    <w:p w14:paraId="57AB807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96C73C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0A280A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52D19B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E4180E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1FA7B61"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15BF5D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FF2ABB1"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BB191C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633198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167F2EB"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BDED9C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F5611F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3FC388A"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E11D57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D37B73C"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r w:rsidRPr="00181F57">
        <w:rPr>
          <w:rFonts w:ascii="Cambria" w:eastAsiaTheme="minorEastAsia" w:hAnsi="Cambria" w:cs="Times New Roman"/>
          <w:b/>
          <w:bCs/>
          <w:color w:val="365F91"/>
          <w:sz w:val="32"/>
          <w:szCs w:val="32"/>
          <w:lang w:val="en-GB" w:eastAsia="en-GB"/>
        </w:rPr>
        <w:t>Contents</w:t>
      </w:r>
    </w:p>
    <w:p w14:paraId="4D7D53AF"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Introduction –</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4</w:t>
      </w:r>
    </w:p>
    <w:p w14:paraId="5C004713"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Analytical and critical thinking –</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4</w:t>
      </w:r>
    </w:p>
    <w:p w14:paraId="11B39054"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Reflective writing –</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5</w:t>
      </w:r>
    </w:p>
    <w:p w14:paraId="30B493A0"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Public speaking skills –</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6</w:t>
      </w:r>
    </w:p>
    <w:p w14:paraId="1A9021F1"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CV writing –</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8</w:t>
      </w:r>
    </w:p>
    <w:p w14:paraId="2672D299" w14:textId="77777777" w:rsidR="00181F57" w:rsidRPr="00181F57" w:rsidRDefault="00181F57" w:rsidP="00181F57">
      <w:pPr>
        <w:spacing w:after="0" w:line="324" w:lineRule="atLeast"/>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FF"/>
          <w:sz w:val="27"/>
          <w:szCs w:val="27"/>
          <w:u w:val="single"/>
          <w:lang w:val="en-GB" w:eastAsia="en-GB"/>
        </w:rPr>
        <w:t>References:</w:t>
      </w:r>
      <w:r w:rsidRPr="00181F57">
        <w:rPr>
          <w:rFonts w:ascii="-webkit-standard" w:eastAsiaTheme="minorEastAsia" w:hAnsi="-webkit-standard" w:cs="Times New Roman"/>
          <w:color w:val="000000"/>
          <w:sz w:val="27"/>
          <w:szCs w:val="27"/>
          <w:lang w:val="en-GB" w:eastAsia="en-GB"/>
        </w:rPr>
        <w:t>​</w:t>
      </w:r>
      <w:r w:rsidRPr="00181F57">
        <w:rPr>
          <w:rFonts w:ascii="Times New Roman" w:eastAsiaTheme="minorEastAsia" w:hAnsi="Times New Roman" w:cs="Times New Roman"/>
          <w:color w:val="000000"/>
          <w:sz w:val="27"/>
          <w:szCs w:val="27"/>
          <w:lang w:val="en-GB" w:eastAsia="en-GB"/>
        </w:rPr>
        <w:t>10</w:t>
      </w:r>
    </w:p>
    <w:p w14:paraId="1E060C5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bookmarkStart w:id="0" w:name="_GoBack"/>
      <w:bookmarkEnd w:id="0"/>
      <w:r w:rsidRPr="00181F57">
        <w:rPr>
          <w:rFonts w:ascii="-webkit-standard" w:eastAsiaTheme="minorEastAsia" w:hAnsi="-webkit-standard" w:cs="Times New Roman"/>
          <w:color w:val="000000"/>
          <w:sz w:val="27"/>
          <w:szCs w:val="27"/>
          <w:lang w:val="en-GB" w:eastAsia="en-GB"/>
        </w:rPr>
        <w:t> </w:t>
      </w:r>
    </w:p>
    <w:p w14:paraId="6913B6B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454D61B"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5A6A4E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511C6C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603A05A"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42B714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1A6007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86DCF1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7AEA61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lastRenderedPageBreak/>
        <w:t> </w:t>
      </w:r>
    </w:p>
    <w:p w14:paraId="12264FB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2CD026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DE160C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A4BE506"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C9E12E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747641B"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8D8514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DB1DE3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BA7A9C6"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A28BBB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7B62A7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2878F3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58DFA1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2C0E8C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DAFD82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E03A47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CCA1DDD"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1" w:name="_Toc56649218"/>
      <w:bookmarkEnd w:id="1"/>
      <w:r w:rsidRPr="00181F57">
        <w:rPr>
          <w:rFonts w:ascii="Times New Roman" w:eastAsiaTheme="minorEastAsia" w:hAnsi="Times New Roman" w:cs="Times New Roman"/>
          <w:b/>
          <w:bCs/>
          <w:color w:val="000000"/>
          <w:sz w:val="27"/>
          <w:szCs w:val="27"/>
          <w:lang w:val="en-GB" w:eastAsia="en-GB"/>
        </w:rPr>
        <w:t>Introduction –</w:t>
      </w:r>
    </w:p>
    <w:p w14:paraId="40E8619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I have taken the Gibbs reflective cycle which explores a particular experience through its six stages. The reason is that Gibbs model is the most comprehensive as a learning experience since it views right an experience from every angle possible in order to gain the very best experience from the same. A total of 5 topics learnt in the terms has been evaluated through this model. </w:t>
      </w:r>
    </w:p>
    <w:p w14:paraId="2DF450B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In the briefest of manner, the six stages of the Gibbs model are the following – </w:t>
      </w:r>
    </w:p>
    <w:p w14:paraId="10CA6B08" w14:textId="77777777" w:rsidR="00181F57" w:rsidRPr="00181F57" w:rsidRDefault="00181F57" w:rsidP="00181F57">
      <w:pPr>
        <w:spacing w:after="0" w:line="240" w:lineRule="auto"/>
        <w:ind w:hanging="270"/>
        <w:jc w:val="both"/>
        <w:divId w:val="1309288552"/>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Description of the particular experience. </w:t>
      </w:r>
    </w:p>
    <w:p w14:paraId="4078DBDC" w14:textId="77777777" w:rsidR="00181F57" w:rsidRPr="00181F57" w:rsidRDefault="00181F57" w:rsidP="00181F57">
      <w:pPr>
        <w:spacing w:after="0" w:line="240" w:lineRule="auto"/>
        <w:ind w:hanging="270"/>
        <w:jc w:val="both"/>
        <w:divId w:val="706029375"/>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Feelings of the particular experiences and the thoughts about the same</w:t>
      </w:r>
    </w:p>
    <w:p w14:paraId="77976B79" w14:textId="77777777" w:rsidR="00181F57" w:rsidRPr="00181F57" w:rsidRDefault="00181F57" w:rsidP="00181F57">
      <w:pPr>
        <w:spacing w:after="0" w:line="240" w:lineRule="auto"/>
        <w:ind w:hanging="270"/>
        <w:jc w:val="both"/>
        <w:divId w:val="890120972"/>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Evaluating all the good and bad side of the entire event.</w:t>
      </w:r>
    </w:p>
    <w:p w14:paraId="0702F806" w14:textId="77777777" w:rsidR="00181F57" w:rsidRPr="00181F57" w:rsidRDefault="00181F57" w:rsidP="00181F57">
      <w:pPr>
        <w:spacing w:after="0" w:line="240" w:lineRule="auto"/>
        <w:ind w:hanging="270"/>
        <w:jc w:val="both"/>
        <w:divId w:val="1928152003"/>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Analysing the entire experience. </w:t>
      </w:r>
    </w:p>
    <w:p w14:paraId="17F1A36C" w14:textId="77777777" w:rsidR="00181F57" w:rsidRPr="00181F57" w:rsidRDefault="00181F57" w:rsidP="00181F57">
      <w:pPr>
        <w:spacing w:after="0" w:line="240" w:lineRule="auto"/>
        <w:ind w:hanging="270"/>
        <w:jc w:val="both"/>
        <w:divId w:val="954749220"/>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Conclusion on the learnings of the experience. </w:t>
      </w:r>
    </w:p>
    <w:p w14:paraId="2C172447" w14:textId="77777777" w:rsidR="00181F57" w:rsidRPr="00181F57" w:rsidRDefault="00181F57" w:rsidP="00181F57">
      <w:pPr>
        <w:spacing w:after="0" w:line="240" w:lineRule="auto"/>
        <w:ind w:hanging="270"/>
        <w:jc w:val="both"/>
        <w:divId w:val="2043481162"/>
        <w:rPr>
          <w:rFonts w:ascii="-webkit-standard" w:eastAsia="Times New Roman" w:hAnsi="-webkit-standard" w:cs="Times New Roman"/>
          <w:color w:val="000000"/>
          <w:sz w:val="27"/>
          <w:szCs w:val="27"/>
          <w:lang w:val="en-GB" w:eastAsia="en-GB"/>
        </w:rPr>
      </w:pPr>
      <w:r w:rsidRPr="00181F57">
        <w:rPr>
          <w:rFonts w:ascii="Symbol" w:eastAsia="Times New Roman" w:hAnsi="Symbol" w:cs="Times New Roman"/>
          <w:color w:val="000000"/>
          <w:sz w:val="18"/>
          <w:szCs w:val="18"/>
          <w:lang w:val="en-GB" w:eastAsia="en-GB"/>
        </w:rPr>
        <w:t>• </w:t>
      </w:r>
      <w:r w:rsidRPr="00181F57">
        <w:rPr>
          <w:rFonts w:ascii="Times New Roman" w:eastAsia="Times New Roman" w:hAnsi="Times New Roman" w:cs="Times New Roman"/>
          <w:color w:val="000000"/>
          <w:sz w:val="27"/>
          <w:szCs w:val="27"/>
          <w:lang w:val="en-GB" w:eastAsia="en-GB"/>
        </w:rPr>
        <w:t>Action plan on the steps to be taken to derive the best result from the learnings</w:t>
      </w:r>
      <w:r w:rsidRPr="00181F57">
        <w:rPr>
          <w:rFonts w:ascii="Times New Roman" w:eastAsia="Times New Roman" w:hAnsi="Times New Roman" w:cs="Times New Roman"/>
          <w:color w:val="000000"/>
          <w:sz w:val="27"/>
          <w:szCs w:val="27"/>
          <w:shd w:val="clear" w:color="auto" w:fill="FFFFFF"/>
          <w:lang w:val="en-GB" w:eastAsia="en-GB"/>
        </w:rPr>
        <w:t> (Gibbs' Reflective Cycle, 2020)</w:t>
      </w:r>
      <w:r w:rsidRPr="00181F57">
        <w:rPr>
          <w:rFonts w:ascii="Times New Roman" w:eastAsia="Times New Roman" w:hAnsi="Times New Roman" w:cs="Times New Roman"/>
          <w:color w:val="000000"/>
          <w:sz w:val="27"/>
          <w:szCs w:val="27"/>
          <w:lang w:val="en-GB" w:eastAsia="en-GB"/>
        </w:rPr>
        <w:t>. </w:t>
      </w:r>
    </w:p>
    <w:p w14:paraId="0ED77A8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The Gibbs reflective model is ideally suited when a person is exposed to the same experience more than once. It helps to take the desired action according to the scenarios that went well or did not go as envisaged.  It is also a very practical approach for many of the challenges faced in a professional or even personal environment. </w:t>
      </w:r>
    </w:p>
    <w:p w14:paraId="7B856D5A"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2" w:name="_Toc56649219"/>
      <w:bookmarkEnd w:id="2"/>
      <w:r w:rsidRPr="00181F57">
        <w:rPr>
          <w:rFonts w:ascii="Times New Roman" w:eastAsiaTheme="minorEastAsia" w:hAnsi="Times New Roman" w:cs="Times New Roman"/>
          <w:b/>
          <w:bCs/>
          <w:color w:val="000000"/>
          <w:sz w:val="27"/>
          <w:szCs w:val="27"/>
          <w:lang w:val="en-GB" w:eastAsia="en-GB"/>
        </w:rPr>
        <w:t>Analytical and critical thinking –</w:t>
      </w:r>
    </w:p>
    <w:p w14:paraId="48C118B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xml:space="preserve">Description: Initially when the subject was introduced in the class, this seemed like a topic through which I felt was to be simply read from a theoretical angle. The necessity of deep or critical thinking did not strike to me as something to be actually practiced.  It </w:t>
      </w:r>
      <w:r w:rsidRPr="00181F57">
        <w:rPr>
          <w:rFonts w:ascii="Times New Roman" w:eastAsiaTheme="minorEastAsia" w:hAnsi="Times New Roman" w:cs="Times New Roman"/>
          <w:color w:val="000000"/>
          <w:sz w:val="27"/>
          <w:szCs w:val="27"/>
          <w:lang w:val="en-GB" w:eastAsia="en-GB"/>
        </w:rPr>
        <w:lastRenderedPageBreak/>
        <w:t>was only after the topic was completed in the class during that term I understood the practical importance of the same in many daily life aspects. </w:t>
      </w:r>
    </w:p>
    <w:p w14:paraId="32DF256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Feeling: Through streamlined process of analytical thinking I was able to view things in an objective manner and not in a subjective way. This helped me to make best judgements in many tricky situations, especially those related to my studies and the future professional career. The result is that I have the right sense of feeling without resorting to any impulsive decisions. </w:t>
      </w:r>
    </w:p>
    <w:p w14:paraId="35AA242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Evaluation: Through my repeated process of thinking in a analytical way, I realised that it was doing a lot of benefits to me even in the most simplest of ways. A small purchase that I would make at the nearest shop was leading to an optimal result due to this habit of critical and analytical thinking. I am thankful to all those around me including my </w:t>
      </w:r>
      <w:proofErr w:type="spellStart"/>
      <w:r w:rsidRPr="00181F57">
        <w:rPr>
          <w:rFonts w:ascii="Times New Roman" w:eastAsiaTheme="minorEastAsia" w:hAnsi="Times New Roman" w:cs="Times New Roman"/>
          <w:color w:val="000000"/>
          <w:sz w:val="27"/>
          <w:szCs w:val="27"/>
          <w:lang w:val="en-GB" w:eastAsia="en-GB"/>
        </w:rPr>
        <w:t>tutors,classmates</w:t>
      </w:r>
      <w:proofErr w:type="spellEnd"/>
      <w:r w:rsidRPr="00181F57">
        <w:rPr>
          <w:rFonts w:ascii="Times New Roman" w:eastAsiaTheme="minorEastAsia" w:hAnsi="Times New Roman" w:cs="Times New Roman"/>
          <w:color w:val="000000"/>
          <w:sz w:val="27"/>
          <w:szCs w:val="27"/>
          <w:lang w:val="en-GB" w:eastAsia="en-GB"/>
        </w:rPr>
        <w:t xml:space="preserve"> and social circle for encouraging this habit(</w:t>
      </w:r>
      <w:r w:rsidRPr="00181F57">
        <w:rPr>
          <w:rFonts w:ascii="Times New Roman" w:eastAsiaTheme="minorEastAsia" w:hAnsi="Times New Roman" w:cs="Times New Roman"/>
          <w:color w:val="222222"/>
          <w:sz w:val="27"/>
          <w:szCs w:val="27"/>
          <w:shd w:val="clear" w:color="auto" w:fill="FFFFFF"/>
          <w:lang w:val="en-GB" w:eastAsia="en-GB"/>
        </w:rPr>
        <w:t>Paterson and Chapman, 2013</w:t>
      </w:r>
      <w:r w:rsidRPr="00181F57">
        <w:rPr>
          <w:rFonts w:ascii="Times New Roman" w:eastAsiaTheme="minorEastAsia" w:hAnsi="Times New Roman" w:cs="Times New Roman"/>
          <w:color w:val="000000"/>
          <w:sz w:val="27"/>
          <w:szCs w:val="27"/>
          <w:lang w:val="en-GB" w:eastAsia="en-GB"/>
        </w:rPr>
        <w:t>).</w:t>
      </w:r>
    </w:p>
    <w:p w14:paraId="5B3AAAB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Analysis: The ability not to make any impulsive decision and take only sound and result oriented decisions is the output of clear analysis in the very process of analytical thinking. In other words, over the course of the term, I realised that series of process on critical thinking has to be analysed and classified. Then it has to be compared to the results. </w:t>
      </w:r>
    </w:p>
    <w:p w14:paraId="74B301B1"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Conclusion: I realised that every experience leads to the need to think in a critical manner and it gives a new result even if the experience incident is almost the same. The persistent need to think in an unbiased manner is the core of everything. This was emphasised to me till the last session of class regarding the topic by my tutors</w:t>
      </w:r>
      <w:r w:rsidRPr="00181F57">
        <w:rPr>
          <w:rFonts w:ascii="Times New Roman" w:eastAsiaTheme="minorEastAsia" w:hAnsi="Times New Roman" w:cs="Times New Roman"/>
          <w:color w:val="222222"/>
          <w:sz w:val="27"/>
          <w:szCs w:val="27"/>
          <w:shd w:val="clear" w:color="auto" w:fill="FFFFFF"/>
          <w:lang w:val="en-GB" w:eastAsia="en-GB"/>
        </w:rPr>
        <w:t> (Potter, 2015). </w:t>
      </w:r>
    </w:p>
    <w:p w14:paraId="1254E8C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Action plan: Since thinking in a objective and unbiased manner is leading to a better result, I there is no two ways about the fact that I have to continue the same line of though in critical thinking. However, every experience will lead to the seeking of new information centred on that scenario. </w:t>
      </w:r>
    </w:p>
    <w:p w14:paraId="5E71D48E"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3" w:name="_Toc56649220"/>
      <w:bookmarkEnd w:id="3"/>
      <w:r w:rsidRPr="00181F57">
        <w:rPr>
          <w:rFonts w:ascii="Times New Roman" w:eastAsiaTheme="minorEastAsia" w:hAnsi="Times New Roman" w:cs="Times New Roman"/>
          <w:b/>
          <w:bCs/>
          <w:color w:val="000000"/>
          <w:sz w:val="27"/>
          <w:szCs w:val="27"/>
          <w:lang w:val="en-GB" w:eastAsia="en-GB"/>
        </w:rPr>
        <w:t>Reflective writing –</w:t>
      </w:r>
    </w:p>
    <w:p w14:paraId="4FF43E6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Description: Reflective writing was not something that even thought about till it came as part of the topic in the class. Till then for me, the differentiation line between writing and reflective writing was that- I should be added. There is a refined through process of the self which comes as part of reflective writing was something I realised in the class. This was thanks to the way it was explained by the tutors on the subject. Two of my classmates also contributed to my enrichment on the same. </w:t>
      </w:r>
    </w:p>
    <w:p w14:paraId="6809CD3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Feelings: When the class sessions started on the topic, I was able to seamlessly settle into it. This was only because of the way it was explained. I must indeed say that I never thought reflective writing would not just be easy to understand but also so much interested. The enjoyment of putting down one’s own thought even for the simplest of things is really a feeling of confidence. After some time, I was eagerly looking forward to each class (</w:t>
      </w:r>
      <w:proofErr w:type="spellStart"/>
      <w:r w:rsidRPr="00181F57">
        <w:rPr>
          <w:rFonts w:ascii="Times New Roman" w:eastAsiaTheme="minorEastAsia" w:hAnsi="Times New Roman" w:cs="Times New Roman"/>
          <w:color w:val="222222"/>
          <w:sz w:val="27"/>
          <w:szCs w:val="27"/>
          <w:shd w:val="clear" w:color="auto" w:fill="FFFFFF"/>
          <w:lang w:val="en-GB" w:eastAsia="en-GB"/>
        </w:rPr>
        <w:t>Sambell</w:t>
      </w:r>
      <w:proofErr w:type="spellEnd"/>
      <w:r w:rsidRPr="00181F57">
        <w:rPr>
          <w:rFonts w:ascii="Times New Roman" w:eastAsiaTheme="minorEastAsia" w:hAnsi="Times New Roman" w:cs="Times New Roman"/>
          <w:color w:val="222222"/>
          <w:sz w:val="27"/>
          <w:szCs w:val="27"/>
          <w:shd w:val="clear" w:color="auto" w:fill="FFFFFF"/>
          <w:lang w:val="en-GB" w:eastAsia="en-GB"/>
        </w:rPr>
        <w:t> </w:t>
      </w:r>
      <w:r w:rsidRPr="00181F57">
        <w:rPr>
          <w:rFonts w:ascii="Times New Roman" w:eastAsiaTheme="minorEastAsia" w:hAnsi="Times New Roman" w:cs="Times New Roman"/>
          <w:i/>
          <w:iCs/>
          <w:color w:val="222222"/>
          <w:sz w:val="27"/>
          <w:szCs w:val="27"/>
          <w:shd w:val="clear" w:color="auto" w:fill="FFFFFF"/>
          <w:lang w:val="en-GB" w:eastAsia="en-GB"/>
        </w:rPr>
        <w:t>et al.</w:t>
      </w:r>
      <w:r w:rsidRPr="00181F57">
        <w:rPr>
          <w:rFonts w:ascii="Times New Roman" w:eastAsiaTheme="minorEastAsia" w:hAnsi="Times New Roman" w:cs="Times New Roman"/>
          <w:color w:val="222222"/>
          <w:sz w:val="27"/>
          <w:szCs w:val="27"/>
          <w:shd w:val="clear" w:color="auto" w:fill="FFFFFF"/>
          <w:lang w:val="en-GB" w:eastAsia="en-GB"/>
        </w:rPr>
        <w:t> 2020</w:t>
      </w:r>
      <w:r w:rsidRPr="00181F57">
        <w:rPr>
          <w:rFonts w:ascii="Times New Roman" w:eastAsiaTheme="minorEastAsia" w:hAnsi="Times New Roman" w:cs="Times New Roman"/>
          <w:color w:val="000000"/>
          <w:sz w:val="27"/>
          <w:szCs w:val="27"/>
          <w:lang w:val="en-GB" w:eastAsia="en-GB"/>
        </w:rPr>
        <w:t>). </w:t>
      </w:r>
    </w:p>
    <w:p w14:paraId="5B12260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lastRenderedPageBreak/>
        <w:t>Evaluation: I measured the level on which I was before the classes on reflective thinking started to where I reached when the classes were nearing its end. Without hesitation and with a feeling of confidence I can say that, change has been in leaps and bounds. The maximum contribution towards this was the class tutor. As I mentioned earlier, two of my classmates were also equally encouraging</w:t>
      </w:r>
      <w:r w:rsidRPr="00181F57">
        <w:rPr>
          <w:rFonts w:ascii="Times New Roman" w:eastAsiaTheme="minorEastAsia" w:hAnsi="Times New Roman" w:cs="Times New Roman"/>
          <w:color w:val="000000"/>
          <w:sz w:val="27"/>
          <w:szCs w:val="27"/>
          <w:shd w:val="clear" w:color="auto" w:fill="FFFFFF"/>
          <w:lang w:val="en-GB" w:eastAsia="en-GB"/>
        </w:rPr>
        <w:t> (General tips for academic reflections, 2020)</w:t>
      </w:r>
      <w:r w:rsidRPr="00181F57">
        <w:rPr>
          <w:rFonts w:ascii="Times New Roman" w:eastAsiaTheme="minorEastAsia" w:hAnsi="Times New Roman" w:cs="Times New Roman"/>
          <w:color w:val="000000"/>
          <w:sz w:val="27"/>
          <w:szCs w:val="27"/>
          <w:lang w:val="en-GB" w:eastAsia="en-GB"/>
        </w:rPr>
        <w:t>. </w:t>
      </w:r>
    </w:p>
    <w:p w14:paraId="624A724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Analysis: The true essence of reflective writing comes in the background of its usage. Describing the feeling of joy and beauty of a natural scene through my own eyes requires a certain outlook. At the same time, describing the happiness of seeing my favourite EPL team win requires a totally different outlook. I learnt this in reflective writing by the end of the module. </w:t>
      </w:r>
    </w:p>
    <w:p w14:paraId="5D0DDD8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Conclusion: Through a combination of the structured teachings of my class tutors, my own unexpected interest in the subject and the help of two of my good classmates, grasping of the subject was really spectacular. I now feel that reflective writing is something I can do with ease and in a way that makes the reader very much interested. </w:t>
      </w:r>
    </w:p>
    <w:p w14:paraId="77F9AEC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xml:space="preserve">Action plan: There is nothing called perfection in anything. The same goes true in this </w:t>
      </w:r>
      <w:proofErr w:type="spellStart"/>
      <w:r w:rsidRPr="00181F57">
        <w:rPr>
          <w:rFonts w:ascii="Times New Roman" w:eastAsiaTheme="minorEastAsia" w:hAnsi="Times New Roman" w:cs="Times New Roman"/>
          <w:color w:val="000000"/>
          <w:sz w:val="27"/>
          <w:szCs w:val="27"/>
          <w:lang w:val="en-GB" w:eastAsia="en-GB"/>
        </w:rPr>
        <w:t>tpic</w:t>
      </w:r>
      <w:proofErr w:type="spellEnd"/>
      <w:r w:rsidRPr="00181F57">
        <w:rPr>
          <w:rFonts w:ascii="Times New Roman" w:eastAsiaTheme="minorEastAsia" w:hAnsi="Times New Roman" w:cs="Times New Roman"/>
          <w:color w:val="000000"/>
          <w:sz w:val="27"/>
          <w:szCs w:val="27"/>
          <w:lang w:val="en-GB" w:eastAsia="en-GB"/>
        </w:rPr>
        <w:t xml:space="preserve"> also. Even if I feel confident, it does not mean that I have gained confidence on reflective writing. Ultimately it depends upon the third person view. A good and unbiased person will point out the flaws and hence I should always be on a self-improvement mode. </w:t>
      </w:r>
    </w:p>
    <w:p w14:paraId="40B23353"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4" w:name="_Toc56649221"/>
      <w:bookmarkEnd w:id="4"/>
      <w:r w:rsidRPr="00181F57">
        <w:rPr>
          <w:rFonts w:ascii="Times New Roman" w:eastAsiaTheme="minorEastAsia" w:hAnsi="Times New Roman" w:cs="Times New Roman"/>
          <w:b/>
          <w:bCs/>
          <w:color w:val="000000"/>
          <w:sz w:val="27"/>
          <w:szCs w:val="27"/>
          <w:lang w:val="en-GB" w:eastAsia="en-GB"/>
        </w:rPr>
        <w:t>Public speaking skills –</w:t>
      </w:r>
    </w:p>
    <w:p w14:paraId="0F67D1E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Description: It is not everybody’s cup of tea and it is certainly not mine. I was very bad at this particular skill or art. To be frank, I had almost wished that I do not want to be part of this class topic in my term. The reason was the fear of actual practical lessons where I will have to speak in front of the entire class. I hoped it would just be theory and some exercise. The one fact that gave me courage was that majority of my classmates were going through the same feeling as me. This is because only few are good at public speaking, However the systematic and hand holding manner in which it was taught by our teacher really made a world of difference. </w:t>
      </w:r>
    </w:p>
    <w:p w14:paraId="1CEBF06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xml:space="preserve">Feelings: It was a normal feeling as long as the written part, question and answering was going on. But once my turn to do the speaking on the podium came, I was totally uncomfortable. It was just for four minutes but even then confidence level was at its lowest. The supportive nature of the teacher and the fact that most of the audience in my class was equally uncomfortable gave me that courage to go and speak. In the second and final speech which I had to give again, at the end of this topic in the class, </w:t>
      </w:r>
      <w:proofErr w:type="spellStart"/>
      <w:r w:rsidRPr="00181F57">
        <w:rPr>
          <w:rFonts w:ascii="Times New Roman" w:eastAsiaTheme="minorEastAsia" w:hAnsi="Times New Roman" w:cs="Times New Roman"/>
          <w:color w:val="000000"/>
          <w:sz w:val="27"/>
          <w:szCs w:val="27"/>
          <w:lang w:val="en-GB" w:eastAsia="en-GB"/>
        </w:rPr>
        <w:t>thigs</w:t>
      </w:r>
      <w:proofErr w:type="spellEnd"/>
      <w:r w:rsidRPr="00181F57">
        <w:rPr>
          <w:rFonts w:ascii="Times New Roman" w:eastAsiaTheme="minorEastAsia" w:hAnsi="Times New Roman" w:cs="Times New Roman"/>
          <w:color w:val="000000"/>
          <w:sz w:val="27"/>
          <w:szCs w:val="27"/>
          <w:lang w:val="en-GB" w:eastAsia="en-GB"/>
        </w:rPr>
        <w:t xml:space="preserve"> were much better. Even of its was not a state of high confidence, at least the acute discomfort part was over </w:t>
      </w:r>
      <w:r w:rsidRPr="00181F57">
        <w:rPr>
          <w:rFonts w:ascii="Times New Roman" w:eastAsiaTheme="minorEastAsia" w:hAnsi="Times New Roman" w:cs="Times New Roman"/>
          <w:color w:val="222222"/>
          <w:sz w:val="27"/>
          <w:szCs w:val="27"/>
          <w:shd w:val="clear" w:color="auto" w:fill="FFFFFF"/>
          <w:lang w:val="en-GB" w:eastAsia="en-GB"/>
        </w:rPr>
        <w:t>(</w:t>
      </w:r>
      <w:proofErr w:type="spellStart"/>
      <w:r w:rsidRPr="00181F57">
        <w:rPr>
          <w:rFonts w:ascii="Times New Roman" w:eastAsiaTheme="minorEastAsia" w:hAnsi="Times New Roman" w:cs="Times New Roman"/>
          <w:color w:val="222222"/>
          <w:sz w:val="27"/>
          <w:szCs w:val="27"/>
          <w:shd w:val="clear" w:color="auto" w:fill="FFFFFF"/>
          <w:lang w:val="en-GB" w:eastAsia="en-GB"/>
        </w:rPr>
        <w:t>Sekarwinahyu</w:t>
      </w:r>
      <w:proofErr w:type="spellEnd"/>
      <w:r w:rsidRPr="00181F57">
        <w:rPr>
          <w:rFonts w:ascii="Times New Roman" w:eastAsiaTheme="minorEastAsia" w:hAnsi="Times New Roman" w:cs="Times New Roman"/>
          <w:color w:val="222222"/>
          <w:sz w:val="27"/>
          <w:szCs w:val="27"/>
          <w:shd w:val="clear" w:color="auto" w:fill="FFFFFF"/>
          <w:lang w:val="en-GB" w:eastAsia="en-GB"/>
        </w:rPr>
        <w:t>, </w:t>
      </w:r>
      <w:r w:rsidRPr="00181F57">
        <w:rPr>
          <w:rFonts w:ascii="Times New Roman" w:eastAsiaTheme="minorEastAsia" w:hAnsi="Times New Roman" w:cs="Times New Roman"/>
          <w:i/>
          <w:iCs/>
          <w:color w:val="222222"/>
          <w:sz w:val="27"/>
          <w:szCs w:val="27"/>
          <w:shd w:val="clear" w:color="auto" w:fill="FFFFFF"/>
          <w:lang w:val="en-GB" w:eastAsia="en-GB"/>
        </w:rPr>
        <w:t>et al.,</w:t>
      </w:r>
      <w:r w:rsidRPr="00181F57">
        <w:rPr>
          <w:rFonts w:ascii="Times New Roman" w:eastAsiaTheme="minorEastAsia" w:hAnsi="Times New Roman" w:cs="Times New Roman"/>
          <w:color w:val="222222"/>
          <w:sz w:val="27"/>
          <w:szCs w:val="27"/>
          <w:shd w:val="clear" w:color="auto" w:fill="FFFFFF"/>
          <w:lang w:val="en-GB" w:eastAsia="en-GB"/>
        </w:rPr>
        <w:t>2019). </w:t>
      </w:r>
    </w:p>
    <w:p w14:paraId="227220F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xml:space="preserve">Evaluation – I will say that a conscious effort on my side with some good support and back up from the class teacher made a whole lot of difference. Of course there was the </w:t>
      </w:r>
      <w:r w:rsidRPr="00181F57">
        <w:rPr>
          <w:rFonts w:ascii="Times New Roman" w:eastAsiaTheme="minorEastAsia" w:hAnsi="Times New Roman" w:cs="Times New Roman"/>
          <w:color w:val="000000"/>
          <w:sz w:val="27"/>
          <w:szCs w:val="27"/>
          <w:lang w:val="en-GB" w:eastAsia="en-GB"/>
        </w:rPr>
        <w:lastRenderedPageBreak/>
        <w:t>built in advantage factor that many of peers were also on the same level as me. If they were good in public speaking, then it would have been a different story altogether. </w:t>
      </w:r>
    </w:p>
    <w:p w14:paraId="0F6882F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xml:space="preserve">Analysis: The need for support when it is most wanted really makes a difference. This was my analysis as far as public speaking was concerned. The support I mention here os </w:t>
      </w:r>
      <w:proofErr w:type="spellStart"/>
      <w:r w:rsidRPr="00181F57">
        <w:rPr>
          <w:rFonts w:ascii="Times New Roman" w:eastAsiaTheme="minorEastAsia" w:hAnsi="Times New Roman" w:cs="Times New Roman"/>
          <w:color w:val="000000"/>
          <w:sz w:val="27"/>
          <w:szCs w:val="27"/>
          <w:lang w:val="en-GB" w:eastAsia="en-GB"/>
        </w:rPr>
        <w:t>te</w:t>
      </w:r>
      <w:proofErr w:type="spellEnd"/>
      <w:r w:rsidRPr="00181F57">
        <w:rPr>
          <w:rFonts w:ascii="Times New Roman" w:eastAsiaTheme="minorEastAsia" w:hAnsi="Times New Roman" w:cs="Times New Roman"/>
          <w:color w:val="000000"/>
          <w:sz w:val="27"/>
          <w:szCs w:val="27"/>
          <w:lang w:val="en-GB" w:eastAsia="en-GB"/>
        </w:rPr>
        <w:t xml:space="preserve"> one given by my teachers. Then of course, some self-help on my part also bridged the gap which was so much evident in the beginning (</w:t>
      </w:r>
      <w:r w:rsidRPr="00181F57">
        <w:rPr>
          <w:rFonts w:ascii="Times New Roman" w:eastAsiaTheme="minorEastAsia" w:hAnsi="Times New Roman" w:cs="Times New Roman"/>
          <w:color w:val="222222"/>
          <w:sz w:val="27"/>
          <w:szCs w:val="27"/>
          <w:shd w:val="clear" w:color="auto" w:fill="FFFFFF"/>
          <w:lang w:val="en-GB" w:eastAsia="en-GB"/>
        </w:rPr>
        <w:t>Chen </w:t>
      </w:r>
      <w:r w:rsidRPr="00181F57">
        <w:rPr>
          <w:rFonts w:ascii="Times New Roman" w:eastAsiaTheme="minorEastAsia" w:hAnsi="Times New Roman" w:cs="Times New Roman"/>
          <w:i/>
          <w:iCs/>
          <w:color w:val="222222"/>
          <w:sz w:val="27"/>
          <w:szCs w:val="27"/>
          <w:shd w:val="clear" w:color="auto" w:fill="FFFFFF"/>
          <w:lang w:val="en-GB" w:eastAsia="en-GB"/>
        </w:rPr>
        <w:t>et al.</w:t>
      </w:r>
      <w:r w:rsidRPr="00181F57">
        <w:rPr>
          <w:rFonts w:ascii="Times New Roman" w:eastAsiaTheme="minorEastAsia" w:hAnsi="Times New Roman" w:cs="Times New Roman"/>
          <w:color w:val="222222"/>
          <w:sz w:val="27"/>
          <w:szCs w:val="27"/>
          <w:shd w:val="clear" w:color="auto" w:fill="FFFFFF"/>
          <w:lang w:val="en-GB" w:eastAsia="en-GB"/>
        </w:rPr>
        <w:t> 2020</w:t>
      </w:r>
      <w:r w:rsidRPr="00181F57">
        <w:rPr>
          <w:rFonts w:ascii="Times New Roman" w:eastAsiaTheme="minorEastAsia" w:hAnsi="Times New Roman" w:cs="Times New Roman"/>
          <w:color w:val="000000"/>
          <w:sz w:val="27"/>
          <w:szCs w:val="27"/>
          <w:lang w:val="en-GB" w:eastAsia="en-GB"/>
        </w:rPr>
        <w:t>).</w:t>
      </w:r>
    </w:p>
    <w:p w14:paraId="3776387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Conclusion: As far as overall improvement of my public speaking skills were concerned. I would say that progress was very nominal. There is a lot of catching up to do if I really want to improve it. But at least my initial nervousness part has reduced. Now I feel more confident of facing an interview panel if not a big crowd. </w:t>
      </w:r>
    </w:p>
    <w:p w14:paraId="4D621B0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Action plan: It is not that I aim to be become a public speaker and build my career in it. However, in the extremely competitive professional workplace of the times, a good presentation skills and confident way of speaking to the management makes a lot of difference. Looking from that angle, I am trying to improve more and more. The base has been given to me in the class. I have to improve myself up on this. </w:t>
      </w:r>
    </w:p>
    <w:p w14:paraId="47B3D2E7"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5" w:name="_Toc56649222"/>
      <w:bookmarkEnd w:id="5"/>
      <w:r w:rsidRPr="00181F57">
        <w:rPr>
          <w:rFonts w:ascii="Times New Roman" w:eastAsiaTheme="minorEastAsia" w:hAnsi="Times New Roman" w:cs="Times New Roman"/>
          <w:b/>
          <w:bCs/>
          <w:color w:val="000000"/>
          <w:sz w:val="27"/>
          <w:szCs w:val="27"/>
          <w:lang w:val="en-GB" w:eastAsia="en-GB"/>
        </w:rPr>
        <w:t>CV writing –</w:t>
      </w:r>
    </w:p>
    <w:p w14:paraId="58AECF51"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Description: My ability to write a good CV was somewhere between average at the lower end and fairly ok at its very best. I cannot say that a CV prepared by me was very professional or eye catching for a prospective employer-company. At the same time, it was also not very bad and something on which a prospective employer would run through till the last word. But after the coverage of the topic in the class and the many practical exercises we did, there was a whole lot of change. My CV has now a thorough professional look into it even without starting the work experience</w:t>
      </w:r>
      <w:r w:rsidRPr="00181F57">
        <w:rPr>
          <w:rFonts w:ascii="Times New Roman" w:eastAsiaTheme="minorEastAsia" w:hAnsi="Times New Roman" w:cs="Times New Roman"/>
          <w:b/>
          <w:bCs/>
          <w:color w:val="666666"/>
          <w:sz w:val="27"/>
          <w:szCs w:val="27"/>
          <w:shd w:val="clear" w:color="auto" w:fill="FFFFFF"/>
          <w:lang w:val="en-GB" w:eastAsia="en-GB"/>
        </w:rPr>
        <w:t> (</w:t>
      </w:r>
      <w:r w:rsidRPr="00181F57">
        <w:rPr>
          <w:rFonts w:ascii="Times New Roman" w:eastAsiaTheme="minorEastAsia" w:hAnsi="Times New Roman" w:cs="Times New Roman"/>
          <w:color w:val="000000"/>
          <w:sz w:val="27"/>
          <w:szCs w:val="27"/>
          <w:shd w:val="clear" w:color="auto" w:fill="FFFFFF"/>
          <w:lang w:val="en-GB" w:eastAsia="en-GB"/>
        </w:rPr>
        <w:t>Gibbs' Reflective Cycle: Helping People Learn From Experience, 2020)</w:t>
      </w:r>
      <w:r w:rsidRPr="00181F57">
        <w:rPr>
          <w:rFonts w:ascii="Times New Roman" w:eastAsiaTheme="minorEastAsia" w:hAnsi="Times New Roman" w:cs="Times New Roman"/>
          <w:color w:val="000000"/>
          <w:sz w:val="27"/>
          <w:szCs w:val="27"/>
          <w:lang w:val="en-GB" w:eastAsia="en-GB"/>
        </w:rPr>
        <w:t>. </w:t>
      </w:r>
    </w:p>
    <w:p w14:paraId="455449B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Feelings: There was a series of practical sessions in each of the class on CV writing. Since it was a topic in every student was interested, we absorbed and keenly set about practising everything that was told to us. I remember that on an average I used to sit about one to two hours and prepare my CV according to the instructions given in the class. If there were any doubts, then I would not hesitate to approach my tutor. At the same time, we as classmates used to share ideas on how to make each individual CV more job oriented and professional. It was a great experience and something that each one of us in our class looked forward to.  </w:t>
      </w:r>
    </w:p>
    <w:p w14:paraId="4D9DC66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Evaluation: The good part was that my tutor assigned to take this topic was keen to see that classes was not taken in a one-way conversation., He believed that sessions should be interactive from start till the end. Secondly he taught the skill of CV making in a completely practical manner and not textbook oriented. It was workshops and exercises throughout the class with lot of information sharing, the challenging part was many students on our class had different career choices. The key wordings had to be changed accordingly to make it attractive to the employer. </w:t>
      </w:r>
    </w:p>
    <w:p w14:paraId="38D14917"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lastRenderedPageBreak/>
        <w:t>Analysis: Since lot of ideas were shared openly among the students, it was noted that some of were more proactive and once given the idea, they would bring a lot of self-driven creativity into their CV. Certain others were more dependent on instructions and would accordingly just follow it. There were some basic formats that was common according to industry standards and practices. Our teacher would guide in these basic formats and then ask us to give some due thoughts of our own. All information would be shared only with due consent of the students. </w:t>
      </w:r>
    </w:p>
    <w:p w14:paraId="4FEDD1D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Conclusion: At the end of the classes, there was no doubt that all of us had progressed by several steps from out stage at the beginning. I was much more confident of making out the entire CV myself as the key aspects of the same was taught to me. It was only the enhancement and creativity part that I needed to apply. </w:t>
      </w:r>
    </w:p>
    <w:p w14:paraId="71991BAB"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Action plan – To make changes to the CV according to </w:t>
      </w:r>
      <w:proofErr w:type="spellStart"/>
      <w:r w:rsidRPr="00181F57">
        <w:rPr>
          <w:rFonts w:ascii="Times New Roman" w:eastAsiaTheme="minorEastAsia" w:hAnsi="Times New Roman" w:cs="Times New Roman"/>
          <w:color w:val="000000"/>
          <w:sz w:val="27"/>
          <w:szCs w:val="27"/>
          <w:lang w:val="en-GB" w:eastAsia="en-GB"/>
        </w:rPr>
        <w:t>anynew</w:t>
      </w:r>
      <w:proofErr w:type="spellEnd"/>
      <w:r w:rsidRPr="00181F57">
        <w:rPr>
          <w:rFonts w:ascii="Times New Roman" w:eastAsiaTheme="minorEastAsia" w:hAnsi="Times New Roman" w:cs="Times New Roman"/>
          <w:color w:val="000000"/>
          <w:sz w:val="27"/>
          <w:szCs w:val="27"/>
          <w:lang w:val="en-GB" w:eastAsia="en-GB"/>
        </w:rPr>
        <w:t xml:space="preserve"> or evolving standards. Use the internet and the information it gives. Make additions and updating based on academic or and career enhancements.  </w:t>
      </w:r>
    </w:p>
    <w:p w14:paraId="19C77026"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326338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B948895"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C48863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55277ED"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7CF878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F901ED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6FCDAA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D5E093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B958D08"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35028E6"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553DD3D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FF512E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37E4324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8693391"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06EC2BDA"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D5B0C6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8F8C7A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1B113162"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DA047E7" w14:textId="77777777" w:rsidR="00181F57" w:rsidRPr="00181F57" w:rsidRDefault="00181F57" w:rsidP="00181F57">
      <w:pPr>
        <w:spacing w:before="360" w:after="0" w:line="240" w:lineRule="auto"/>
        <w:rPr>
          <w:rFonts w:ascii="-webkit-standard" w:eastAsiaTheme="minorEastAsia" w:hAnsi="-webkit-standard" w:cs="Times New Roman"/>
          <w:color w:val="000000"/>
          <w:sz w:val="27"/>
          <w:szCs w:val="27"/>
          <w:lang w:val="en-GB" w:eastAsia="en-GB"/>
        </w:rPr>
      </w:pPr>
      <w:bookmarkStart w:id="6" w:name="_Toc56649223"/>
      <w:bookmarkEnd w:id="6"/>
      <w:r w:rsidRPr="00181F57">
        <w:rPr>
          <w:rFonts w:ascii="Times New Roman" w:eastAsiaTheme="minorEastAsia" w:hAnsi="Times New Roman" w:cs="Times New Roman"/>
          <w:b/>
          <w:bCs/>
          <w:color w:val="000000"/>
          <w:sz w:val="27"/>
          <w:szCs w:val="27"/>
          <w:lang w:val="en-GB" w:eastAsia="en-GB"/>
        </w:rPr>
        <w:t>References:</w:t>
      </w:r>
    </w:p>
    <w:p w14:paraId="08F357D1" w14:textId="77777777" w:rsidR="00181F57" w:rsidRPr="00181F57" w:rsidRDefault="00181F57" w:rsidP="00181F57">
      <w:pPr>
        <w:spacing w:after="0" w:line="48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222222"/>
          <w:sz w:val="27"/>
          <w:szCs w:val="27"/>
          <w:shd w:val="clear" w:color="auto" w:fill="FFFFFF"/>
          <w:lang w:val="en-GB" w:eastAsia="en-GB"/>
        </w:rPr>
        <w:t xml:space="preserve">Li, Y., Chen, W., Liu, C. and </w:t>
      </w:r>
      <w:proofErr w:type="spellStart"/>
      <w:r w:rsidRPr="00181F57">
        <w:rPr>
          <w:rFonts w:ascii="Times New Roman" w:eastAsiaTheme="minorEastAsia" w:hAnsi="Times New Roman" w:cs="Times New Roman"/>
          <w:color w:val="222222"/>
          <w:sz w:val="27"/>
          <w:szCs w:val="27"/>
          <w:shd w:val="clear" w:color="auto" w:fill="FFFFFF"/>
          <w:lang w:val="en-GB" w:eastAsia="en-GB"/>
        </w:rPr>
        <w:t>Deng</w:t>
      </w:r>
      <w:proofErr w:type="spellEnd"/>
      <w:r w:rsidRPr="00181F57">
        <w:rPr>
          <w:rFonts w:ascii="Times New Roman" w:eastAsiaTheme="minorEastAsia" w:hAnsi="Times New Roman" w:cs="Times New Roman"/>
          <w:color w:val="222222"/>
          <w:sz w:val="27"/>
          <w:szCs w:val="27"/>
          <w:shd w:val="clear" w:color="auto" w:fill="FFFFFF"/>
          <w:lang w:val="en-GB" w:eastAsia="en-GB"/>
        </w:rPr>
        <w:t>, M., 2020. Nurses’ Psychological Feelings About the Application of Gibbs Reflective Cycle of Adverse Events. </w:t>
      </w:r>
      <w:r w:rsidRPr="00181F57">
        <w:rPr>
          <w:rFonts w:ascii="Times New Roman" w:eastAsiaTheme="minorEastAsia" w:hAnsi="Times New Roman" w:cs="Times New Roman"/>
          <w:i/>
          <w:iCs/>
          <w:color w:val="222222"/>
          <w:sz w:val="27"/>
          <w:szCs w:val="27"/>
          <w:shd w:val="clear" w:color="auto" w:fill="FFFFFF"/>
          <w:lang w:val="en-GB" w:eastAsia="en-GB"/>
        </w:rPr>
        <w:t>American Journal of Nursing</w:t>
      </w:r>
      <w:r w:rsidRPr="00181F57">
        <w:rPr>
          <w:rFonts w:ascii="Times New Roman" w:eastAsiaTheme="minorEastAsia" w:hAnsi="Times New Roman" w:cs="Times New Roman"/>
          <w:color w:val="222222"/>
          <w:sz w:val="27"/>
          <w:szCs w:val="27"/>
          <w:shd w:val="clear" w:color="auto" w:fill="FFFFFF"/>
          <w:lang w:val="en-GB" w:eastAsia="en-GB"/>
        </w:rPr>
        <w:t>, </w:t>
      </w:r>
      <w:r w:rsidRPr="00181F57">
        <w:rPr>
          <w:rFonts w:ascii="Times New Roman" w:eastAsiaTheme="minorEastAsia" w:hAnsi="Times New Roman" w:cs="Times New Roman"/>
          <w:i/>
          <w:iCs/>
          <w:color w:val="222222"/>
          <w:sz w:val="27"/>
          <w:szCs w:val="27"/>
          <w:shd w:val="clear" w:color="auto" w:fill="FFFFFF"/>
          <w:lang w:val="en-GB" w:eastAsia="en-GB"/>
        </w:rPr>
        <w:t>9</w:t>
      </w:r>
      <w:r w:rsidRPr="00181F57">
        <w:rPr>
          <w:rFonts w:ascii="Times New Roman" w:eastAsiaTheme="minorEastAsia" w:hAnsi="Times New Roman" w:cs="Times New Roman"/>
          <w:color w:val="222222"/>
          <w:sz w:val="27"/>
          <w:szCs w:val="27"/>
          <w:shd w:val="clear" w:color="auto" w:fill="FFFFFF"/>
          <w:lang w:val="en-GB" w:eastAsia="en-GB"/>
        </w:rPr>
        <w:t>(2), pp.74-78.</w:t>
      </w:r>
    </w:p>
    <w:p w14:paraId="7A7C99CE"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shd w:val="clear" w:color="auto" w:fill="FFFFFF"/>
          <w:lang w:val="en-GB" w:eastAsia="en-GB"/>
        </w:rPr>
        <w:lastRenderedPageBreak/>
        <w:t>Mindtools.com. 2020. </w:t>
      </w:r>
      <w:r w:rsidRPr="00181F57">
        <w:rPr>
          <w:rFonts w:ascii="Times New Roman" w:eastAsiaTheme="minorEastAsia" w:hAnsi="Times New Roman" w:cs="Times New Roman"/>
          <w:i/>
          <w:iCs/>
          <w:color w:val="000000"/>
          <w:sz w:val="27"/>
          <w:szCs w:val="27"/>
          <w:shd w:val="clear" w:color="auto" w:fill="FFFFFF"/>
          <w:lang w:val="en-GB" w:eastAsia="en-GB"/>
        </w:rPr>
        <w:t>Gibbs' Reflective Cycle: Helping People Learn From Experience</w:t>
      </w:r>
      <w:r w:rsidRPr="00181F57">
        <w:rPr>
          <w:rFonts w:ascii="Times New Roman" w:eastAsiaTheme="minorEastAsia" w:hAnsi="Times New Roman" w:cs="Times New Roman"/>
          <w:color w:val="000000"/>
          <w:sz w:val="27"/>
          <w:szCs w:val="27"/>
          <w:shd w:val="clear" w:color="auto" w:fill="FFFFFF"/>
          <w:lang w:val="en-GB" w:eastAsia="en-GB"/>
        </w:rPr>
        <w:t>. [online] Available at: &lt;https://www.mindtools.com/pages/article/reflective-cycle.htm&gt; [Accessed 18 November 2020].</w:t>
      </w:r>
    </w:p>
    <w:p w14:paraId="19256C79" w14:textId="77777777" w:rsidR="00181F57" w:rsidRPr="00181F57" w:rsidRDefault="00181F57" w:rsidP="00181F57">
      <w:pPr>
        <w:spacing w:after="0" w:line="48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222222"/>
          <w:sz w:val="27"/>
          <w:szCs w:val="27"/>
          <w:shd w:val="clear" w:color="auto" w:fill="FFFFFF"/>
          <w:lang w:val="en-GB" w:eastAsia="en-GB"/>
        </w:rPr>
        <w:t>Paterson, C. and Chapman, J., 2013. Enhancing skills of critical reflection to evidence learning in professional practice. </w:t>
      </w:r>
      <w:r w:rsidRPr="00181F57">
        <w:rPr>
          <w:rFonts w:ascii="Times New Roman" w:eastAsiaTheme="minorEastAsia" w:hAnsi="Times New Roman" w:cs="Times New Roman"/>
          <w:i/>
          <w:iCs/>
          <w:color w:val="222222"/>
          <w:sz w:val="27"/>
          <w:szCs w:val="27"/>
          <w:shd w:val="clear" w:color="auto" w:fill="FFFFFF"/>
          <w:lang w:val="en-GB" w:eastAsia="en-GB"/>
        </w:rPr>
        <w:t>Physical Therapy in Sport</w:t>
      </w:r>
      <w:r w:rsidRPr="00181F57">
        <w:rPr>
          <w:rFonts w:ascii="Times New Roman" w:eastAsiaTheme="minorEastAsia" w:hAnsi="Times New Roman" w:cs="Times New Roman"/>
          <w:color w:val="222222"/>
          <w:sz w:val="27"/>
          <w:szCs w:val="27"/>
          <w:shd w:val="clear" w:color="auto" w:fill="FFFFFF"/>
          <w:lang w:val="en-GB" w:eastAsia="en-GB"/>
        </w:rPr>
        <w:t>, </w:t>
      </w:r>
      <w:r w:rsidRPr="00181F57">
        <w:rPr>
          <w:rFonts w:ascii="Times New Roman" w:eastAsiaTheme="minorEastAsia" w:hAnsi="Times New Roman" w:cs="Times New Roman"/>
          <w:i/>
          <w:iCs/>
          <w:color w:val="222222"/>
          <w:sz w:val="27"/>
          <w:szCs w:val="27"/>
          <w:shd w:val="clear" w:color="auto" w:fill="FFFFFF"/>
          <w:lang w:val="en-GB" w:eastAsia="en-GB"/>
        </w:rPr>
        <w:t>14</w:t>
      </w:r>
      <w:r w:rsidRPr="00181F57">
        <w:rPr>
          <w:rFonts w:ascii="Times New Roman" w:eastAsiaTheme="minorEastAsia" w:hAnsi="Times New Roman" w:cs="Times New Roman"/>
          <w:color w:val="222222"/>
          <w:sz w:val="27"/>
          <w:szCs w:val="27"/>
          <w:shd w:val="clear" w:color="auto" w:fill="FFFFFF"/>
          <w:lang w:val="en-GB" w:eastAsia="en-GB"/>
        </w:rPr>
        <w:t>(3), pp.133-138.</w:t>
      </w:r>
    </w:p>
    <w:p w14:paraId="4BBF228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222222"/>
          <w:sz w:val="27"/>
          <w:szCs w:val="27"/>
          <w:shd w:val="clear" w:color="auto" w:fill="FFFFFF"/>
          <w:lang w:val="en-GB" w:eastAsia="en-GB"/>
        </w:rPr>
        <w:t xml:space="preserve">Potter, C., 2015. Leadership development: an applied comparison of Gibbs’ Reflective Cycle and </w:t>
      </w:r>
      <w:proofErr w:type="spellStart"/>
      <w:r w:rsidRPr="00181F57">
        <w:rPr>
          <w:rFonts w:ascii="Times New Roman" w:eastAsiaTheme="minorEastAsia" w:hAnsi="Times New Roman" w:cs="Times New Roman"/>
          <w:color w:val="222222"/>
          <w:sz w:val="27"/>
          <w:szCs w:val="27"/>
          <w:shd w:val="clear" w:color="auto" w:fill="FFFFFF"/>
          <w:lang w:val="en-GB" w:eastAsia="en-GB"/>
        </w:rPr>
        <w:t>Scharmer’s</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Theory U. </w:t>
      </w:r>
      <w:r w:rsidRPr="00181F57">
        <w:rPr>
          <w:rFonts w:ascii="Times New Roman" w:eastAsiaTheme="minorEastAsia" w:hAnsi="Times New Roman" w:cs="Times New Roman"/>
          <w:i/>
          <w:iCs/>
          <w:color w:val="222222"/>
          <w:sz w:val="27"/>
          <w:szCs w:val="27"/>
          <w:shd w:val="clear" w:color="auto" w:fill="FFFFFF"/>
          <w:lang w:val="en-GB" w:eastAsia="en-GB"/>
        </w:rPr>
        <w:t>Industrial and Commercial Training</w:t>
      </w:r>
      <w:r w:rsidRPr="00181F57">
        <w:rPr>
          <w:rFonts w:ascii="Times New Roman" w:eastAsiaTheme="minorEastAsia" w:hAnsi="Times New Roman" w:cs="Times New Roman"/>
          <w:color w:val="222222"/>
          <w:sz w:val="27"/>
          <w:szCs w:val="27"/>
          <w:shd w:val="clear" w:color="auto" w:fill="FFFFFF"/>
          <w:lang w:val="en-GB" w:eastAsia="en-GB"/>
        </w:rPr>
        <w:t>.</w:t>
      </w:r>
    </w:p>
    <w:p w14:paraId="7E9C0382" w14:textId="77777777" w:rsidR="00181F57" w:rsidRPr="00181F57" w:rsidRDefault="00181F57" w:rsidP="00181F57">
      <w:pPr>
        <w:spacing w:after="0" w:line="480" w:lineRule="auto"/>
        <w:jc w:val="both"/>
        <w:rPr>
          <w:rFonts w:ascii="-webkit-standard" w:eastAsiaTheme="minorEastAsia" w:hAnsi="-webkit-standard" w:cs="Times New Roman"/>
          <w:color w:val="000000"/>
          <w:sz w:val="27"/>
          <w:szCs w:val="27"/>
          <w:lang w:val="en-GB" w:eastAsia="en-GB"/>
        </w:rPr>
      </w:pPr>
      <w:proofErr w:type="spellStart"/>
      <w:r w:rsidRPr="00181F57">
        <w:rPr>
          <w:rFonts w:ascii="Times New Roman" w:eastAsiaTheme="minorEastAsia" w:hAnsi="Times New Roman" w:cs="Times New Roman"/>
          <w:color w:val="222222"/>
          <w:sz w:val="27"/>
          <w:szCs w:val="27"/>
          <w:shd w:val="clear" w:color="auto" w:fill="FFFFFF"/>
          <w:lang w:val="en-GB" w:eastAsia="en-GB"/>
        </w:rPr>
        <w:t>Sambell</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R., Devine, A., Lo, J. and </w:t>
      </w:r>
      <w:proofErr w:type="spellStart"/>
      <w:r w:rsidRPr="00181F57">
        <w:rPr>
          <w:rFonts w:ascii="Times New Roman" w:eastAsiaTheme="minorEastAsia" w:hAnsi="Times New Roman" w:cs="Times New Roman"/>
          <w:color w:val="222222"/>
          <w:sz w:val="27"/>
          <w:szCs w:val="27"/>
          <w:shd w:val="clear" w:color="auto" w:fill="FFFFFF"/>
          <w:lang w:val="en-GB" w:eastAsia="en-GB"/>
        </w:rPr>
        <w:t>Lawlis</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T., 2020. Work-Integrated Learning Builds Student Identification of Employability Skills: </w:t>
      </w:r>
      <w:proofErr w:type="spellStart"/>
      <w:r w:rsidRPr="00181F57">
        <w:rPr>
          <w:rFonts w:ascii="Times New Roman" w:eastAsiaTheme="minorEastAsia" w:hAnsi="Times New Roman" w:cs="Times New Roman"/>
          <w:color w:val="222222"/>
          <w:sz w:val="27"/>
          <w:szCs w:val="27"/>
          <w:shd w:val="clear" w:color="auto" w:fill="FFFFFF"/>
          <w:lang w:val="en-GB" w:eastAsia="en-GB"/>
        </w:rPr>
        <w:t>Utilizing</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a Food Literacy Education Strategy. </w:t>
      </w:r>
      <w:r w:rsidRPr="00181F57">
        <w:rPr>
          <w:rFonts w:ascii="Times New Roman" w:eastAsiaTheme="minorEastAsia" w:hAnsi="Times New Roman" w:cs="Times New Roman"/>
          <w:i/>
          <w:iCs/>
          <w:color w:val="222222"/>
          <w:sz w:val="27"/>
          <w:szCs w:val="27"/>
          <w:shd w:val="clear" w:color="auto" w:fill="FFFFFF"/>
          <w:lang w:val="en-GB" w:eastAsia="en-GB"/>
        </w:rPr>
        <w:t>International Journal of Work-Integrated Learning</w:t>
      </w:r>
      <w:r w:rsidRPr="00181F57">
        <w:rPr>
          <w:rFonts w:ascii="Times New Roman" w:eastAsiaTheme="minorEastAsia" w:hAnsi="Times New Roman" w:cs="Times New Roman"/>
          <w:color w:val="222222"/>
          <w:sz w:val="27"/>
          <w:szCs w:val="27"/>
          <w:shd w:val="clear" w:color="auto" w:fill="FFFFFF"/>
          <w:lang w:val="en-GB" w:eastAsia="en-GB"/>
        </w:rPr>
        <w:t>, </w:t>
      </w:r>
      <w:r w:rsidRPr="00181F57">
        <w:rPr>
          <w:rFonts w:ascii="Times New Roman" w:eastAsiaTheme="minorEastAsia" w:hAnsi="Times New Roman" w:cs="Times New Roman"/>
          <w:i/>
          <w:iCs/>
          <w:color w:val="222222"/>
          <w:sz w:val="27"/>
          <w:szCs w:val="27"/>
          <w:shd w:val="clear" w:color="auto" w:fill="FFFFFF"/>
          <w:lang w:val="en-GB" w:eastAsia="en-GB"/>
        </w:rPr>
        <w:t>21</w:t>
      </w:r>
      <w:r w:rsidRPr="00181F57">
        <w:rPr>
          <w:rFonts w:ascii="Times New Roman" w:eastAsiaTheme="minorEastAsia" w:hAnsi="Times New Roman" w:cs="Times New Roman"/>
          <w:color w:val="222222"/>
          <w:sz w:val="27"/>
          <w:szCs w:val="27"/>
          <w:shd w:val="clear" w:color="auto" w:fill="FFFFFF"/>
          <w:lang w:val="en-GB" w:eastAsia="en-GB"/>
        </w:rPr>
        <w:t>(1), pp.63-87.</w:t>
      </w:r>
    </w:p>
    <w:p w14:paraId="423F7F1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proofErr w:type="spellStart"/>
      <w:r w:rsidRPr="00181F57">
        <w:rPr>
          <w:rFonts w:ascii="Times New Roman" w:eastAsiaTheme="minorEastAsia" w:hAnsi="Times New Roman" w:cs="Times New Roman"/>
          <w:color w:val="222222"/>
          <w:sz w:val="27"/>
          <w:szCs w:val="27"/>
          <w:shd w:val="clear" w:color="auto" w:fill="FFFFFF"/>
          <w:lang w:val="en-GB" w:eastAsia="en-GB"/>
        </w:rPr>
        <w:t>Sekarwinahyu</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M., </w:t>
      </w:r>
      <w:proofErr w:type="spellStart"/>
      <w:r w:rsidRPr="00181F57">
        <w:rPr>
          <w:rFonts w:ascii="Times New Roman" w:eastAsiaTheme="minorEastAsia" w:hAnsi="Times New Roman" w:cs="Times New Roman"/>
          <w:color w:val="222222"/>
          <w:sz w:val="27"/>
          <w:szCs w:val="27"/>
          <w:shd w:val="clear" w:color="auto" w:fill="FFFFFF"/>
          <w:lang w:val="en-GB" w:eastAsia="en-GB"/>
        </w:rPr>
        <w:t>Rustaman</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N.Y., </w:t>
      </w:r>
      <w:proofErr w:type="spellStart"/>
      <w:r w:rsidRPr="00181F57">
        <w:rPr>
          <w:rFonts w:ascii="Times New Roman" w:eastAsiaTheme="minorEastAsia" w:hAnsi="Times New Roman" w:cs="Times New Roman"/>
          <w:color w:val="222222"/>
          <w:sz w:val="27"/>
          <w:szCs w:val="27"/>
          <w:shd w:val="clear" w:color="auto" w:fill="FFFFFF"/>
          <w:lang w:val="en-GB" w:eastAsia="en-GB"/>
        </w:rPr>
        <w:t>Widodo</w:t>
      </w:r>
      <w:proofErr w:type="spellEnd"/>
      <w:r w:rsidRPr="00181F57">
        <w:rPr>
          <w:rFonts w:ascii="Times New Roman" w:eastAsiaTheme="minorEastAsia" w:hAnsi="Times New Roman" w:cs="Times New Roman"/>
          <w:color w:val="222222"/>
          <w:sz w:val="27"/>
          <w:szCs w:val="27"/>
          <w:shd w:val="clear" w:color="auto" w:fill="FFFFFF"/>
          <w:lang w:val="en-GB" w:eastAsia="en-GB"/>
        </w:rPr>
        <w:t xml:space="preserve">, A. and </w:t>
      </w:r>
      <w:proofErr w:type="spellStart"/>
      <w:r w:rsidRPr="00181F57">
        <w:rPr>
          <w:rFonts w:ascii="Times New Roman" w:eastAsiaTheme="minorEastAsia" w:hAnsi="Times New Roman" w:cs="Times New Roman"/>
          <w:color w:val="222222"/>
          <w:sz w:val="27"/>
          <w:szCs w:val="27"/>
          <w:shd w:val="clear" w:color="auto" w:fill="FFFFFF"/>
          <w:lang w:val="en-GB" w:eastAsia="en-GB"/>
        </w:rPr>
        <w:t>Riandi</w:t>
      </w:r>
      <w:proofErr w:type="spellEnd"/>
      <w:r w:rsidRPr="00181F57">
        <w:rPr>
          <w:rFonts w:ascii="Times New Roman" w:eastAsiaTheme="minorEastAsia" w:hAnsi="Times New Roman" w:cs="Times New Roman"/>
          <w:color w:val="222222"/>
          <w:sz w:val="27"/>
          <w:szCs w:val="27"/>
          <w:shd w:val="clear" w:color="auto" w:fill="FFFFFF"/>
          <w:lang w:val="en-GB" w:eastAsia="en-GB"/>
        </w:rPr>
        <w:t>, R., 2019, February. Development of problem based learning for online tutorial program in plant development using Gibbs’ reflective cycle and e-portfolio to enhance reflective thinking skills. In </w:t>
      </w:r>
      <w:r w:rsidRPr="00181F57">
        <w:rPr>
          <w:rFonts w:ascii="Times New Roman" w:eastAsiaTheme="minorEastAsia" w:hAnsi="Times New Roman" w:cs="Times New Roman"/>
          <w:i/>
          <w:iCs/>
          <w:color w:val="222222"/>
          <w:sz w:val="27"/>
          <w:szCs w:val="27"/>
          <w:shd w:val="clear" w:color="auto" w:fill="FFFFFF"/>
          <w:lang w:val="en-GB" w:eastAsia="en-GB"/>
        </w:rPr>
        <w:t>Journal of Physics: Conference Series</w:t>
      </w:r>
      <w:r w:rsidRPr="00181F57">
        <w:rPr>
          <w:rFonts w:ascii="Times New Roman" w:eastAsiaTheme="minorEastAsia" w:hAnsi="Times New Roman" w:cs="Times New Roman"/>
          <w:color w:val="222222"/>
          <w:sz w:val="27"/>
          <w:szCs w:val="27"/>
          <w:shd w:val="clear" w:color="auto" w:fill="FFFFFF"/>
          <w:lang w:val="en-GB" w:eastAsia="en-GB"/>
        </w:rPr>
        <w:t> (Vol. 1157, No. 2, p. 022099). IOP Publishing.</w:t>
      </w:r>
    </w:p>
    <w:p w14:paraId="18FBB914"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shd w:val="clear" w:color="auto" w:fill="FFFFFF"/>
          <w:lang w:val="en-GB" w:eastAsia="en-GB"/>
        </w:rPr>
        <w:t>The University of Edinburgh. 2020. </w:t>
      </w:r>
      <w:r w:rsidRPr="00181F57">
        <w:rPr>
          <w:rFonts w:ascii="Times New Roman" w:eastAsiaTheme="minorEastAsia" w:hAnsi="Times New Roman" w:cs="Times New Roman"/>
          <w:i/>
          <w:iCs/>
          <w:color w:val="000000"/>
          <w:sz w:val="27"/>
          <w:szCs w:val="27"/>
          <w:shd w:val="clear" w:color="auto" w:fill="FFFFFF"/>
          <w:lang w:val="en-GB" w:eastAsia="en-GB"/>
        </w:rPr>
        <w:t>General Tips For Academic Reflections</w:t>
      </w:r>
      <w:r w:rsidRPr="00181F57">
        <w:rPr>
          <w:rFonts w:ascii="Times New Roman" w:eastAsiaTheme="minorEastAsia" w:hAnsi="Times New Roman" w:cs="Times New Roman"/>
          <w:color w:val="000000"/>
          <w:sz w:val="27"/>
          <w:szCs w:val="27"/>
          <w:shd w:val="clear" w:color="auto" w:fill="FFFFFF"/>
          <w:lang w:val="en-GB" w:eastAsia="en-GB"/>
        </w:rPr>
        <w:t>. [online] Available at: &lt;https://www.ed.ac.uk/reflection/reflectors-toolkit/producing-reflections/academic-reflections/general-tips&gt; [Accessed 18 November 2020].</w:t>
      </w:r>
    </w:p>
    <w:p w14:paraId="0BF7E35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shd w:val="clear" w:color="auto" w:fill="FFFFFF"/>
          <w:lang w:val="en-GB" w:eastAsia="en-GB"/>
        </w:rPr>
        <w:t>The University of Edinburgh. 2020. </w:t>
      </w:r>
      <w:r w:rsidRPr="00181F57">
        <w:rPr>
          <w:rFonts w:ascii="Times New Roman" w:eastAsiaTheme="minorEastAsia" w:hAnsi="Times New Roman" w:cs="Times New Roman"/>
          <w:i/>
          <w:iCs/>
          <w:color w:val="000000"/>
          <w:sz w:val="27"/>
          <w:szCs w:val="27"/>
          <w:shd w:val="clear" w:color="auto" w:fill="FFFFFF"/>
          <w:lang w:val="en-GB" w:eastAsia="en-GB"/>
        </w:rPr>
        <w:t>Gibbs' Reflective Cycle</w:t>
      </w:r>
      <w:r w:rsidRPr="00181F57">
        <w:rPr>
          <w:rFonts w:ascii="Times New Roman" w:eastAsiaTheme="minorEastAsia" w:hAnsi="Times New Roman" w:cs="Times New Roman"/>
          <w:color w:val="000000"/>
          <w:sz w:val="27"/>
          <w:szCs w:val="27"/>
          <w:shd w:val="clear" w:color="auto" w:fill="FFFFFF"/>
          <w:lang w:val="en-GB" w:eastAsia="en-GB"/>
        </w:rPr>
        <w:t>. [online] Available at: &lt;https://www.ed.ac.uk/reflection/reflectors-toolkit/reflecting-on-experience/gibbs-reflective-cycle&gt; [Accessed 18 November 2020].</w:t>
      </w:r>
    </w:p>
    <w:p w14:paraId="3FD89D53"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74185F80"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6614B659"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43A4501F"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Times New Roman" w:eastAsiaTheme="minorEastAsia" w:hAnsi="Times New Roman" w:cs="Times New Roman"/>
          <w:color w:val="000000"/>
          <w:sz w:val="27"/>
          <w:szCs w:val="27"/>
          <w:lang w:val="en-GB" w:eastAsia="en-GB"/>
        </w:rPr>
        <w:t> </w:t>
      </w:r>
    </w:p>
    <w:p w14:paraId="11A27C4C" w14:textId="77777777" w:rsidR="00181F57" w:rsidRPr="00181F57" w:rsidRDefault="00181F57" w:rsidP="00181F57">
      <w:pPr>
        <w:spacing w:after="0" w:line="240" w:lineRule="auto"/>
        <w:jc w:val="both"/>
        <w:rPr>
          <w:rFonts w:ascii="-webkit-standard" w:eastAsiaTheme="minorEastAsia" w:hAnsi="-webkit-standard" w:cs="Times New Roman"/>
          <w:color w:val="000000"/>
          <w:sz w:val="27"/>
          <w:szCs w:val="27"/>
          <w:lang w:val="en-GB" w:eastAsia="en-GB"/>
        </w:rPr>
      </w:pPr>
      <w:r w:rsidRPr="00181F57">
        <w:rPr>
          <w:rFonts w:ascii="-webkit-standard" w:eastAsiaTheme="minorEastAsia" w:hAnsi="-webkit-standard" w:cs="Times New Roman"/>
          <w:color w:val="000000"/>
          <w:sz w:val="27"/>
          <w:szCs w:val="27"/>
          <w:lang w:val="en-GB" w:eastAsia="en-GB"/>
        </w:rPr>
        <w:t> </w:t>
      </w:r>
    </w:p>
    <w:p w14:paraId="21872A95" w14:textId="77777777" w:rsidR="00B12ED0" w:rsidRDefault="00B12ED0"/>
    <w:sectPr w:rsidR="00B12E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1DA06" w14:textId="77777777" w:rsidR="00221AD6" w:rsidRDefault="00221AD6" w:rsidP="00221AD6">
      <w:pPr>
        <w:spacing w:after="0" w:line="240" w:lineRule="auto"/>
      </w:pPr>
      <w:r>
        <w:separator/>
      </w:r>
    </w:p>
  </w:endnote>
  <w:endnote w:type="continuationSeparator" w:id="0">
    <w:p w14:paraId="12E37440" w14:textId="77777777" w:rsidR="00221AD6" w:rsidRDefault="00221AD6" w:rsidP="00221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FFD9B" w14:textId="77777777" w:rsidR="00221AD6" w:rsidRDefault="00221AD6" w:rsidP="00221AD6">
      <w:pPr>
        <w:spacing w:after="0" w:line="240" w:lineRule="auto"/>
      </w:pPr>
      <w:r>
        <w:separator/>
      </w:r>
    </w:p>
  </w:footnote>
  <w:footnote w:type="continuationSeparator" w:id="0">
    <w:p w14:paraId="2EC2176A" w14:textId="77777777" w:rsidR="00221AD6" w:rsidRDefault="00221AD6" w:rsidP="00221A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57"/>
    <w:rsid w:val="000778B6"/>
    <w:rsid w:val="00171282"/>
    <w:rsid w:val="00181F57"/>
    <w:rsid w:val="001F511A"/>
    <w:rsid w:val="00221AD6"/>
    <w:rsid w:val="00B12ED0"/>
    <w:rsid w:val="00BF24D4"/>
    <w:rsid w:val="00FC2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5F2CC"/>
  <w15:chartTrackingRefBased/>
  <w15:docId w15:val="{078DA841-155A-D247-BC42-DC21A3D80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s2">
    <w:name w:val="s2"/>
    <w:basedOn w:val="DefaultParagraphFont"/>
    <w:rsid w:val="00181F57"/>
  </w:style>
  <w:style w:type="character" w:customStyle="1" w:styleId="apple-converted-space">
    <w:name w:val="apple-converted-space"/>
    <w:basedOn w:val="DefaultParagraphFont"/>
    <w:rsid w:val="00181F57"/>
  </w:style>
  <w:style w:type="paragraph" w:customStyle="1" w:styleId="s4">
    <w:name w:val="s4"/>
    <w:basedOn w:val="Normal"/>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bumpedfont15">
    <w:name w:val="bumpedfont15"/>
    <w:basedOn w:val="DefaultParagraphFont"/>
    <w:rsid w:val="00181F57"/>
  </w:style>
  <w:style w:type="paragraph" w:customStyle="1" w:styleId="s7">
    <w:name w:val="s7"/>
    <w:basedOn w:val="Normal"/>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NormalWeb">
    <w:name w:val="Normal (Web)"/>
    <w:basedOn w:val="Normal"/>
    <w:uiPriority w:val="99"/>
    <w:semiHidden/>
    <w:unhideWhenUsed/>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customStyle="1" w:styleId="s10">
    <w:name w:val="s10"/>
    <w:basedOn w:val="Normal"/>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s11">
    <w:name w:val="s11"/>
    <w:basedOn w:val="DefaultParagraphFont"/>
    <w:rsid w:val="00181F57"/>
  </w:style>
  <w:style w:type="paragraph" w:customStyle="1" w:styleId="s17">
    <w:name w:val="s17"/>
    <w:basedOn w:val="Normal"/>
    <w:rsid w:val="00181F5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221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AD6"/>
  </w:style>
  <w:style w:type="paragraph" w:styleId="Footer">
    <w:name w:val="footer"/>
    <w:basedOn w:val="Normal"/>
    <w:link w:val="FooterChar"/>
    <w:uiPriority w:val="99"/>
    <w:unhideWhenUsed/>
    <w:rsid w:val="00221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029375">
      <w:marLeft w:val="540"/>
      <w:marRight w:val="0"/>
      <w:marTop w:val="0"/>
      <w:marBottom w:val="0"/>
      <w:divBdr>
        <w:top w:val="none" w:sz="0" w:space="0" w:color="auto"/>
        <w:left w:val="none" w:sz="0" w:space="0" w:color="auto"/>
        <w:bottom w:val="none" w:sz="0" w:space="0" w:color="auto"/>
        <w:right w:val="none" w:sz="0" w:space="0" w:color="auto"/>
      </w:divBdr>
    </w:div>
    <w:div w:id="890120972">
      <w:marLeft w:val="540"/>
      <w:marRight w:val="0"/>
      <w:marTop w:val="0"/>
      <w:marBottom w:val="0"/>
      <w:divBdr>
        <w:top w:val="none" w:sz="0" w:space="0" w:color="auto"/>
        <w:left w:val="none" w:sz="0" w:space="0" w:color="auto"/>
        <w:bottom w:val="none" w:sz="0" w:space="0" w:color="auto"/>
        <w:right w:val="none" w:sz="0" w:space="0" w:color="auto"/>
      </w:divBdr>
    </w:div>
    <w:div w:id="954749220">
      <w:marLeft w:val="540"/>
      <w:marRight w:val="0"/>
      <w:marTop w:val="0"/>
      <w:marBottom w:val="0"/>
      <w:divBdr>
        <w:top w:val="none" w:sz="0" w:space="0" w:color="auto"/>
        <w:left w:val="none" w:sz="0" w:space="0" w:color="auto"/>
        <w:bottom w:val="none" w:sz="0" w:space="0" w:color="auto"/>
        <w:right w:val="none" w:sz="0" w:space="0" w:color="auto"/>
      </w:divBdr>
    </w:div>
    <w:div w:id="1309288552">
      <w:marLeft w:val="540"/>
      <w:marRight w:val="0"/>
      <w:marTop w:val="0"/>
      <w:marBottom w:val="0"/>
      <w:divBdr>
        <w:top w:val="none" w:sz="0" w:space="0" w:color="auto"/>
        <w:left w:val="none" w:sz="0" w:space="0" w:color="auto"/>
        <w:bottom w:val="none" w:sz="0" w:space="0" w:color="auto"/>
        <w:right w:val="none" w:sz="0" w:space="0" w:color="auto"/>
      </w:divBdr>
    </w:div>
    <w:div w:id="1928152003">
      <w:marLeft w:val="540"/>
      <w:marRight w:val="0"/>
      <w:marTop w:val="0"/>
      <w:marBottom w:val="0"/>
      <w:divBdr>
        <w:top w:val="none" w:sz="0" w:space="0" w:color="auto"/>
        <w:left w:val="none" w:sz="0" w:space="0" w:color="auto"/>
        <w:bottom w:val="none" w:sz="0" w:space="0" w:color="auto"/>
        <w:right w:val="none" w:sz="0" w:space="0" w:color="auto"/>
      </w:divBdr>
    </w:div>
    <w:div w:id="2043481162">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template.dotx</Template>
  <TotalTime>0</TotalTime>
  <Pages>8</Pages>
  <Words>2190</Words>
  <Characters>12487</Characters>
  <Application>Microsoft Office Word</Application>
  <DocSecurity>0</DocSecurity>
  <Lines>104</Lines>
  <Paragraphs>29</Paragraphs>
  <ScaleCrop>false</ScaleCrop>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Luca (1917569)</dc:creator>
  <cp:keywords/>
  <dc:description/>
  <cp:lastModifiedBy>Gina Luca (1917569)</cp:lastModifiedBy>
  <cp:revision>2</cp:revision>
  <dcterms:created xsi:type="dcterms:W3CDTF">2020-12-03T11:59:00Z</dcterms:created>
  <dcterms:modified xsi:type="dcterms:W3CDTF">2020-12-03T11:59:00Z</dcterms:modified>
</cp:coreProperties>
</file>