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36179757" w:displacedByCustomXml="next"/>
    <w:sdt>
      <w:sdtPr>
        <w:id w:val="923074644"/>
        <w:docPartObj>
          <w:docPartGallery w:val="Cover Pages"/>
          <w:docPartUnique/>
        </w:docPartObj>
      </w:sdtPr>
      <w:sdtEndPr>
        <w:rPr>
          <w:rFonts w:ascii="Arial" w:hAnsi="Arial"/>
          <w:b/>
          <w:bCs/>
          <w:color w:val="000000" w:themeColor="text1"/>
          <w:szCs w:val="28"/>
          <w:lang w:val="en-GB"/>
        </w:rPr>
      </w:sdtEndPr>
      <w:sdtContent>
        <w:p w14:paraId="26CFE84F" w14:textId="61DF0B8D" w:rsidR="00B973B3" w:rsidRDefault="00B973B3" w:rsidP="00B973B3">
          <w:r>
            <w:rPr>
              <w:noProof/>
            </w:rPr>
            <mc:AlternateContent>
              <mc:Choice Requires="wpg">
                <w:drawing>
                  <wp:anchor distT="0" distB="0" distL="114300" distR="114300" simplePos="0" relativeHeight="251659264" behindDoc="1" locked="0" layoutInCell="1" allowOverlap="1" wp14:anchorId="7FC02E3B" wp14:editId="20B5B7DB">
                    <wp:simplePos x="0" y="0"/>
                    <wp:positionH relativeFrom="margin">
                      <wp:posOffset>-364273</wp:posOffset>
                    </wp:positionH>
                    <wp:positionV relativeFrom="page">
                      <wp:posOffset>453483</wp:posOffset>
                    </wp:positionV>
                    <wp:extent cx="6540688" cy="6745769"/>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540688" cy="6745769"/>
                              <a:chOff x="12633" y="-1"/>
                              <a:chExt cx="5557520" cy="5279689"/>
                            </a:xfrm>
                          </wpg:grpSpPr>
                          <wps:wsp>
                            <wps:cNvPr id="126" name="Freeform 10"/>
                            <wps:cNvSpPr>
                              <a:spLocks/>
                            </wps:cNvSpPr>
                            <wps:spPr bwMode="auto">
                              <a:xfrm>
                                <a:off x="12633" y="-1"/>
                                <a:ext cx="5557520" cy="4328933"/>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C966C9D" w14:textId="501FAFBF" w:rsidR="00B973B3" w:rsidRPr="00B973B3" w:rsidRDefault="00B973B3" w:rsidP="00B973B3">
                                  <w:pPr>
                                    <w:jc w:val="center"/>
                                    <w:rPr>
                                      <w:rFonts w:ascii="Arial" w:hAnsi="Arial" w:cs="Arial"/>
                                      <w:b/>
                                      <w:bCs/>
                                      <w:color w:val="FFFFFF" w:themeColor="background1"/>
                                      <w:sz w:val="48"/>
                                      <w:szCs w:val="48"/>
                                    </w:rPr>
                                  </w:pPr>
                                  <w:r w:rsidRPr="00B973B3">
                                    <w:rPr>
                                      <w:rFonts w:ascii="Arial" w:hAnsi="Arial" w:cs="Arial"/>
                                      <w:b/>
                                      <w:bCs/>
                                      <w:color w:val="FFFFFF" w:themeColor="background1"/>
                                      <w:sz w:val="48"/>
                                      <w:szCs w:val="48"/>
                                    </w:rPr>
                                    <w:t>LCMB7002: Financial Management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7FC02E3B" id="Group 126" o:spid="_x0000_s1026" style="position:absolute;left:0;text-align:left;margin-left:-28.7pt;margin-top:35.7pt;width:515pt;height:531.15pt;z-index:-251657216;mso-position-horizontal-relative:margin;mso-position-vertical-relative:page;mso-width-relative:margin" coordorigin="126" coordsize="55575,527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eZ3dQUAAIcTAAAOAAAAZHJzL2Uyb0RvYy54bWzsWNtu20YQfS/Qf1jwsUAikuJFEiwHadIE&#10;BdI2aNwPWFG8NRSXXVKWnK/PmVmSImXaVp2gT32RucuZs7NnZ2eOefXquCvEbazrXJVry3lpWyIu&#10;I7XNy3Rt/XXz7sXCEnUjy60sVBmvrbu4tl5d//jD1aFaxa7KVLGNtQBIWa8O1drKmqZazWZ1lMU7&#10;Wb9UVVziZaL0TjYY6nS21fIA9F0xc207mB2U3lZaRXFdY/ateWldM36SxFHzR5LUcSOKtYXYGv7V&#10;/Luh39n1lVylWlZZHrVhyGdEsZN5iUV7qLeykWKv83tQuzzSqlZJ8zJSu5lKkjyKeQ/YjWOf7ea9&#10;VvuK95KuDmnV0wRqz3h6Nmz0++17XX2qPmoTPR4/qOhzLUr1JpNlGr+uK5CIoyWqZocqXQ1daJye&#10;/I+J3hEO9iWOTPJdT3J8bESEycD37GCBtIjwLgg9PwyW5hiiDGdFfo4bzOeWwPsXvKxcRdkvrbvv&#10;+6Hv4ijJ3XfDZbBg95lcmdU5xj6mQ4W8qk/U1d9G3adMVjGfSE08fNQi33K8lijlDvn9TscxZatw&#10;OLdoedh1/NaGXMPk4A2Z1TgDsTn8praAkftGcT6dMXqfmY7WES/e3F0sQSEt1PECEvd18z5WfELy&#10;9kPdmOTf4okPf9vu4QbsJrsC9+CnmbDFQYTgu7XtTJyRSSZC+56JOzKZRMEh9wsFnicmcbyBkePM&#10;p+PxB0ZB4E8jBQMj7GkaKRwYPRgT0rcP/EGk5cAocMLpmJAnF0A5F/DtXEC4M2TcPkWELEm7PJBZ&#10;lxrRsWxzA08C1YAuM6VKpWq6p5QouIU3pjYgwY4lvX3AGOGRcZeVjxvj0MnYb1P4cWOcKxmHFxnj&#10;6Mi4KxqPI9PpkDX4N3fpCfN2j6B5YA5y4dYyqVFNz5uRtgSa0YZ8wK1s6AC6R3FYW3T/RIa/uGQ0&#10;v1O38Y1ii+aszmKt09tov8mjn+Mv922R2O1qA4DHJmkPI7TxqGIY1xTtwG9rgZkNDCmBvxguiZvM&#10;1OKydlw9jQ9gOo5gwT7gipf1QpMAfQ0y08waWZu9XrSD3sfhZOpWuGz6X60woqjDf3jyImzDzgjk&#10;8akzVAwp+7hp9GnINqfGUfAVL9W7vChMjtMMmq7pYCS88NTcFTHlZ1H+GSfokSgWJnXrSKebN4UW&#10;RoNxRaHk56CxFDuQZwL83tex7TlnPuvCmPxvJRTd9rPbJk9rTp4xy77e97J1eydeW5VN77+TfyvN&#10;qwx2Ro/NcXMEA/S4Uds7dG+tjL6EHsZDpvQXSxygLddW/c9e6tgSxa8lFMjS8TxcZdHwyLGXobvA&#10;UI+Hm/FQlhEQqUygEtPjm8ZwuK90nmYs0Sj4Ur2GeEhy6u58LCa4dgAtZEL+D0QROum5KOIySox9&#10;T1G0CIM50Ym7jlKwDBdcfZEIrWT0UC/sOQxYMtrLpd2VnE5dPUsZBXYIBYFfU9bSXj6d9+ogOLdA&#10;RezlgxMG0zDDVu2TeriPM5RGJGcmghkKI28xiTKURa7vTOOMZFEwiTMURQ+SMxRF7vSuRpLoQaB7&#10;ksjQgxryv5KZkGrTSoaK+zdJE8o4kiYgn4rPSXu0vZ9e41525f30fko/eG1/H4uT7m77o5aMa8PI&#10;Zpab1FDsTMGj0A5cut7utZNt0TBxt9WEFctF2Ng/7fNM4/it9GkLgMHGFWPbPl/HsY5HxmUOXBY+&#10;IyCPmgYtOprlE8Gs28vhJ3VV5zJSDk9PnhGD4ZPqoVZFviXpQMly1sw3qcM5JIsqk6a/4+jN/5XA&#10;7q1ZnoyALtIkz+nRXYvGRwqS4KZBc/eGYuf23L75js2Zv1/gaw9vs/0yRZ+ThmNu5qfvZ9dfAQAA&#10;//8DAFBLAwQUAAYACAAAACEAP8382OIAAAALAQAADwAAAGRycy9kb3ducmV2LnhtbEyPwUrDQBCG&#10;74LvsIzgrd1sYxuN2ZRS1FMRbAXxtk2mSWh2NmS3Sfr2jic9DcN8/PP92XqyrRiw940jDWoegUAq&#10;XNlQpeHz8Dp7BOGDodK0jlDDFT2s89ubzKSlG+kDh32oBIeQT42GOoQuldIXNVrj565D4tvJ9dYE&#10;XvtKlr0ZOdy2chFFK2lNQ/yhNh1uayzO+4vV8DaacROrl2F3Pm2v34fl+9dOodb3d9PmGUTAKfzB&#10;8KvP6pCz09FdqPSi1TBbJg+MakgUTwaeksUKxJFJFccJyDyT/zvkPwAAAP//AwBQSwECLQAUAAYA&#10;CAAAACEAtoM4kv4AAADhAQAAEwAAAAAAAAAAAAAAAAAAAAAAW0NvbnRlbnRfVHlwZXNdLnhtbFBL&#10;AQItABQABgAIAAAAIQA4/SH/1gAAAJQBAAALAAAAAAAAAAAAAAAAAC8BAABfcmVscy8ucmVsc1BL&#10;AQItABQABgAIAAAAIQBWLeZ3dQUAAIcTAAAOAAAAAAAAAAAAAAAAAC4CAABkcnMvZTJvRG9jLnht&#10;bFBLAQItABQABgAIAAAAIQA/zfzY4gAAAAsBAAAPAAAAAAAAAAAAAAAAAM8HAABkcnMvZG93bnJl&#10;di54bWxQSwUGAAAAAAQABADzAAAA3ggAAAAA&#10;">
                    <o:lock v:ext="edit" aspectratio="t"/>
                    <v:shape id="Freeform 10" o:spid="_x0000_s1027" style="position:absolute;left:126;width:55575;height:43289;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3b457c [2578]" stroked="f">
                      <v:fill color2="#090b14 [962]" rotate="t" focusposition=".5,.5" focussize="" focus="100%" type="gradientRadial"/>
                      <v:stroke joinstyle="miter"/>
                      <v:formulas/>
                      <v:path arrowok="t" o:connecttype="custom" o:connectlocs="0,0;0,3982618;872222,4112486;5557520,3982618;5557520,3815645;5557520,0;0,0" o:connectangles="0,0,0,0,0,0,0" textboxrect="0,0,720,700"/>
                      <v:textbox inset="1in,86.4pt,86.4pt,86.4pt">
                        <w:txbxContent>
                          <w:p w14:paraId="6C966C9D" w14:textId="501FAFBF" w:rsidR="00B973B3" w:rsidRPr="00B973B3" w:rsidRDefault="00B973B3" w:rsidP="00B973B3">
                            <w:pPr>
                              <w:jc w:val="center"/>
                              <w:rPr>
                                <w:rFonts w:ascii="Arial" w:hAnsi="Arial" w:cs="Arial"/>
                                <w:b/>
                                <w:bCs/>
                                <w:color w:val="FFFFFF" w:themeColor="background1"/>
                                <w:sz w:val="48"/>
                                <w:szCs w:val="48"/>
                              </w:rPr>
                            </w:pPr>
                            <w:r w:rsidRPr="00B973B3">
                              <w:rPr>
                                <w:rFonts w:ascii="Arial" w:hAnsi="Arial" w:cs="Arial"/>
                                <w:b/>
                                <w:bCs/>
                                <w:color w:val="FFFFFF" w:themeColor="background1"/>
                                <w:sz w:val="48"/>
                                <w:szCs w:val="48"/>
                              </w:rPr>
                              <w:t>LCMB7002: Financial Management</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5DE0F74F" wp14:editId="08983ED8">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316C6A" w14:textId="7F71FBC4" w:rsidR="00B973B3" w:rsidRDefault="00B973B3">
                                <w:pPr>
                                  <w:pStyle w:val="NoSpacing"/>
                                  <w:jc w:val="right"/>
                                  <w:rPr>
                                    <w:color w:val="FFFFFF" w:themeColor="background1"/>
                                    <w:sz w:val="24"/>
                                    <w:szCs w:val="24"/>
                                  </w:rPr>
                                </w:pPr>
                                <w:r>
                                  <w:rPr>
                                    <w:color w:val="FFFFFF" w:themeColor="background1"/>
                                    <w:sz w:val="24"/>
                                    <w:szCs w:val="24"/>
                                  </w:rPr>
                                  <w:t>2026</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DE0F74F" id="Rectangle 130" o:spid="_x0000_s1029"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GRN6+YQC&#10;AABmBQAADgAAAAAAAAAAAAAAAAAuAgAAZHJzL2Uyb0RvYy54bWxQSwECLQAUAAYACAAAACEAD++s&#10;0doAAAAEAQAADwAAAAAAAAAAAAAAAADeBAAAZHJzL2Rvd25yZXYueG1sUEsFBgAAAAAEAAQA8wAA&#10;AOUFAAAAAA==&#10;" fillcolor="#4e67c8 [3204]" stroked="f" strokeweight="2pt">
                    <o:lock v:ext="edit" aspectratio="t"/>
                    <v:textbox inset="3.6pt,,3.6pt">
                      <w:txbxContent>
                        <w:p w14:paraId="71316C6A" w14:textId="7F71FBC4" w:rsidR="00B973B3" w:rsidRDefault="00B973B3">
                          <w:pPr>
                            <w:pStyle w:val="NoSpacing"/>
                            <w:jc w:val="right"/>
                            <w:rPr>
                              <w:color w:val="FFFFFF" w:themeColor="background1"/>
                              <w:sz w:val="24"/>
                              <w:szCs w:val="24"/>
                            </w:rPr>
                          </w:pPr>
                          <w:r>
                            <w:rPr>
                              <w:color w:val="FFFFFF" w:themeColor="background1"/>
                              <w:sz w:val="24"/>
                              <w:szCs w:val="24"/>
                            </w:rPr>
                            <w:t>2026</w:t>
                          </w:r>
                        </w:p>
                      </w:txbxContent>
                    </v:textbox>
                    <w10:wrap anchorx="margin" anchory="page"/>
                  </v:rect>
                </w:pict>
              </mc:Fallback>
            </mc:AlternateContent>
          </w:r>
        </w:p>
        <w:p w14:paraId="2227C735" w14:textId="0B2508D1" w:rsidR="00B973B3" w:rsidRDefault="00B973B3" w:rsidP="00B973B3">
          <w:pPr>
            <w:jc w:val="center"/>
            <w:rPr>
              <w:rFonts w:ascii="Arial" w:hAnsi="Arial"/>
              <w:b/>
              <w:bCs/>
              <w:color w:val="000000" w:themeColor="text1"/>
              <w:szCs w:val="28"/>
              <w:lang w:val="en-GB"/>
            </w:rPr>
          </w:pPr>
          <w:r>
            <w:rPr>
              <w:noProof/>
            </w:rPr>
            <w:drawing>
              <wp:inline distT="0" distB="0" distL="0" distR="0" wp14:anchorId="68B1B3C9" wp14:editId="2A7439FA">
                <wp:extent cx="3131178" cy="1738875"/>
                <wp:effectExtent l="0" t="0" r="0" b="0"/>
                <wp:docPr id="21033655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51109" cy="1749944"/>
                        </a:xfrm>
                        <a:prstGeom prst="rect">
                          <a:avLst/>
                        </a:prstGeom>
                        <a:noFill/>
                        <a:ln>
                          <a:noFill/>
                        </a:ln>
                      </pic:spPr>
                    </pic:pic>
                  </a:graphicData>
                </a:graphic>
              </wp:inline>
            </w:drawing>
          </w:r>
        </w:p>
      </w:sdtContent>
    </w:sdt>
    <w:p w14:paraId="5C3FAA51" w14:textId="77777777" w:rsidR="00B973B3" w:rsidRDefault="00B973B3" w:rsidP="00B973B3">
      <w:pPr>
        <w:rPr>
          <w:rFonts w:ascii="Arial" w:hAnsi="Arial"/>
          <w:b/>
          <w:bCs/>
          <w:color w:val="000000" w:themeColor="text1"/>
          <w:szCs w:val="28"/>
          <w:lang w:val="en-GB"/>
        </w:rPr>
      </w:pPr>
    </w:p>
    <w:p w14:paraId="582799F2" w14:textId="2E52C446" w:rsidR="00F049CB" w:rsidRDefault="00B973B3" w:rsidP="00B973B3">
      <w:pPr>
        <w:jc w:val="center"/>
        <w:rPr>
          <w:rFonts w:ascii="Arial" w:hAnsi="Arial"/>
          <w:b/>
          <w:bCs/>
          <w:color w:val="000000" w:themeColor="text1"/>
          <w:szCs w:val="28"/>
          <w:lang w:val="en-GB"/>
        </w:rPr>
      </w:pPr>
      <w:r>
        <w:rPr>
          <w:noProof/>
        </w:rPr>
        <mc:AlternateContent>
          <mc:Choice Requires="wps">
            <w:drawing>
              <wp:anchor distT="0" distB="0" distL="114300" distR="114300" simplePos="0" relativeHeight="251661312" behindDoc="0" locked="0" layoutInCell="1" allowOverlap="1" wp14:anchorId="3C4FE8CC" wp14:editId="02F55293">
                <wp:simplePos x="0" y="0"/>
                <wp:positionH relativeFrom="margin">
                  <wp:posOffset>-461010</wp:posOffset>
                </wp:positionH>
                <wp:positionV relativeFrom="margin">
                  <wp:posOffset>5106670</wp:posOffset>
                </wp:positionV>
                <wp:extent cx="5753100" cy="2950845"/>
                <wp:effectExtent l="0" t="0" r="0" b="190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29508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C92781" w14:textId="77777777" w:rsidR="00B973B3" w:rsidRPr="00B973B3" w:rsidRDefault="00B973B3" w:rsidP="00EA6F6D">
                            <w:pPr>
                              <w:spacing w:line="276" w:lineRule="auto"/>
                              <w:jc w:val="center"/>
                              <w:rPr>
                                <w:rFonts w:ascii="Arial" w:hAnsi="Arial" w:cs="Arial"/>
                                <w:b/>
                                <w:bCs/>
                              </w:rPr>
                            </w:pPr>
                            <w:r w:rsidRPr="00B973B3">
                              <w:rPr>
                                <w:rFonts w:ascii="Arial" w:hAnsi="Arial" w:cs="Arial"/>
                                <w:b/>
                                <w:bCs/>
                              </w:rPr>
                              <w:t>Master of Business Administration</w:t>
                            </w:r>
                          </w:p>
                          <w:p w14:paraId="1FCA3A4B" w14:textId="73FFF78F" w:rsidR="00B973B3" w:rsidRDefault="00B973B3" w:rsidP="00EA6F6D">
                            <w:pPr>
                              <w:spacing w:line="276" w:lineRule="auto"/>
                              <w:jc w:val="center"/>
                              <w:rPr>
                                <w:rFonts w:ascii="Arial" w:hAnsi="Arial" w:cs="Arial"/>
                                <w:b/>
                                <w:bCs/>
                              </w:rPr>
                            </w:pPr>
                            <w:r w:rsidRPr="00B973B3">
                              <w:rPr>
                                <w:rFonts w:ascii="Arial" w:hAnsi="Arial" w:cs="Arial"/>
                                <w:b/>
                                <w:bCs/>
                              </w:rPr>
                              <w:t>Assessment component: Financial performance and management</w:t>
                            </w:r>
                          </w:p>
                          <w:p w14:paraId="102AC628" w14:textId="6FC9D54A" w:rsidR="00EA6F6D" w:rsidRPr="00B973B3" w:rsidRDefault="00EA6F6D" w:rsidP="00EA6F6D">
                            <w:pPr>
                              <w:spacing w:line="276" w:lineRule="auto"/>
                              <w:jc w:val="center"/>
                              <w:rPr>
                                <w:rFonts w:ascii="Arial" w:hAnsi="Arial" w:cs="Arial"/>
                                <w:b/>
                                <w:bCs/>
                              </w:rPr>
                            </w:pPr>
                            <w:r w:rsidRPr="00EA6F6D">
                              <w:rPr>
                                <w:rFonts w:ascii="Arial" w:hAnsi="Arial" w:cs="Arial"/>
                                <w:b/>
                                <w:bCs/>
                              </w:rPr>
                              <w:t>Financial Analysis and Strategic Management of Wyndham Hotels &amp; Resorts</w:t>
                            </w:r>
                          </w:p>
                          <w:p w14:paraId="7828C989" w14:textId="28443F02" w:rsidR="00B973B3" w:rsidRPr="00B973B3" w:rsidRDefault="00B973B3" w:rsidP="00EA6F6D">
                            <w:pPr>
                              <w:spacing w:line="276" w:lineRule="auto"/>
                              <w:jc w:val="center"/>
                              <w:rPr>
                                <w:rFonts w:ascii="Arial" w:hAnsi="Arial" w:cs="Arial"/>
                                <w:b/>
                                <w:bCs/>
                              </w:rPr>
                            </w:pPr>
                            <w:r w:rsidRPr="00B973B3">
                              <w:rPr>
                                <w:rFonts w:ascii="Arial" w:hAnsi="Arial" w:cs="Arial"/>
                                <w:b/>
                                <w:bCs/>
                              </w:rPr>
                              <w:t>Lecturer’s Name:</w:t>
                            </w:r>
                            <w:r w:rsidR="00EA6F6D">
                              <w:rPr>
                                <w:rFonts w:ascii="Arial" w:hAnsi="Arial" w:cs="Arial"/>
                                <w:b/>
                                <w:bCs/>
                              </w:rPr>
                              <w:t xml:space="preserve"> M.D. Kalam</w:t>
                            </w:r>
                          </w:p>
                          <w:p w14:paraId="7F65CCF5" w14:textId="30A2AB43" w:rsidR="00B973B3" w:rsidRPr="00B973B3" w:rsidRDefault="00B973B3" w:rsidP="00EA6F6D">
                            <w:pPr>
                              <w:spacing w:line="276" w:lineRule="auto"/>
                              <w:jc w:val="center"/>
                              <w:rPr>
                                <w:rFonts w:ascii="Arial" w:hAnsi="Arial" w:cs="Arial"/>
                                <w:b/>
                                <w:bCs/>
                              </w:rPr>
                            </w:pPr>
                            <w:r w:rsidRPr="00B973B3">
                              <w:rPr>
                                <w:rFonts w:ascii="Arial" w:hAnsi="Arial" w:cs="Arial"/>
                                <w:b/>
                                <w:bCs/>
                              </w:rPr>
                              <w:t>Student Name:</w:t>
                            </w:r>
                            <w:r w:rsidR="00EA6F6D">
                              <w:rPr>
                                <w:rFonts w:ascii="Arial" w:hAnsi="Arial" w:cs="Arial"/>
                                <w:b/>
                                <w:bCs/>
                              </w:rPr>
                              <w:t xml:space="preserve"> </w:t>
                            </w:r>
                            <w:r w:rsidR="00EA6F6D" w:rsidRPr="00EA6F6D">
                              <w:rPr>
                                <w:rFonts w:ascii="Arial" w:hAnsi="Arial" w:cs="Arial"/>
                                <w:b/>
                                <w:bCs/>
                              </w:rPr>
                              <w:t xml:space="preserve">Parmar </w:t>
                            </w:r>
                            <w:r w:rsidR="00EA6F6D">
                              <w:rPr>
                                <w:rFonts w:ascii="Arial" w:hAnsi="Arial" w:cs="Arial"/>
                                <w:b/>
                                <w:bCs/>
                              </w:rPr>
                              <w:t>M</w:t>
                            </w:r>
                            <w:r w:rsidR="00EA6F6D" w:rsidRPr="00EA6F6D">
                              <w:rPr>
                                <w:rFonts w:ascii="Arial" w:hAnsi="Arial" w:cs="Arial"/>
                                <w:b/>
                                <w:bCs/>
                              </w:rPr>
                              <w:t xml:space="preserve">ansi </w:t>
                            </w:r>
                            <w:r w:rsidR="00EA6F6D">
                              <w:rPr>
                                <w:rFonts w:ascii="Arial" w:hAnsi="Arial" w:cs="Arial"/>
                                <w:b/>
                                <w:bCs/>
                              </w:rPr>
                              <w:t>S</w:t>
                            </w:r>
                            <w:r w:rsidR="00EA6F6D" w:rsidRPr="00EA6F6D">
                              <w:rPr>
                                <w:rFonts w:ascii="Arial" w:hAnsi="Arial" w:cs="Arial"/>
                                <w:b/>
                                <w:bCs/>
                              </w:rPr>
                              <w:t>ureshbhai</w:t>
                            </w:r>
                          </w:p>
                          <w:p w14:paraId="4883D32A" w14:textId="0A114D34" w:rsidR="00B973B3" w:rsidRPr="00B973B3" w:rsidRDefault="00B973B3" w:rsidP="00EA6F6D">
                            <w:pPr>
                              <w:spacing w:line="276" w:lineRule="auto"/>
                              <w:jc w:val="center"/>
                              <w:rPr>
                                <w:rFonts w:ascii="Arial" w:hAnsi="Arial" w:cs="Arial"/>
                                <w:b/>
                                <w:bCs/>
                              </w:rPr>
                            </w:pPr>
                            <w:r w:rsidRPr="00B973B3">
                              <w:rPr>
                                <w:rFonts w:ascii="Arial" w:hAnsi="Arial" w:cs="Arial"/>
                                <w:b/>
                                <w:bCs/>
                              </w:rPr>
                              <w:t>Student ID:</w:t>
                            </w:r>
                            <w:r w:rsidR="00EA6F6D">
                              <w:rPr>
                                <w:rFonts w:ascii="Arial" w:hAnsi="Arial" w:cs="Arial"/>
                                <w:b/>
                                <w:bCs/>
                              </w:rPr>
                              <w:t xml:space="preserve"> </w:t>
                            </w:r>
                            <w:r w:rsidR="00EA6F6D" w:rsidRPr="00EA6F6D">
                              <w:rPr>
                                <w:rFonts w:ascii="Arial" w:hAnsi="Arial" w:cs="Arial"/>
                                <w:b/>
                                <w:bCs/>
                              </w:rPr>
                              <w:t>2432121</w:t>
                            </w:r>
                          </w:p>
                          <w:p w14:paraId="33BAEB05" w14:textId="18BE20BD" w:rsidR="00B973B3" w:rsidRPr="00B973B3" w:rsidRDefault="00B973B3" w:rsidP="00EA6F6D">
                            <w:pPr>
                              <w:spacing w:line="276" w:lineRule="auto"/>
                              <w:jc w:val="center"/>
                              <w:rPr>
                                <w:rFonts w:ascii="Arial" w:hAnsi="Arial" w:cs="Arial"/>
                                <w:b/>
                                <w:bCs/>
                              </w:rPr>
                            </w:pPr>
                            <w:r w:rsidRPr="00B973B3">
                              <w:rPr>
                                <w:rFonts w:ascii="Arial" w:hAnsi="Arial" w:cs="Arial"/>
                                <w:b/>
                                <w:bCs/>
                              </w:rPr>
                              <w:t>Word Count:</w:t>
                            </w:r>
                            <w:r w:rsidR="00EA6F6D">
                              <w:rPr>
                                <w:rFonts w:ascii="Arial" w:hAnsi="Arial" w:cs="Arial"/>
                                <w:b/>
                                <w:bCs/>
                              </w:rPr>
                              <w:t xml:space="preserve"> 5075</w:t>
                            </w:r>
                          </w:p>
                          <w:p w14:paraId="28DB3BAC" w14:textId="68F3AC9F" w:rsidR="00B973B3" w:rsidRPr="00B973B3" w:rsidRDefault="00B973B3" w:rsidP="00EA6F6D">
                            <w:pPr>
                              <w:spacing w:line="276" w:lineRule="auto"/>
                              <w:jc w:val="center"/>
                              <w:rPr>
                                <w:rFonts w:ascii="Arial" w:hAnsi="Arial" w:cs="Arial"/>
                                <w:b/>
                                <w:bCs/>
                              </w:rPr>
                            </w:pPr>
                            <w:r w:rsidRPr="00B973B3">
                              <w:rPr>
                                <w:rFonts w:ascii="Arial" w:hAnsi="Arial" w:cs="Arial"/>
                                <w:b/>
                                <w:bCs/>
                              </w:rPr>
                              <w:t>Date of Submission:</w:t>
                            </w:r>
                            <w:r w:rsidR="00EA6F6D">
                              <w:rPr>
                                <w:rFonts w:ascii="Arial" w:hAnsi="Arial" w:cs="Arial"/>
                                <w:b/>
                                <w:bCs/>
                              </w:rPr>
                              <w:t xml:space="preserve"> 13</w:t>
                            </w:r>
                            <w:r w:rsidR="00EA6F6D" w:rsidRPr="00EA6F6D">
                              <w:rPr>
                                <w:rFonts w:ascii="Arial" w:hAnsi="Arial" w:cs="Arial"/>
                                <w:b/>
                                <w:bCs/>
                                <w:vertAlign w:val="superscript"/>
                              </w:rPr>
                              <w:t>th</w:t>
                            </w:r>
                            <w:r w:rsidR="00EA6F6D">
                              <w:rPr>
                                <w:rFonts w:ascii="Arial" w:hAnsi="Arial" w:cs="Arial"/>
                                <w:b/>
                                <w:bCs/>
                              </w:rPr>
                              <w:t xml:space="preserve"> August 2026</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3C4FE8CC" id="_x0000_t202" coordsize="21600,21600" o:spt="202" path="m,l,21600r21600,l21600,xe">
                <v:stroke joinstyle="miter"/>
                <v:path gradientshapeok="t" o:connecttype="rect"/>
              </v:shapetype>
              <v:shape id="Text Box 129" o:spid="_x0000_s1030" type="#_x0000_t202" style="position:absolute;left:0;text-align:left;margin-left:-36.3pt;margin-top:402.1pt;width:453pt;height:232.35pt;z-index:251661312;visibility:visible;mso-wrap-style:square;mso-width-percent:1154;mso-height-percent:0;mso-wrap-distance-left:9pt;mso-wrap-distance-top:0;mso-wrap-distance-right:9pt;mso-wrap-distance-bottom:0;mso-position-horizontal:absolute;mso-position-horizontal-relative:margin;mso-position-vertical:absolute;mso-position-vertical-relative:margin;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VHscAIAAEAFAAAOAAAAZHJzL2Uyb0RvYy54bWysVE1v2zAMvQ/YfxB0X+2kTZsGcYqsRYcB&#10;RVusHXpWZKkxJouaxMTOfv0o2U6KbJcOu9gU+Ujx41Hzq7Y2bKt8qMAWfHSSc6ashLKyrwX//nz7&#10;acpZQGFLYcCqgu9U4FeLjx/mjZupMazBlMozCmLDrHEFXyO6WZYFuVa1CCfglCWjBl8LpKN/zUov&#10;Gopem2yc5+dZA750HqQKgbQ3nZEvUnytlcQHrYNCZgpOuWH6+vRdxW+2mIvZqxduXck+DfEPWdSi&#10;snTpPtSNQME2vvojVF1JDwE0nkioM9C6kirVQNWM8qNqntbCqVQLNSe4fZvC/wsr77dP7tEzbD9D&#10;SwOMDWlcmAVSxnpa7ev4p0wZ2amFu33bVItMknJyMTkd5WSSZBtfTvLp2STGyQ7uzgf8oqBmUSi4&#10;p7mkdontXcAOOkDibRZuK2PSbIxlTcHPTyd5cthbKLixEavSlPswh9SThDujIsbYb0qzqkwVREXi&#10;l7o2nm0FMUNIqSym4lNcQkeUpiTe49jjD1m9x7mrY7gZLO6d68qCT9UfpV3+GFLWHZ56/qbuKGK7&#10;aqlwmssw2RWUOxq4h24XgpO3FQ3lTgR8FJ7IT4OkhcYH+mgD1HzoJc7W4H/9TR/xxEmyctbQMhU8&#10;/NwIrzgzXy2x9XJ0dhYJgulEgk/CKL+8GE/puBr0dlNfAw1kRK+Gk0mMaDSDqD3UL7Tyy3ghmYSV&#10;dG3BcRCvsdtuejKkWi4TiFbNCbyzT07G0HE+kW3P7YvwrqckEpvvYdg4MTtiZoeNnhaWGwRdJdrG&#10;FncN7VtPa5qI3z8p8R14e06ow8O3+A0AAP//AwBQSwMEFAAGAAgAAAAhAJuVqCDgAAAADAEAAA8A&#10;AABkcnMvZG93bnJldi54bWxMj8tuwjAQRfeV+g/WVOoOHEKamhAHVX2INdBNdyYekgg/otiBtF/f&#10;6YouR/fo3jPlZrKGXXAInXcSFvMEGLra6841Ej4PHzMBLETltDLeoYRvDLCp7u9KVWh/dTu87GPD&#10;qMSFQkloY+wLzkPdolVh7nt0lJ38YFWkc2i4HtSVyq3haZLk3KrO0UKrenxtsT7vRythN76vjNge&#10;vk7bbIFRPf00A75J+fgwvayBRZziDYY/fVKHipyOfnQ6MCNh9pzmhEoQSZYCI0IslxmwI6FpLlbA&#10;q5L/f6L6BQAA//8DAFBLAQItABQABgAIAAAAIQC2gziS/gAAAOEBAAATAAAAAAAAAAAAAAAAAAAA&#10;AABbQ29udGVudF9UeXBlc10ueG1sUEsBAi0AFAAGAAgAAAAhADj9If/WAAAAlAEAAAsAAAAAAAAA&#10;AAAAAAAALwEAAF9yZWxzLy5yZWxzUEsBAi0AFAAGAAgAAAAhAOk9UexwAgAAQAUAAA4AAAAAAAAA&#10;AAAAAAAALgIAAGRycy9lMm9Eb2MueG1sUEsBAi0AFAAGAAgAAAAhAJuVqCDgAAAADAEAAA8AAAAA&#10;AAAAAAAAAAAAygQAAGRycy9kb3ducmV2LnhtbFBLBQYAAAAABAAEAPMAAADXBQAAAAA=&#10;" filled="f" stroked="f" strokeweight=".5pt">
                <v:textbox inset="1in,0,86.4pt,0">
                  <w:txbxContent>
                    <w:p w14:paraId="3DC92781" w14:textId="77777777" w:rsidR="00B973B3" w:rsidRPr="00B973B3" w:rsidRDefault="00B973B3" w:rsidP="00EA6F6D">
                      <w:pPr>
                        <w:spacing w:line="276" w:lineRule="auto"/>
                        <w:jc w:val="center"/>
                        <w:rPr>
                          <w:rFonts w:ascii="Arial" w:hAnsi="Arial" w:cs="Arial"/>
                          <w:b/>
                          <w:bCs/>
                        </w:rPr>
                      </w:pPr>
                      <w:r w:rsidRPr="00B973B3">
                        <w:rPr>
                          <w:rFonts w:ascii="Arial" w:hAnsi="Arial" w:cs="Arial"/>
                          <w:b/>
                          <w:bCs/>
                        </w:rPr>
                        <w:t>Master of Business Administration</w:t>
                      </w:r>
                    </w:p>
                    <w:p w14:paraId="1FCA3A4B" w14:textId="73FFF78F" w:rsidR="00B973B3" w:rsidRDefault="00B973B3" w:rsidP="00EA6F6D">
                      <w:pPr>
                        <w:spacing w:line="276" w:lineRule="auto"/>
                        <w:jc w:val="center"/>
                        <w:rPr>
                          <w:rFonts w:ascii="Arial" w:hAnsi="Arial" w:cs="Arial"/>
                          <w:b/>
                          <w:bCs/>
                        </w:rPr>
                      </w:pPr>
                      <w:r w:rsidRPr="00B973B3">
                        <w:rPr>
                          <w:rFonts w:ascii="Arial" w:hAnsi="Arial" w:cs="Arial"/>
                          <w:b/>
                          <w:bCs/>
                        </w:rPr>
                        <w:t>Assessment component: Financial performance and management</w:t>
                      </w:r>
                    </w:p>
                    <w:p w14:paraId="102AC628" w14:textId="6FC9D54A" w:rsidR="00EA6F6D" w:rsidRPr="00B973B3" w:rsidRDefault="00EA6F6D" w:rsidP="00EA6F6D">
                      <w:pPr>
                        <w:spacing w:line="276" w:lineRule="auto"/>
                        <w:jc w:val="center"/>
                        <w:rPr>
                          <w:rFonts w:ascii="Arial" w:hAnsi="Arial" w:cs="Arial"/>
                          <w:b/>
                          <w:bCs/>
                        </w:rPr>
                      </w:pPr>
                      <w:r w:rsidRPr="00EA6F6D">
                        <w:rPr>
                          <w:rFonts w:ascii="Arial" w:hAnsi="Arial" w:cs="Arial"/>
                          <w:b/>
                          <w:bCs/>
                        </w:rPr>
                        <w:t>Financial Analysis and Strategic Management of Wyndham Hotels &amp; Resorts</w:t>
                      </w:r>
                    </w:p>
                    <w:p w14:paraId="7828C989" w14:textId="28443F02" w:rsidR="00B973B3" w:rsidRPr="00B973B3" w:rsidRDefault="00B973B3" w:rsidP="00EA6F6D">
                      <w:pPr>
                        <w:spacing w:line="276" w:lineRule="auto"/>
                        <w:jc w:val="center"/>
                        <w:rPr>
                          <w:rFonts w:ascii="Arial" w:hAnsi="Arial" w:cs="Arial"/>
                          <w:b/>
                          <w:bCs/>
                        </w:rPr>
                      </w:pPr>
                      <w:r w:rsidRPr="00B973B3">
                        <w:rPr>
                          <w:rFonts w:ascii="Arial" w:hAnsi="Arial" w:cs="Arial"/>
                          <w:b/>
                          <w:bCs/>
                        </w:rPr>
                        <w:t>Lecturer’s Name:</w:t>
                      </w:r>
                      <w:r w:rsidR="00EA6F6D">
                        <w:rPr>
                          <w:rFonts w:ascii="Arial" w:hAnsi="Arial" w:cs="Arial"/>
                          <w:b/>
                          <w:bCs/>
                        </w:rPr>
                        <w:t xml:space="preserve"> M.D. Kalam</w:t>
                      </w:r>
                    </w:p>
                    <w:p w14:paraId="7F65CCF5" w14:textId="30A2AB43" w:rsidR="00B973B3" w:rsidRPr="00B973B3" w:rsidRDefault="00B973B3" w:rsidP="00EA6F6D">
                      <w:pPr>
                        <w:spacing w:line="276" w:lineRule="auto"/>
                        <w:jc w:val="center"/>
                        <w:rPr>
                          <w:rFonts w:ascii="Arial" w:hAnsi="Arial" w:cs="Arial"/>
                          <w:b/>
                          <w:bCs/>
                        </w:rPr>
                      </w:pPr>
                      <w:r w:rsidRPr="00B973B3">
                        <w:rPr>
                          <w:rFonts w:ascii="Arial" w:hAnsi="Arial" w:cs="Arial"/>
                          <w:b/>
                          <w:bCs/>
                        </w:rPr>
                        <w:t>Student Name:</w:t>
                      </w:r>
                      <w:r w:rsidR="00EA6F6D">
                        <w:rPr>
                          <w:rFonts w:ascii="Arial" w:hAnsi="Arial" w:cs="Arial"/>
                          <w:b/>
                          <w:bCs/>
                        </w:rPr>
                        <w:t xml:space="preserve"> </w:t>
                      </w:r>
                      <w:r w:rsidR="00EA6F6D" w:rsidRPr="00EA6F6D">
                        <w:rPr>
                          <w:rFonts w:ascii="Arial" w:hAnsi="Arial" w:cs="Arial"/>
                          <w:b/>
                          <w:bCs/>
                        </w:rPr>
                        <w:t xml:space="preserve">Parmar </w:t>
                      </w:r>
                      <w:r w:rsidR="00EA6F6D">
                        <w:rPr>
                          <w:rFonts w:ascii="Arial" w:hAnsi="Arial" w:cs="Arial"/>
                          <w:b/>
                          <w:bCs/>
                        </w:rPr>
                        <w:t>M</w:t>
                      </w:r>
                      <w:r w:rsidR="00EA6F6D" w:rsidRPr="00EA6F6D">
                        <w:rPr>
                          <w:rFonts w:ascii="Arial" w:hAnsi="Arial" w:cs="Arial"/>
                          <w:b/>
                          <w:bCs/>
                        </w:rPr>
                        <w:t xml:space="preserve">ansi </w:t>
                      </w:r>
                      <w:r w:rsidR="00EA6F6D">
                        <w:rPr>
                          <w:rFonts w:ascii="Arial" w:hAnsi="Arial" w:cs="Arial"/>
                          <w:b/>
                          <w:bCs/>
                        </w:rPr>
                        <w:t>S</w:t>
                      </w:r>
                      <w:r w:rsidR="00EA6F6D" w:rsidRPr="00EA6F6D">
                        <w:rPr>
                          <w:rFonts w:ascii="Arial" w:hAnsi="Arial" w:cs="Arial"/>
                          <w:b/>
                          <w:bCs/>
                        </w:rPr>
                        <w:t>ureshbhai</w:t>
                      </w:r>
                    </w:p>
                    <w:p w14:paraId="4883D32A" w14:textId="0A114D34" w:rsidR="00B973B3" w:rsidRPr="00B973B3" w:rsidRDefault="00B973B3" w:rsidP="00EA6F6D">
                      <w:pPr>
                        <w:spacing w:line="276" w:lineRule="auto"/>
                        <w:jc w:val="center"/>
                        <w:rPr>
                          <w:rFonts w:ascii="Arial" w:hAnsi="Arial" w:cs="Arial"/>
                          <w:b/>
                          <w:bCs/>
                        </w:rPr>
                      </w:pPr>
                      <w:r w:rsidRPr="00B973B3">
                        <w:rPr>
                          <w:rFonts w:ascii="Arial" w:hAnsi="Arial" w:cs="Arial"/>
                          <w:b/>
                          <w:bCs/>
                        </w:rPr>
                        <w:t>Student ID:</w:t>
                      </w:r>
                      <w:r w:rsidR="00EA6F6D">
                        <w:rPr>
                          <w:rFonts w:ascii="Arial" w:hAnsi="Arial" w:cs="Arial"/>
                          <w:b/>
                          <w:bCs/>
                        </w:rPr>
                        <w:t xml:space="preserve"> </w:t>
                      </w:r>
                      <w:r w:rsidR="00EA6F6D" w:rsidRPr="00EA6F6D">
                        <w:rPr>
                          <w:rFonts w:ascii="Arial" w:hAnsi="Arial" w:cs="Arial"/>
                          <w:b/>
                          <w:bCs/>
                        </w:rPr>
                        <w:t>2432121</w:t>
                      </w:r>
                    </w:p>
                    <w:p w14:paraId="33BAEB05" w14:textId="18BE20BD" w:rsidR="00B973B3" w:rsidRPr="00B973B3" w:rsidRDefault="00B973B3" w:rsidP="00EA6F6D">
                      <w:pPr>
                        <w:spacing w:line="276" w:lineRule="auto"/>
                        <w:jc w:val="center"/>
                        <w:rPr>
                          <w:rFonts w:ascii="Arial" w:hAnsi="Arial" w:cs="Arial"/>
                          <w:b/>
                          <w:bCs/>
                        </w:rPr>
                      </w:pPr>
                      <w:r w:rsidRPr="00B973B3">
                        <w:rPr>
                          <w:rFonts w:ascii="Arial" w:hAnsi="Arial" w:cs="Arial"/>
                          <w:b/>
                          <w:bCs/>
                        </w:rPr>
                        <w:t>Word Count:</w:t>
                      </w:r>
                      <w:r w:rsidR="00EA6F6D">
                        <w:rPr>
                          <w:rFonts w:ascii="Arial" w:hAnsi="Arial" w:cs="Arial"/>
                          <w:b/>
                          <w:bCs/>
                        </w:rPr>
                        <w:t xml:space="preserve"> 5075</w:t>
                      </w:r>
                    </w:p>
                    <w:p w14:paraId="28DB3BAC" w14:textId="68F3AC9F" w:rsidR="00B973B3" w:rsidRPr="00B973B3" w:rsidRDefault="00B973B3" w:rsidP="00EA6F6D">
                      <w:pPr>
                        <w:spacing w:line="276" w:lineRule="auto"/>
                        <w:jc w:val="center"/>
                        <w:rPr>
                          <w:rFonts w:ascii="Arial" w:hAnsi="Arial" w:cs="Arial"/>
                          <w:b/>
                          <w:bCs/>
                        </w:rPr>
                      </w:pPr>
                      <w:r w:rsidRPr="00B973B3">
                        <w:rPr>
                          <w:rFonts w:ascii="Arial" w:hAnsi="Arial" w:cs="Arial"/>
                          <w:b/>
                          <w:bCs/>
                        </w:rPr>
                        <w:t>Date of Submission:</w:t>
                      </w:r>
                      <w:r w:rsidR="00EA6F6D">
                        <w:rPr>
                          <w:rFonts w:ascii="Arial" w:hAnsi="Arial" w:cs="Arial"/>
                          <w:b/>
                          <w:bCs/>
                        </w:rPr>
                        <w:t xml:space="preserve"> 13</w:t>
                      </w:r>
                      <w:r w:rsidR="00EA6F6D" w:rsidRPr="00EA6F6D">
                        <w:rPr>
                          <w:rFonts w:ascii="Arial" w:hAnsi="Arial" w:cs="Arial"/>
                          <w:b/>
                          <w:bCs/>
                          <w:vertAlign w:val="superscript"/>
                        </w:rPr>
                        <w:t>th</w:t>
                      </w:r>
                      <w:r w:rsidR="00EA6F6D">
                        <w:rPr>
                          <w:rFonts w:ascii="Arial" w:hAnsi="Arial" w:cs="Arial"/>
                          <w:b/>
                          <w:bCs/>
                        </w:rPr>
                        <w:t xml:space="preserve"> August 2026</w:t>
                      </w:r>
                    </w:p>
                  </w:txbxContent>
                </v:textbox>
                <w10:wrap type="square" anchorx="margin" anchory="margin"/>
              </v:shape>
            </w:pict>
          </mc:Fallback>
        </mc:AlternateContent>
      </w:r>
      <w:r w:rsidR="00F049CB">
        <w:rPr>
          <w:rFonts w:ascii="Arial" w:hAnsi="Arial"/>
          <w:b/>
          <w:bCs/>
          <w:color w:val="000000" w:themeColor="text1"/>
          <w:szCs w:val="28"/>
          <w:lang w:val="en-GB"/>
        </w:rPr>
        <w:br w:type="page"/>
      </w:r>
    </w:p>
    <w:p w14:paraId="02642084" w14:textId="5B87CD29" w:rsidR="009C0798" w:rsidRPr="00B973B3" w:rsidRDefault="009F69B9" w:rsidP="00EA6F6D">
      <w:pPr>
        <w:spacing w:before="240" w:after="240"/>
        <w:jc w:val="center"/>
        <w:rPr>
          <w:rFonts w:ascii="Arial" w:hAnsi="Arial" w:cs="Arial"/>
          <w:b/>
          <w:bCs/>
          <w:color w:val="000000" w:themeColor="text1"/>
          <w:szCs w:val="28"/>
          <w:lang w:val="en-GB"/>
        </w:rPr>
      </w:pPr>
      <w:r w:rsidRPr="00B973B3">
        <w:rPr>
          <w:rFonts w:ascii="Arial" w:hAnsi="Arial" w:cs="Arial"/>
          <w:b/>
          <w:bCs/>
          <w:color w:val="000000" w:themeColor="text1"/>
          <w:szCs w:val="28"/>
          <w:lang w:val="en-GB"/>
        </w:rPr>
        <w:lastRenderedPageBreak/>
        <w:t>Executive Summary</w:t>
      </w:r>
    </w:p>
    <w:p w14:paraId="509D2BBE" w14:textId="599B5DB5" w:rsidR="00EE3FF3" w:rsidRPr="00B973B3" w:rsidRDefault="00F76421" w:rsidP="00B973B3">
      <w:pPr>
        <w:spacing w:before="240" w:after="240"/>
        <w:rPr>
          <w:rFonts w:ascii="Arial" w:hAnsi="Arial" w:cs="Arial"/>
          <w:lang w:val="en-GB"/>
        </w:rPr>
      </w:pPr>
      <w:r w:rsidRPr="00B973B3">
        <w:rPr>
          <w:rFonts w:ascii="Arial" w:hAnsi="Arial" w:cs="Arial"/>
        </w:rPr>
        <w:t xml:space="preserve">This report presents a financial analysis </w:t>
      </w:r>
      <w:r w:rsidR="006959E9" w:rsidRPr="00B973B3">
        <w:rPr>
          <w:rFonts w:ascii="Arial" w:hAnsi="Arial" w:cs="Arial"/>
        </w:rPr>
        <w:t xml:space="preserve">of Wyndham Hotels &amp; Resorts for the period 2021 to 2025 using the financial statements of the firm and appropriate ratios. </w:t>
      </w:r>
      <w:r w:rsidRPr="00B973B3">
        <w:rPr>
          <w:rFonts w:ascii="Arial" w:hAnsi="Arial" w:cs="Arial"/>
        </w:rPr>
        <w:t>The financial statement and ratio analyses</w:t>
      </w:r>
      <w:r w:rsidR="006959E9" w:rsidRPr="00B973B3">
        <w:rPr>
          <w:rFonts w:ascii="Arial" w:hAnsi="Arial" w:cs="Arial"/>
        </w:rPr>
        <w:t xml:space="preserve"> have shown that the firm effectively maintained positive revenues, operating cash flows and profitability after the pandemic period </w:t>
      </w:r>
      <w:r w:rsidRPr="00B973B3">
        <w:rPr>
          <w:rFonts w:ascii="Arial" w:hAnsi="Arial" w:cs="Arial"/>
        </w:rPr>
        <w:t>through the effective use of its asset-light franchise business model</w:t>
      </w:r>
      <w:r w:rsidR="006959E9" w:rsidRPr="00B973B3">
        <w:rPr>
          <w:rFonts w:ascii="Arial" w:hAnsi="Arial" w:cs="Arial"/>
        </w:rPr>
        <w:t>. However, declining liquidity and increasing financial leverage of the firm have highlighted the necessity for financial restructuring. In addition to this, working capital reforms such as efficient receivables collection and capital restructuring have been suggested for Wyndham.</w:t>
      </w:r>
      <w:r w:rsidR="00404AB0" w:rsidRPr="00B973B3">
        <w:rPr>
          <w:rFonts w:ascii="Arial" w:hAnsi="Arial" w:cs="Arial"/>
        </w:rPr>
        <w:t xml:space="preserve"> Selective divestment and </w:t>
      </w:r>
      <w:r w:rsidRPr="00B973B3">
        <w:rPr>
          <w:rFonts w:ascii="Arial" w:hAnsi="Arial" w:cs="Arial"/>
        </w:rPr>
        <w:t xml:space="preserve">equity financing </w:t>
      </w:r>
      <w:r w:rsidR="00404AB0" w:rsidRPr="00B973B3">
        <w:rPr>
          <w:rFonts w:ascii="Arial" w:hAnsi="Arial" w:cs="Arial"/>
        </w:rPr>
        <w:t xml:space="preserve">have also been suggested in this study as strategic financial options to boost the liquidity of the company and support its sustainable development. Implementation of key investment appraisal techniques has shown that Project C has become the preferred investment as it may be able to bring the greatest financial gains and create positive shareholder value. In this regard, </w:t>
      </w:r>
      <w:r w:rsidRPr="00B973B3">
        <w:rPr>
          <w:rFonts w:ascii="Arial" w:hAnsi="Arial" w:cs="Arial"/>
        </w:rPr>
        <w:t>the recommendations provided in this study</w:t>
      </w:r>
      <w:r w:rsidR="00404AB0" w:rsidRPr="00B973B3">
        <w:rPr>
          <w:rFonts w:ascii="Arial" w:hAnsi="Arial" w:cs="Arial"/>
        </w:rPr>
        <w:t xml:space="preserve"> are expected to enhance Wyndham's financial sustainability and operational efficiency, alongside its competitive positioning in the global hospitality industry.</w:t>
      </w:r>
    </w:p>
    <w:p w14:paraId="1FAE427A" w14:textId="77777777" w:rsidR="009F69B9" w:rsidRDefault="009F69B9">
      <w:pPr>
        <w:rPr>
          <w:rFonts w:ascii="Arial" w:hAnsi="Arial"/>
          <w:b/>
          <w:bCs/>
          <w:szCs w:val="28"/>
          <w:lang w:val="en-GB"/>
        </w:rPr>
      </w:pPr>
      <w:bookmarkStart w:id="1" w:name="_Toc236250003"/>
      <w:r>
        <w:rPr>
          <w:rFonts w:ascii="Arial" w:hAnsi="Arial"/>
          <w:lang w:val="en-GB"/>
        </w:rPr>
        <w:br w:type="page"/>
      </w:r>
    </w:p>
    <w:sdt>
      <w:sdtPr>
        <w:rPr>
          <w:rFonts w:ascii="Times New Roman" w:eastAsia="Times New Roman" w:hAnsi="Times New Roman" w:cs="Times New Roman"/>
          <w:color w:val="auto"/>
          <w:sz w:val="24"/>
          <w:szCs w:val="24"/>
          <w:lang w:val="en" w:eastAsia="en-IN" w:bidi="bn-IN"/>
        </w:rPr>
        <w:id w:val="-2055842744"/>
        <w:docPartObj>
          <w:docPartGallery w:val="Table of Contents"/>
          <w:docPartUnique/>
        </w:docPartObj>
      </w:sdtPr>
      <w:sdtEndPr>
        <w:rPr>
          <w:b/>
          <w:bCs/>
          <w:noProof/>
        </w:rPr>
      </w:sdtEndPr>
      <w:sdtContent>
        <w:p w14:paraId="235EABF4" w14:textId="29587CE0" w:rsidR="00B973B3" w:rsidRPr="00B973B3" w:rsidRDefault="00B973B3" w:rsidP="00B973B3">
          <w:pPr>
            <w:pStyle w:val="TOCHeading"/>
            <w:spacing w:after="240" w:line="360" w:lineRule="auto"/>
            <w:jc w:val="center"/>
            <w:rPr>
              <w:rFonts w:ascii="Arial" w:hAnsi="Arial"/>
              <w:b/>
              <w:bCs/>
              <w:color w:val="000000" w:themeColor="text1"/>
              <w:sz w:val="24"/>
            </w:rPr>
          </w:pPr>
          <w:r w:rsidRPr="00B973B3">
            <w:rPr>
              <w:rFonts w:ascii="Arial" w:hAnsi="Arial"/>
              <w:b/>
              <w:bCs/>
              <w:color w:val="000000" w:themeColor="text1"/>
              <w:sz w:val="24"/>
            </w:rPr>
            <w:t>Table of Contents</w:t>
          </w:r>
        </w:p>
        <w:p w14:paraId="630497CE" w14:textId="1B3FBADC" w:rsidR="00B973B3" w:rsidRPr="00B973B3" w:rsidRDefault="00B973B3" w:rsidP="00B973B3">
          <w:pPr>
            <w:pStyle w:val="TOC1"/>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r w:rsidRPr="00B973B3">
            <w:rPr>
              <w:rFonts w:ascii="Arial" w:hAnsi="Arial"/>
            </w:rPr>
            <w:fldChar w:fldCharType="begin"/>
          </w:r>
          <w:r w:rsidRPr="00B973B3">
            <w:rPr>
              <w:rFonts w:ascii="Arial" w:hAnsi="Arial"/>
            </w:rPr>
            <w:instrText xml:space="preserve"> TOC \o "1-3" \h \z \u </w:instrText>
          </w:r>
          <w:r w:rsidRPr="00B973B3">
            <w:rPr>
              <w:rFonts w:ascii="Arial" w:hAnsi="Arial"/>
            </w:rPr>
            <w:fldChar w:fldCharType="separate"/>
          </w:r>
          <w:hyperlink w:anchor="_Toc237532191" w:history="1">
            <w:r w:rsidRPr="00B973B3">
              <w:rPr>
                <w:rStyle w:val="Hyperlink"/>
                <w:rFonts w:ascii="Arial" w:hAnsi="Arial"/>
                <w:noProof/>
                <w:lang w:val="en-GB"/>
              </w:rPr>
              <w:t>1. Introduction</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_Toc237532191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5</w:t>
            </w:r>
            <w:r w:rsidRPr="00B973B3">
              <w:rPr>
                <w:rFonts w:ascii="Arial" w:hAnsi="Arial"/>
                <w:noProof/>
                <w:webHidden/>
              </w:rPr>
              <w:fldChar w:fldCharType="end"/>
            </w:r>
          </w:hyperlink>
        </w:p>
        <w:p w14:paraId="4240A2E3" w14:textId="7AD7938F"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192" w:history="1">
            <w:r w:rsidRPr="00B973B3">
              <w:rPr>
                <w:rStyle w:val="Hyperlink"/>
                <w:rFonts w:ascii="Arial" w:hAnsi="Arial"/>
                <w:noProof/>
                <w:lang w:val="en-GB"/>
              </w:rPr>
              <w:t>1.1 Overview of Wyndham Hotels and Resorts</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_Toc237532192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5</w:t>
            </w:r>
            <w:r w:rsidRPr="00B973B3">
              <w:rPr>
                <w:rFonts w:ascii="Arial" w:hAnsi="Arial"/>
                <w:noProof/>
                <w:webHidden/>
              </w:rPr>
              <w:fldChar w:fldCharType="end"/>
            </w:r>
          </w:hyperlink>
        </w:p>
        <w:p w14:paraId="44B5AB44" w14:textId="582E27E2"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193" w:history="1">
            <w:r w:rsidRPr="00B973B3">
              <w:rPr>
                <w:rStyle w:val="Hyperlink"/>
                <w:rFonts w:ascii="Arial" w:hAnsi="Arial"/>
                <w:noProof/>
                <w:lang w:val="en-GB"/>
              </w:rPr>
              <w:t>1.2 Purpose of the Report</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_Toc237532193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5</w:t>
            </w:r>
            <w:r w:rsidRPr="00B973B3">
              <w:rPr>
                <w:rFonts w:ascii="Arial" w:hAnsi="Arial"/>
                <w:noProof/>
                <w:webHidden/>
              </w:rPr>
              <w:fldChar w:fldCharType="end"/>
            </w:r>
          </w:hyperlink>
        </w:p>
        <w:p w14:paraId="08783084" w14:textId="53B119D5" w:rsidR="00B973B3" w:rsidRPr="00B973B3" w:rsidRDefault="00B973B3" w:rsidP="00B973B3">
          <w:pPr>
            <w:pStyle w:val="TOC1"/>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194" w:history="1">
            <w:r w:rsidRPr="00B973B3">
              <w:rPr>
                <w:rStyle w:val="Hyperlink"/>
                <w:rFonts w:ascii="Arial" w:hAnsi="Arial"/>
                <w:noProof/>
                <w:lang w:val="en-GB"/>
              </w:rPr>
              <w:t>2. Financial Health Check</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_Toc237532194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5</w:t>
            </w:r>
            <w:r w:rsidRPr="00B973B3">
              <w:rPr>
                <w:rFonts w:ascii="Arial" w:hAnsi="Arial"/>
                <w:noProof/>
                <w:webHidden/>
              </w:rPr>
              <w:fldChar w:fldCharType="end"/>
            </w:r>
          </w:hyperlink>
        </w:p>
        <w:p w14:paraId="05E9DF25" w14:textId="3D491A4F"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195" w:history="1">
            <w:r w:rsidRPr="00B973B3">
              <w:rPr>
                <w:rStyle w:val="Hyperlink"/>
                <w:rFonts w:ascii="Arial" w:hAnsi="Arial"/>
                <w:noProof/>
                <w:lang w:val="en-GB"/>
              </w:rPr>
              <w:t>2.1 Financial Performance Analysis</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_Toc237532195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5</w:t>
            </w:r>
            <w:r w:rsidRPr="00B973B3">
              <w:rPr>
                <w:rFonts w:ascii="Arial" w:hAnsi="Arial"/>
                <w:noProof/>
                <w:webHidden/>
              </w:rPr>
              <w:fldChar w:fldCharType="end"/>
            </w:r>
          </w:hyperlink>
        </w:p>
        <w:p w14:paraId="782241D7" w14:textId="17867431"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196" w:history="1">
            <w:r w:rsidRPr="00B973B3">
              <w:rPr>
                <w:rStyle w:val="Hyperlink"/>
                <w:rFonts w:ascii="Arial" w:hAnsi="Arial"/>
                <w:noProof/>
                <w:lang w:val="en-GB"/>
              </w:rPr>
              <w:t>2.2 Ratio Analysis</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_Toc237532196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8</w:t>
            </w:r>
            <w:r w:rsidRPr="00B973B3">
              <w:rPr>
                <w:rFonts w:ascii="Arial" w:hAnsi="Arial"/>
                <w:noProof/>
                <w:webHidden/>
              </w:rPr>
              <w:fldChar w:fldCharType="end"/>
            </w:r>
          </w:hyperlink>
        </w:p>
        <w:p w14:paraId="5544C62C" w14:textId="32A6CEEF" w:rsidR="00B973B3" w:rsidRPr="00B973B3" w:rsidRDefault="00B973B3" w:rsidP="00B973B3">
          <w:pPr>
            <w:pStyle w:val="TOC3"/>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197" w:history="1">
            <w:r w:rsidRPr="00B973B3">
              <w:rPr>
                <w:rStyle w:val="Hyperlink"/>
                <w:rFonts w:ascii="Arial" w:hAnsi="Arial"/>
                <w:noProof/>
                <w:lang w:val="en-GB"/>
              </w:rPr>
              <w:t>2.2.1 Profitability</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_Toc237532197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8</w:t>
            </w:r>
            <w:r w:rsidRPr="00B973B3">
              <w:rPr>
                <w:rFonts w:ascii="Arial" w:hAnsi="Arial"/>
                <w:noProof/>
                <w:webHidden/>
              </w:rPr>
              <w:fldChar w:fldCharType="end"/>
            </w:r>
          </w:hyperlink>
        </w:p>
        <w:p w14:paraId="4A736392" w14:textId="4E6EF5D9" w:rsidR="00B973B3" w:rsidRPr="00B973B3" w:rsidRDefault="00B973B3" w:rsidP="00B973B3">
          <w:pPr>
            <w:pStyle w:val="TOC3"/>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198" w:history="1">
            <w:r w:rsidRPr="00B973B3">
              <w:rPr>
                <w:rStyle w:val="Hyperlink"/>
                <w:rFonts w:ascii="Arial" w:hAnsi="Arial"/>
                <w:noProof/>
                <w:lang w:val="en-GB"/>
              </w:rPr>
              <w:t>2.2.2 Liquidity</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_Toc237532198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9</w:t>
            </w:r>
            <w:r w:rsidRPr="00B973B3">
              <w:rPr>
                <w:rFonts w:ascii="Arial" w:hAnsi="Arial"/>
                <w:noProof/>
                <w:webHidden/>
              </w:rPr>
              <w:fldChar w:fldCharType="end"/>
            </w:r>
          </w:hyperlink>
        </w:p>
        <w:p w14:paraId="47BFACDC" w14:textId="02DCCC6B" w:rsidR="00B973B3" w:rsidRPr="00B973B3" w:rsidRDefault="00B973B3" w:rsidP="00B973B3">
          <w:pPr>
            <w:pStyle w:val="TOC3"/>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199" w:history="1">
            <w:r w:rsidRPr="00B973B3">
              <w:rPr>
                <w:rStyle w:val="Hyperlink"/>
                <w:rFonts w:ascii="Arial" w:hAnsi="Arial"/>
                <w:noProof/>
                <w:lang w:val="en-GB"/>
              </w:rPr>
              <w:t>2.2.3 Efficiency</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_Toc237532199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10</w:t>
            </w:r>
            <w:r w:rsidRPr="00B973B3">
              <w:rPr>
                <w:rFonts w:ascii="Arial" w:hAnsi="Arial"/>
                <w:noProof/>
                <w:webHidden/>
              </w:rPr>
              <w:fldChar w:fldCharType="end"/>
            </w:r>
          </w:hyperlink>
        </w:p>
        <w:p w14:paraId="1F573F14" w14:textId="2CEF3114" w:rsidR="00B973B3" w:rsidRPr="00B973B3" w:rsidRDefault="00B973B3" w:rsidP="00B973B3">
          <w:pPr>
            <w:pStyle w:val="TOC3"/>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00" w:history="1">
            <w:r w:rsidRPr="00B973B3">
              <w:rPr>
                <w:rStyle w:val="Hyperlink"/>
                <w:rFonts w:ascii="Arial" w:hAnsi="Arial"/>
                <w:noProof/>
                <w:lang w:val="en-GB"/>
              </w:rPr>
              <w:t>2.2.4 Gearing</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_Toc237532200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11</w:t>
            </w:r>
            <w:r w:rsidRPr="00B973B3">
              <w:rPr>
                <w:rFonts w:ascii="Arial" w:hAnsi="Arial"/>
                <w:noProof/>
                <w:webHidden/>
              </w:rPr>
              <w:fldChar w:fldCharType="end"/>
            </w:r>
          </w:hyperlink>
        </w:p>
        <w:p w14:paraId="711B9CDB" w14:textId="36AFFABE" w:rsidR="00B973B3" w:rsidRPr="00B973B3" w:rsidRDefault="00B973B3" w:rsidP="00B973B3">
          <w:pPr>
            <w:pStyle w:val="TOC3"/>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01" w:history="1">
            <w:r w:rsidRPr="00B973B3">
              <w:rPr>
                <w:rStyle w:val="Hyperlink"/>
                <w:rFonts w:ascii="Arial" w:hAnsi="Arial"/>
                <w:noProof/>
                <w:lang w:val="en-GB"/>
              </w:rPr>
              <w:t>2.2.5 Investment</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_Toc237532201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12</w:t>
            </w:r>
            <w:r w:rsidRPr="00B973B3">
              <w:rPr>
                <w:rFonts w:ascii="Arial" w:hAnsi="Arial"/>
                <w:noProof/>
                <w:webHidden/>
              </w:rPr>
              <w:fldChar w:fldCharType="end"/>
            </w:r>
          </w:hyperlink>
        </w:p>
        <w:p w14:paraId="4B5D7F69" w14:textId="7B2B9A33" w:rsidR="00B973B3" w:rsidRPr="00B973B3" w:rsidRDefault="00B973B3" w:rsidP="00B973B3">
          <w:pPr>
            <w:pStyle w:val="TOC3"/>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02" w:history="1">
            <w:r w:rsidRPr="00B973B3">
              <w:rPr>
                <w:rStyle w:val="Hyperlink"/>
                <w:rFonts w:ascii="Arial" w:hAnsi="Arial"/>
                <w:noProof/>
                <w:lang w:val="en-GB"/>
              </w:rPr>
              <w:t>2.2.6 Cash Flow</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_Toc237532202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13</w:t>
            </w:r>
            <w:r w:rsidRPr="00B973B3">
              <w:rPr>
                <w:rFonts w:ascii="Arial" w:hAnsi="Arial"/>
                <w:noProof/>
                <w:webHidden/>
              </w:rPr>
              <w:fldChar w:fldCharType="end"/>
            </w:r>
          </w:hyperlink>
        </w:p>
        <w:p w14:paraId="5CEDB0BD" w14:textId="4ADAB91E"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03" w:history="1">
            <w:r w:rsidRPr="00B973B3">
              <w:rPr>
                <w:rStyle w:val="Hyperlink"/>
                <w:rFonts w:ascii="Arial" w:hAnsi="Arial"/>
                <w:noProof/>
                <w:lang w:val="en-GB"/>
              </w:rPr>
              <w:t>2.3 Performance Summary</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_Toc237532203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13</w:t>
            </w:r>
            <w:r w:rsidRPr="00B973B3">
              <w:rPr>
                <w:rFonts w:ascii="Arial" w:hAnsi="Arial"/>
                <w:noProof/>
                <w:webHidden/>
              </w:rPr>
              <w:fldChar w:fldCharType="end"/>
            </w:r>
          </w:hyperlink>
        </w:p>
        <w:p w14:paraId="25A23B72" w14:textId="488ED796"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04" w:history="1">
            <w:r w:rsidRPr="00B973B3">
              <w:rPr>
                <w:rStyle w:val="Hyperlink"/>
                <w:rFonts w:ascii="Arial" w:hAnsi="Arial"/>
                <w:noProof/>
                <w:lang w:val="en-GB"/>
              </w:rPr>
              <w:t>2.4 Liquidity Benchmarking</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_Toc237532204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14</w:t>
            </w:r>
            <w:r w:rsidRPr="00B973B3">
              <w:rPr>
                <w:rFonts w:ascii="Arial" w:hAnsi="Arial"/>
                <w:noProof/>
                <w:webHidden/>
              </w:rPr>
              <w:fldChar w:fldCharType="end"/>
            </w:r>
          </w:hyperlink>
        </w:p>
        <w:p w14:paraId="5BCF56C2" w14:textId="0A1B0F22" w:rsidR="00B973B3" w:rsidRPr="00B973B3" w:rsidRDefault="00B973B3" w:rsidP="00B973B3">
          <w:pPr>
            <w:pStyle w:val="TOC1"/>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05" w:history="1">
            <w:r w:rsidRPr="00B973B3">
              <w:rPr>
                <w:rStyle w:val="Hyperlink"/>
                <w:rFonts w:ascii="Arial" w:hAnsi="Arial"/>
                <w:noProof/>
                <w:lang w:val="en-GB"/>
              </w:rPr>
              <w:t>3. Working Capital Management</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_Toc237532205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15</w:t>
            </w:r>
            <w:r w:rsidRPr="00B973B3">
              <w:rPr>
                <w:rFonts w:ascii="Arial" w:hAnsi="Arial"/>
                <w:noProof/>
                <w:webHidden/>
              </w:rPr>
              <w:fldChar w:fldCharType="end"/>
            </w:r>
          </w:hyperlink>
        </w:p>
        <w:p w14:paraId="3C404238" w14:textId="30A0EAF9"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06" w:history="1">
            <w:r w:rsidRPr="00B973B3">
              <w:rPr>
                <w:rStyle w:val="Hyperlink"/>
                <w:rFonts w:ascii="Arial" w:hAnsi="Arial"/>
                <w:noProof/>
                <w:lang w:val="en-GB"/>
              </w:rPr>
              <w:t>3.1 Cash Operating Cycle</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_Toc237532206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15</w:t>
            </w:r>
            <w:r w:rsidRPr="00B973B3">
              <w:rPr>
                <w:rFonts w:ascii="Arial" w:hAnsi="Arial"/>
                <w:noProof/>
                <w:webHidden/>
              </w:rPr>
              <w:fldChar w:fldCharType="end"/>
            </w:r>
          </w:hyperlink>
        </w:p>
        <w:p w14:paraId="08392DD9" w14:textId="7B770184"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07" w:history="1">
            <w:r w:rsidRPr="00B973B3">
              <w:rPr>
                <w:rStyle w:val="Hyperlink"/>
                <w:rFonts w:ascii="Arial" w:hAnsi="Arial"/>
                <w:noProof/>
                <w:lang w:val="en-GB"/>
              </w:rPr>
              <w:t>3.2 Liquidity Improvement Strategies</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_Toc237532207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16</w:t>
            </w:r>
            <w:r w:rsidRPr="00B973B3">
              <w:rPr>
                <w:rFonts w:ascii="Arial" w:hAnsi="Arial"/>
                <w:noProof/>
                <w:webHidden/>
              </w:rPr>
              <w:fldChar w:fldCharType="end"/>
            </w:r>
          </w:hyperlink>
        </w:p>
        <w:p w14:paraId="14A08699" w14:textId="5F2B9D73"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08" w:history="1">
            <w:r w:rsidRPr="00B973B3">
              <w:rPr>
                <w:rStyle w:val="Hyperlink"/>
                <w:rFonts w:ascii="Arial" w:hAnsi="Arial"/>
                <w:noProof/>
                <w:lang w:val="en-GB"/>
              </w:rPr>
              <w:t>3.3 Short-Term vs Long-Term Financing</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_Toc237532208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17</w:t>
            </w:r>
            <w:r w:rsidRPr="00B973B3">
              <w:rPr>
                <w:rFonts w:ascii="Arial" w:hAnsi="Arial"/>
                <w:noProof/>
                <w:webHidden/>
              </w:rPr>
              <w:fldChar w:fldCharType="end"/>
            </w:r>
          </w:hyperlink>
        </w:p>
        <w:p w14:paraId="6D5847DD" w14:textId="005C4B44" w:rsidR="00B973B3" w:rsidRPr="00B973B3" w:rsidRDefault="00B973B3" w:rsidP="00B973B3">
          <w:pPr>
            <w:pStyle w:val="TOC1"/>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09" w:history="1">
            <w:r w:rsidRPr="00B973B3">
              <w:rPr>
                <w:rStyle w:val="Hyperlink"/>
                <w:rFonts w:ascii="Arial" w:hAnsi="Arial"/>
                <w:noProof/>
                <w:lang w:val="en-GB"/>
              </w:rPr>
              <w:t>4. Strategic Financial Restructuring Plan</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_Toc237532209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18</w:t>
            </w:r>
            <w:r w:rsidRPr="00B973B3">
              <w:rPr>
                <w:rFonts w:ascii="Arial" w:hAnsi="Arial"/>
                <w:noProof/>
                <w:webHidden/>
              </w:rPr>
              <w:fldChar w:fldCharType="end"/>
            </w:r>
          </w:hyperlink>
        </w:p>
        <w:p w14:paraId="6EC9D089" w14:textId="38E74F53"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10" w:history="1">
            <w:r w:rsidRPr="00B973B3">
              <w:rPr>
                <w:rStyle w:val="Hyperlink"/>
                <w:rFonts w:ascii="Arial" w:hAnsi="Arial"/>
                <w:noProof/>
                <w:lang w:val="en-GB"/>
              </w:rPr>
              <w:t>4.1 Financial Restructuring Options</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_Toc237532210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18</w:t>
            </w:r>
            <w:r w:rsidRPr="00B973B3">
              <w:rPr>
                <w:rFonts w:ascii="Arial" w:hAnsi="Arial"/>
                <w:noProof/>
                <w:webHidden/>
              </w:rPr>
              <w:fldChar w:fldCharType="end"/>
            </w:r>
          </w:hyperlink>
        </w:p>
        <w:p w14:paraId="4F51FD4C" w14:textId="1805EF80"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11" w:history="1">
            <w:r w:rsidRPr="00B973B3">
              <w:rPr>
                <w:rStyle w:val="Hyperlink"/>
                <w:rFonts w:ascii="Arial" w:hAnsi="Arial"/>
                <w:noProof/>
                <w:lang w:val="en-GB"/>
              </w:rPr>
              <w:t>4.2 Impact on the Organisation</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_Toc237532211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19</w:t>
            </w:r>
            <w:r w:rsidRPr="00B973B3">
              <w:rPr>
                <w:rFonts w:ascii="Arial" w:hAnsi="Arial"/>
                <w:noProof/>
                <w:webHidden/>
              </w:rPr>
              <w:fldChar w:fldCharType="end"/>
            </w:r>
          </w:hyperlink>
        </w:p>
        <w:p w14:paraId="176F2B3F" w14:textId="41E0DA21"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12" w:history="1">
            <w:r w:rsidRPr="00B973B3">
              <w:rPr>
                <w:rStyle w:val="Hyperlink"/>
                <w:rFonts w:ascii="Arial" w:hAnsi="Arial"/>
                <w:noProof/>
                <w:lang w:val="en-GB"/>
              </w:rPr>
              <w:t>4.3 International and Ethical Considerations</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_Toc237532212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20</w:t>
            </w:r>
            <w:r w:rsidRPr="00B973B3">
              <w:rPr>
                <w:rFonts w:ascii="Arial" w:hAnsi="Arial"/>
                <w:noProof/>
                <w:webHidden/>
              </w:rPr>
              <w:fldChar w:fldCharType="end"/>
            </w:r>
          </w:hyperlink>
        </w:p>
        <w:p w14:paraId="1EDAD32D" w14:textId="73BB9146" w:rsidR="00B973B3" w:rsidRPr="00B973B3" w:rsidRDefault="00B973B3" w:rsidP="00B973B3">
          <w:pPr>
            <w:pStyle w:val="TOC1"/>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13" w:history="1">
            <w:r w:rsidRPr="00B973B3">
              <w:rPr>
                <w:rStyle w:val="Hyperlink"/>
                <w:rFonts w:ascii="Arial" w:hAnsi="Arial"/>
                <w:noProof/>
                <w:lang w:val="en-GB"/>
              </w:rPr>
              <w:t>5. Investment Appraisal and Capital Budgeting</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_Toc237532213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21</w:t>
            </w:r>
            <w:r w:rsidRPr="00B973B3">
              <w:rPr>
                <w:rFonts w:ascii="Arial" w:hAnsi="Arial"/>
                <w:noProof/>
                <w:webHidden/>
              </w:rPr>
              <w:fldChar w:fldCharType="end"/>
            </w:r>
          </w:hyperlink>
        </w:p>
        <w:p w14:paraId="4BE41D2B" w14:textId="743D353D"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14" w:history="1">
            <w:r w:rsidRPr="00B973B3">
              <w:rPr>
                <w:rStyle w:val="Hyperlink"/>
                <w:rFonts w:ascii="Arial" w:hAnsi="Arial"/>
                <w:noProof/>
                <w:lang w:val="en-GB"/>
              </w:rPr>
              <w:t>5.1 Payback Period</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_Toc237532214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21</w:t>
            </w:r>
            <w:r w:rsidRPr="00B973B3">
              <w:rPr>
                <w:rFonts w:ascii="Arial" w:hAnsi="Arial"/>
                <w:noProof/>
                <w:webHidden/>
              </w:rPr>
              <w:fldChar w:fldCharType="end"/>
            </w:r>
          </w:hyperlink>
        </w:p>
        <w:p w14:paraId="093FE0D4" w14:textId="36A860D5"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15" w:history="1">
            <w:r w:rsidRPr="00B973B3">
              <w:rPr>
                <w:rStyle w:val="Hyperlink"/>
                <w:rFonts w:ascii="Arial" w:hAnsi="Arial"/>
                <w:noProof/>
                <w:lang w:val="en-GB"/>
              </w:rPr>
              <w:t>5.2 Accounting Rate of Return (ARR)</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_Toc237532215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21</w:t>
            </w:r>
            <w:r w:rsidRPr="00B973B3">
              <w:rPr>
                <w:rFonts w:ascii="Arial" w:hAnsi="Arial"/>
                <w:noProof/>
                <w:webHidden/>
              </w:rPr>
              <w:fldChar w:fldCharType="end"/>
            </w:r>
          </w:hyperlink>
        </w:p>
        <w:p w14:paraId="72A0CF33" w14:textId="7687FF96"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16" w:history="1">
            <w:r w:rsidRPr="00B973B3">
              <w:rPr>
                <w:rStyle w:val="Hyperlink"/>
                <w:rFonts w:ascii="Arial" w:hAnsi="Arial"/>
                <w:noProof/>
                <w:lang w:val="en-GB"/>
              </w:rPr>
              <w:t>5.3 Net Present Value (NPV)</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_Toc237532216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21</w:t>
            </w:r>
            <w:r w:rsidRPr="00B973B3">
              <w:rPr>
                <w:rFonts w:ascii="Arial" w:hAnsi="Arial"/>
                <w:noProof/>
                <w:webHidden/>
              </w:rPr>
              <w:fldChar w:fldCharType="end"/>
            </w:r>
          </w:hyperlink>
        </w:p>
        <w:p w14:paraId="1E39BB7C" w14:textId="70BBAF3E"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17" w:history="1">
            <w:r w:rsidRPr="00B973B3">
              <w:rPr>
                <w:rStyle w:val="Hyperlink"/>
                <w:rFonts w:ascii="Arial" w:hAnsi="Arial"/>
                <w:noProof/>
                <w:lang w:val="en-GB"/>
              </w:rPr>
              <w:t>5.4 Profitability Index (PI)</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_Toc237532217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22</w:t>
            </w:r>
            <w:r w:rsidRPr="00B973B3">
              <w:rPr>
                <w:rFonts w:ascii="Arial" w:hAnsi="Arial"/>
                <w:noProof/>
                <w:webHidden/>
              </w:rPr>
              <w:fldChar w:fldCharType="end"/>
            </w:r>
          </w:hyperlink>
        </w:p>
        <w:p w14:paraId="27DA4383" w14:textId="6185CBAA"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18" w:history="1">
            <w:r w:rsidRPr="00B973B3">
              <w:rPr>
                <w:rStyle w:val="Hyperlink"/>
                <w:rFonts w:ascii="Arial" w:hAnsi="Arial"/>
                <w:noProof/>
                <w:lang w:val="en-GB"/>
              </w:rPr>
              <w:t>5.5 Internal Rate of Return (IRR)</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_Toc237532218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22</w:t>
            </w:r>
            <w:r w:rsidRPr="00B973B3">
              <w:rPr>
                <w:rFonts w:ascii="Arial" w:hAnsi="Arial"/>
                <w:noProof/>
                <w:webHidden/>
              </w:rPr>
              <w:fldChar w:fldCharType="end"/>
            </w:r>
          </w:hyperlink>
        </w:p>
        <w:p w14:paraId="7B5CCCA8" w14:textId="77EB36A1"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19" w:history="1">
            <w:r w:rsidRPr="00B973B3">
              <w:rPr>
                <w:rStyle w:val="Hyperlink"/>
                <w:rFonts w:ascii="Arial" w:hAnsi="Arial"/>
                <w:noProof/>
                <w:lang w:val="en-GB"/>
              </w:rPr>
              <w:t>5.6 Recommendation of the Best Project</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_Toc237532219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23</w:t>
            </w:r>
            <w:r w:rsidRPr="00B973B3">
              <w:rPr>
                <w:rFonts w:ascii="Arial" w:hAnsi="Arial"/>
                <w:noProof/>
                <w:webHidden/>
              </w:rPr>
              <w:fldChar w:fldCharType="end"/>
            </w:r>
          </w:hyperlink>
        </w:p>
        <w:p w14:paraId="32244198" w14:textId="102C3DDD"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20" w:history="1">
            <w:r w:rsidRPr="00B973B3">
              <w:rPr>
                <w:rStyle w:val="Hyperlink"/>
                <w:rFonts w:ascii="Arial" w:hAnsi="Arial"/>
                <w:noProof/>
                <w:lang w:val="en-GB"/>
              </w:rPr>
              <w:t>5.7 Capital Rationing</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_Toc237532220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23</w:t>
            </w:r>
            <w:r w:rsidRPr="00B973B3">
              <w:rPr>
                <w:rFonts w:ascii="Arial" w:hAnsi="Arial"/>
                <w:noProof/>
                <w:webHidden/>
              </w:rPr>
              <w:fldChar w:fldCharType="end"/>
            </w:r>
          </w:hyperlink>
        </w:p>
        <w:p w14:paraId="33F521BC" w14:textId="2A069512" w:rsidR="00B973B3" w:rsidRPr="00B973B3" w:rsidRDefault="00B973B3" w:rsidP="00B973B3">
          <w:pPr>
            <w:pStyle w:val="TOC1"/>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21" w:history="1">
            <w:r w:rsidRPr="00B973B3">
              <w:rPr>
                <w:rStyle w:val="Hyperlink"/>
                <w:rFonts w:ascii="Arial" w:hAnsi="Arial"/>
                <w:noProof/>
                <w:lang w:val="en-GB"/>
              </w:rPr>
              <w:t>6. Critical Reflection on AI Usage</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_Toc237532221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24</w:t>
            </w:r>
            <w:r w:rsidRPr="00B973B3">
              <w:rPr>
                <w:rFonts w:ascii="Arial" w:hAnsi="Arial"/>
                <w:noProof/>
                <w:webHidden/>
              </w:rPr>
              <w:fldChar w:fldCharType="end"/>
            </w:r>
          </w:hyperlink>
        </w:p>
        <w:p w14:paraId="5E1C0801" w14:textId="40400741"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22" w:history="1">
            <w:r w:rsidRPr="00B973B3">
              <w:rPr>
                <w:rStyle w:val="Hyperlink"/>
                <w:rFonts w:ascii="Arial" w:hAnsi="Arial"/>
                <w:noProof/>
                <w:lang w:val="en-GB"/>
              </w:rPr>
              <w:t>6.1 AI Tools Used</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_Toc237532222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24</w:t>
            </w:r>
            <w:r w:rsidRPr="00B973B3">
              <w:rPr>
                <w:rFonts w:ascii="Arial" w:hAnsi="Arial"/>
                <w:noProof/>
                <w:webHidden/>
              </w:rPr>
              <w:fldChar w:fldCharType="end"/>
            </w:r>
          </w:hyperlink>
        </w:p>
        <w:p w14:paraId="746BFEFA" w14:textId="3B1405FF"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23" w:history="1">
            <w:r w:rsidRPr="00B973B3">
              <w:rPr>
                <w:rStyle w:val="Hyperlink"/>
                <w:rFonts w:ascii="Arial" w:hAnsi="Arial"/>
                <w:noProof/>
                <w:lang w:val="en-GB"/>
              </w:rPr>
              <w:t>6.2 Evaluation of AI Output</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_Toc237532223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24</w:t>
            </w:r>
            <w:r w:rsidRPr="00B973B3">
              <w:rPr>
                <w:rFonts w:ascii="Arial" w:hAnsi="Arial"/>
                <w:noProof/>
                <w:webHidden/>
              </w:rPr>
              <w:fldChar w:fldCharType="end"/>
            </w:r>
          </w:hyperlink>
        </w:p>
        <w:p w14:paraId="6E21BD3F" w14:textId="76E7D1D1"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24" w:history="1">
            <w:r w:rsidRPr="00B973B3">
              <w:rPr>
                <w:rStyle w:val="Hyperlink"/>
                <w:rFonts w:ascii="Arial" w:hAnsi="Arial"/>
                <w:noProof/>
                <w:lang w:val="en-GB"/>
              </w:rPr>
              <w:t>6.3 Contribution Analysis</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_Toc237532224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25</w:t>
            </w:r>
            <w:r w:rsidRPr="00B973B3">
              <w:rPr>
                <w:rFonts w:ascii="Arial" w:hAnsi="Arial"/>
                <w:noProof/>
                <w:webHidden/>
              </w:rPr>
              <w:fldChar w:fldCharType="end"/>
            </w:r>
          </w:hyperlink>
        </w:p>
        <w:p w14:paraId="1F66009E" w14:textId="7CE17B2A"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25" w:history="1">
            <w:r w:rsidRPr="00B973B3">
              <w:rPr>
                <w:rStyle w:val="Hyperlink"/>
                <w:rFonts w:ascii="Arial" w:hAnsi="Arial"/>
                <w:noProof/>
                <w:lang w:val="en-GB"/>
              </w:rPr>
              <w:t>6.4 Ethical and Professional Reflection</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_Toc237532225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25</w:t>
            </w:r>
            <w:r w:rsidRPr="00B973B3">
              <w:rPr>
                <w:rFonts w:ascii="Arial" w:hAnsi="Arial"/>
                <w:noProof/>
                <w:webHidden/>
              </w:rPr>
              <w:fldChar w:fldCharType="end"/>
            </w:r>
          </w:hyperlink>
        </w:p>
        <w:p w14:paraId="27326213" w14:textId="18ED291A" w:rsidR="00B973B3" w:rsidRPr="00B973B3" w:rsidRDefault="00B973B3" w:rsidP="00B973B3">
          <w:pPr>
            <w:pStyle w:val="TOC1"/>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26" w:history="1">
            <w:r w:rsidRPr="00B973B3">
              <w:rPr>
                <w:rStyle w:val="Hyperlink"/>
                <w:rFonts w:ascii="Arial" w:hAnsi="Arial"/>
                <w:noProof/>
                <w:lang w:val="en-GB"/>
              </w:rPr>
              <w:t>7. Conclusion</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_Toc237532226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26</w:t>
            </w:r>
            <w:r w:rsidRPr="00B973B3">
              <w:rPr>
                <w:rFonts w:ascii="Arial" w:hAnsi="Arial"/>
                <w:noProof/>
                <w:webHidden/>
              </w:rPr>
              <w:fldChar w:fldCharType="end"/>
            </w:r>
          </w:hyperlink>
        </w:p>
        <w:p w14:paraId="52E940FA" w14:textId="281C0E94" w:rsidR="00B973B3" w:rsidRPr="00B973B3" w:rsidRDefault="00B973B3" w:rsidP="00B973B3">
          <w:pPr>
            <w:pStyle w:val="TOC1"/>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27" w:history="1">
            <w:r w:rsidRPr="00B973B3">
              <w:rPr>
                <w:rStyle w:val="Hyperlink"/>
                <w:rFonts w:ascii="Arial" w:hAnsi="Arial"/>
                <w:noProof/>
                <w:lang w:val="en-GB"/>
              </w:rPr>
              <w:t>References</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_Toc237532227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27</w:t>
            </w:r>
            <w:r w:rsidRPr="00B973B3">
              <w:rPr>
                <w:rFonts w:ascii="Arial" w:hAnsi="Arial"/>
                <w:noProof/>
                <w:webHidden/>
              </w:rPr>
              <w:fldChar w:fldCharType="end"/>
            </w:r>
          </w:hyperlink>
        </w:p>
        <w:p w14:paraId="596E9B00" w14:textId="4F41E09F" w:rsidR="00B973B3" w:rsidRPr="00B973B3" w:rsidRDefault="00B973B3" w:rsidP="00B973B3">
          <w:pPr>
            <w:pStyle w:val="TOC1"/>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28" w:history="1">
            <w:r w:rsidRPr="00B973B3">
              <w:rPr>
                <w:rStyle w:val="Hyperlink"/>
                <w:rFonts w:ascii="Arial" w:hAnsi="Arial"/>
                <w:noProof/>
                <w:lang w:val="en-GB"/>
              </w:rPr>
              <w:t>Appendices</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_Toc237532228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32</w:t>
            </w:r>
            <w:r w:rsidRPr="00B973B3">
              <w:rPr>
                <w:rFonts w:ascii="Arial" w:hAnsi="Arial"/>
                <w:noProof/>
                <w:webHidden/>
              </w:rPr>
              <w:fldChar w:fldCharType="end"/>
            </w:r>
          </w:hyperlink>
        </w:p>
        <w:p w14:paraId="033D2339" w14:textId="6443B560"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29" w:history="1">
            <w:r w:rsidRPr="00B973B3">
              <w:rPr>
                <w:rStyle w:val="Hyperlink"/>
                <w:rFonts w:ascii="Arial" w:hAnsi="Arial"/>
                <w:noProof/>
                <w:lang w:val="en-GB"/>
              </w:rPr>
              <w:t>Appendix 1: Ratio Calculations</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_Toc237532229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32</w:t>
            </w:r>
            <w:r w:rsidRPr="00B973B3">
              <w:rPr>
                <w:rFonts w:ascii="Arial" w:hAnsi="Arial"/>
                <w:noProof/>
                <w:webHidden/>
              </w:rPr>
              <w:fldChar w:fldCharType="end"/>
            </w:r>
          </w:hyperlink>
        </w:p>
        <w:p w14:paraId="5B7CFB7A" w14:textId="44E3ABEC" w:rsidR="00B973B3" w:rsidRPr="00B973B3" w:rsidRDefault="00B973B3" w:rsidP="00B973B3">
          <w:pPr>
            <w:pStyle w:val="TOC2"/>
            <w:tabs>
              <w:tab w:val="right" w:leader="dot" w:pos="9350"/>
            </w:tabs>
            <w:spacing w:before="240" w:after="240"/>
            <w:jc w:val="left"/>
            <w:rPr>
              <w:rFonts w:ascii="Arial" w:eastAsiaTheme="minorEastAsia" w:hAnsi="Arial" w:cstheme="minorBidi"/>
              <w:noProof/>
              <w:kern w:val="2"/>
              <w:szCs w:val="24"/>
              <w:lang w:val="en-IN" w:bidi="ar-SA"/>
              <w14:ligatures w14:val="standardContextual"/>
            </w:rPr>
          </w:pPr>
          <w:hyperlink w:anchor="_Toc237532230" w:history="1">
            <w:r w:rsidRPr="00B973B3">
              <w:rPr>
                <w:rStyle w:val="Hyperlink"/>
                <w:rFonts w:ascii="Arial" w:hAnsi="Arial"/>
                <w:noProof/>
                <w:lang w:val="en-GB"/>
              </w:rPr>
              <w:t>Appendix 2: Investment Appraisal Calculations</w:t>
            </w:r>
            <w:r w:rsidRPr="00B973B3">
              <w:rPr>
                <w:rFonts w:ascii="Arial" w:hAnsi="Arial"/>
                <w:noProof/>
                <w:webHidden/>
              </w:rPr>
              <w:tab/>
            </w:r>
            <w:r w:rsidRPr="00B973B3">
              <w:rPr>
                <w:rFonts w:ascii="Arial" w:hAnsi="Arial"/>
                <w:noProof/>
                <w:webHidden/>
              </w:rPr>
              <w:fldChar w:fldCharType="begin"/>
            </w:r>
            <w:r w:rsidRPr="00B973B3">
              <w:rPr>
                <w:rFonts w:ascii="Arial" w:hAnsi="Arial"/>
                <w:noProof/>
                <w:webHidden/>
              </w:rPr>
              <w:instrText xml:space="preserve"> PAGEREF _Toc237532230 \h </w:instrText>
            </w:r>
            <w:r w:rsidRPr="00B973B3">
              <w:rPr>
                <w:rFonts w:ascii="Arial" w:hAnsi="Arial"/>
                <w:noProof/>
                <w:webHidden/>
              </w:rPr>
            </w:r>
            <w:r w:rsidRPr="00B973B3">
              <w:rPr>
                <w:rFonts w:ascii="Arial" w:hAnsi="Arial"/>
                <w:noProof/>
                <w:webHidden/>
              </w:rPr>
              <w:fldChar w:fldCharType="separate"/>
            </w:r>
            <w:r w:rsidR="005A2209">
              <w:rPr>
                <w:rFonts w:ascii="Arial" w:hAnsi="Arial"/>
                <w:noProof/>
                <w:webHidden/>
              </w:rPr>
              <w:t>34</w:t>
            </w:r>
            <w:r w:rsidRPr="00B973B3">
              <w:rPr>
                <w:rFonts w:ascii="Arial" w:hAnsi="Arial"/>
                <w:noProof/>
                <w:webHidden/>
              </w:rPr>
              <w:fldChar w:fldCharType="end"/>
            </w:r>
          </w:hyperlink>
        </w:p>
        <w:p w14:paraId="01F76AC3" w14:textId="0E6A9165" w:rsidR="00B973B3" w:rsidRDefault="00B973B3" w:rsidP="00B973B3">
          <w:pPr>
            <w:spacing w:before="240" w:after="240"/>
            <w:jc w:val="left"/>
          </w:pPr>
          <w:r w:rsidRPr="00B973B3">
            <w:rPr>
              <w:rFonts w:ascii="Arial" w:hAnsi="Arial"/>
              <w:b/>
              <w:bCs/>
              <w:noProof/>
            </w:rPr>
            <w:fldChar w:fldCharType="end"/>
          </w:r>
        </w:p>
      </w:sdtContent>
    </w:sdt>
    <w:p w14:paraId="5454181B" w14:textId="77777777" w:rsidR="009F69B9" w:rsidRDefault="009F69B9">
      <w:pPr>
        <w:rPr>
          <w:rFonts w:ascii="Arial" w:hAnsi="Arial"/>
          <w:b/>
          <w:bCs/>
          <w:szCs w:val="28"/>
          <w:lang w:val="en-GB"/>
        </w:rPr>
      </w:pPr>
      <w:r>
        <w:rPr>
          <w:rFonts w:ascii="Arial" w:hAnsi="Arial"/>
          <w:lang w:val="en-GB"/>
        </w:rPr>
        <w:br w:type="page"/>
      </w:r>
    </w:p>
    <w:p w14:paraId="1B81564B" w14:textId="7B38FD23" w:rsidR="00804129" w:rsidRPr="00D52564" w:rsidRDefault="00346555" w:rsidP="00D52564">
      <w:pPr>
        <w:pStyle w:val="Heading1"/>
        <w:spacing w:before="240" w:after="240"/>
        <w:rPr>
          <w:rFonts w:ascii="Arial" w:hAnsi="Arial"/>
          <w:sz w:val="24"/>
          <w:lang w:val="en-GB"/>
        </w:rPr>
      </w:pPr>
      <w:bookmarkStart w:id="2" w:name="_Toc237532191"/>
      <w:r w:rsidRPr="00D52564">
        <w:rPr>
          <w:rFonts w:ascii="Arial" w:hAnsi="Arial"/>
          <w:sz w:val="24"/>
          <w:lang w:val="en-GB"/>
        </w:rPr>
        <w:lastRenderedPageBreak/>
        <w:t>1. Introduction</w:t>
      </w:r>
      <w:bookmarkEnd w:id="0"/>
      <w:bookmarkEnd w:id="1"/>
      <w:bookmarkEnd w:id="2"/>
    </w:p>
    <w:p w14:paraId="5DF6F9B6" w14:textId="77777777" w:rsidR="00804129" w:rsidRPr="00D52564" w:rsidRDefault="00804129" w:rsidP="00D52564">
      <w:pPr>
        <w:pStyle w:val="Heading2"/>
        <w:spacing w:before="240" w:after="240"/>
        <w:rPr>
          <w:rFonts w:ascii="Arial" w:hAnsi="Arial"/>
          <w:sz w:val="24"/>
          <w:lang w:val="en-GB"/>
        </w:rPr>
      </w:pPr>
      <w:bookmarkStart w:id="3" w:name="_Toc236179758"/>
      <w:bookmarkStart w:id="4" w:name="_Toc236250004"/>
      <w:bookmarkStart w:id="5" w:name="_Toc237532192"/>
      <w:r w:rsidRPr="00D52564">
        <w:rPr>
          <w:rFonts w:ascii="Arial" w:hAnsi="Arial"/>
          <w:sz w:val="24"/>
          <w:lang w:val="en-GB"/>
        </w:rPr>
        <w:t>1.1 Overview of Wyndham Hotels and Resorts</w:t>
      </w:r>
      <w:bookmarkEnd w:id="3"/>
      <w:bookmarkEnd w:id="4"/>
      <w:bookmarkEnd w:id="5"/>
    </w:p>
    <w:p w14:paraId="6578B607" w14:textId="16213EA5" w:rsidR="00A75A63" w:rsidRPr="00D52564" w:rsidRDefault="00A476DC" w:rsidP="00D52564">
      <w:pPr>
        <w:spacing w:before="240" w:after="240"/>
        <w:rPr>
          <w:rFonts w:ascii="Arial" w:hAnsi="Arial"/>
          <w:lang w:val="en-GB"/>
        </w:rPr>
      </w:pPr>
      <w:r w:rsidRPr="00D52564">
        <w:rPr>
          <w:rFonts w:ascii="Arial" w:hAnsi="Arial"/>
          <w:lang w:val="en-GB"/>
        </w:rPr>
        <w:t xml:space="preserve">The selected company for this report is Wyndham </w:t>
      </w:r>
      <w:r w:rsidR="00A75A63" w:rsidRPr="00D52564">
        <w:rPr>
          <w:rFonts w:ascii="Arial" w:hAnsi="Arial"/>
          <w:lang w:val="en-GB"/>
        </w:rPr>
        <w:t xml:space="preserve">Hotels and </w:t>
      </w:r>
      <w:r w:rsidR="003A0882" w:rsidRPr="00D52564">
        <w:rPr>
          <w:rFonts w:ascii="Arial" w:hAnsi="Arial"/>
          <w:lang w:val="en-GB"/>
        </w:rPr>
        <w:t>Resorts,</w:t>
      </w:r>
      <w:r w:rsidR="00A75A63" w:rsidRPr="00D52564">
        <w:rPr>
          <w:rFonts w:ascii="Arial" w:hAnsi="Arial"/>
          <w:lang w:val="en-GB"/>
        </w:rPr>
        <w:t xml:space="preserve"> which is a leading firm in the </w:t>
      </w:r>
      <w:r w:rsidR="003A0882" w:rsidRPr="00D52564">
        <w:rPr>
          <w:rFonts w:ascii="Arial" w:hAnsi="Arial"/>
          <w:lang w:val="en-GB"/>
        </w:rPr>
        <w:t>hotel franchising industry</w:t>
      </w:r>
      <w:r w:rsidR="00084E49" w:rsidRPr="00D52564">
        <w:rPr>
          <w:rFonts w:ascii="Arial" w:hAnsi="Arial"/>
          <w:lang w:val="en-GB"/>
        </w:rPr>
        <w:t xml:space="preserve">. </w:t>
      </w:r>
      <w:r w:rsidR="003A0882" w:rsidRPr="00D52564">
        <w:rPr>
          <w:rFonts w:ascii="Arial" w:hAnsi="Arial"/>
          <w:lang w:val="en-GB"/>
        </w:rPr>
        <w:t xml:space="preserve">The US-based company has a large operational scale through its asset-light franchising business model. It operates in more than 100 countries with over 8,300 hotels and almost 873,000 current rooms (Wyndham, 2026a). </w:t>
      </w:r>
      <w:r w:rsidR="00F76421" w:rsidRPr="00D52564">
        <w:rPr>
          <w:rFonts w:ascii="Arial" w:hAnsi="Arial"/>
          <w:lang w:val="en-GB"/>
        </w:rPr>
        <w:t>The large operational scale of the firm has enabled it to operate with lower asset requirements</w:t>
      </w:r>
      <w:r w:rsidR="00C347F3" w:rsidRPr="00D52564">
        <w:rPr>
          <w:rFonts w:ascii="Arial" w:hAnsi="Arial"/>
          <w:lang w:val="en-GB"/>
        </w:rPr>
        <w:t xml:space="preserve"> while offering positive revenue and profits. In addition to this, </w:t>
      </w:r>
      <w:r w:rsidR="00F76421" w:rsidRPr="00D52564">
        <w:rPr>
          <w:rFonts w:ascii="Arial" w:hAnsi="Arial"/>
          <w:lang w:val="en-GB"/>
        </w:rPr>
        <w:t xml:space="preserve">the operational efficiency and strategic capabilities of the firm have helped the business recover </w:t>
      </w:r>
      <w:r w:rsidR="00C347F3" w:rsidRPr="00D52564">
        <w:rPr>
          <w:rFonts w:ascii="Arial" w:hAnsi="Arial"/>
          <w:lang w:val="en-GB"/>
        </w:rPr>
        <w:t xml:space="preserve">after the COVID-19 pandemic. </w:t>
      </w:r>
    </w:p>
    <w:p w14:paraId="4F97C1D4" w14:textId="77777777" w:rsidR="00C347F3" w:rsidRPr="00D52564" w:rsidRDefault="00804129" w:rsidP="00D52564">
      <w:pPr>
        <w:pStyle w:val="Heading2"/>
        <w:spacing w:before="240" w:after="240"/>
        <w:rPr>
          <w:rFonts w:ascii="Arial" w:hAnsi="Arial"/>
          <w:sz w:val="24"/>
          <w:lang w:val="en-GB"/>
        </w:rPr>
      </w:pPr>
      <w:bookmarkStart w:id="6" w:name="_Toc236179759"/>
      <w:bookmarkStart w:id="7" w:name="_Toc236250005"/>
      <w:bookmarkStart w:id="8" w:name="_Toc237532193"/>
      <w:r w:rsidRPr="00D52564">
        <w:rPr>
          <w:rFonts w:ascii="Arial" w:hAnsi="Arial"/>
          <w:sz w:val="24"/>
          <w:lang w:val="en-GB"/>
        </w:rPr>
        <w:t>1.2 Purpose of the Report</w:t>
      </w:r>
      <w:bookmarkEnd w:id="6"/>
      <w:bookmarkEnd w:id="7"/>
      <w:bookmarkEnd w:id="8"/>
    </w:p>
    <w:p w14:paraId="56AB4024" w14:textId="78066C19" w:rsidR="00704D97" w:rsidRPr="00D52564" w:rsidRDefault="00C347F3" w:rsidP="00D52564">
      <w:pPr>
        <w:spacing w:before="240" w:after="240"/>
        <w:rPr>
          <w:rFonts w:ascii="Arial" w:hAnsi="Arial"/>
          <w:lang w:val="en-GB"/>
        </w:rPr>
      </w:pPr>
      <w:r w:rsidRPr="00D52564">
        <w:rPr>
          <w:rFonts w:ascii="Arial" w:hAnsi="Arial"/>
          <w:lang w:val="en-GB"/>
        </w:rPr>
        <w:t xml:space="preserve">This report aims to </w:t>
      </w:r>
      <w:r w:rsidR="00F76421" w:rsidRPr="00D52564">
        <w:rPr>
          <w:rFonts w:ascii="Arial" w:hAnsi="Arial"/>
          <w:lang w:val="en-GB"/>
        </w:rPr>
        <w:t>analyse the firm's financial performance over the last five years, alongside its working capital management, available financial restructuring options and suitable investment opportunities</w:t>
      </w:r>
      <w:r w:rsidR="007A50A3" w:rsidRPr="00D52564">
        <w:rPr>
          <w:rFonts w:ascii="Arial" w:hAnsi="Arial"/>
          <w:lang w:val="en-GB"/>
        </w:rPr>
        <w:t xml:space="preserve">. The financial analysis of the firm using relevant ratios will help to summarise the key trends in performance, strengths and potential threats to the firm. In addition to this, the study will also involve </w:t>
      </w:r>
      <w:r w:rsidR="00386546" w:rsidRPr="00D52564">
        <w:rPr>
          <w:rFonts w:ascii="Arial" w:hAnsi="Arial"/>
          <w:lang w:val="en-GB"/>
        </w:rPr>
        <w:t xml:space="preserve">an </w:t>
      </w:r>
      <w:r w:rsidR="007A50A3" w:rsidRPr="00D52564">
        <w:rPr>
          <w:rFonts w:ascii="Arial" w:hAnsi="Arial"/>
          <w:lang w:val="en-GB"/>
        </w:rPr>
        <w:t xml:space="preserve">assessment of the cash operating cycle and </w:t>
      </w:r>
      <w:r w:rsidR="00F76421" w:rsidRPr="00D52564">
        <w:rPr>
          <w:rFonts w:ascii="Arial" w:hAnsi="Arial"/>
          <w:lang w:val="en-GB"/>
        </w:rPr>
        <w:t>develop strategies to improve the firm's liquidity</w:t>
      </w:r>
      <w:r w:rsidR="007A50A3" w:rsidRPr="00D52564">
        <w:rPr>
          <w:rFonts w:ascii="Arial" w:hAnsi="Arial"/>
          <w:lang w:val="en-GB"/>
        </w:rPr>
        <w:t>. Apart from this, the study will also include a financial restructuring plan that will address the potential threats related to the existing capital structure. Three investment projects will also be analysed using different investment appraisal methods to select the most suitable investment option for the firm.</w:t>
      </w:r>
      <w:bookmarkStart w:id="9" w:name="_Toc236179760"/>
    </w:p>
    <w:p w14:paraId="00000006" w14:textId="3FA922DD" w:rsidR="003F35A2" w:rsidRPr="00D52564" w:rsidRDefault="00346555" w:rsidP="00D52564">
      <w:pPr>
        <w:pStyle w:val="Heading1"/>
        <w:spacing w:before="240" w:after="240"/>
        <w:rPr>
          <w:rFonts w:ascii="Arial" w:hAnsi="Arial"/>
          <w:sz w:val="24"/>
          <w:lang w:val="en-GB"/>
        </w:rPr>
      </w:pPr>
      <w:bookmarkStart w:id="10" w:name="_Toc236250006"/>
      <w:bookmarkStart w:id="11" w:name="_Toc237532194"/>
      <w:r w:rsidRPr="00D52564">
        <w:rPr>
          <w:rFonts w:ascii="Arial" w:hAnsi="Arial"/>
          <w:sz w:val="24"/>
          <w:lang w:val="en-GB"/>
        </w:rPr>
        <w:t>2. Financial Health Check</w:t>
      </w:r>
      <w:bookmarkEnd w:id="9"/>
      <w:bookmarkEnd w:id="10"/>
      <w:bookmarkEnd w:id="11"/>
    </w:p>
    <w:p w14:paraId="00000007" w14:textId="4F2A5E25" w:rsidR="003F35A2" w:rsidRPr="00D52564" w:rsidRDefault="00346555" w:rsidP="00D52564">
      <w:pPr>
        <w:pStyle w:val="Heading2"/>
        <w:spacing w:before="240" w:after="240"/>
        <w:rPr>
          <w:rFonts w:ascii="Arial" w:hAnsi="Arial"/>
          <w:sz w:val="24"/>
          <w:lang w:val="en-GB"/>
        </w:rPr>
      </w:pPr>
      <w:bookmarkStart w:id="12" w:name="_k6me3s6pqp8x" w:colFirst="0" w:colLast="0"/>
      <w:bookmarkStart w:id="13" w:name="_Toc236179761"/>
      <w:bookmarkStart w:id="14" w:name="_Toc236250007"/>
      <w:bookmarkStart w:id="15" w:name="_Toc237532195"/>
      <w:bookmarkEnd w:id="12"/>
      <w:r w:rsidRPr="00D52564">
        <w:rPr>
          <w:rFonts w:ascii="Arial" w:hAnsi="Arial"/>
          <w:sz w:val="24"/>
          <w:lang w:val="en-GB"/>
        </w:rPr>
        <w:t xml:space="preserve">2.1 Financial </w:t>
      </w:r>
      <w:r w:rsidR="00BA38DE" w:rsidRPr="00D52564">
        <w:rPr>
          <w:rFonts w:ascii="Arial" w:hAnsi="Arial"/>
          <w:sz w:val="24"/>
          <w:lang w:val="en-GB"/>
        </w:rPr>
        <w:t xml:space="preserve">Performance </w:t>
      </w:r>
      <w:r w:rsidRPr="00D52564">
        <w:rPr>
          <w:rFonts w:ascii="Arial" w:hAnsi="Arial"/>
          <w:sz w:val="24"/>
          <w:lang w:val="en-GB"/>
        </w:rPr>
        <w:t>Analysis</w:t>
      </w:r>
      <w:bookmarkEnd w:id="13"/>
      <w:bookmarkEnd w:id="14"/>
      <w:bookmarkEnd w:id="15"/>
    </w:p>
    <w:p w14:paraId="20A8AE44" w14:textId="47B0908A" w:rsidR="00BA38DE" w:rsidRPr="00D52564" w:rsidRDefault="00BA38DE" w:rsidP="00D52564">
      <w:pPr>
        <w:spacing w:before="240" w:after="240"/>
        <w:rPr>
          <w:rFonts w:ascii="Arial" w:hAnsi="Arial"/>
          <w:lang w:val="en-GB"/>
        </w:rPr>
      </w:pPr>
      <w:r w:rsidRPr="00D52564">
        <w:rPr>
          <w:rFonts w:ascii="Arial" w:hAnsi="Arial"/>
          <w:lang w:val="en-GB"/>
        </w:rPr>
        <w:t xml:space="preserve">Wyndham Hotels &amp; Resorts' asset-light franchise business model </w:t>
      </w:r>
      <w:r w:rsidR="00F76421" w:rsidRPr="00D52564">
        <w:rPr>
          <w:rFonts w:ascii="Arial" w:hAnsi="Arial"/>
          <w:lang w:val="en-GB"/>
        </w:rPr>
        <w:t>has been one of the key reasons for its impressive recovery</w:t>
      </w:r>
      <w:r w:rsidRPr="00D52564">
        <w:rPr>
          <w:rFonts w:ascii="Arial" w:hAnsi="Arial"/>
          <w:lang w:val="en-GB"/>
        </w:rPr>
        <w:t xml:space="preserve"> over the past five years from the COVID-19 pandemic. </w:t>
      </w:r>
      <w:r w:rsidR="00F76421" w:rsidRPr="00D52564">
        <w:rPr>
          <w:rFonts w:ascii="Arial" w:hAnsi="Arial"/>
          <w:lang w:val="en-GB"/>
        </w:rPr>
        <w:t>The firm reported revenue of $392 million</w:t>
      </w:r>
      <w:r w:rsidRPr="00D52564">
        <w:rPr>
          <w:rFonts w:ascii="Arial" w:hAnsi="Arial"/>
          <w:lang w:val="en-GB"/>
        </w:rPr>
        <w:t xml:space="preserve"> in the year 2021, which significantly increased to nearly $1.4bn for the year 2025 (Wyndham, 2023; Wyndham, 2026</w:t>
      </w:r>
      <w:r w:rsidR="003A0882" w:rsidRPr="00D52564">
        <w:rPr>
          <w:rFonts w:ascii="Arial" w:hAnsi="Arial"/>
          <w:lang w:val="en-GB"/>
        </w:rPr>
        <w:t>b</w:t>
      </w:r>
      <w:r w:rsidRPr="00D52564">
        <w:rPr>
          <w:rFonts w:ascii="Arial" w:hAnsi="Arial"/>
          <w:lang w:val="en-GB"/>
        </w:rPr>
        <w:t xml:space="preserve">). The </w:t>
      </w:r>
      <w:r w:rsidRPr="00D52564">
        <w:rPr>
          <w:rFonts w:ascii="Arial" w:hAnsi="Arial"/>
          <w:lang w:val="en-GB"/>
        </w:rPr>
        <w:lastRenderedPageBreak/>
        <w:t xml:space="preserve">increasing and sustained growth in revenue generation indicates </w:t>
      </w:r>
      <w:r w:rsidR="00F76421" w:rsidRPr="00D52564">
        <w:rPr>
          <w:rFonts w:ascii="Arial" w:hAnsi="Arial"/>
          <w:lang w:val="en-GB"/>
        </w:rPr>
        <w:t xml:space="preserve">the company's ability to effectively implement its franchise business model </w:t>
      </w:r>
      <w:r w:rsidRPr="00D52564">
        <w:rPr>
          <w:rFonts w:ascii="Arial" w:hAnsi="Arial"/>
          <w:lang w:val="en-GB"/>
        </w:rPr>
        <w:t>and deal with the negative aspects of the hospitality market.</w:t>
      </w:r>
    </w:p>
    <w:p w14:paraId="3290DD99" w14:textId="34A7B3C7" w:rsidR="000D65C0" w:rsidRPr="00D52564" w:rsidRDefault="00415F35" w:rsidP="009F69B9">
      <w:pPr>
        <w:spacing w:before="240" w:after="240"/>
        <w:jc w:val="center"/>
        <w:rPr>
          <w:rFonts w:ascii="Arial" w:hAnsi="Arial"/>
          <w:lang w:val="en-GB"/>
        </w:rPr>
      </w:pPr>
      <w:r w:rsidRPr="00D52564">
        <w:rPr>
          <w:rFonts w:ascii="Arial" w:hAnsi="Arial"/>
          <w:noProof/>
          <w:lang w:val="en-GB"/>
        </w:rPr>
        <w:drawing>
          <wp:inline distT="0" distB="0" distL="0" distR="0" wp14:anchorId="20B12EBC" wp14:editId="6F02E43F">
            <wp:extent cx="4382931" cy="2634615"/>
            <wp:effectExtent l="0" t="0" r="0" b="0"/>
            <wp:docPr id="9309003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90279" cy="2639032"/>
                    </a:xfrm>
                    <a:prstGeom prst="rect">
                      <a:avLst/>
                    </a:prstGeom>
                    <a:noFill/>
                  </pic:spPr>
                </pic:pic>
              </a:graphicData>
            </a:graphic>
          </wp:inline>
        </w:drawing>
      </w:r>
    </w:p>
    <w:p w14:paraId="5696BFA1" w14:textId="0FDD682B" w:rsidR="00415F35" w:rsidRPr="00D52564" w:rsidRDefault="00415F35" w:rsidP="009F69B9">
      <w:pPr>
        <w:spacing w:before="240" w:after="240"/>
        <w:jc w:val="center"/>
        <w:rPr>
          <w:rFonts w:ascii="Arial" w:hAnsi="Arial"/>
          <w:b/>
          <w:bCs/>
          <w:lang w:val="en-GB"/>
        </w:rPr>
      </w:pPr>
      <w:r w:rsidRPr="00D52564">
        <w:rPr>
          <w:rFonts w:ascii="Arial" w:hAnsi="Arial"/>
          <w:b/>
          <w:bCs/>
          <w:lang w:val="en-GB"/>
        </w:rPr>
        <w:t>Figure 1: Revenue Trends of Wyndham Hotels and Resorts</w:t>
      </w:r>
    </w:p>
    <w:p w14:paraId="796FF1A8" w14:textId="09116E2A" w:rsidR="00415F35" w:rsidRPr="00D52564" w:rsidRDefault="00415F35" w:rsidP="009F69B9">
      <w:pPr>
        <w:spacing w:before="240" w:after="240"/>
        <w:jc w:val="center"/>
        <w:rPr>
          <w:rFonts w:ascii="Arial" w:hAnsi="Arial"/>
          <w:lang w:val="en-GB"/>
        </w:rPr>
      </w:pPr>
      <w:r w:rsidRPr="00D52564">
        <w:rPr>
          <w:rFonts w:ascii="Arial" w:hAnsi="Arial"/>
          <w:lang w:val="en-GB"/>
        </w:rPr>
        <w:t>(Source: Excel Output)</w:t>
      </w:r>
    </w:p>
    <w:p w14:paraId="02EFC1BD" w14:textId="382769C4" w:rsidR="00415F35" w:rsidRPr="00D52564" w:rsidRDefault="00415F35" w:rsidP="009F69B9">
      <w:pPr>
        <w:spacing w:before="240" w:after="240"/>
        <w:jc w:val="center"/>
        <w:rPr>
          <w:rFonts w:ascii="Arial" w:hAnsi="Arial"/>
          <w:lang w:val="en-GB"/>
        </w:rPr>
      </w:pPr>
      <w:r w:rsidRPr="00D52564">
        <w:rPr>
          <w:rFonts w:ascii="Arial" w:hAnsi="Arial"/>
          <w:noProof/>
          <w:lang w:val="en-GB"/>
        </w:rPr>
        <w:drawing>
          <wp:inline distT="0" distB="0" distL="0" distR="0" wp14:anchorId="0D6CFEAF" wp14:editId="14349859">
            <wp:extent cx="4308874" cy="2594610"/>
            <wp:effectExtent l="0" t="0" r="0" b="0"/>
            <wp:docPr id="592095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15569" cy="2598641"/>
                    </a:xfrm>
                    <a:prstGeom prst="rect">
                      <a:avLst/>
                    </a:prstGeom>
                    <a:noFill/>
                  </pic:spPr>
                </pic:pic>
              </a:graphicData>
            </a:graphic>
          </wp:inline>
        </w:drawing>
      </w:r>
    </w:p>
    <w:p w14:paraId="10921F3A" w14:textId="4D972D6E" w:rsidR="00415F35" w:rsidRPr="00D52564" w:rsidRDefault="00415F35" w:rsidP="009F69B9">
      <w:pPr>
        <w:spacing w:before="240" w:after="240"/>
        <w:jc w:val="center"/>
        <w:rPr>
          <w:rFonts w:ascii="Arial" w:hAnsi="Arial"/>
          <w:b/>
          <w:bCs/>
          <w:lang w:val="en-GB"/>
        </w:rPr>
      </w:pPr>
      <w:r w:rsidRPr="00D52564">
        <w:rPr>
          <w:rFonts w:ascii="Arial" w:hAnsi="Arial"/>
          <w:b/>
          <w:bCs/>
          <w:lang w:val="en-GB"/>
        </w:rPr>
        <w:t>Figure 2: Net Profit Trends of Wyndham Hotels and Resorts</w:t>
      </w:r>
    </w:p>
    <w:p w14:paraId="07061CF9" w14:textId="2360C4C0" w:rsidR="00415F35" w:rsidRPr="00D52564" w:rsidRDefault="00415F35" w:rsidP="009F69B9">
      <w:pPr>
        <w:spacing w:before="240" w:after="240"/>
        <w:jc w:val="center"/>
        <w:rPr>
          <w:rFonts w:ascii="Arial" w:hAnsi="Arial"/>
          <w:lang w:val="en-GB"/>
        </w:rPr>
      </w:pPr>
      <w:r w:rsidRPr="00D52564">
        <w:rPr>
          <w:rFonts w:ascii="Arial" w:hAnsi="Arial"/>
          <w:lang w:val="en-GB"/>
        </w:rPr>
        <w:t>(Source: Excel Output)</w:t>
      </w:r>
    </w:p>
    <w:p w14:paraId="21B415E0" w14:textId="72BE0174" w:rsidR="00BC5464" w:rsidRPr="00D52564" w:rsidRDefault="00BA38DE" w:rsidP="00D52564">
      <w:pPr>
        <w:spacing w:before="240" w:after="240"/>
        <w:rPr>
          <w:rFonts w:ascii="Arial" w:hAnsi="Arial"/>
          <w:lang w:val="en-GB"/>
        </w:rPr>
      </w:pPr>
      <w:r w:rsidRPr="00D52564">
        <w:rPr>
          <w:rFonts w:ascii="Arial" w:hAnsi="Arial"/>
          <w:lang w:val="en-GB"/>
        </w:rPr>
        <w:lastRenderedPageBreak/>
        <w:t>In terms of profitability, the company has</w:t>
      </w:r>
      <w:r w:rsidR="00DE0F78" w:rsidRPr="00D52564">
        <w:rPr>
          <w:rFonts w:ascii="Arial" w:hAnsi="Arial"/>
          <w:lang w:val="en-GB"/>
        </w:rPr>
        <w:t xml:space="preserve"> also </w:t>
      </w:r>
      <w:r w:rsidRPr="00D52564">
        <w:rPr>
          <w:rFonts w:ascii="Arial" w:hAnsi="Arial"/>
          <w:lang w:val="en-GB"/>
        </w:rPr>
        <w:t xml:space="preserve">shown recovery </w:t>
      </w:r>
      <w:r w:rsidR="00415F35" w:rsidRPr="00D52564">
        <w:rPr>
          <w:rFonts w:ascii="Arial" w:hAnsi="Arial"/>
          <w:lang w:val="en-GB"/>
        </w:rPr>
        <w:t xml:space="preserve">after the </w:t>
      </w:r>
      <w:r w:rsidR="00DE0F78" w:rsidRPr="00D52564">
        <w:rPr>
          <w:rFonts w:ascii="Arial" w:hAnsi="Arial"/>
          <w:lang w:val="en-GB"/>
        </w:rPr>
        <w:t>pandemic</w:t>
      </w:r>
      <w:r w:rsidR="00BC5464" w:rsidRPr="00D52564">
        <w:rPr>
          <w:rFonts w:ascii="Arial" w:hAnsi="Arial"/>
          <w:lang w:val="en-GB"/>
        </w:rPr>
        <w:t>,</w:t>
      </w:r>
      <w:r w:rsidR="00415F35" w:rsidRPr="00D52564">
        <w:rPr>
          <w:rFonts w:ascii="Arial" w:hAnsi="Arial"/>
          <w:lang w:val="en-GB"/>
        </w:rPr>
        <w:t xml:space="preserve"> </w:t>
      </w:r>
      <w:r w:rsidRPr="00D52564">
        <w:rPr>
          <w:rFonts w:ascii="Arial" w:hAnsi="Arial"/>
          <w:lang w:val="en-GB"/>
        </w:rPr>
        <w:t xml:space="preserve">as it generated </w:t>
      </w:r>
      <w:r w:rsidR="00DE0F78" w:rsidRPr="00D52564">
        <w:rPr>
          <w:rFonts w:ascii="Arial" w:hAnsi="Arial"/>
          <w:lang w:val="en-GB"/>
        </w:rPr>
        <w:t xml:space="preserve">$48 million </w:t>
      </w:r>
      <w:r w:rsidRPr="00D52564">
        <w:rPr>
          <w:rFonts w:ascii="Arial" w:hAnsi="Arial"/>
          <w:lang w:val="en-GB"/>
        </w:rPr>
        <w:t xml:space="preserve">in terms of net income </w:t>
      </w:r>
      <w:r w:rsidR="00BC5464" w:rsidRPr="00D52564">
        <w:rPr>
          <w:rFonts w:ascii="Arial" w:hAnsi="Arial"/>
          <w:lang w:val="en-GB"/>
        </w:rPr>
        <w:t>in</w:t>
      </w:r>
      <w:r w:rsidRPr="00D52564">
        <w:rPr>
          <w:rFonts w:ascii="Arial" w:hAnsi="Arial"/>
          <w:lang w:val="en-GB"/>
        </w:rPr>
        <w:t xml:space="preserve"> </w:t>
      </w:r>
      <w:r w:rsidR="00DE0F78" w:rsidRPr="00D52564">
        <w:rPr>
          <w:rFonts w:ascii="Arial" w:hAnsi="Arial"/>
          <w:lang w:val="en-GB"/>
        </w:rPr>
        <w:t>2021</w:t>
      </w:r>
      <w:r w:rsidR="00BC5464" w:rsidRPr="00D52564">
        <w:rPr>
          <w:rFonts w:ascii="Arial" w:hAnsi="Arial"/>
          <w:lang w:val="en-GB"/>
        </w:rPr>
        <w:t>,</w:t>
      </w:r>
      <w:r w:rsidR="00DE0F78" w:rsidRPr="00D52564">
        <w:rPr>
          <w:rFonts w:ascii="Arial" w:hAnsi="Arial"/>
          <w:lang w:val="en-GB"/>
        </w:rPr>
        <w:t xml:space="preserve"> </w:t>
      </w:r>
      <w:r w:rsidRPr="00D52564">
        <w:rPr>
          <w:rFonts w:ascii="Arial" w:hAnsi="Arial"/>
          <w:lang w:val="en-GB"/>
        </w:rPr>
        <w:t>which further</w:t>
      </w:r>
      <w:r w:rsidR="00BC5464" w:rsidRPr="00D52564">
        <w:rPr>
          <w:rFonts w:ascii="Arial" w:hAnsi="Arial"/>
          <w:lang w:val="en-GB"/>
        </w:rPr>
        <w:t xml:space="preserve"> increased to</w:t>
      </w:r>
      <w:r w:rsidRPr="00D52564">
        <w:rPr>
          <w:rFonts w:ascii="Arial" w:hAnsi="Arial"/>
          <w:lang w:val="en-GB"/>
        </w:rPr>
        <w:t xml:space="preserve"> </w:t>
      </w:r>
      <w:r w:rsidR="00DE0F78" w:rsidRPr="00D52564">
        <w:rPr>
          <w:rFonts w:ascii="Arial" w:hAnsi="Arial"/>
          <w:lang w:val="en-GB"/>
        </w:rPr>
        <w:t>$355 million in 2022</w:t>
      </w:r>
      <w:r w:rsidR="00B80888" w:rsidRPr="00D52564">
        <w:rPr>
          <w:rFonts w:ascii="Arial" w:hAnsi="Arial"/>
          <w:lang w:val="en-GB"/>
        </w:rPr>
        <w:t xml:space="preserve"> (Wyndham, 2023)</w:t>
      </w:r>
      <w:r w:rsidR="00BC5464" w:rsidRPr="00D52564">
        <w:rPr>
          <w:rFonts w:ascii="Arial" w:hAnsi="Arial"/>
          <w:lang w:val="en-GB"/>
        </w:rPr>
        <w:t xml:space="preserve">. However, </w:t>
      </w:r>
      <w:r w:rsidR="001C433A" w:rsidRPr="00D52564">
        <w:rPr>
          <w:rFonts w:ascii="Arial" w:hAnsi="Arial"/>
          <w:lang w:val="en-GB"/>
        </w:rPr>
        <w:t xml:space="preserve">the annual report for the period 2025 shows a </w:t>
      </w:r>
      <w:r w:rsidR="00F76421" w:rsidRPr="00D52564">
        <w:rPr>
          <w:rFonts w:ascii="Arial" w:hAnsi="Arial"/>
          <w:lang w:val="en-GB"/>
        </w:rPr>
        <w:t>decrease in net income to $193 million</w:t>
      </w:r>
      <w:r w:rsidR="00BC5464" w:rsidRPr="00D52564">
        <w:rPr>
          <w:rFonts w:ascii="Arial" w:hAnsi="Arial"/>
          <w:lang w:val="en-GB"/>
        </w:rPr>
        <w:t xml:space="preserve">, as the earnings during this period </w:t>
      </w:r>
      <w:r w:rsidR="00DE0F78" w:rsidRPr="00D52564">
        <w:rPr>
          <w:rFonts w:ascii="Arial" w:hAnsi="Arial"/>
          <w:lang w:val="en-GB"/>
        </w:rPr>
        <w:t>were driven mainly by non-cash impairment and restructuring costs</w:t>
      </w:r>
      <w:r w:rsidR="00BC5464" w:rsidRPr="00D52564">
        <w:rPr>
          <w:rFonts w:ascii="Arial" w:hAnsi="Arial"/>
          <w:lang w:val="en-GB"/>
        </w:rPr>
        <w:t xml:space="preserve"> of the firm rather than a decline in operational activities</w:t>
      </w:r>
      <w:r w:rsidR="00DE0F78" w:rsidRPr="00D52564">
        <w:rPr>
          <w:rFonts w:ascii="Arial" w:hAnsi="Arial"/>
          <w:lang w:val="en-GB"/>
        </w:rPr>
        <w:t xml:space="preserve">. </w:t>
      </w:r>
    </w:p>
    <w:p w14:paraId="5DEEAEFC" w14:textId="0AC0BC6A" w:rsidR="00BC5464" w:rsidRPr="00D52564" w:rsidRDefault="00B158E5" w:rsidP="009F69B9">
      <w:pPr>
        <w:spacing w:before="240" w:after="240"/>
        <w:jc w:val="center"/>
        <w:rPr>
          <w:rFonts w:ascii="Arial" w:hAnsi="Arial"/>
          <w:lang w:val="en-GB"/>
        </w:rPr>
      </w:pPr>
      <w:r w:rsidRPr="00D52564">
        <w:rPr>
          <w:rFonts w:ascii="Arial" w:hAnsi="Arial"/>
          <w:noProof/>
          <w:lang w:val="en-GB"/>
        </w:rPr>
        <w:drawing>
          <wp:inline distT="0" distB="0" distL="0" distR="0" wp14:anchorId="1F08EDAD" wp14:editId="1602D51C">
            <wp:extent cx="5943600" cy="1323340"/>
            <wp:effectExtent l="76200" t="76200" r="133350" b="124460"/>
            <wp:docPr id="223181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181450" name=""/>
                    <pic:cNvPicPr/>
                  </pic:nvPicPr>
                  <pic:blipFill>
                    <a:blip r:embed="rId12"/>
                    <a:stretch>
                      <a:fillRect/>
                    </a:stretch>
                  </pic:blipFill>
                  <pic:spPr>
                    <a:xfrm>
                      <a:off x="0" y="0"/>
                      <a:ext cx="5943600" cy="13233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3E24D8" w14:textId="0E372435" w:rsidR="00B158E5" w:rsidRPr="00D52564" w:rsidRDefault="00B158E5" w:rsidP="009F69B9">
      <w:pPr>
        <w:spacing w:before="240" w:after="240"/>
        <w:jc w:val="center"/>
        <w:rPr>
          <w:rFonts w:ascii="Arial" w:hAnsi="Arial"/>
          <w:b/>
          <w:bCs/>
          <w:lang w:val="en-GB"/>
        </w:rPr>
      </w:pPr>
      <w:r w:rsidRPr="00D52564">
        <w:rPr>
          <w:rFonts w:ascii="Arial" w:hAnsi="Arial"/>
          <w:b/>
          <w:bCs/>
          <w:lang w:val="en-GB"/>
        </w:rPr>
        <w:t>Figure 3: Wyndham at a Glance</w:t>
      </w:r>
    </w:p>
    <w:p w14:paraId="3CFF4E2F" w14:textId="4F0A2655" w:rsidR="00B158E5" w:rsidRPr="00D52564" w:rsidRDefault="00B158E5" w:rsidP="009F69B9">
      <w:pPr>
        <w:spacing w:before="240" w:after="240"/>
        <w:jc w:val="center"/>
        <w:rPr>
          <w:rFonts w:ascii="Arial" w:hAnsi="Arial"/>
          <w:lang w:val="en-GB"/>
        </w:rPr>
      </w:pPr>
      <w:r w:rsidRPr="00D52564">
        <w:rPr>
          <w:rFonts w:ascii="Arial" w:hAnsi="Arial"/>
          <w:lang w:val="en-GB"/>
        </w:rPr>
        <w:t xml:space="preserve">(Source: </w:t>
      </w:r>
      <w:r w:rsidR="00FC4075" w:rsidRPr="00D52564">
        <w:rPr>
          <w:rFonts w:ascii="Arial" w:hAnsi="Arial"/>
          <w:lang w:val="en-GB"/>
        </w:rPr>
        <w:t>Wyndham, 2026</w:t>
      </w:r>
      <w:r w:rsidR="003A0882" w:rsidRPr="00D52564">
        <w:rPr>
          <w:rFonts w:ascii="Arial" w:hAnsi="Arial"/>
          <w:lang w:val="en-GB"/>
        </w:rPr>
        <w:t>c</w:t>
      </w:r>
      <w:r w:rsidRPr="00D52564">
        <w:rPr>
          <w:rFonts w:ascii="Arial" w:hAnsi="Arial"/>
          <w:lang w:val="en-GB"/>
        </w:rPr>
        <w:t>)</w:t>
      </w:r>
    </w:p>
    <w:p w14:paraId="109AA9C8" w14:textId="573F093D" w:rsidR="00761C96" w:rsidRPr="00D52564" w:rsidRDefault="00BC5464" w:rsidP="00D52564">
      <w:pPr>
        <w:spacing w:before="240" w:after="240"/>
        <w:rPr>
          <w:rFonts w:ascii="Arial" w:hAnsi="Arial"/>
          <w:lang w:val="en-GB"/>
        </w:rPr>
      </w:pPr>
      <w:r w:rsidRPr="00D52564">
        <w:rPr>
          <w:rFonts w:ascii="Arial" w:hAnsi="Arial"/>
          <w:lang w:val="en-GB"/>
        </w:rPr>
        <w:t xml:space="preserve">On the other hand, despite strong sales and profit recovery in the last five years, the </w:t>
      </w:r>
      <w:r w:rsidR="00DE0F78" w:rsidRPr="00D52564">
        <w:rPr>
          <w:rFonts w:ascii="Arial" w:hAnsi="Arial"/>
          <w:lang w:val="en-GB"/>
        </w:rPr>
        <w:t>statement of financial position</w:t>
      </w:r>
      <w:r w:rsidRPr="00D52564">
        <w:rPr>
          <w:rFonts w:ascii="Arial" w:hAnsi="Arial"/>
          <w:lang w:val="en-GB"/>
        </w:rPr>
        <w:t xml:space="preserve"> of the firm has highlighted a notably </w:t>
      </w:r>
      <w:r w:rsidR="00DE0F78" w:rsidRPr="00D52564">
        <w:rPr>
          <w:rFonts w:ascii="Arial" w:hAnsi="Arial"/>
          <w:lang w:val="en-GB"/>
        </w:rPr>
        <w:t xml:space="preserve">negative trend in liquidity, </w:t>
      </w:r>
      <w:r w:rsidRPr="00D52564">
        <w:rPr>
          <w:rFonts w:ascii="Arial" w:hAnsi="Arial"/>
          <w:lang w:val="en-GB"/>
        </w:rPr>
        <w:t>alongside</w:t>
      </w:r>
      <w:r w:rsidR="00DE0F78" w:rsidRPr="00D52564">
        <w:rPr>
          <w:rFonts w:ascii="Arial" w:hAnsi="Arial"/>
          <w:lang w:val="en-GB"/>
        </w:rPr>
        <w:t xml:space="preserve"> a rise in financial leverage. Current assets </w:t>
      </w:r>
      <w:r w:rsidRPr="00D52564">
        <w:rPr>
          <w:rFonts w:ascii="Arial" w:hAnsi="Arial"/>
          <w:lang w:val="en-GB"/>
        </w:rPr>
        <w:t xml:space="preserve">of the firm declined </w:t>
      </w:r>
      <w:r w:rsidR="00DE0F78" w:rsidRPr="00D52564">
        <w:rPr>
          <w:rFonts w:ascii="Arial" w:hAnsi="Arial"/>
          <w:lang w:val="en-GB"/>
        </w:rPr>
        <w:t xml:space="preserve">from $720 million to US$435 million during this period, </w:t>
      </w:r>
      <w:r w:rsidRPr="00D52564">
        <w:rPr>
          <w:rFonts w:ascii="Arial" w:hAnsi="Arial"/>
          <w:lang w:val="en-GB"/>
        </w:rPr>
        <w:t xml:space="preserve">while </w:t>
      </w:r>
      <w:r w:rsidR="00F76421" w:rsidRPr="00D52564">
        <w:rPr>
          <w:rFonts w:ascii="Arial" w:hAnsi="Arial"/>
          <w:lang w:val="en-GB"/>
        </w:rPr>
        <w:t xml:space="preserve">current liabilities increased notably </w:t>
      </w:r>
      <w:r w:rsidRPr="00D52564">
        <w:rPr>
          <w:rFonts w:ascii="Arial" w:hAnsi="Arial"/>
          <w:lang w:val="en-GB"/>
        </w:rPr>
        <w:t xml:space="preserve">from </w:t>
      </w:r>
      <w:r w:rsidR="00DE0F78" w:rsidRPr="00D52564">
        <w:rPr>
          <w:rFonts w:ascii="Arial" w:hAnsi="Arial"/>
          <w:lang w:val="en-GB"/>
        </w:rPr>
        <w:t>$397 million to $507 million</w:t>
      </w:r>
      <w:r w:rsidRPr="00D52564">
        <w:rPr>
          <w:rFonts w:ascii="Arial" w:hAnsi="Arial"/>
          <w:lang w:val="en-GB"/>
        </w:rPr>
        <w:t xml:space="preserve"> (Wyndham, 2023; Wyndham, 2026</w:t>
      </w:r>
      <w:r w:rsidR="003A0882" w:rsidRPr="00D52564">
        <w:rPr>
          <w:rFonts w:ascii="Arial" w:hAnsi="Arial"/>
          <w:lang w:val="en-GB"/>
        </w:rPr>
        <w:t>b</w:t>
      </w:r>
      <w:r w:rsidRPr="00D52564">
        <w:rPr>
          <w:rFonts w:ascii="Arial" w:hAnsi="Arial"/>
          <w:lang w:val="en-GB"/>
        </w:rPr>
        <w:t>)</w:t>
      </w:r>
      <w:r w:rsidR="00DE0F78" w:rsidRPr="00D52564">
        <w:rPr>
          <w:rFonts w:ascii="Arial" w:hAnsi="Arial"/>
          <w:lang w:val="en-GB"/>
        </w:rPr>
        <w:t xml:space="preserve">. In the face of these balance sheet challenges, Wyndham's asset-light strategy boosted the company's long-term growth prospects by operating over 8,300 hotels </w:t>
      </w:r>
      <w:r w:rsidR="00FC4075" w:rsidRPr="00D52564">
        <w:rPr>
          <w:rFonts w:ascii="Arial" w:hAnsi="Arial"/>
          <w:lang w:val="en-GB"/>
        </w:rPr>
        <w:t>in</w:t>
      </w:r>
      <w:r w:rsidR="00DE0F78" w:rsidRPr="00D52564">
        <w:rPr>
          <w:rFonts w:ascii="Arial" w:hAnsi="Arial"/>
          <w:lang w:val="en-GB"/>
        </w:rPr>
        <w:t xml:space="preserve"> around 100 countries by the end of 2025. Overall, it can be concluded that the company has good revenue generation and positive </w:t>
      </w:r>
      <w:r w:rsidRPr="00D52564">
        <w:rPr>
          <w:rFonts w:ascii="Arial" w:hAnsi="Arial"/>
          <w:lang w:val="en-GB"/>
        </w:rPr>
        <w:t>earnings</w:t>
      </w:r>
      <w:r w:rsidR="00DE0F78" w:rsidRPr="00D52564">
        <w:rPr>
          <w:rFonts w:ascii="Arial" w:hAnsi="Arial"/>
          <w:lang w:val="en-GB"/>
        </w:rPr>
        <w:t xml:space="preserve"> in </w:t>
      </w:r>
      <w:r w:rsidRPr="00D52564">
        <w:rPr>
          <w:rFonts w:ascii="Arial" w:hAnsi="Arial"/>
          <w:lang w:val="en-GB"/>
        </w:rPr>
        <w:t xml:space="preserve">the last five years, but </w:t>
      </w:r>
      <w:r w:rsidR="00F76421" w:rsidRPr="00D52564">
        <w:rPr>
          <w:rFonts w:ascii="Arial" w:hAnsi="Arial"/>
          <w:lang w:val="en-GB"/>
        </w:rPr>
        <w:t xml:space="preserve">it needs to address the urgent need to improve liquidity management </w:t>
      </w:r>
      <w:r w:rsidR="00DE0F78" w:rsidRPr="00D52564">
        <w:rPr>
          <w:rFonts w:ascii="Arial" w:hAnsi="Arial"/>
          <w:lang w:val="en-GB"/>
        </w:rPr>
        <w:t>and optimise the capital structure.</w:t>
      </w:r>
    </w:p>
    <w:p w14:paraId="00000008" w14:textId="68CC6A9F" w:rsidR="003F35A2" w:rsidRPr="00D52564" w:rsidRDefault="00346555" w:rsidP="00D52564">
      <w:pPr>
        <w:pStyle w:val="Heading2"/>
        <w:spacing w:before="240" w:after="240"/>
        <w:rPr>
          <w:rFonts w:ascii="Arial" w:hAnsi="Arial"/>
          <w:sz w:val="24"/>
          <w:lang w:val="en-GB"/>
        </w:rPr>
      </w:pPr>
      <w:bookmarkStart w:id="16" w:name="_nuwlocooqfr1" w:colFirst="0" w:colLast="0"/>
      <w:bookmarkStart w:id="17" w:name="_Toc236179762"/>
      <w:bookmarkStart w:id="18" w:name="_Toc236250008"/>
      <w:bookmarkStart w:id="19" w:name="_Toc237532196"/>
      <w:bookmarkEnd w:id="16"/>
      <w:r w:rsidRPr="00D52564">
        <w:rPr>
          <w:rFonts w:ascii="Arial" w:hAnsi="Arial"/>
          <w:sz w:val="24"/>
          <w:lang w:val="en-GB"/>
        </w:rPr>
        <w:lastRenderedPageBreak/>
        <w:t xml:space="preserve">2.2 Ratio </w:t>
      </w:r>
      <w:r w:rsidR="00F45BE1" w:rsidRPr="00D52564">
        <w:rPr>
          <w:rFonts w:ascii="Arial" w:hAnsi="Arial"/>
          <w:sz w:val="24"/>
          <w:lang w:val="en-GB"/>
        </w:rPr>
        <w:t>Analysis</w:t>
      </w:r>
      <w:bookmarkEnd w:id="17"/>
      <w:bookmarkEnd w:id="18"/>
      <w:bookmarkEnd w:id="19"/>
    </w:p>
    <w:p w14:paraId="00000009" w14:textId="77777777" w:rsidR="003F35A2" w:rsidRPr="00D52564" w:rsidRDefault="00346555" w:rsidP="00D52564">
      <w:pPr>
        <w:pStyle w:val="Heading3"/>
        <w:spacing w:before="240" w:after="240"/>
        <w:rPr>
          <w:rFonts w:ascii="Arial" w:hAnsi="Arial"/>
          <w:lang w:val="en-GB"/>
        </w:rPr>
      </w:pPr>
      <w:bookmarkStart w:id="20" w:name="_l1ll9j55uorx" w:colFirst="0" w:colLast="0"/>
      <w:bookmarkStart w:id="21" w:name="_Toc236179763"/>
      <w:bookmarkStart w:id="22" w:name="_Toc236250009"/>
      <w:bookmarkStart w:id="23" w:name="_Toc237532197"/>
      <w:bookmarkEnd w:id="20"/>
      <w:r w:rsidRPr="00D52564">
        <w:rPr>
          <w:rFonts w:ascii="Arial" w:hAnsi="Arial"/>
          <w:lang w:val="en-GB"/>
        </w:rPr>
        <w:t>2.2.1 Profitability</w:t>
      </w:r>
      <w:bookmarkEnd w:id="21"/>
      <w:bookmarkEnd w:id="22"/>
      <w:bookmarkEnd w:id="23"/>
    </w:p>
    <w:p w14:paraId="23DB529B" w14:textId="6A122557" w:rsidR="00761C96" w:rsidRPr="00D52564" w:rsidRDefault="00761C96" w:rsidP="009F69B9">
      <w:pPr>
        <w:spacing w:before="240" w:after="240"/>
        <w:jc w:val="center"/>
        <w:rPr>
          <w:rFonts w:ascii="Arial" w:hAnsi="Arial"/>
          <w:lang w:val="en-GB"/>
        </w:rPr>
      </w:pPr>
      <w:r w:rsidRPr="00D52564">
        <w:rPr>
          <w:rFonts w:ascii="Arial" w:hAnsi="Arial"/>
          <w:noProof/>
          <w:lang w:val="en-GB"/>
        </w:rPr>
        <w:drawing>
          <wp:inline distT="0" distB="0" distL="0" distR="0" wp14:anchorId="552F7869" wp14:editId="7DBE58BF">
            <wp:extent cx="4861560" cy="2922108"/>
            <wp:effectExtent l="76200" t="76200" r="129540" b="126365"/>
            <wp:docPr id="5" name="Picture 4">
              <a:extLst xmlns:a="http://schemas.openxmlformats.org/drawingml/2006/main">
                <a:ext uri="{FF2B5EF4-FFF2-40B4-BE49-F238E27FC236}">
                  <a16:creationId xmlns:a16="http://schemas.microsoft.com/office/drawing/2014/main" id="{0B0F1BF8-0657-4AA7-036B-65281333109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B0F1BF8-0657-4AA7-036B-652813331097}"/>
                        </a:ext>
                      </a:extLst>
                    </pic:cNvPr>
                    <pic:cNvPicPr>
                      <a:picLocks noChangeAspect="1"/>
                    </pic:cNvPicPr>
                  </pic:nvPicPr>
                  <pic:blipFill>
                    <a:blip r:embed="rId13"/>
                    <a:stretch>
                      <a:fillRect/>
                    </a:stretch>
                  </pic:blipFill>
                  <pic:spPr>
                    <a:xfrm>
                      <a:off x="0" y="0"/>
                      <a:ext cx="4861560" cy="29221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B11640" w14:textId="5D71FFD1" w:rsidR="000A43C5" w:rsidRPr="00D52564" w:rsidRDefault="000A43C5" w:rsidP="009F69B9">
      <w:pPr>
        <w:spacing w:before="240" w:after="240"/>
        <w:jc w:val="center"/>
        <w:rPr>
          <w:rFonts w:ascii="Arial" w:hAnsi="Arial"/>
          <w:b/>
          <w:bCs/>
          <w:lang w:val="en-GB"/>
        </w:rPr>
      </w:pPr>
      <w:r w:rsidRPr="00D52564">
        <w:rPr>
          <w:rFonts w:ascii="Arial" w:hAnsi="Arial"/>
          <w:b/>
          <w:bCs/>
          <w:lang w:val="en-GB"/>
        </w:rPr>
        <w:t xml:space="preserve">Figure </w:t>
      </w:r>
      <w:r w:rsidR="00415F35" w:rsidRPr="00D52564">
        <w:rPr>
          <w:rFonts w:ascii="Arial" w:hAnsi="Arial"/>
          <w:b/>
          <w:bCs/>
          <w:lang w:val="en-GB"/>
        </w:rPr>
        <w:t>4</w:t>
      </w:r>
      <w:r w:rsidRPr="00D52564">
        <w:rPr>
          <w:rFonts w:ascii="Arial" w:hAnsi="Arial"/>
          <w:b/>
          <w:bCs/>
          <w:lang w:val="en-GB"/>
        </w:rPr>
        <w:t>: Net Profit Margin Trends (2021-2025)</w:t>
      </w:r>
    </w:p>
    <w:p w14:paraId="7B60F5B8" w14:textId="36B73D5C" w:rsidR="000A43C5" w:rsidRPr="00D52564" w:rsidRDefault="000A43C5" w:rsidP="009F69B9">
      <w:pPr>
        <w:spacing w:before="240" w:after="240"/>
        <w:jc w:val="center"/>
        <w:rPr>
          <w:rFonts w:ascii="Arial" w:hAnsi="Arial"/>
          <w:lang w:val="en-GB"/>
        </w:rPr>
      </w:pPr>
      <w:r w:rsidRPr="00D52564">
        <w:rPr>
          <w:rFonts w:ascii="Arial" w:hAnsi="Arial"/>
          <w:lang w:val="en-GB"/>
        </w:rPr>
        <w:t>(Source: Excel Output)</w:t>
      </w:r>
    </w:p>
    <w:p w14:paraId="6482E352" w14:textId="3BBA65B3" w:rsidR="00F45BE1" w:rsidRPr="00D52564" w:rsidRDefault="00F45BE1" w:rsidP="00D52564">
      <w:pPr>
        <w:spacing w:before="240" w:after="240"/>
        <w:rPr>
          <w:rFonts w:ascii="Arial" w:hAnsi="Arial"/>
          <w:lang w:val="en-GB"/>
        </w:rPr>
      </w:pPr>
      <w:r w:rsidRPr="00D52564">
        <w:rPr>
          <w:rFonts w:ascii="Arial" w:hAnsi="Arial"/>
          <w:lang w:val="en-GB"/>
        </w:rPr>
        <w:t>Net profit margin is one of the key indicators of profitability for a business organisation</w:t>
      </w:r>
      <w:r w:rsidR="00A61CB2" w:rsidRPr="00D52564">
        <w:rPr>
          <w:rFonts w:ascii="Arial" w:hAnsi="Arial"/>
          <w:lang w:val="en-GB"/>
        </w:rPr>
        <w:t>,</w:t>
      </w:r>
      <w:r w:rsidRPr="00D52564">
        <w:rPr>
          <w:rFonts w:ascii="Arial" w:hAnsi="Arial"/>
          <w:lang w:val="en-GB"/>
        </w:rPr>
        <w:t xml:space="preserve"> </w:t>
      </w:r>
      <w:r w:rsidR="00F76421" w:rsidRPr="00D52564">
        <w:rPr>
          <w:rFonts w:ascii="Arial" w:hAnsi="Arial"/>
          <w:lang w:val="en-GB"/>
        </w:rPr>
        <w:t>as it shows a firm's profitability relative to its revenue</w:t>
      </w:r>
      <w:r w:rsidRPr="00D52564">
        <w:rPr>
          <w:rFonts w:ascii="Arial" w:hAnsi="Arial"/>
          <w:lang w:val="en-GB"/>
        </w:rPr>
        <w:t xml:space="preserve"> (Astuti, 2021). </w:t>
      </w:r>
      <w:r w:rsidR="00F76421" w:rsidRPr="00D52564">
        <w:rPr>
          <w:rFonts w:ascii="Arial" w:hAnsi="Arial"/>
          <w:lang w:val="en-GB"/>
        </w:rPr>
        <w:t xml:space="preserve">Wyndham Hotels' profitability shows mixed results </w:t>
      </w:r>
      <w:r w:rsidRPr="00D52564">
        <w:rPr>
          <w:rFonts w:ascii="Arial" w:hAnsi="Arial"/>
          <w:lang w:val="en-GB"/>
        </w:rPr>
        <w:t xml:space="preserve">as there is notable variance in the margin in the last five years. </w:t>
      </w:r>
      <w:r w:rsidR="00F76421" w:rsidRPr="00D52564">
        <w:rPr>
          <w:rFonts w:ascii="Arial" w:hAnsi="Arial"/>
          <w:lang w:val="en-GB"/>
        </w:rPr>
        <w:t>The firm's net profit margin in 2022 was the highest</w:t>
      </w:r>
      <w:r w:rsidR="007358F9" w:rsidRPr="00D52564">
        <w:rPr>
          <w:rFonts w:ascii="Arial" w:hAnsi="Arial"/>
          <w:lang w:val="en-GB"/>
        </w:rPr>
        <w:t xml:space="preserve"> at 23.70%, which decreased in subsequent years and reached 13.51% as of 2025 </w:t>
      </w:r>
      <w:r w:rsidR="007358F9" w:rsidRPr="00D52564">
        <w:rPr>
          <w:rFonts w:ascii="Arial" w:hAnsi="Arial"/>
          <w:b/>
          <w:bCs/>
          <w:i/>
          <w:iCs/>
          <w:lang w:val="en-GB"/>
        </w:rPr>
        <w:t>[Refer to Appendix 1]</w:t>
      </w:r>
      <w:r w:rsidR="007358F9" w:rsidRPr="00D52564">
        <w:rPr>
          <w:rFonts w:ascii="Arial" w:hAnsi="Arial"/>
          <w:lang w:val="en-GB"/>
        </w:rPr>
        <w:t xml:space="preserve">. However, the company has kept the margin over 12% during the last five years, which indicates positive financial performance despite variation. </w:t>
      </w:r>
      <w:r w:rsidR="00342697" w:rsidRPr="00D52564">
        <w:rPr>
          <w:rFonts w:ascii="Arial" w:hAnsi="Arial"/>
          <w:lang w:val="en-GB"/>
        </w:rPr>
        <w:t xml:space="preserve">This shows that demand variance and changing consumer preferences in the hospitality sector have </w:t>
      </w:r>
      <w:r w:rsidR="00F76421" w:rsidRPr="00D52564">
        <w:rPr>
          <w:rFonts w:ascii="Arial" w:hAnsi="Arial"/>
          <w:lang w:val="en-GB"/>
        </w:rPr>
        <w:t>caused variation in the firm's performance</w:t>
      </w:r>
      <w:r w:rsidR="00342697" w:rsidRPr="00D52564">
        <w:rPr>
          <w:rFonts w:ascii="Arial" w:hAnsi="Arial"/>
          <w:lang w:val="en-GB"/>
        </w:rPr>
        <w:t xml:space="preserve">, but the strategic capabilities of the firm helped it </w:t>
      </w:r>
      <w:r w:rsidR="00F76421" w:rsidRPr="00D52564">
        <w:rPr>
          <w:rFonts w:ascii="Arial" w:hAnsi="Arial"/>
          <w:lang w:val="en-GB"/>
        </w:rPr>
        <w:t xml:space="preserve">maintain a stable level of profitability </w:t>
      </w:r>
      <w:r w:rsidR="00342697" w:rsidRPr="00D52564">
        <w:rPr>
          <w:rFonts w:ascii="Arial" w:hAnsi="Arial"/>
          <w:lang w:val="en-GB"/>
        </w:rPr>
        <w:t xml:space="preserve">over the years. </w:t>
      </w:r>
    </w:p>
    <w:p w14:paraId="0000000A" w14:textId="77777777" w:rsidR="003F35A2" w:rsidRPr="00D52564" w:rsidRDefault="00346555" w:rsidP="00D52564">
      <w:pPr>
        <w:pStyle w:val="Heading3"/>
        <w:spacing w:before="240" w:after="240"/>
        <w:rPr>
          <w:rFonts w:ascii="Arial" w:hAnsi="Arial"/>
          <w:lang w:val="en-GB"/>
        </w:rPr>
      </w:pPr>
      <w:bookmarkStart w:id="24" w:name="_67x9ufwhi5ep" w:colFirst="0" w:colLast="0"/>
      <w:bookmarkStart w:id="25" w:name="_Toc236179764"/>
      <w:bookmarkStart w:id="26" w:name="_Toc236250010"/>
      <w:bookmarkStart w:id="27" w:name="_Toc237532198"/>
      <w:bookmarkEnd w:id="24"/>
      <w:r w:rsidRPr="00D52564">
        <w:rPr>
          <w:rFonts w:ascii="Arial" w:hAnsi="Arial"/>
          <w:lang w:val="en-GB"/>
        </w:rPr>
        <w:lastRenderedPageBreak/>
        <w:t>2.2.2 Liquidity</w:t>
      </w:r>
      <w:bookmarkEnd w:id="25"/>
      <w:bookmarkEnd w:id="26"/>
      <w:bookmarkEnd w:id="27"/>
    </w:p>
    <w:p w14:paraId="775CCEA6" w14:textId="6A6E41E7" w:rsidR="00761C96" w:rsidRPr="00D52564" w:rsidRDefault="00761C96" w:rsidP="009F69B9">
      <w:pPr>
        <w:spacing w:before="240" w:after="240"/>
        <w:jc w:val="center"/>
        <w:rPr>
          <w:rFonts w:ascii="Arial" w:hAnsi="Arial"/>
          <w:lang w:val="en-GB"/>
        </w:rPr>
      </w:pPr>
      <w:r w:rsidRPr="00D52564">
        <w:rPr>
          <w:rFonts w:ascii="Arial" w:hAnsi="Arial"/>
          <w:noProof/>
          <w:lang w:val="en-GB"/>
        </w:rPr>
        <w:drawing>
          <wp:inline distT="0" distB="0" distL="0" distR="0" wp14:anchorId="22E31E5A" wp14:editId="1E41C17C">
            <wp:extent cx="4876800" cy="2749534"/>
            <wp:effectExtent l="76200" t="76200" r="133350" b="127635"/>
            <wp:docPr id="8" name="Picture 7">
              <a:extLst xmlns:a="http://schemas.openxmlformats.org/drawingml/2006/main">
                <a:ext uri="{FF2B5EF4-FFF2-40B4-BE49-F238E27FC236}">
                  <a16:creationId xmlns:a16="http://schemas.microsoft.com/office/drawing/2014/main" id="{1AEF7230-C0C5-F713-18A4-4D53B61488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1AEF7230-C0C5-F713-18A4-4D53B614883C}"/>
                        </a:ext>
                      </a:extLst>
                    </pic:cNvPr>
                    <pic:cNvPicPr>
                      <a:picLocks noChangeAspect="1"/>
                    </pic:cNvPicPr>
                  </pic:nvPicPr>
                  <pic:blipFill>
                    <a:blip r:embed="rId14"/>
                    <a:stretch>
                      <a:fillRect/>
                    </a:stretch>
                  </pic:blipFill>
                  <pic:spPr>
                    <a:xfrm>
                      <a:off x="0" y="0"/>
                      <a:ext cx="4876800" cy="27495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F91E22" w14:textId="52EB94E6" w:rsidR="000A43C5" w:rsidRPr="00D52564" w:rsidRDefault="000A43C5" w:rsidP="009F69B9">
      <w:pPr>
        <w:spacing w:before="240" w:after="240"/>
        <w:jc w:val="center"/>
        <w:rPr>
          <w:rFonts w:ascii="Arial" w:hAnsi="Arial"/>
          <w:b/>
          <w:bCs/>
          <w:lang w:val="en-GB"/>
        </w:rPr>
      </w:pPr>
      <w:r w:rsidRPr="00D52564">
        <w:rPr>
          <w:rFonts w:ascii="Arial" w:hAnsi="Arial"/>
          <w:b/>
          <w:bCs/>
          <w:lang w:val="en-GB"/>
        </w:rPr>
        <w:t xml:space="preserve">Figure </w:t>
      </w:r>
      <w:r w:rsidR="00415F35" w:rsidRPr="00D52564">
        <w:rPr>
          <w:rFonts w:ascii="Arial" w:hAnsi="Arial"/>
          <w:b/>
          <w:bCs/>
          <w:lang w:val="en-GB"/>
        </w:rPr>
        <w:t>5</w:t>
      </w:r>
      <w:r w:rsidRPr="00D52564">
        <w:rPr>
          <w:rFonts w:ascii="Arial" w:hAnsi="Arial"/>
          <w:b/>
          <w:bCs/>
          <w:lang w:val="en-GB"/>
        </w:rPr>
        <w:t>: Current Ratio Trends (2021-2025)</w:t>
      </w:r>
    </w:p>
    <w:p w14:paraId="5205DC16" w14:textId="77777777" w:rsidR="000A43C5" w:rsidRPr="00D52564" w:rsidRDefault="000A43C5" w:rsidP="009F69B9">
      <w:pPr>
        <w:spacing w:before="240" w:after="240"/>
        <w:jc w:val="center"/>
        <w:rPr>
          <w:rFonts w:ascii="Arial" w:hAnsi="Arial"/>
          <w:lang w:val="en-GB"/>
        </w:rPr>
      </w:pPr>
      <w:r w:rsidRPr="00D52564">
        <w:rPr>
          <w:rFonts w:ascii="Arial" w:hAnsi="Arial"/>
          <w:lang w:val="en-GB"/>
        </w:rPr>
        <w:t>(Source: Excel Output)</w:t>
      </w:r>
    </w:p>
    <w:p w14:paraId="485DA112" w14:textId="3FC9409F" w:rsidR="000A43C5" w:rsidRPr="00D52564" w:rsidRDefault="00F76421" w:rsidP="00D52564">
      <w:pPr>
        <w:spacing w:before="240" w:after="240"/>
        <w:rPr>
          <w:rFonts w:ascii="Arial" w:hAnsi="Arial"/>
          <w:lang w:val="en-GB"/>
        </w:rPr>
      </w:pPr>
      <w:r w:rsidRPr="00D52564">
        <w:rPr>
          <w:rFonts w:ascii="Arial" w:hAnsi="Arial"/>
          <w:lang w:val="en-GB"/>
        </w:rPr>
        <w:t xml:space="preserve">The current ratio is a prominent indicator of a firm's liquidity </w:t>
      </w:r>
      <w:r w:rsidR="00802861" w:rsidRPr="00D52564">
        <w:rPr>
          <w:rFonts w:ascii="Arial" w:hAnsi="Arial"/>
          <w:lang w:val="en-GB"/>
        </w:rPr>
        <w:t xml:space="preserve">as it </w:t>
      </w:r>
      <w:r w:rsidRPr="00D52564">
        <w:rPr>
          <w:rFonts w:ascii="Arial" w:hAnsi="Arial"/>
          <w:lang w:val="en-GB"/>
        </w:rPr>
        <w:t>shows the ability of a business to meet its short-term liabilities using its current assets</w:t>
      </w:r>
      <w:r w:rsidR="00802861" w:rsidRPr="00D52564">
        <w:rPr>
          <w:rFonts w:ascii="Arial" w:hAnsi="Arial"/>
          <w:lang w:val="en-GB"/>
        </w:rPr>
        <w:t xml:space="preserve"> (Christia </w:t>
      </w:r>
      <w:r w:rsidR="00802861" w:rsidRPr="00D52564">
        <w:rPr>
          <w:rFonts w:ascii="Arial" w:hAnsi="Arial"/>
          <w:i/>
          <w:iCs/>
          <w:lang w:val="en-GB"/>
        </w:rPr>
        <w:t>et al</w:t>
      </w:r>
      <w:r w:rsidR="00802861" w:rsidRPr="00D52564">
        <w:rPr>
          <w:rFonts w:ascii="Arial" w:hAnsi="Arial"/>
          <w:lang w:val="en-GB"/>
        </w:rPr>
        <w:t xml:space="preserve">. 2021). </w:t>
      </w:r>
      <w:r w:rsidR="00342697" w:rsidRPr="00D52564">
        <w:rPr>
          <w:rFonts w:ascii="Arial" w:hAnsi="Arial"/>
          <w:lang w:val="en-GB"/>
        </w:rPr>
        <w:t xml:space="preserve">A current ratio lower than 1 is often considered an adverse liquidity performance for a firm. In this regard, the current ratio of Wyndham Hotels and Resorts for the year 2021 </w:t>
      </w:r>
      <w:r w:rsidR="005B7636" w:rsidRPr="00D52564">
        <w:rPr>
          <w:rFonts w:ascii="Arial" w:hAnsi="Arial"/>
          <w:lang w:val="en-GB"/>
        </w:rPr>
        <w:t>was 1.81, its highest level during the period</w:t>
      </w:r>
      <w:r w:rsidR="00342697" w:rsidRPr="00D52564">
        <w:rPr>
          <w:rFonts w:ascii="Arial" w:hAnsi="Arial"/>
          <w:lang w:val="en-GB"/>
        </w:rPr>
        <w:t>, and it further decreased to 0.86 as of 2025</w:t>
      </w:r>
      <w:r w:rsidR="00EE41C5" w:rsidRPr="00D52564">
        <w:rPr>
          <w:rFonts w:ascii="Arial" w:hAnsi="Arial"/>
          <w:lang w:val="en-GB"/>
        </w:rPr>
        <w:t xml:space="preserve"> </w:t>
      </w:r>
      <w:r w:rsidR="00EE41C5" w:rsidRPr="00D52564">
        <w:rPr>
          <w:rFonts w:ascii="Arial" w:hAnsi="Arial"/>
          <w:b/>
          <w:bCs/>
          <w:i/>
          <w:iCs/>
          <w:lang w:val="en-GB"/>
        </w:rPr>
        <w:t>[Refer to Appendix 1]</w:t>
      </w:r>
      <w:r w:rsidR="00342697" w:rsidRPr="00D52564">
        <w:rPr>
          <w:rFonts w:ascii="Arial" w:hAnsi="Arial"/>
          <w:lang w:val="en-GB"/>
        </w:rPr>
        <w:t xml:space="preserve">. The notable decrease in the current ratio of the firm shows a falling liquidity performance alongside ineffective working capital management. </w:t>
      </w:r>
    </w:p>
    <w:p w14:paraId="0000000B" w14:textId="77777777" w:rsidR="003F35A2" w:rsidRPr="00D52564" w:rsidRDefault="00346555" w:rsidP="00D52564">
      <w:pPr>
        <w:pStyle w:val="Heading3"/>
        <w:spacing w:before="240" w:after="240"/>
        <w:rPr>
          <w:rFonts w:ascii="Arial" w:hAnsi="Arial"/>
          <w:lang w:val="en-GB"/>
        </w:rPr>
      </w:pPr>
      <w:bookmarkStart w:id="28" w:name="_2ajcsxunrx9q" w:colFirst="0" w:colLast="0"/>
      <w:bookmarkStart w:id="29" w:name="_Toc236179765"/>
      <w:bookmarkStart w:id="30" w:name="_Toc236250011"/>
      <w:bookmarkStart w:id="31" w:name="_Toc237532199"/>
      <w:bookmarkEnd w:id="28"/>
      <w:r w:rsidRPr="00D52564">
        <w:rPr>
          <w:rFonts w:ascii="Arial" w:hAnsi="Arial"/>
          <w:lang w:val="en-GB"/>
        </w:rPr>
        <w:lastRenderedPageBreak/>
        <w:t>2.2.3 Efficiency</w:t>
      </w:r>
      <w:bookmarkEnd w:id="29"/>
      <w:bookmarkEnd w:id="30"/>
      <w:bookmarkEnd w:id="31"/>
    </w:p>
    <w:p w14:paraId="72970C1C" w14:textId="6DF1091A" w:rsidR="00761C96" w:rsidRPr="00D52564" w:rsidRDefault="00761C96" w:rsidP="009F69B9">
      <w:pPr>
        <w:spacing w:before="240" w:after="240"/>
        <w:jc w:val="center"/>
        <w:rPr>
          <w:rFonts w:ascii="Arial" w:hAnsi="Arial"/>
          <w:lang w:val="en-GB"/>
        </w:rPr>
      </w:pPr>
      <w:r w:rsidRPr="00D52564">
        <w:rPr>
          <w:rFonts w:ascii="Arial" w:hAnsi="Arial"/>
          <w:noProof/>
          <w:lang w:val="en-GB"/>
        </w:rPr>
        <w:drawing>
          <wp:inline distT="0" distB="0" distL="0" distR="0" wp14:anchorId="52F71930" wp14:editId="4361ABC6">
            <wp:extent cx="4884420" cy="2749534"/>
            <wp:effectExtent l="76200" t="76200" r="125730" b="127635"/>
            <wp:docPr id="10" name="Picture 9">
              <a:extLst xmlns:a="http://schemas.openxmlformats.org/drawingml/2006/main">
                <a:ext uri="{FF2B5EF4-FFF2-40B4-BE49-F238E27FC236}">
                  <a16:creationId xmlns:a16="http://schemas.microsoft.com/office/drawing/2014/main" id="{86F15A6B-1A3E-0F94-2EC1-E22757B66D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86F15A6B-1A3E-0F94-2EC1-E22757B66DB4}"/>
                        </a:ext>
                      </a:extLst>
                    </pic:cNvPr>
                    <pic:cNvPicPr>
                      <a:picLocks noChangeAspect="1"/>
                    </pic:cNvPicPr>
                  </pic:nvPicPr>
                  <pic:blipFill>
                    <a:blip r:embed="rId15"/>
                    <a:stretch>
                      <a:fillRect/>
                    </a:stretch>
                  </pic:blipFill>
                  <pic:spPr>
                    <a:xfrm>
                      <a:off x="0" y="0"/>
                      <a:ext cx="4884420" cy="27495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95E260" w14:textId="74E3D17B" w:rsidR="000A43C5" w:rsidRPr="00D52564" w:rsidRDefault="000A43C5" w:rsidP="009F69B9">
      <w:pPr>
        <w:spacing w:before="240" w:after="240"/>
        <w:jc w:val="center"/>
        <w:rPr>
          <w:rFonts w:ascii="Arial" w:hAnsi="Arial"/>
          <w:b/>
          <w:bCs/>
          <w:lang w:val="en-GB"/>
        </w:rPr>
      </w:pPr>
      <w:r w:rsidRPr="00D52564">
        <w:rPr>
          <w:rFonts w:ascii="Arial" w:hAnsi="Arial"/>
          <w:b/>
          <w:bCs/>
          <w:lang w:val="en-GB"/>
        </w:rPr>
        <w:t xml:space="preserve">Figure </w:t>
      </w:r>
      <w:r w:rsidR="00415F35" w:rsidRPr="00D52564">
        <w:rPr>
          <w:rFonts w:ascii="Arial" w:hAnsi="Arial"/>
          <w:b/>
          <w:bCs/>
          <w:lang w:val="en-GB"/>
        </w:rPr>
        <w:t>6</w:t>
      </w:r>
      <w:r w:rsidRPr="00D52564">
        <w:rPr>
          <w:rFonts w:ascii="Arial" w:hAnsi="Arial"/>
          <w:b/>
          <w:bCs/>
          <w:lang w:val="en-GB"/>
        </w:rPr>
        <w:t>: Asset Turnover Ratio Trends (2021-2025)</w:t>
      </w:r>
    </w:p>
    <w:p w14:paraId="3E1A2569" w14:textId="77777777" w:rsidR="000A43C5" w:rsidRPr="00D52564" w:rsidRDefault="000A43C5" w:rsidP="009F69B9">
      <w:pPr>
        <w:spacing w:before="240" w:after="240"/>
        <w:jc w:val="center"/>
        <w:rPr>
          <w:rFonts w:ascii="Arial" w:hAnsi="Arial"/>
          <w:lang w:val="en-GB"/>
        </w:rPr>
      </w:pPr>
      <w:r w:rsidRPr="00D52564">
        <w:rPr>
          <w:rFonts w:ascii="Arial" w:hAnsi="Arial"/>
          <w:lang w:val="en-GB"/>
        </w:rPr>
        <w:t>(Source: Excel Output)</w:t>
      </w:r>
    </w:p>
    <w:p w14:paraId="3FFABF9E" w14:textId="01A68AF0" w:rsidR="000A43C5" w:rsidRPr="00D52564" w:rsidRDefault="00423673" w:rsidP="00D52564">
      <w:pPr>
        <w:spacing w:before="240" w:after="240"/>
        <w:rPr>
          <w:rFonts w:ascii="Arial" w:hAnsi="Arial"/>
          <w:lang w:val="en-GB"/>
        </w:rPr>
      </w:pPr>
      <w:r w:rsidRPr="00D52564">
        <w:rPr>
          <w:rFonts w:ascii="Arial" w:hAnsi="Arial"/>
          <w:lang w:val="en-GB"/>
        </w:rPr>
        <w:t xml:space="preserve">The asset turnover ratio explains the efficiency of a firm </w:t>
      </w:r>
      <w:r w:rsidR="00851B74" w:rsidRPr="00D52564">
        <w:rPr>
          <w:rFonts w:ascii="Arial" w:hAnsi="Arial"/>
          <w:lang w:val="en-GB"/>
        </w:rPr>
        <w:t>in terms of generating sales using the available assets of the firm</w:t>
      </w:r>
      <w:r w:rsidR="00E252C8" w:rsidRPr="00D52564">
        <w:rPr>
          <w:rFonts w:ascii="Arial" w:hAnsi="Arial"/>
          <w:lang w:val="en-GB"/>
        </w:rPr>
        <w:t xml:space="preserve"> (Siregar and Harahap, 2021)</w:t>
      </w:r>
      <w:r w:rsidR="00851B74" w:rsidRPr="00D52564">
        <w:rPr>
          <w:rFonts w:ascii="Arial" w:hAnsi="Arial"/>
          <w:lang w:val="en-GB"/>
        </w:rPr>
        <w:t xml:space="preserve">. The effectiveness of asset allocation and managing resources can be understood using this metric. In this regard, Wyndham </w:t>
      </w:r>
      <w:r w:rsidR="005B7636" w:rsidRPr="00D52564">
        <w:rPr>
          <w:rFonts w:ascii="Arial" w:hAnsi="Arial"/>
          <w:lang w:val="en-GB"/>
        </w:rPr>
        <w:t>maintained an asset turnover ratio of approximately 0.34 between 2022 and 2025</w:t>
      </w:r>
      <w:r w:rsidR="00851B74" w:rsidRPr="00D52564">
        <w:rPr>
          <w:rFonts w:ascii="Arial" w:hAnsi="Arial"/>
          <w:lang w:val="en-GB"/>
        </w:rPr>
        <w:t xml:space="preserve"> </w:t>
      </w:r>
      <w:r w:rsidR="00851B74" w:rsidRPr="00D52564">
        <w:rPr>
          <w:rFonts w:ascii="Arial" w:hAnsi="Arial"/>
          <w:b/>
          <w:bCs/>
          <w:i/>
          <w:iCs/>
          <w:lang w:val="en-GB"/>
        </w:rPr>
        <w:t>[Refer to Appendix 1]</w:t>
      </w:r>
      <w:r w:rsidR="00851B74" w:rsidRPr="00D52564">
        <w:rPr>
          <w:rFonts w:ascii="Arial" w:hAnsi="Arial"/>
          <w:lang w:val="en-GB"/>
        </w:rPr>
        <w:t xml:space="preserve">. However, </w:t>
      </w:r>
      <w:r w:rsidR="005B7636" w:rsidRPr="00D52564">
        <w:rPr>
          <w:rFonts w:ascii="Arial" w:hAnsi="Arial"/>
          <w:lang w:val="en-GB"/>
        </w:rPr>
        <w:t xml:space="preserve">the low asset turnover ratio of 0.09 reflects the adverse impact </w:t>
      </w:r>
      <w:r w:rsidR="00851B74" w:rsidRPr="00D52564">
        <w:rPr>
          <w:rFonts w:ascii="Arial" w:hAnsi="Arial"/>
          <w:lang w:val="en-GB"/>
        </w:rPr>
        <w:t xml:space="preserve">of the COVID-19 pandemic on the demand for hospitality services, which affected the sales performance of the organisation. Besides that, the moderate asset turnover ratio of the firm in recent years </w:t>
      </w:r>
      <w:r w:rsidR="005B7636" w:rsidRPr="00D52564">
        <w:rPr>
          <w:rFonts w:ascii="Arial" w:hAnsi="Arial"/>
          <w:lang w:val="en-GB"/>
        </w:rPr>
        <w:t>shows consistent efficiency</w:t>
      </w:r>
      <w:r w:rsidR="00851B74" w:rsidRPr="00D52564">
        <w:rPr>
          <w:rFonts w:ascii="Arial" w:hAnsi="Arial"/>
          <w:lang w:val="en-GB"/>
        </w:rPr>
        <w:t xml:space="preserve"> in the use of available assets to generate sales. </w:t>
      </w:r>
    </w:p>
    <w:p w14:paraId="0000000C" w14:textId="77777777" w:rsidR="003F35A2" w:rsidRPr="00D52564" w:rsidRDefault="00346555" w:rsidP="00D52564">
      <w:pPr>
        <w:pStyle w:val="Heading3"/>
        <w:spacing w:before="240" w:after="240"/>
        <w:rPr>
          <w:rFonts w:ascii="Arial" w:hAnsi="Arial"/>
          <w:lang w:val="en-GB"/>
        </w:rPr>
      </w:pPr>
      <w:bookmarkStart w:id="32" w:name="_kl645phz83ni" w:colFirst="0" w:colLast="0"/>
      <w:bookmarkStart w:id="33" w:name="_Toc236179766"/>
      <w:bookmarkStart w:id="34" w:name="_Toc236250012"/>
      <w:bookmarkStart w:id="35" w:name="_Toc237532200"/>
      <w:bookmarkEnd w:id="32"/>
      <w:r w:rsidRPr="00D52564">
        <w:rPr>
          <w:rFonts w:ascii="Arial" w:hAnsi="Arial"/>
          <w:lang w:val="en-GB"/>
        </w:rPr>
        <w:lastRenderedPageBreak/>
        <w:t>2.2.4 Gearing</w:t>
      </w:r>
      <w:bookmarkEnd w:id="33"/>
      <w:bookmarkEnd w:id="34"/>
      <w:bookmarkEnd w:id="35"/>
    </w:p>
    <w:p w14:paraId="2D2B5D01" w14:textId="77777777" w:rsidR="00D6231D" w:rsidRPr="00D52564" w:rsidRDefault="00D6231D" w:rsidP="009F69B9">
      <w:pPr>
        <w:spacing w:before="240" w:after="240"/>
        <w:jc w:val="center"/>
        <w:rPr>
          <w:rFonts w:ascii="Arial" w:hAnsi="Arial"/>
          <w:lang w:val="en-GB"/>
        </w:rPr>
      </w:pPr>
      <w:r w:rsidRPr="00D52564">
        <w:rPr>
          <w:rFonts w:ascii="Arial" w:hAnsi="Arial"/>
          <w:noProof/>
          <w:lang w:val="en-GB"/>
        </w:rPr>
        <w:drawing>
          <wp:inline distT="0" distB="0" distL="0" distR="0" wp14:anchorId="4C2E6090" wp14:editId="220C386E">
            <wp:extent cx="4884420" cy="2749534"/>
            <wp:effectExtent l="76200" t="76200" r="125730" b="127635"/>
            <wp:docPr id="17" name="Picture 16">
              <a:extLst xmlns:a="http://schemas.openxmlformats.org/drawingml/2006/main">
                <a:ext uri="{FF2B5EF4-FFF2-40B4-BE49-F238E27FC236}">
                  <a16:creationId xmlns:a16="http://schemas.microsoft.com/office/drawing/2014/main" id="{24BFD212-75AF-BAF4-198F-F9083EAD1E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24BFD212-75AF-BAF4-198F-F9083EAD1EEE}"/>
                        </a:ext>
                      </a:extLst>
                    </pic:cNvPr>
                    <pic:cNvPicPr>
                      <a:picLocks noChangeAspect="1"/>
                    </pic:cNvPicPr>
                  </pic:nvPicPr>
                  <pic:blipFill>
                    <a:blip r:embed="rId16"/>
                    <a:stretch>
                      <a:fillRect/>
                    </a:stretch>
                  </pic:blipFill>
                  <pic:spPr>
                    <a:xfrm>
                      <a:off x="0" y="0"/>
                      <a:ext cx="4884420" cy="27495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6E8F14" w14:textId="05C0F4BC" w:rsidR="000A43C5" w:rsidRPr="00D52564" w:rsidRDefault="000A43C5" w:rsidP="009F69B9">
      <w:pPr>
        <w:spacing w:before="240" w:after="240"/>
        <w:jc w:val="center"/>
        <w:rPr>
          <w:rFonts w:ascii="Arial" w:hAnsi="Arial"/>
          <w:lang w:val="en-GB"/>
        </w:rPr>
      </w:pPr>
      <w:r w:rsidRPr="00D52564">
        <w:rPr>
          <w:rFonts w:ascii="Arial" w:hAnsi="Arial"/>
          <w:b/>
          <w:bCs/>
          <w:lang w:val="en-GB"/>
        </w:rPr>
        <w:t xml:space="preserve">Figure </w:t>
      </w:r>
      <w:r w:rsidR="00415F35" w:rsidRPr="00D52564">
        <w:rPr>
          <w:rFonts w:ascii="Arial" w:hAnsi="Arial"/>
          <w:b/>
          <w:bCs/>
          <w:lang w:val="en-GB"/>
        </w:rPr>
        <w:t>7</w:t>
      </w:r>
      <w:r w:rsidRPr="00D52564">
        <w:rPr>
          <w:rFonts w:ascii="Arial" w:hAnsi="Arial"/>
          <w:b/>
          <w:bCs/>
          <w:lang w:val="en-GB"/>
        </w:rPr>
        <w:t>: Debt-to-Equity Ratio Trends (2021-2025)</w:t>
      </w:r>
    </w:p>
    <w:p w14:paraId="2B73A080" w14:textId="77777777" w:rsidR="000A43C5" w:rsidRPr="00D52564" w:rsidRDefault="000A43C5" w:rsidP="009F69B9">
      <w:pPr>
        <w:spacing w:before="240" w:after="240"/>
        <w:jc w:val="center"/>
        <w:rPr>
          <w:rFonts w:ascii="Arial" w:hAnsi="Arial"/>
          <w:lang w:val="en-GB"/>
        </w:rPr>
      </w:pPr>
      <w:r w:rsidRPr="00D52564">
        <w:rPr>
          <w:rFonts w:ascii="Arial" w:hAnsi="Arial"/>
          <w:lang w:val="en-GB"/>
        </w:rPr>
        <w:t>(Source: Excel Output)</w:t>
      </w:r>
    </w:p>
    <w:p w14:paraId="0016F2D5" w14:textId="34A7A0EF" w:rsidR="000A43C5" w:rsidRPr="00D52564" w:rsidRDefault="00D6231D" w:rsidP="00D52564">
      <w:pPr>
        <w:spacing w:before="240" w:after="240"/>
        <w:rPr>
          <w:rFonts w:ascii="Arial" w:hAnsi="Arial"/>
          <w:lang w:val="en-GB"/>
        </w:rPr>
      </w:pPr>
      <w:r w:rsidRPr="00D52564">
        <w:rPr>
          <w:rFonts w:ascii="Arial" w:hAnsi="Arial"/>
          <w:lang w:val="en-GB"/>
        </w:rPr>
        <w:t xml:space="preserve">Debt-to-equity ratio effectively highlights the financial gearing of a business organisation </w:t>
      </w:r>
      <w:r w:rsidR="005B7636" w:rsidRPr="00D52564">
        <w:rPr>
          <w:rFonts w:ascii="Arial" w:hAnsi="Arial"/>
          <w:lang w:val="en-GB"/>
        </w:rPr>
        <w:t xml:space="preserve">as it shows the proportion of debt relative to shareholders' equity </w:t>
      </w:r>
      <w:r w:rsidRPr="00D52564">
        <w:rPr>
          <w:rFonts w:ascii="Arial" w:hAnsi="Arial"/>
          <w:lang w:val="en-GB"/>
        </w:rPr>
        <w:t xml:space="preserve">(Sunaryo </w:t>
      </w:r>
      <w:r w:rsidRPr="00D52564">
        <w:rPr>
          <w:rFonts w:ascii="Arial" w:hAnsi="Arial"/>
          <w:i/>
          <w:iCs/>
          <w:lang w:val="en-GB"/>
        </w:rPr>
        <w:t>et al</w:t>
      </w:r>
      <w:r w:rsidRPr="00D52564">
        <w:rPr>
          <w:rFonts w:ascii="Arial" w:hAnsi="Arial"/>
          <w:lang w:val="en-GB"/>
        </w:rPr>
        <w:t xml:space="preserve">. 2022). As debt financing significantly affects the profitability of a firm by raising finance costs, a lower debt-to-equity ratio is often preferred by firms. However, in the case of Wyndham, the debt-to-equity ratio was significantly high at 1.91 as of 2021, </w:t>
      </w:r>
      <w:r w:rsidR="005B7636" w:rsidRPr="00D52564">
        <w:rPr>
          <w:rFonts w:ascii="Arial" w:hAnsi="Arial"/>
          <w:lang w:val="en-GB"/>
        </w:rPr>
        <w:t xml:space="preserve">which continued to increase in subsequent years </w:t>
      </w:r>
      <w:r w:rsidRPr="00D52564">
        <w:rPr>
          <w:rFonts w:ascii="Arial" w:hAnsi="Arial"/>
          <w:lang w:val="en-GB"/>
        </w:rPr>
        <w:t>and reached its highest at 5.47 as of the year 2025</w:t>
      </w:r>
      <w:r w:rsidR="00EE41C5" w:rsidRPr="00D52564">
        <w:rPr>
          <w:rFonts w:ascii="Arial" w:hAnsi="Arial"/>
          <w:lang w:val="en-GB"/>
        </w:rPr>
        <w:t xml:space="preserve"> </w:t>
      </w:r>
      <w:r w:rsidR="00EE41C5" w:rsidRPr="00D52564">
        <w:rPr>
          <w:rFonts w:ascii="Arial" w:hAnsi="Arial"/>
          <w:b/>
          <w:bCs/>
          <w:i/>
          <w:iCs/>
          <w:lang w:val="en-GB"/>
        </w:rPr>
        <w:t>[Refer to Appendix 1]</w:t>
      </w:r>
      <w:r w:rsidRPr="00D52564">
        <w:rPr>
          <w:rFonts w:ascii="Arial" w:hAnsi="Arial"/>
          <w:lang w:val="en-GB"/>
        </w:rPr>
        <w:t xml:space="preserve">. </w:t>
      </w:r>
      <w:r w:rsidR="00EE41C5" w:rsidRPr="00D52564">
        <w:rPr>
          <w:rFonts w:ascii="Arial" w:hAnsi="Arial"/>
          <w:lang w:val="en-GB"/>
        </w:rPr>
        <w:t xml:space="preserve">This notable increase in the ratio can be explained through </w:t>
      </w:r>
      <w:r w:rsidR="005B7636" w:rsidRPr="00D52564">
        <w:rPr>
          <w:rFonts w:ascii="Arial" w:hAnsi="Arial"/>
          <w:lang w:val="en-GB"/>
        </w:rPr>
        <w:t>a reduction in shareholders' equity alongside an increase in debt financing</w:t>
      </w:r>
      <w:r w:rsidR="00EE41C5" w:rsidRPr="00D52564">
        <w:rPr>
          <w:rFonts w:ascii="Arial" w:hAnsi="Arial"/>
          <w:lang w:val="en-GB"/>
        </w:rPr>
        <w:t xml:space="preserve">. As a result of a high debt-to-equity ratio, </w:t>
      </w:r>
      <w:r w:rsidR="005B7636" w:rsidRPr="00D52564">
        <w:rPr>
          <w:rFonts w:ascii="Arial" w:hAnsi="Arial"/>
          <w:lang w:val="en-GB"/>
        </w:rPr>
        <w:t>the organisation may experience a further decrease in profitability</w:t>
      </w:r>
      <w:r w:rsidR="00423673" w:rsidRPr="00D52564">
        <w:rPr>
          <w:rFonts w:ascii="Arial" w:hAnsi="Arial"/>
          <w:lang w:val="en-GB"/>
        </w:rPr>
        <w:t xml:space="preserve"> in the upcoming period. </w:t>
      </w:r>
    </w:p>
    <w:p w14:paraId="0000000D" w14:textId="77777777" w:rsidR="003F35A2" w:rsidRPr="00D52564" w:rsidRDefault="00346555" w:rsidP="00D52564">
      <w:pPr>
        <w:pStyle w:val="Heading3"/>
        <w:spacing w:before="240" w:after="240"/>
        <w:rPr>
          <w:rFonts w:ascii="Arial" w:hAnsi="Arial"/>
          <w:lang w:val="en-GB"/>
        </w:rPr>
      </w:pPr>
      <w:bookmarkStart w:id="36" w:name="_5ob5f0qhn6f8" w:colFirst="0" w:colLast="0"/>
      <w:bookmarkStart w:id="37" w:name="_Toc236179767"/>
      <w:bookmarkStart w:id="38" w:name="_Toc236250013"/>
      <w:bookmarkStart w:id="39" w:name="_Toc237532201"/>
      <w:bookmarkEnd w:id="36"/>
      <w:r w:rsidRPr="00D52564">
        <w:rPr>
          <w:rFonts w:ascii="Arial" w:hAnsi="Arial"/>
          <w:lang w:val="en-GB"/>
        </w:rPr>
        <w:lastRenderedPageBreak/>
        <w:t>2.2.5 Investment</w:t>
      </w:r>
      <w:bookmarkEnd w:id="37"/>
      <w:bookmarkEnd w:id="38"/>
      <w:bookmarkEnd w:id="39"/>
    </w:p>
    <w:p w14:paraId="7AD8A38F" w14:textId="72D84940" w:rsidR="00761C96" w:rsidRPr="00D52564" w:rsidRDefault="00761C96" w:rsidP="009F69B9">
      <w:pPr>
        <w:spacing w:before="240" w:after="240"/>
        <w:jc w:val="center"/>
        <w:rPr>
          <w:rFonts w:ascii="Arial" w:hAnsi="Arial"/>
          <w:lang w:val="en-GB"/>
        </w:rPr>
      </w:pPr>
      <w:r w:rsidRPr="00D52564">
        <w:rPr>
          <w:rFonts w:ascii="Arial" w:hAnsi="Arial"/>
          <w:noProof/>
          <w:lang w:val="en-GB"/>
        </w:rPr>
        <w:drawing>
          <wp:inline distT="0" distB="0" distL="0" distR="0" wp14:anchorId="6314907D" wp14:editId="4157244C">
            <wp:extent cx="4907280" cy="2749534"/>
            <wp:effectExtent l="76200" t="76200" r="140970" b="127635"/>
            <wp:docPr id="11" name="Picture 10">
              <a:extLst xmlns:a="http://schemas.openxmlformats.org/drawingml/2006/main">
                <a:ext uri="{FF2B5EF4-FFF2-40B4-BE49-F238E27FC236}">
                  <a16:creationId xmlns:a16="http://schemas.microsoft.com/office/drawing/2014/main" id="{00802978-9A62-1F1C-42D2-0AE6A2CEE2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00802978-9A62-1F1C-42D2-0AE6A2CEE26D}"/>
                        </a:ext>
                      </a:extLst>
                    </pic:cNvPr>
                    <pic:cNvPicPr>
                      <a:picLocks noChangeAspect="1"/>
                    </pic:cNvPicPr>
                  </pic:nvPicPr>
                  <pic:blipFill>
                    <a:blip r:embed="rId17"/>
                    <a:stretch>
                      <a:fillRect/>
                    </a:stretch>
                  </pic:blipFill>
                  <pic:spPr>
                    <a:xfrm>
                      <a:off x="0" y="0"/>
                      <a:ext cx="4907280" cy="27495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0A43C5" w:rsidRPr="00D52564">
        <w:rPr>
          <w:rFonts w:ascii="Arial" w:hAnsi="Arial"/>
          <w:lang w:val="en-GB"/>
        </w:rPr>
        <w:t>\</w:t>
      </w:r>
    </w:p>
    <w:p w14:paraId="3B881B2B" w14:textId="0F1A3099" w:rsidR="000A43C5" w:rsidRPr="00D52564" w:rsidRDefault="000A43C5" w:rsidP="009F69B9">
      <w:pPr>
        <w:spacing w:before="240" w:after="240"/>
        <w:jc w:val="center"/>
        <w:rPr>
          <w:rFonts w:ascii="Arial" w:hAnsi="Arial"/>
          <w:b/>
          <w:bCs/>
          <w:lang w:val="en-GB"/>
        </w:rPr>
      </w:pPr>
      <w:r w:rsidRPr="00D52564">
        <w:rPr>
          <w:rFonts w:ascii="Arial" w:hAnsi="Arial"/>
          <w:b/>
          <w:bCs/>
          <w:lang w:val="en-GB"/>
        </w:rPr>
        <w:t xml:space="preserve">Figure </w:t>
      </w:r>
      <w:r w:rsidR="00415F35" w:rsidRPr="00D52564">
        <w:rPr>
          <w:rFonts w:ascii="Arial" w:hAnsi="Arial"/>
          <w:b/>
          <w:bCs/>
          <w:lang w:val="en-GB"/>
        </w:rPr>
        <w:t>8</w:t>
      </w:r>
      <w:r w:rsidRPr="00D52564">
        <w:rPr>
          <w:rFonts w:ascii="Arial" w:hAnsi="Arial"/>
          <w:b/>
          <w:bCs/>
          <w:lang w:val="en-GB"/>
        </w:rPr>
        <w:t>: Return on Equity Trends (2021-2025)</w:t>
      </w:r>
    </w:p>
    <w:p w14:paraId="1A3D44E1" w14:textId="1C7705CF" w:rsidR="000A43C5" w:rsidRPr="00D52564" w:rsidRDefault="000A43C5" w:rsidP="009F69B9">
      <w:pPr>
        <w:spacing w:before="240" w:after="240"/>
        <w:jc w:val="center"/>
        <w:rPr>
          <w:rFonts w:ascii="Arial" w:hAnsi="Arial"/>
          <w:lang w:val="en-GB"/>
        </w:rPr>
      </w:pPr>
      <w:r w:rsidRPr="00D52564">
        <w:rPr>
          <w:rFonts w:ascii="Arial" w:hAnsi="Arial"/>
          <w:lang w:val="en-GB"/>
        </w:rPr>
        <w:t>(Source: Excel Output)</w:t>
      </w:r>
    </w:p>
    <w:p w14:paraId="158EBCD7" w14:textId="2C930E7F" w:rsidR="00851B74" w:rsidRPr="00D52564" w:rsidRDefault="005B7636" w:rsidP="00D52564">
      <w:pPr>
        <w:spacing w:before="240" w:after="240"/>
        <w:rPr>
          <w:rFonts w:ascii="Arial" w:hAnsi="Arial"/>
          <w:lang w:val="en-GB"/>
        </w:rPr>
      </w:pPr>
      <w:r w:rsidRPr="00D52564">
        <w:rPr>
          <w:rFonts w:ascii="Arial" w:hAnsi="Arial"/>
          <w:lang w:val="en-GB"/>
        </w:rPr>
        <w:t xml:space="preserve">Return on Equity (ROE) is a metric </w:t>
      </w:r>
      <w:r w:rsidR="00851B74" w:rsidRPr="00D52564">
        <w:rPr>
          <w:rFonts w:ascii="Arial" w:hAnsi="Arial"/>
          <w:lang w:val="en-GB"/>
        </w:rPr>
        <w:t xml:space="preserve">that shows the overall </w:t>
      </w:r>
      <w:r w:rsidRPr="00D52564">
        <w:rPr>
          <w:rFonts w:ascii="Arial" w:hAnsi="Arial"/>
          <w:lang w:val="en-GB"/>
        </w:rPr>
        <w:t xml:space="preserve">profitability generated from shareholders' equity </w:t>
      </w:r>
      <w:r w:rsidR="00851B74" w:rsidRPr="00D52564">
        <w:rPr>
          <w:rFonts w:ascii="Arial" w:hAnsi="Arial"/>
          <w:lang w:val="en-GB"/>
        </w:rPr>
        <w:t>(</w:t>
      </w:r>
      <w:r w:rsidR="00E252C8" w:rsidRPr="00D52564">
        <w:rPr>
          <w:rFonts w:ascii="Arial" w:hAnsi="Arial"/>
          <w:lang w:val="en-GB"/>
        </w:rPr>
        <w:t>Balatsky, 2021</w:t>
      </w:r>
      <w:r w:rsidR="00851B74" w:rsidRPr="00D52564">
        <w:rPr>
          <w:rFonts w:ascii="Arial" w:hAnsi="Arial"/>
          <w:lang w:val="en-GB"/>
        </w:rPr>
        <w:t xml:space="preserve">). </w:t>
      </w:r>
      <w:r w:rsidR="00E252C8" w:rsidRPr="00D52564">
        <w:rPr>
          <w:rFonts w:ascii="Arial" w:hAnsi="Arial"/>
          <w:lang w:val="en-GB"/>
        </w:rPr>
        <w:t xml:space="preserve">The ratio effectively highlights the potential of a firm to create value for its shareholders. In this context, the ROE of Wyndham was significantly low at 4.41% in 2021 due to the low revenue generated during the pandemic period. However, the ratio increased to 36.90% in 2022, and in the year 2024 it reached its highest at 44.46% before declining to 41.24% in 2025 </w:t>
      </w:r>
      <w:r w:rsidR="00E252C8" w:rsidRPr="00D52564">
        <w:rPr>
          <w:rFonts w:ascii="Arial" w:hAnsi="Arial"/>
          <w:b/>
          <w:bCs/>
          <w:i/>
          <w:iCs/>
          <w:lang w:val="en-GB"/>
        </w:rPr>
        <w:t>[Refer to Appendix 1]</w:t>
      </w:r>
      <w:r w:rsidR="00E252C8" w:rsidRPr="00D52564">
        <w:rPr>
          <w:rFonts w:ascii="Arial" w:hAnsi="Arial"/>
          <w:lang w:val="en-GB"/>
        </w:rPr>
        <w:t>.</w:t>
      </w:r>
      <w:r w:rsidR="00553107" w:rsidRPr="00D52564">
        <w:rPr>
          <w:rFonts w:ascii="Arial" w:hAnsi="Arial"/>
          <w:lang w:val="en-GB"/>
        </w:rPr>
        <w:t xml:space="preserve"> The high return on equity of the firm shows its effectiveness in contributing toward shareholder wealth maximisation and sustainable financial value creation.</w:t>
      </w:r>
    </w:p>
    <w:p w14:paraId="0000000E" w14:textId="08CEA065" w:rsidR="003F35A2" w:rsidRPr="00D52564" w:rsidRDefault="00346555" w:rsidP="00D52564">
      <w:pPr>
        <w:pStyle w:val="Heading3"/>
        <w:spacing w:before="240" w:after="240"/>
        <w:rPr>
          <w:rFonts w:ascii="Arial" w:hAnsi="Arial"/>
          <w:lang w:val="en-GB"/>
        </w:rPr>
      </w:pPr>
      <w:bookmarkStart w:id="40" w:name="_yvztzuxm5gwj" w:colFirst="0" w:colLast="0"/>
      <w:bookmarkStart w:id="41" w:name="_Toc236179768"/>
      <w:bookmarkStart w:id="42" w:name="_Toc236250014"/>
      <w:bookmarkStart w:id="43" w:name="_Toc237532202"/>
      <w:bookmarkEnd w:id="40"/>
      <w:r w:rsidRPr="00D52564">
        <w:rPr>
          <w:rFonts w:ascii="Arial" w:hAnsi="Arial"/>
          <w:lang w:val="en-GB"/>
        </w:rPr>
        <w:lastRenderedPageBreak/>
        <w:t xml:space="preserve">2.2.6 Cash </w:t>
      </w:r>
      <w:r w:rsidR="000B0A3A" w:rsidRPr="00D52564">
        <w:rPr>
          <w:rFonts w:ascii="Arial" w:hAnsi="Arial"/>
          <w:lang w:val="en-GB"/>
        </w:rPr>
        <w:t>Flow</w:t>
      </w:r>
      <w:bookmarkEnd w:id="41"/>
      <w:bookmarkEnd w:id="42"/>
      <w:bookmarkEnd w:id="43"/>
    </w:p>
    <w:p w14:paraId="767D51C3" w14:textId="4877F5A0" w:rsidR="00761C96" w:rsidRPr="00D52564" w:rsidRDefault="00761C96" w:rsidP="009F69B9">
      <w:pPr>
        <w:spacing w:before="240" w:after="240"/>
        <w:jc w:val="center"/>
        <w:rPr>
          <w:rFonts w:ascii="Arial" w:hAnsi="Arial"/>
          <w:lang w:val="en-GB"/>
        </w:rPr>
      </w:pPr>
      <w:r w:rsidRPr="00D52564">
        <w:rPr>
          <w:rFonts w:ascii="Arial" w:hAnsi="Arial"/>
          <w:noProof/>
          <w:lang w:val="en-GB"/>
        </w:rPr>
        <w:drawing>
          <wp:inline distT="0" distB="0" distL="0" distR="0" wp14:anchorId="3D16CDC5" wp14:editId="4FDF6F5C">
            <wp:extent cx="4892040" cy="2880360"/>
            <wp:effectExtent l="76200" t="76200" r="142240" b="137160"/>
            <wp:docPr id="14" name="Picture 13">
              <a:extLst xmlns:a="http://schemas.openxmlformats.org/drawingml/2006/main">
                <a:ext uri="{FF2B5EF4-FFF2-40B4-BE49-F238E27FC236}">
                  <a16:creationId xmlns:a16="http://schemas.microsoft.com/office/drawing/2014/main" id="{BFA719AB-3B26-40C8-B200-7AC528E2EC3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BFA719AB-3B26-40C8-B200-7AC528E2EC39}"/>
                        </a:ext>
                      </a:extLst>
                    </pic:cNvPr>
                    <pic:cNvPicPr>
                      <a:picLocks noChangeAspect="1"/>
                    </pic:cNvPicPr>
                  </pic:nvPicPr>
                  <pic:blipFill>
                    <a:blip r:embed="rId18"/>
                    <a:stretch>
                      <a:fillRect/>
                    </a:stretch>
                  </pic:blipFill>
                  <pic:spPr>
                    <a:xfrm>
                      <a:off x="0" y="0"/>
                      <a:ext cx="4892040" cy="28803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DA5E89" w14:textId="3FEF34C1" w:rsidR="000A43C5" w:rsidRPr="00D52564" w:rsidRDefault="000A43C5" w:rsidP="009F69B9">
      <w:pPr>
        <w:spacing w:before="240" w:after="240"/>
        <w:jc w:val="center"/>
        <w:rPr>
          <w:rFonts w:ascii="Arial" w:hAnsi="Arial"/>
          <w:b/>
          <w:bCs/>
          <w:lang w:val="en-GB"/>
        </w:rPr>
      </w:pPr>
      <w:r w:rsidRPr="00D52564">
        <w:rPr>
          <w:rFonts w:ascii="Arial" w:hAnsi="Arial"/>
          <w:b/>
          <w:bCs/>
          <w:lang w:val="en-GB"/>
        </w:rPr>
        <w:t xml:space="preserve">Figure </w:t>
      </w:r>
      <w:r w:rsidR="00415F35" w:rsidRPr="00D52564">
        <w:rPr>
          <w:rFonts w:ascii="Arial" w:hAnsi="Arial"/>
          <w:b/>
          <w:bCs/>
          <w:lang w:val="en-GB"/>
        </w:rPr>
        <w:t>9</w:t>
      </w:r>
      <w:r w:rsidRPr="00D52564">
        <w:rPr>
          <w:rFonts w:ascii="Arial" w:hAnsi="Arial"/>
          <w:b/>
          <w:bCs/>
          <w:lang w:val="en-GB"/>
        </w:rPr>
        <w:t>: Operating Cash Flow-to-Sales Ratio Trends (2021-2025)</w:t>
      </w:r>
    </w:p>
    <w:p w14:paraId="1F698391" w14:textId="77777777" w:rsidR="000A43C5" w:rsidRPr="00D52564" w:rsidRDefault="000A43C5" w:rsidP="009F69B9">
      <w:pPr>
        <w:spacing w:before="240" w:after="240"/>
        <w:jc w:val="center"/>
        <w:rPr>
          <w:rFonts w:ascii="Arial" w:hAnsi="Arial"/>
          <w:lang w:val="en-GB"/>
        </w:rPr>
      </w:pPr>
      <w:r w:rsidRPr="00D52564">
        <w:rPr>
          <w:rFonts w:ascii="Arial" w:hAnsi="Arial"/>
          <w:lang w:val="en-GB"/>
        </w:rPr>
        <w:t>(Source: Excel Output)</w:t>
      </w:r>
    </w:p>
    <w:p w14:paraId="2540708F" w14:textId="134AECAA" w:rsidR="0040660A" w:rsidRPr="00D52564" w:rsidRDefault="00553107" w:rsidP="00D52564">
      <w:pPr>
        <w:spacing w:before="240" w:after="240"/>
        <w:rPr>
          <w:rFonts w:ascii="Arial" w:hAnsi="Arial"/>
          <w:lang w:val="en-GB"/>
        </w:rPr>
      </w:pPr>
      <w:r w:rsidRPr="00D52564">
        <w:rPr>
          <w:rFonts w:ascii="Arial" w:hAnsi="Arial"/>
          <w:lang w:val="en-GB"/>
        </w:rPr>
        <w:t xml:space="preserve">The operating cash flow-to-sales ratio shows the </w:t>
      </w:r>
      <w:r w:rsidR="00ED68B9" w:rsidRPr="00D52564">
        <w:rPr>
          <w:rFonts w:ascii="Arial" w:hAnsi="Arial"/>
          <w:lang w:val="en-GB"/>
        </w:rPr>
        <w:t>influence of operating cash flow in generating sales of a business organisation</w:t>
      </w:r>
      <w:r w:rsidR="0040660A" w:rsidRPr="00D52564">
        <w:rPr>
          <w:rFonts w:ascii="Arial" w:hAnsi="Arial"/>
          <w:lang w:val="en-GB"/>
        </w:rPr>
        <w:t xml:space="preserve"> (Majumdar and Majumdar, 2020)</w:t>
      </w:r>
      <w:r w:rsidR="00ED68B9" w:rsidRPr="00D52564">
        <w:rPr>
          <w:rFonts w:ascii="Arial" w:hAnsi="Arial"/>
          <w:lang w:val="en-GB"/>
        </w:rPr>
        <w:t xml:space="preserve">. The ratio </w:t>
      </w:r>
      <w:r w:rsidR="005B7636" w:rsidRPr="00D52564">
        <w:rPr>
          <w:rFonts w:ascii="Arial" w:hAnsi="Arial"/>
          <w:lang w:val="en-GB"/>
        </w:rPr>
        <w:t>shows the extent to which operating activities generate cash relative to sales</w:t>
      </w:r>
      <w:r w:rsidR="00ED68B9" w:rsidRPr="00D52564">
        <w:rPr>
          <w:rFonts w:ascii="Arial" w:hAnsi="Arial"/>
          <w:lang w:val="en-GB"/>
        </w:rPr>
        <w:t xml:space="preserve"> generation. In this context, the highest operating cash flow-to-sales ratio of 1.09 was </w:t>
      </w:r>
      <w:r w:rsidR="005B7636" w:rsidRPr="00D52564">
        <w:rPr>
          <w:rFonts w:ascii="Arial" w:hAnsi="Arial"/>
          <w:lang w:val="en-GB"/>
        </w:rPr>
        <w:t xml:space="preserve">delivered by Wyndham </w:t>
      </w:r>
      <w:r w:rsidR="00ED68B9" w:rsidRPr="00D52564">
        <w:rPr>
          <w:rFonts w:ascii="Arial" w:hAnsi="Arial"/>
          <w:lang w:val="en-GB"/>
        </w:rPr>
        <w:t xml:space="preserve">as of 2021 despite the pandemic-affected sales figures of the firm </w:t>
      </w:r>
      <w:r w:rsidR="00ED68B9" w:rsidRPr="00D52564">
        <w:rPr>
          <w:rFonts w:ascii="Arial" w:hAnsi="Arial"/>
          <w:b/>
          <w:bCs/>
          <w:i/>
          <w:iCs/>
          <w:lang w:val="en-GB"/>
        </w:rPr>
        <w:t>[Refer to Appendix 1]</w:t>
      </w:r>
      <w:r w:rsidR="00ED68B9" w:rsidRPr="00D52564">
        <w:rPr>
          <w:rFonts w:ascii="Arial" w:hAnsi="Arial"/>
          <w:lang w:val="en-GB"/>
        </w:rPr>
        <w:t xml:space="preserve">. However, </w:t>
      </w:r>
      <w:r w:rsidR="005B7636" w:rsidRPr="00D52564">
        <w:rPr>
          <w:rFonts w:ascii="Arial" w:hAnsi="Arial"/>
          <w:lang w:val="en-GB"/>
        </w:rPr>
        <w:t>the firm maintained an operating cash flow-to-sales ratio of approximately 0.27</w:t>
      </w:r>
      <w:r w:rsidR="00ED68B9" w:rsidRPr="00D52564">
        <w:rPr>
          <w:rFonts w:ascii="Arial" w:hAnsi="Arial"/>
          <w:lang w:val="en-GB"/>
        </w:rPr>
        <w:t xml:space="preserve"> in 2022, 2023 and 2025, which shows that despite a decrease in the ratio, the firm has been maintaining stable operating cash flow levels to effectively fund its operational activities and generate sales. </w:t>
      </w:r>
    </w:p>
    <w:p w14:paraId="0000000F" w14:textId="3F754302" w:rsidR="003F35A2" w:rsidRPr="00D52564" w:rsidRDefault="00346555" w:rsidP="00D52564">
      <w:pPr>
        <w:pStyle w:val="Heading2"/>
        <w:spacing w:before="240" w:after="240"/>
        <w:rPr>
          <w:rFonts w:ascii="Arial" w:hAnsi="Arial"/>
          <w:sz w:val="24"/>
          <w:lang w:val="en-GB"/>
        </w:rPr>
      </w:pPr>
      <w:bookmarkStart w:id="44" w:name="_5j0isrr71q7d" w:colFirst="0" w:colLast="0"/>
      <w:bookmarkStart w:id="45" w:name="_Toc236179769"/>
      <w:bookmarkStart w:id="46" w:name="_Toc236250015"/>
      <w:bookmarkStart w:id="47" w:name="_Toc237532203"/>
      <w:bookmarkEnd w:id="44"/>
      <w:r w:rsidRPr="00D52564">
        <w:rPr>
          <w:rFonts w:ascii="Arial" w:hAnsi="Arial"/>
          <w:sz w:val="24"/>
          <w:lang w:val="en-GB"/>
        </w:rPr>
        <w:t xml:space="preserve">2.3 </w:t>
      </w:r>
      <w:r w:rsidR="00B80888" w:rsidRPr="00D52564">
        <w:rPr>
          <w:rFonts w:ascii="Arial" w:hAnsi="Arial"/>
          <w:sz w:val="24"/>
          <w:lang w:val="en-GB"/>
        </w:rPr>
        <w:t>Performance Summary</w:t>
      </w:r>
      <w:bookmarkEnd w:id="45"/>
      <w:bookmarkEnd w:id="46"/>
      <w:bookmarkEnd w:id="47"/>
    </w:p>
    <w:tbl>
      <w:tblPr>
        <w:tblStyle w:val="GridTable4-Accent3"/>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6"/>
        <w:gridCol w:w="3117"/>
        <w:gridCol w:w="3117"/>
      </w:tblGrid>
      <w:tr w:rsidR="00FC4075" w:rsidRPr="00D52564" w14:paraId="28F03CF5" w14:textId="77777777" w:rsidTr="009F69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6" w:type="pct"/>
            <w:tcBorders>
              <w:top w:val="none" w:sz="0" w:space="0" w:color="auto"/>
              <w:left w:val="none" w:sz="0" w:space="0" w:color="auto"/>
              <w:bottom w:val="none" w:sz="0" w:space="0" w:color="auto"/>
              <w:right w:val="none" w:sz="0" w:space="0" w:color="auto"/>
            </w:tcBorders>
          </w:tcPr>
          <w:p w14:paraId="495A4285" w14:textId="2CD9DAA7" w:rsidR="00FC4075" w:rsidRPr="00D52564" w:rsidRDefault="00FC4075" w:rsidP="00D52564">
            <w:pPr>
              <w:spacing w:before="240" w:after="240" w:line="360" w:lineRule="auto"/>
              <w:rPr>
                <w:rFonts w:ascii="Arial" w:hAnsi="Arial"/>
                <w:color w:val="000000" w:themeColor="text1"/>
                <w:lang w:val="en-GB"/>
              </w:rPr>
            </w:pPr>
            <w:r w:rsidRPr="00D52564">
              <w:rPr>
                <w:rFonts w:ascii="Arial" w:hAnsi="Arial"/>
                <w:color w:val="000000" w:themeColor="text1"/>
                <w:lang w:val="en-GB"/>
              </w:rPr>
              <w:t>Trends</w:t>
            </w:r>
          </w:p>
        </w:tc>
        <w:tc>
          <w:tcPr>
            <w:tcW w:w="1667" w:type="pct"/>
            <w:tcBorders>
              <w:top w:val="none" w:sz="0" w:space="0" w:color="auto"/>
              <w:left w:val="none" w:sz="0" w:space="0" w:color="auto"/>
              <w:bottom w:val="none" w:sz="0" w:space="0" w:color="auto"/>
              <w:right w:val="none" w:sz="0" w:space="0" w:color="auto"/>
            </w:tcBorders>
          </w:tcPr>
          <w:p w14:paraId="26B6C72D" w14:textId="3E6885EE" w:rsidR="00FC4075" w:rsidRPr="00D52564" w:rsidRDefault="00FC4075" w:rsidP="00D52564">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color w:val="000000" w:themeColor="text1"/>
                <w:lang w:val="en-GB"/>
              </w:rPr>
            </w:pPr>
            <w:r w:rsidRPr="00D52564">
              <w:rPr>
                <w:rFonts w:ascii="Arial" w:hAnsi="Arial"/>
                <w:color w:val="000000" w:themeColor="text1"/>
                <w:lang w:val="en-GB"/>
              </w:rPr>
              <w:t>Strengths</w:t>
            </w:r>
          </w:p>
        </w:tc>
        <w:tc>
          <w:tcPr>
            <w:tcW w:w="1667" w:type="pct"/>
            <w:tcBorders>
              <w:top w:val="none" w:sz="0" w:space="0" w:color="auto"/>
              <w:left w:val="none" w:sz="0" w:space="0" w:color="auto"/>
              <w:bottom w:val="none" w:sz="0" w:space="0" w:color="auto"/>
              <w:right w:val="none" w:sz="0" w:space="0" w:color="auto"/>
            </w:tcBorders>
          </w:tcPr>
          <w:p w14:paraId="4D03E18A" w14:textId="7D9BCD66" w:rsidR="00FC4075" w:rsidRPr="00D52564" w:rsidRDefault="00FC4075" w:rsidP="00D52564">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color w:val="000000" w:themeColor="text1"/>
                <w:lang w:val="en-GB"/>
              </w:rPr>
            </w:pPr>
            <w:r w:rsidRPr="00D52564">
              <w:rPr>
                <w:rFonts w:ascii="Arial" w:hAnsi="Arial"/>
                <w:color w:val="000000" w:themeColor="text1"/>
                <w:lang w:val="en-GB"/>
              </w:rPr>
              <w:t>Threats</w:t>
            </w:r>
          </w:p>
        </w:tc>
      </w:tr>
      <w:tr w:rsidR="00FC4075" w:rsidRPr="00D52564" w14:paraId="66A2C880" w14:textId="77777777" w:rsidTr="009F69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6" w:type="pct"/>
          </w:tcPr>
          <w:p w14:paraId="227F03EF" w14:textId="77777777" w:rsidR="00FC4075" w:rsidRPr="00D52564" w:rsidRDefault="00FC4075" w:rsidP="009F69B9">
            <w:pPr>
              <w:pStyle w:val="ListParagraph"/>
              <w:numPr>
                <w:ilvl w:val="0"/>
                <w:numId w:val="10"/>
              </w:numPr>
              <w:spacing w:before="240" w:after="240" w:line="360" w:lineRule="auto"/>
              <w:contextualSpacing w:val="0"/>
              <w:rPr>
                <w:rFonts w:ascii="Arial" w:hAnsi="Arial"/>
                <w:b w:val="0"/>
                <w:bCs w:val="0"/>
                <w:lang w:val="en-GB"/>
              </w:rPr>
            </w:pPr>
            <w:r w:rsidRPr="00D52564">
              <w:rPr>
                <w:rFonts w:ascii="Arial" w:hAnsi="Arial"/>
                <w:b w:val="0"/>
                <w:bCs w:val="0"/>
                <w:lang w:val="en-GB"/>
              </w:rPr>
              <w:lastRenderedPageBreak/>
              <w:t>The asset-light franchise business model helped the company deliver stable revenue and profits.</w:t>
            </w:r>
          </w:p>
          <w:p w14:paraId="235F43F8" w14:textId="13130982" w:rsidR="00FC4075" w:rsidRPr="00D52564" w:rsidRDefault="00FC4075" w:rsidP="009F69B9">
            <w:pPr>
              <w:pStyle w:val="ListParagraph"/>
              <w:numPr>
                <w:ilvl w:val="0"/>
                <w:numId w:val="10"/>
              </w:numPr>
              <w:spacing w:before="240" w:after="240" w:line="360" w:lineRule="auto"/>
              <w:contextualSpacing w:val="0"/>
              <w:rPr>
                <w:rFonts w:ascii="Arial" w:hAnsi="Arial"/>
                <w:lang w:val="en-GB"/>
              </w:rPr>
            </w:pPr>
            <w:r w:rsidRPr="00D52564">
              <w:rPr>
                <w:rFonts w:ascii="Arial" w:hAnsi="Arial"/>
                <w:b w:val="0"/>
                <w:bCs w:val="0"/>
                <w:lang w:val="en-GB"/>
              </w:rPr>
              <w:t>The operating cash flows of the firm were positive and stable after the pandemic period.</w:t>
            </w:r>
          </w:p>
        </w:tc>
        <w:tc>
          <w:tcPr>
            <w:tcW w:w="1667" w:type="pct"/>
          </w:tcPr>
          <w:p w14:paraId="631606E9" w14:textId="1BAEEC32" w:rsidR="00FC4075" w:rsidRPr="00D52564" w:rsidRDefault="00B80888" w:rsidP="009F69B9">
            <w:pPr>
              <w:pStyle w:val="ListParagraph"/>
              <w:numPr>
                <w:ilvl w:val="0"/>
                <w:numId w:val="11"/>
              </w:numPr>
              <w:spacing w:before="240" w:after="240" w:line="360" w:lineRule="auto"/>
              <w:contextualSpacing w:val="0"/>
              <w:cnfStyle w:val="000000100000" w:firstRow="0" w:lastRow="0" w:firstColumn="0" w:lastColumn="0" w:oddVBand="0" w:evenVBand="0" w:oddHBand="1" w:evenHBand="0" w:firstRowFirstColumn="0" w:firstRowLastColumn="0" w:lastRowFirstColumn="0" w:lastRowLastColumn="0"/>
              <w:rPr>
                <w:rFonts w:ascii="Arial" w:hAnsi="Arial"/>
                <w:lang w:val="en-GB"/>
              </w:rPr>
            </w:pPr>
            <w:r w:rsidRPr="00D52564">
              <w:rPr>
                <w:rFonts w:ascii="Arial" w:hAnsi="Arial"/>
                <w:lang w:val="en-GB"/>
              </w:rPr>
              <w:t>Stability and growth in terms of revenue and profitability indicate positive financial performance.</w:t>
            </w:r>
          </w:p>
          <w:p w14:paraId="18BF4714" w14:textId="1C07E5D9" w:rsidR="00B80888" w:rsidRPr="00D52564" w:rsidRDefault="00B80888" w:rsidP="009F69B9">
            <w:pPr>
              <w:pStyle w:val="ListParagraph"/>
              <w:numPr>
                <w:ilvl w:val="0"/>
                <w:numId w:val="11"/>
              </w:numPr>
              <w:spacing w:before="240" w:after="240" w:line="360" w:lineRule="auto"/>
              <w:contextualSpacing w:val="0"/>
              <w:cnfStyle w:val="000000100000" w:firstRow="0" w:lastRow="0" w:firstColumn="0" w:lastColumn="0" w:oddVBand="0" w:evenVBand="0" w:oddHBand="1" w:evenHBand="0" w:firstRowFirstColumn="0" w:firstRowLastColumn="0" w:lastRowFirstColumn="0" w:lastRowLastColumn="0"/>
              <w:rPr>
                <w:rFonts w:ascii="Arial" w:hAnsi="Arial"/>
                <w:lang w:val="en-GB"/>
              </w:rPr>
            </w:pPr>
            <w:r w:rsidRPr="00D52564">
              <w:rPr>
                <w:rFonts w:ascii="Arial" w:hAnsi="Arial"/>
                <w:lang w:val="en-GB"/>
              </w:rPr>
              <w:t>Large portfolio including more than 8,300 hotels and 25 brands across 100 countries (Wyndham, 2026</w:t>
            </w:r>
            <w:r w:rsidR="003A0882" w:rsidRPr="00D52564">
              <w:rPr>
                <w:rFonts w:ascii="Arial" w:hAnsi="Arial"/>
                <w:lang w:val="en-GB"/>
              </w:rPr>
              <w:t>c</w:t>
            </w:r>
            <w:r w:rsidRPr="00D52564">
              <w:rPr>
                <w:rFonts w:ascii="Arial" w:hAnsi="Arial"/>
                <w:lang w:val="en-GB"/>
              </w:rPr>
              <w:t xml:space="preserve">). </w:t>
            </w:r>
          </w:p>
        </w:tc>
        <w:tc>
          <w:tcPr>
            <w:tcW w:w="1667" w:type="pct"/>
          </w:tcPr>
          <w:p w14:paraId="0DEE8723" w14:textId="68040ACC" w:rsidR="00FC4075" w:rsidRPr="00D52564" w:rsidRDefault="00B80888" w:rsidP="009F69B9">
            <w:pPr>
              <w:pStyle w:val="ListParagraph"/>
              <w:numPr>
                <w:ilvl w:val="0"/>
                <w:numId w:val="12"/>
              </w:numPr>
              <w:spacing w:before="240" w:after="240" w:line="360" w:lineRule="auto"/>
              <w:contextualSpacing w:val="0"/>
              <w:cnfStyle w:val="000000100000" w:firstRow="0" w:lastRow="0" w:firstColumn="0" w:lastColumn="0" w:oddVBand="0" w:evenVBand="0" w:oddHBand="1" w:evenHBand="0" w:firstRowFirstColumn="0" w:firstRowLastColumn="0" w:lastRowFirstColumn="0" w:lastRowLastColumn="0"/>
              <w:rPr>
                <w:rFonts w:ascii="Arial" w:hAnsi="Arial"/>
                <w:lang w:val="en-GB"/>
              </w:rPr>
            </w:pPr>
            <w:r w:rsidRPr="00D52564">
              <w:rPr>
                <w:rFonts w:ascii="Arial" w:hAnsi="Arial"/>
                <w:lang w:val="en-GB"/>
              </w:rPr>
              <w:t xml:space="preserve">The deteriorating liquidity performance of the firm is a notable concern as it may affect </w:t>
            </w:r>
            <w:r w:rsidR="00A80FDE" w:rsidRPr="00D52564">
              <w:rPr>
                <w:rFonts w:ascii="Arial" w:hAnsi="Arial"/>
                <w:lang w:val="en-GB"/>
              </w:rPr>
              <w:t xml:space="preserve">the </w:t>
            </w:r>
            <w:r w:rsidRPr="00D52564">
              <w:rPr>
                <w:rFonts w:ascii="Arial" w:hAnsi="Arial"/>
                <w:lang w:val="en-GB"/>
              </w:rPr>
              <w:t xml:space="preserve">working capital management of the firm in an adverse manner. </w:t>
            </w:r>
          </w:p>
          <w:p w14:paraId="7D1696C4" w14:textId="1A6FCD94" w:rsidR="00B80888" w:rsidRPr="00D52564" w:rsidRDefault="00B80888" w:rsidP="009F69B9">
            <w:pPr>
              <w:pStyle w:val="ListParagraph"/>
              <w:numPr>
                <w:ilvl w:val="0"/>
                <w:numId w:val="12"/>
              </w:numPr>
              <w:spacing w:before="240" w:after="240" w:line="360" w:lineRule="auto"/>
              <w:contextualSpacing w:val="0"/>
              <w:cnfStyle w:val="000000100000" w:firstRow="0" w:lastRow="0" w:firstColumn="0" w:lastColumn="0" w:oddVBand="0" w:evenVBand="0" w:oddHBand="1" w:evenHBand="0" w:firstRowFirstColumn="0" w:firstRowLastColumn="0" w:lastRowFirstColumn="0" w:lastRowLastColumn="0"/>
              <w:rPr>
                <w:rFonts w:ascii="Arial" w:hAnsi="Arial"/>
                <w:lang w:val="en-GB"/>
              </w:rPr>
            </w:pPr>
            <w:r w:rsidRPr="00D52564">
              <w:rPr>
                <w:rFonts w:ascii="Arial" w:hAnsi="Arial"/>
                <w:lang w:val="en-GB"/>
              </w:rPr>
              <w:t xml:space="preserve">Significantly high leverage of the firm may lead to a notable increase in finance costs and decrease in overall profitability of the firm. </w:t>
            </w:r>
          </w:p>
        </w:tc>
      </w:tr>
    </w:tbl>
    <w:p w14:paraId="3429F760" w14:textId="62562AD9" w:rsidR="00761C96" w:rsidRPr="00D52564" w:rsidRDefault="00B80888" w:rsidP="009F69B9">
      <w:pPr>
        <w:spacing w:before="240" w:after="240"/>
        <w:jc w:val="center"/>
        <w:rPr>
          <w:rFonts w:ascii="Arial" w:hAnsi="Arial"/>
          <w:b/>
          <w:bCs/>
          <w:lang w:val="en-GB"/>
        </w:rPr>
      </w:pPr>
      <w:r w:rsidRPr="00D52564">
        <w:rPr>
          <w:rFonts w:ascii="Arial" w:hAnsi="Arial"/>
          <w:b/>
          <w:bCs/>
          <w:lang w:val="en-GB"/>
        </w:rPr>
        <w:t>Table 1: Financial Performance Analysis Summary</w:t>
      </w:r>
    </w:p>
    <w:p w14:paraId="626953AF" w14:textId="638C06DA" w:rsidR="00B80888" w:rsidRPr="00D52564" w:rsidRDefault="00B80888" w:rsidP="009F69B9">
      <w:pPr>
        <w:spacing w:before="240" w:after="240"/>
        <w:jc w:val="center"/>
        <w:rPr>
          <w:rFonts w:ascii="Arial" w:hAnsi="Arial"/>
          <w:lang w:val="en-GB"/>
        </w:rPr>
      </w:pPr>
      <w:r w:rsidRPr="00D52564">
        <w:rPr>
          <w:rFonts w:ascii="Arial" w:hAnsi="Arial"/>
          <w:lang w:val="en-GB"/>
        </w:rPr>
        <w:t>(Source: Self-Developed)</w:t>
      </w:r>
    </w:p>
    <w:p w14:paraId="00000010" w14:textId="154B0A6C" w:rsidR="003F35A2" w:rsidRPr="00D52564" w:rsidRDefault="00346555" w:rsidP="00D52564">
      <w:pPr>
        <w:pStyle w:val="Heading2"/>
        <w:spacing w:before="240" w:after="240"/>
        <w:rPr>
          <w:rFonts w:ascii="Arial" w:hAnsi="Arial"/>
          <w:sz w:val="24"/>
          <w:lang w:val="en-GB"/>
        </w:rPr>
      </w:pPr>
      <w:bookmarkStart w:id="48" w:name="_rf07hudnr9i0" w:colFirst="0" w:colLast="0"/>
      <w:bookmarkStart w:id="49" w:name="_Toc236179770"/>
      <w:bookmarkStart w:id="50" w:name="_Toc236250016"/>
      <w:bookmarkStart w:id="51" w:name="_Toc237532204"/>
      <w:bookmarkEnd w:id="48"/>
      <w:r w:rsidRPr="00D52564">
        <w:rPr>
          <w:rFonts w:ascii="Arial" w:hAnsi="Arial"/>
          <w:sz w:val="24"/>
          <w:lang w:val="en-GB"/>
        </w:rPr>
        <w:t xml:space="preserve">2.4 Liquidity </w:t>
      </w:r>
      <w:r w:rsidR="000B0A3A" w:rsidRPr="00D52564">
        <w:rPr>
          <w:rFonts w:ascii="Arial" w:hAnsi="Arial"/>
          <w:sz w:val="24"/>
          <w:lang w:val="en-GB"/>
        </w:rPr>
        <w:t>B</w:t>
      </w:r>
      <w:r w:rsidRPr="00D52564">
        <w:rPr>
          <w:rFonts w:ascii="Arial" w:hAnsi="Arial"/>
          <w:sz w:val="24"/>
          <w:lang w:val="en-GB"/>
        </w:rPr>
        <w:t>enchmarking</w:t>
      </w:r>
      <w:bookmarkEnd w:id="49"/>
      <w:bookmarkEnd w:id="50"/>
      <w:bookmarkEnd w:id="51"/>
    </w:p>
    <w:p w14:paraId="3942CDA5" w14:textId="375EA202" w:rsidR="00761C96" w:rsidRPr="00D52564" w:rsidRDefault="002451B9" w:rsidP="00D52564">
      <w:pPr>
        <w:spacing w:before="240" w:after="240"/>
        <w:rPr>
          <w:rFonts w:ascii="Arial" w:hAnsi="Arial"/>
          <w:lang w:val="en-GB"/>
        </w:rPr>
      </w:pPr>
      <w:r w:rsidRPr="00D52564">
        <w:rPr>
          <w:rFonts w:ascii="Arial" w:hAnsi="Arial"/>
          <w:lang w:val="en-GB"/>
        </w:rPr>
        <w:t xml:space="preserve">Liquidity benchmarking in the hospitality sector can be shown through the standard current ratio of hotels and resorts operating in the industry. </w:t>
      </w:r>
      <w:r w:rsidR="005B7636" w:rsidRPr="00D52564">
        <w:rPr>
          <w:rFonts w:ascii="Arial" w:hAnsi="Arial"/>
          <w:lang w:val="en-GB"/>
        </w:rPr>
        <w:t xml:space="preserve">A current ratio of 1.2 to 2 is often considered a liquidity benchmark for businesses </w:t>
      </w:r>
      <w:r w:rsidRPr="00D52564">
        <w:rPr>
          <w:rFonts w:ascii="Arial" w:hAnsi="Arial"/>
          <w:lang w:val="en-GB"/>
        </w:rPr>
        <w:t xml:space="preserve">(Hospitality Institute, 2025). In this context, </w:t>
      </w:r>
      <w:r w:rsidR="005B7636" w:rsidRPr="00D52564">
        <w:rPr>
          <w:rFonts w:ascii="Arial" w:hAnsi="Arial"/>
          <w:lang w:val="en-GB"/>
        </w:rPr>
        <w:t>Wyndham's current ratio remained below this benchmark</w:t>
      </w:r>
      <w:r w:rsidRPr="00D52564">
        <w:rPr>
          <w:rFonts w:ascii="Arial" w:hAnsi="Arial"/>
          <w:lang w:val="en-GB"/>
        </w:rPr>
        <w:t xml:space="preserve"> after </w:t>
      </w:r>
      <w:r w:rsidR="00AC71C7" w:rsidRPr="00D52564">
        <w:rPr>
          <w:rFonts w:ascii="Arial" w:hAnsi="Arial"/>
          <w:lang w:val="en-GB"/>
        </w:rPr>
        <w:t xml:space="preserve">2022 and even remained equal to or lower than one </w:t>
      </w:r>
      <w:r w:rsidR="00AC71C7" w:rsidRPr="00D52564">
        <w:rPr>
          <w:rFonts w:ascii="Arial" w:hAnsi="Arial"/>
          <w:b/>
          <w:bCs/>
          <w:i/>
          <w:iCs/>
          <w:lang w:val="en-GB"/>
        </w:rPr>
        <w:t>[Refer to Appendix 1]</w:t>
      </w:r>
      <w:r w:rsidR="00AC71C7" w:rsidRPr="00D52564">
        <w:rPr>
          <w:rFonts w:ascii="Arial" w:hAnsi="Arial"/>
          <w:lang w:val="en-GB"/>
        </w:rPr>
        <w:t xml:space="preserve">. However, Wyndham's asset-light franchise business model provides a positive operating cash flow, alongside a lower requirement of working capital. </w:t>
      </w:r>
      <w:r w:rsidR="005B7636" w:rsidRPr="00D52564">
        <w:rPr>
          <w:rFonts w:ascii="Arial" w:hAnsi="Arial"/>
          <w:lang w:val="en-GB"/>
        </w:rPr>
        <w:t>The company is able to meet its short-term obligations through regular cash generation</w:t>
      </w:r>
      <w:r w:rsidR="00AC71C7" w:rsidRPr="00D52564">
        <w:rPr>
          <w:rFonts w:ascii="Arial" w:hAnsi="Arial"/>
          <w:lang w:val="en-GB"/>
        </w:rPr>
        <w:t xml:space="preserve">, regular cash generation and franchise fee income, which mitigates the adverse impacts of </w:t>
      </w:r>
      <w:r w:rsidR="005B7636" w:rsidRPr="00D52564">
        <w:rPr>
          <w:rFonts w:ascii="Arial" w:hAnsi="Arial"/>
          <w:lang w:val="en-GB"/>
        </w:rPr>
        <w:t>lower liquidity than the industry average</w:t>
      </w:r>
      <w:r w:rsidR="00AC71C7" w:rsidRPr="00D52564">
        <w:rPr>
          <w:rFonts w:ascii="Arial" w:hAnsi="Arial"/>
          <w:lang w:val="en-GB"/>
        </w:rPr>
        <w:t>.</w:t>
      </w:r>
    </w:p>
    <w:p w14:paraId="00000011" w14:textId="5D280702" w:rsidR="003F35A2" w:rsidRPr="00D52564" w:rsidRDefault="00346555" w:rsidP="00D52564">
      <w:pPr>
        <w:pStyle w:val="Heading1"/>
        <w:spacing w:before="240" w:after="240"/>
        <w:rPr>
          <w:rFonts w:ascii="Arial" w:hAnsi="Arial"/>
          <w:sz w:val="24"/>
          <w:lang w:val="en-GB"/>
        </w:rPr>
      </w:pPr>
      <w:bookmarkStart w:id="52" w:name="_vrl3dzo0r6ga" w:colFirst="0" w:colLast="0"/>
      <w:bookmarkStart w:id="53" w:name="_Toc236179771"/>
      <w:bookmarkStart w:id="54" w:name="_Toc236250017"/>
      <w:bookmarkStart w:id="55" w:name="_Toc237532205"/>
      <w:bookmarkEnd w:id="52"/>
      <w:r w:rsidRPr="00D52564">
        <w:rPr>
          <w:rFonts w:ascii="Arial" w:hAnsi="Arial"/>
          <w:sz w:val="24"/>
          <w:lang w:val="en-GB"/>
        </w:rPr>
        <w:lastRenderedPageBreak/>
        <w:t>3. Working Capital Management</w:t>
      </w:r>
      <w:bookmarkEnd w:id="53"/>
      <w:bookmarkEnd w:id="54"/>
      <w:bookmarkEnd w:id="55"/>
    </w:p>
    <w:p w14:paraId="00000012" w14:textId="70C29DF5" w:rsidR="003F35A2" w:rsidRPr="00D52564" w:rsidRDefault="00346555" w:rsidP="00D52564">
      <w:pPr>
        <w:pStyle w:val="Heading2"/>
        <w:spacing w:before="240" w:after="240"/>
        <w:rPr>
          <w:rFonts w:ascii="Arial" w:hAnsi="Arial"/>
          <w:sz w:val="24"/>
          <w:lang w:val="en-GB"/>
        </w:rPr>
      </w:pPr>
      <w:bookmarkStart w:id="56" w:name="_3ryc254zee0j" w:colFirst="0" w:colLast="0"/>
      <w:bookmarkStart w:id="57" w:name="_Toc236179772"/>
      <w:bookmarkStart w:id="58" w:name="_Toc236250018"/>
      <w:bookmarkStart w:id="59" w:name="_Toc237532206"/>
      <w:bookmarkEnd w:id="56"/>
      <w:r w:rsidRPr="00D52564">
        <w:rPr>
          <w:rFonts w:ascii="Arial" w:hAnsi="Arial"/>
          <w:sz w:val="24"/>
          <w:lang w:val="en-GB"/>
        </w:rPr>
        <w:t xml:space="preserve">3.1 Cash </w:t>
      </w:r>
      <w:r w:rsidR="00B80888" w:rsidRPr="00D52564">
        <w:rPr>
          <w:rFonts w:ascii="Arial" w:hAnsi="Arial"/>
          <w:sz w:val="24"/>
          <w:lang w:val="en-GB"/>
        </w:rPr>
        <w:t>O</w:t>
      </w:r>
      <w:r w:rsidRPr="00D52564">
        <w:rPr>
          <w:rFonts w:ascii="Arial" w:hAnsi="Arial"/>
          <w:sz w:val="24"/>
          <w:lang w:val="en-GB"/>
        </w:rPr>
        <w:t xml:space="preserve">perating </w:t>
      </w:r>
      <w:r w:rsidR="00B80888" w:rsidRPr="00D52564">
        <w:rPr>
          <w:rFonts w:ascii="Arial" w:hAnsi="Arial"/>
          <w:sz w:val="24"/>
          <w:lang w:val="en-GB"/>
        </w:rPr>
        <w:t>C</w:t>
      </w:r>
      <w:r w:rsidRPr="00D52564">
        <w:rPr>
          <w:rFonts w:ascii="Arial" w:hAnsi="Arial"/>
          <w:sz w:val="24"/>
          <w:lang w:val="en-GB"/>
        </w:rPr>
        <w:t>ycle</w:t>
      </w:r>
      <w:bookmarkEnd w:id="57"/>
      <w:bookmarkEnd w:id="58"/>
      <w:bookmarkEnd w:id="59"/>
    </w:p>
    <w:tbl>
      <w:tblPr>
        <w:tblW w:w="5000" w:type="pct"/>
        <w:tblLayout w:type="fixed"/>
        <w:tblCellMar>
          <w:top w:w="15" w:type="dxa"/>
        </w:tblCellMar>
        <w:tblLook w:val="04A0" w:firstRow="1" w:lastRow="0" w:firstColumn="1" w:lastColumn="0" w:noHBand="0" w:noVBand="1"/>
      </w:tblPr>
      <w:tblGrid>
        <w:gridCol w:w="1975"/>
        <w:gridCol w:w="5533"/>
        <w:gridCol w:w="1606"/>
        <w:gridCol w:w="236"/>
      </w:tblGrid>
      <w:tr w:rsidR="0004639B" w:rsidRPr="00D52564" w14:paraId="1EC9264A" w14:textId="77777777" w:rsidTr="00E76D48">
        <w:trPr>
          <w:gridAfter w:val="1"/>
          <w:wAfter w:w="126" w:type="pct"/>
          <w:trHeight w:val="312"/>
        </w:trPr>
        <w:tc>
          <w:tcPr>
            <w:tcW w:w="4874" w:type="pct"/>
            <w:gridSpan w:val="3"/>
            <w:tcBorders>
              <w:top w:val="single" w:sz="4" w:space="0" w:color="auto"/>
              <w:left w:val="single" w:sz="4" w:space="0" w:color="auto"/>
              <w:bottom w:val="single" w:sz="4" w:space="0" w:color="auto"/>
              <w:right w:val="single" w:sz="4" w:space="0" w:color="auto"/>
            </w:tcBorders>
            <w:shd w:val="clear" w:color="000000" w:fill="FEA767"/>
            <w:noWrap/>
            <w:vAlign w:val="bottom"/>
            <w:hideMark/>
          </w:tcPr>
          <w:p w14:paraId="1E2C2661" w14:textId="77777777" w:rsidR="0004639B" w:rsidRPr="00D52564" w:rsidRDefault="0004639B" w:rsidP="00D52564">
            <w:pPr>
              <w:spacing w:before="240" w:after="240"/>
              <w:rPr>
                <w:rFonts w:ascii="Arial" w:hAnsi="Arial"/>
                <w:b/>
                <w:bCs/>
                <w:color w:val="000000"/>
                <w:lang w:val="en-GB"/>
              </w:rPr>
            </w:pPr>
            <w:r w:rsidRPr="00D52564">
              <w:rPr>
                <w:rFonts w:ascii="Arial" w:hAnsi="Arial"/>
                <w:b/>
                <w:bCs/>
                <w:color w:val="000000"/>
                <w:lang w:val="en-GB"/>
              </w:rPr>
              <w:t>Cash Operating Cycle of Wyndham Hotels and Resorts</w:t>
            </w:r>
          </w:p>
        </w:tc>
      </w:tr>
      <w:tr w:rsidR="0004639B" w:rsidRPr="00D52564" w14:paraId="075B46E5" w14:textId="77777777" w:rsidTr="00E76D48">
        <w:trPr>
          <w:gridAfter w:val="1"/>
          <w:wAfter w:w="126" w:type="pct"/>
          <w:trHeight w:val="264"/>
        </w:trPr>
        <w:tc>
          <w:tcPr>
            <w:tcW w:w="1056" w:type="pct"/>
            <w:tcBorders>
              <w:top w:val="nil"/>
              <w:left w:val="single" w:sz="4" w:space="0" w:color="auto"/>
              <w:bottom w:val="single" w:sz="4" w:space="0" w:color="auto"/>
              <w:right w:val="single" w:sz="4" w:space="0" w:color="auto"/>
            </w:tcBorders>
            <w:shd w:val="clear" w:color="000000" w:fill="FFE1CC"/>
            <w:noWrap/>
            <w:vAlign w:val="bottom"/>
            <w:hideMark/>
          </w:tcPr>
          <w:p w14:paraId="25CEB090" w14:textId="77777777" w:rsidR="0004639B" w:rsidRPr="00D52564" w:rsidRDefault="0004639B" w:rsidP="00D52564">
            <w:pPr>
              <w:spacing w:before="240" w:after="240"/>
              <w:rPr>
                <w:rFonts w:ascii="Arial" w:hAnsi="Arial"/>
                <w:b/>
                <w:bCs/>
                <w:color w:val="000000"/>
                <w:szCs w:val="20"/>
                <w:lang w:val="en-GB"/>
              </w:rPr>
            </w:pPr>
            <w:r w:rsidRPr="00D52564">
              <w:rPr>
                <w:rFonts w:ascii="Arial" w:hAnsi="Arial"/>
                <w:b/>
                <w:bCs/>
                <w:color w:val="000000"/>
                <w:szCs w:val="20"/>
                <w:lang w:val="en-GB"/>
              </w:rPr>
              <w:t>Steps</w:t>
            </w:r>
          </w:p>
        </w:tc>
        <w:tc>
          <w:tcPr>
            <w:tcW w:w="2959" w:type="pct"/>
            <w:tcBorders>
              <w:top w:val="nil"/>
              <w:left w:val="nil"/>
              <w:bottom w:val="single" w:sz="4" w:space="0" w:color="auto"/>
              <w:right w:val="single" w:sz="4" w:space="0" w:color="auto"/>
            </w:tcBorders>
            <w:shd w:val="clear" w:color="000000" w:fill="FFE1CC"/>
            <w:noWrap/>
            <w:vAlign w:val="bottom"/>
            <w:hideMark/>
          </w:tcPr>
          <w:p w14:paraId="05584953" w14:textId="77777777" w:rsidR="0004639B" w:rsidRPr="00D52564" w:rsidRDefault="0004639B" w:rsidP="00D52564">
            <w:pPr>
              <w:spacing w:before="240" w:after="240"/>
              <w:rPr>
                <w:rFonts w:ascii="Arial" w:hAnsi="Arial"/>
                <w:b/>
                <w:bCs/>
                <w:color w:val="000000"/>
                <w:szCs w:val="20"/>
                <w:lang w:val="en-GB"/>
              </w:rPr>
            </w:pPr>
            <w:r w:rsidRPr="00D52564">
              <w:rPr>
                <w:rFonts w:ascii="Arial" w:hAnsi="Arial"/>
                <w:b/>
                <w:bCs/>
                <w:color w:val="000000"/>
                <w:szCs w:val="20"/>
                <w:lang w:val="en-GB"/>
              </w:rPr>
              <w:t>Particulars</w:t>
            </w:r>
          </w:p>
        </w:tc>
        <w:tc>
          <w:tcPr>
            <w:tcW w:w="859" w:type="pct"/>
            <w:tcBorders>
              <w:top w:val="nil"/>
              <w:left w:val="nil"/>
              <w:bottom w:val="single" w:sz="4" w:space="0" w:color="auto"/>
              <w:right w:val="single" w:sz="4" w:space="0" w:color="auto"/>
            </w:tcBorders>
            <w:shd w:val="clear" w:color="000000" w:fill="FFE1CC"/>
            <w:noWrap/>
            <w:vAlign w:val="bottom"/>
            <w:hideMark/>
          </w:tcPr>
          <w:p w14:paraId="2701B3CB" w14:textId="77777777" w:rsidR="0004639B" w:rsidRPr="00D52564" w:rsidRDefault="0004639B" w:rsidP="009F69B9">
            <w:pPr>
              <w:spacing w:before="240" w:after="240"/>
              <w:jc w:val="center"/>
              <w:rPr>
                <w:rFonts w:ascii="Arial" w:hAnsi="Arial"/>
                <w:b/>
                <w:bCs/>
                <w:color w:val="000000"/>
                <w:szCs w:val="20"/>
                <w:lang w:val="en-GB"/>
              </w:rPr>
            </w:pPr>
            <w:r w:rsidRPr="00D52564">
              <w:rPr>
                <w:rFonts w:ascii="Arial" w:hAnsi="Arial"/>
                <w:b/>
                <w:bCs/>
                <w:color w:val="000000"/>
                <w:szCs w:val="20"/>
                <w:lang w:val="en-GB"/>
              </w:rPr>
              <w:t>Amount</w:t>
            </w:r>
          </w:p>
        </w:tc>
      </w:tr>
      <w:tr w:rsidR="0004639B" w:rsidRPr="00D52564" w14:paraId="53AE3F1D" w14:textId="77777777" w:rsidTr="00E76D48">
        <w:trPr>
          <w:gridAfter w:val="1"/>
          <w:wAfter w:w="126" w:type="pct"/>
          <w:trHeight w:val="264"/>
        </w:trPr>
        <w:tc>
          <w:tcPr>
            <w:tcW w:w="1056" w:type="pct"/>
            <w:vMerge w:val="restart"/>
            <w:tcBorders>
              <w:top w:val="nil"/>
              <w:left w:val="single" w:sz="4" w:space="0" w:color="auto"/>
              <w:bottom w:val="single" w:sz="4" w:space="0" w:color="auto"/>
              <w:right w:val="single" w:sz="4" w:space="0" w:color="auto"/>
            </w:tcBorders>
            <w:shd w:val="clear" w:color="000000" w:fill="FDE49B"/>
            <w:noWrap/>
            <w:vAlign w:val="bottom"/>
            <w:hideMark/>
          </w:tcPr>
          <w:p w14:paraId="53BB71FE" w14:textId="77777777" w:rsidR="0004639B" w:rsidRPr="00D52564" w:rsidRDefault="0004639B" w:rsidP="00D52564">
            <w:pPr>
              <w:spacing w:before="240" w:after="240"/>
              <w:rPr>
                <w:rFonts w:ascii="Arial" w:hAnsi="Arial"/>
                <w:b/>
                <w:bCs/>
                <w:color w:val="000000"/>
                <w:szCs w:val="20"/>
                <w:lang w:val="en-GB"/>
              </w:rPr>
            </w:pPr>
            <w:r w:rsidRPr="00D52564">
              <w:rPr>
                <w:rFonts w:ascii="Arial" w:hAnsi="Arial"/>
                <w:b/>
                <w:bCs/>
                <w:color w:val="000000"/>
                <w:szCs w:val="20"/>
                <w:lang w:val="en-GB"/>
              </w:rPr>
              <w:t>Step 1: Inventory Holding Period</w:t>
            </w:r>
          </w:p>
        </w:tc>
        <w:tc>
          <w:tcPr>
            <w:tcW w:w="2959" w:type="pct"/>
            <w:tcBorders>
              <w:top w:val="nil"/>
              <w:left w:val="nil"/>
              <w:bottom w:val="single" w:sz="4" w:space="0" w:color="auto"/>
              <w:right w:val="single" w:sz="4" w:space="0" w:color="auto"/>
            </w:tcBorders>
            <w:shd w:val="clear" w:color="000000" w:fill="FFC599"/>
            <w:noWrap/>
            <w:vAlign w:val="bottom"/>
            <w:hideMark/>
          </w:tcPr>
          <w:p w14:paraId="5910FCF5" w14:textId="77777777" w:rsidR="0004639B" w:rsidRPr="00D52564" w:rsidRDefault="0004639B" w:rsidP="00D52564">
            <w:pPr>
              <w:spacing w:before="240" w:after="240"/>
              <w:rPr>
                <w:rFonts w:ascii="Arial" w:hAnsi="Arial"/>
                <w:color w:val="000000"/>
                <w:szCs w:val="20"/>
                <w:lang w:val="en-GB"/>
              </w:rPr>
            </w:pPr>
            <w:r w:rsidRPr="00D52564">
              <w:rPr>
                <w:rFonts w:ascii="Arial" w:hAnsi="Arial"/>
                <w:color w:val="000000"/>
                <w:szCs w:val="20"/>
                <w:lang w:val="en-GB"/>
              </w:rPr>
              <w:t>Average Inventory</w:t>
            </w:r>
          </w:p>
        </w:tc>
        <w:tc>
          <w:tcPr>
            <w:tcW w:w="859" w:type="pct"/>
            <w:tcBorders>
              <w:top w:val="nil"/>
              <w:left w:val="nil"/>
              <w:bottom w:val="single" w:sz="4" w:space="0" w:color="auto"/>
              <w:right w:val="single" w:sz="4" w:space="0" w:color="auto"/>
            </w:tcBorders>
            <w:shd w:val="clear" w:color="000000" w:fill="FFC599"/>
            <w:noWrap/>
            <w:vAlign w:val="bottom"/>
            <w:hideMark/>
          </w:tcPr>
          <w:p w14:paraId="7BC51B1E" w14:textId="77777777" w:rsidR="0004639B" w:rsidRPr="00D52564" w:rsidRDefault="0004639B" w:rsidP="009F69B9">
            <w:pPr>
              <w:spacing w:before="240" w:after="240"/>
              <w:jc w:val="center"/>
              <w:rPr>
                <w:rFonts w:ascii="Arial" w:hAnsi="Arial"/>
                <w:color w:val="000000"/>
                <w:szCs w:val="20"/>
                <w:lang w:val="en-GB"/>
              </w:rPr>
            </w:pPr>
            <w:r w:rsidRPr="00D52564">
              <w:rPr>
                <w:rFonts w:ascii="Arial" w:hAnsi="Arial"/>
                <w:color w:val="000000"/>
                <w:szCs w:val="20"/>
                <w:lang w:val="en-GB"/>
              </w:rPr>
              <w:t>$0</w:t>
            </w:r>
          </w:p>
        </w:tc>
      </w:tr>
      <w:tr w:rsidR="0004639B" w:rsidRPr="00D52564" w14:paraId="28F29654" w14:textId="77777777" w:rsidTr="00E76D48">
        <w:trPr>
          <w:gridAfter w:val="1"/>
          <w:wAfter w:w="126" w:type="pct"/>
          <w:trHeight w:val="264"/>
        </w:trPr>
        <w:tc>
          <w:tcPr>
            <w:tcW w:w="1056" w:type="pct"/>
            <w:vMerge/>
            <w:tcBorders>
              <w:top w:val="nil"/>
              <w:left w:val="single" w:sz="4" w:space="0" w:color="auto"/>
              <w:bottom w:val="single" w:sz="4" w:space="0" w:color="auto"/>
              <w:right w:val="single" w:sz="4" w:space="0" w:color="auto"/>
            </w:tcBorders>
            <w:vAlign w:val="center"/>
            <w:hideMark/>
          </w:tcPr>
          <w:p w14:paraId="5EB8270E" w14:textId="77777777" w:rsidR="0004639B" w:rsidRPr="00D52564" w:rsidRDefault="0004639B" w:rsidP="00D52564">
            <w:pPr>
              <w:spacing w:before="240" w:after="240"/>
              <w:rPr>
                <w:rFonts w:ascii="Arial" w:hAnsi="Arial"/>
                <w:b/>
                <w:bCs/>
                <w:color w:val="000000"/>
                <w:szCs w:val="20"/>
                <w:lang w:val="en-GB"/>
              </w:rPr>
            </w:pPr>
          </w:p>
        </w:tc>
        <w:tc>
          <w:tcPr>
            <w:tcW w:w="2959" w:type="pct"/>
            <w:tcBorders>
              <w:top w:val="nil"/>
              <w:left w:val="nil"/>
              <w:bottom w:val="single" w:sz="4" w:space="0" w:color="auto"/>
              <w:right w:val="single" w:sz="4" w:space="0" w:color="auto"/>
            </w:tcBorders>
            <w:shd w:val="clear" w:color="000000" w:fill="FFC599"/>
            <w:noWrap/>
            <w:vAlign w:val="bottom"/>
            <w:hideMark/>
          </w:tcPr>
          <w:p w14:paraId="59BF3706" w14:textId="77777777" w:rsidR="0004639B" w:rsidRPr="00D52564" w:rsidRDefault="0004639B" w:rsidP="00D52564">
            <w:pPr>
              <w:spacing w:before="240" w:after="240"/>
              <w:rPr>
                <w:rFonts w:ascii="Arial" w:hAnsi="Arial"/>
                <w:color w:val="000000"/>
                <w:szCs w:val="20"/>
                <w:lang w:val="en-GB"/>
              </w:rPr>
            </w:pPr>
            <w:r w:rsidRPr="00D52564">
              <w:rPr>
                <w:rFonts w:ascii="Arial" w:hAnsi="Arial"/>
                <w:color w:val="000000"/>
                <w:szCs w:val="20"/>
                <w:lang w:val="en-GB"/>
              </w:rPr>
              <w:t>Cost of Revenue</w:t>
            </w:r>
          </w:p>
        </w:tc>
        <w:tc>
          <w:tcPr>
            <w:tcW w:w="859" w:type="pct"/>
            <w:tcBorders>
              <w:top w:val="nil"/>
              <w:left w:val="nil"/>
              <w:bottom w:val="single" w:sz="4" w:space="0" w:color="auto"/>
              <w:right w:val="single" w:sz="4" w:space="0" w:color="auto"/>
            </w:tcBorders>
            <w:shd w:val="clear" w:color="000000" w:fill="FFC599"/>
            <w:noWrap/>
            <w:vAlign w:val="bottom"/>
            <w:hideMark/>
          </w:tcPr>
          <w:p w14:paraId="17AED373" w14:textId="77777777" w:rsidR="0004639B" w:rsidRPr="00D52564" w:rsidRDefault="0004639B" w:rsidP="009F69B9">
            <w:pPr>
              <w:spacing w:before="240" w:after="240"/>
              <w:jc w:val="center"/>
              <w:rPr>
                <w:rFonts w:ascii="Arial" w:hAnsi="Arial"/>
                <w:color w:val="000000"/>
                <w:szCs w:val="20"/>
                <w:lang w:val="en-GB"/>
              </w:rPr>
            </w:pPr>
            <w:r w:rsidRPr="00D52564">
              <w:rPr>
                <w:rFonts w:ascii="Arial" w:hAnsi="Arial"/>
                <w:color w:val="000000"/>
                <w:szCs w:val="20"/>
                <w:lang w:val="en-GB"/>
              </w:rPr>
              <w:t>$565</w:t>
            </w:r>
          </w:p>
        </w:tc>
      </w:tr>
      <w:tr w:rsidR="0004639B" w:rsidRPr="00D52564" w14:paraId="301BB7E0" w14:textId="77777777" w:rsidTr="00E76D48">
        <w:trPr>
          <w:gridAfter w:val="1"/>
          <w:wAfter w:w="126" w:type="pct"/>
          <w:trHeight w:val="264"/>
        </w:trPr>
        <w:tc>
          <w:tcPr>
            <w:tcW w:w="1056" w:type="pct"/>
            <w:vMerge/>
            <w:tcBorders>
              <w:top w:val="nil"/>
              <w:left w:val="single" w:sz="4" w:space="0" w:color="auto"/>
              <w:bottom w:val="single" w:sz="4" w:space="0" w:color="auto"/>
              <w:right w:val="single" w:sz="4" w:space="0" w:color="auto"/>
            </w:tcBorders>
            <w:vAlign w:val="center"/>
            <w:hideMark/>
          </w:tcPr>
          <w:p w14:paraId="7D7DED27" w14:textId="77777777" w:rsidR="0004639B" w:rsidRPr="00D52564" w:rsidRDefault="0004639B" w:rsidP="00D52564">
            <w:pPr>
              <w:spacing w:before="240" w:after="240"/>
              <w:rPr>
                <w:rFonts w:ascii="Arial" w:hAnsi="Arial"/>
                <w:b/>
                <w:bCs/>
                <w:color w:val="000000"/>
                <w:szCs w:val="20"/>
                <w:lang w:val="en-GB"/>
              </w:rPr>
            </w:pPr>
          </w:p>
        </w:tc>
        <w:tc>
          <w:tcPr>
            <w:tcW w:w="2959" w:type="pct"/>
            <w:tcBorders>
              <w:top w:val="nil"/>
              <w:left w:val="nil"/>
              <w:bottom w:val="single" w:sz="4" w:space="0" w:color="auto"/>
              <w:right w:val="single" w:sz="4" w:space="0" w:color="auto"/>
            </w:tcBorders>
            <w:shd w:val="clear" w:color="000000" w:fill="F7B4AE"/>
            <w:noWrap/>
            <w:vAlign w:val="bottom"/>
            <w:hideMark/>
          </w:tcPr>
          <w:p w14:paraId="62FFECCC" w14:textId="77777777" w:rsidR="0004639B" w:rsidRPr="00D52564" w:rsidRDefault="0004639B" w:rsidP="00D52564">
            <w:pPr>
              <w:spacing w:before="240" w:after="240"/>
              <w:rPr>
                <w:rFonts w:ascii="Arial" w:hAnsi="Arial"/>
                <w:b/>
                <w:bCs/>
                <w:color w:val="000000"/>
                <w:szCs w:val="20"/>
                <w:lang w:val="en-GB"/>
              </w:rPr>
            </w:pPr>
            <w:r w:rsidRPr="00D52564">
              <w:rPr>
                <w:rFonts w:ascii="Arial" w:hAnsi="Arial"/>
                <w:b/>
                <w:bCs/>
                <w:color w:val="000000"/>
                <w:szCs w:val="20"/>
                <w:lang w:val="en-GB"/>
              </w:rPr>
              <w:t>Formula: (Average Inventory / Cost of Revenue) * 365</w:t>
            </w:r>
          </w:p>
        </w:tc>
        <w:tc>
          <w:tcPr>
            <w:tcW w:w="859" w:type="pct"/>
            <w:tcBorders>
              <w:top w:val="nil"/>
              <w:left w:val="nil"/>
              <w:bottom w:val="single" w:sz="4" w:space="0" w:color="auto"/>
              <w:right w:val="single" w:sz="4" w:space="0" w:color="auto"/>
            </w:tcBorders>
            <w:shd w:val="clear" w:color="000000" w:fill="F7B4AE"/>
            <w:noWrap/>
            <w:vAlign w:val="bottom"/>
            <w:hideMark/>
          </w:tcPr>
          <w:p w14:paraId="0F2C433A" w14:textId="77777777" w:rsidR="0004639B" w:rsidRPr="00D52564" w:rsidRDefault="0004639B" w:rsidP="009F69B9">
            <w:pPr>
              <w:spacing w:before="240" w:after="240"/>
              <w:jc w:val="center"/>
              <w:rPr>
                <w:rFonts w:ascii="Arial" w:hAnsi="Arial"/>
                <w:b/>
                <w:bCs/>
                <w:color w:val="000000"/>
                <w:szCs w:val="20"/>
                <w:lang w:val="en-GB"/>
              </w:rPr>
            </w:pPr>
            <w:r w:rsidRPr="00D52564">
              <w:rPr>
                <w:rFonts w:ascii="Arial" w:hAnsi="Arial"/>
                <w:b/>
                <w:bCs/>
                <w:color w:val="000000"/>
                <w:szCs w:val="20"/>
                <w:lang w:val="en-GB"/>
              </w:rPr>
              <w:t>0</w:t>
            </w:r>
          </w:p>
        </w:tc>
      </w:tr>
      <w:tr w:rsidR="0004639B" w:rsidRPr="00D52564" w14:paraId="222486EB" w14:textId="77777777" w:rsidTr="00E76D48">
        <w:trPr>
          <w:gridAfter w:val="1"/>
          <w:wAfter w:w="126" w:type="pct"/>
          <w:trHeight w:val="264"/>
        </w:trPr>
        <w:tc>
          <w:tcPr>
            <w:tcW w:w="1056" w:type="pct"/>
            <w:vMerge w:val="restart"/>
            <w:tcBorders>
              <w:top w:val="nil"/>
              <w:left w:val="single" w:sz="4" w:space="0" w:color="auto"/>
              <w:bottom w:val="single" w:sz="4" w:space="0" w:color="auto"/>
              <w:right w:val="single" w:sz="4" w:space="0" w:color="auto"/>
            </w:tcBorders>
            <w:shd w:val="clear" w:color="000000" w:fill="FDE49B"/>
            <w:noWrap/>
            <w:vAlign w:val="bottom"/>
            <w:hideMark/>
          </w:tcPr>
          <w:p w14:paraId="3269E1DF" w14:textId="77777777" w:rsidR="0004639B" w:rsidRPr="00D52564" w:rsidRDefault="0004639B" w:rsidP="00D52564">
            <w:pPr>
              <w:spacing w:before="240" w:after="240"/>
              <w:rPr>
                <w:rFonts w:ascii="Arial" w:hAnsi="Arial"/>
                <w:b/>
                <w:bCs/>
                <w:color w:val="000000"/>
                <w:szCs w:val="20"/>
                <w:lang w:val="en-GB"/>
              </w:rPr>
            </w:pPr>
            <w:r w:rsidRPr="00D52564">
              <w:rPr>
                <w:rFonts w:ascii="Arial" w:hAnsi="Arial"/>
                <w:b/>
                <w:bCs/>
                <w:color w:val="000000"/>
                <w:szCs w:val="20"/>
                <w:lang w:val="en-GB"/>
              </w:rPr>
              <w:t>Step 2: Receivables Collection Period</w:t>
            </w:r>
          </w:p>
        </w:tc>
        <w:tc>
          <w:tcPr>
            <w:tcW w:w="2959" w:type="pct"/>
            <w:tcBorders>
              <w:top w:val="nil"/>
              <w:left w:val="nil"/>
              <w:bottom w:val="single" w:sz="4" w:space="0" w:color="auto"/>
              <w:right w:val="single" w:sz="4" w:space="0" w:color="auto"/>
            </w:tcBorders>
            <w:shd w:val="clear" w:color="000000" w:fill="FFC599"/>
            <w:noWrap/>
            <w:vAlign w:val="bottom"/>
            <w:hideMark/>
          </w:tcPr>
          <w:p w14:paraId="230AE528" w14:textId="77777777" w:rsidR="0004639B" w:rsidRPr="00D52564" w:rsidRDefault="0004639B" w:rsidP="00D52564">
            <w:pPr>
              <w:spacing w:before="240" w:after="240"/>
              <w:rPr>
                <w:rFonts w:ascii="Arial" w:hAnsi="Arial"/>
                <w:color w:val="000000"/>
                <w:szCs w:val="20"/>
                <w:lang w:val="en-GB"/>
              </w:rPr>
            </w:pPr>
            <w:r w:rsidRPr="00D52564">
              <w:rPr>
                <w:rFonts w:ascii="Arial" w:hAnsi="Arial"/>
                <w:color w:val="000000"/>
                <w:szCs w:val="20"/>
                <w:lang w:val="en-GB"/>
              </w:rPr>
              <w:t>Average Trade Receivables</w:t>
            </w:r>
          </w:p>
        </w:tc>
        <w:tc>
          <w:tcPr>
            <w:tcW w:w="859" w:type="pct"/>
            <w:tcBorders>
              <w:top w:val="nil"/>
              <w:left w:val="nil"/>
              <w:bottom w:val="single" w:sz="4" w:space="0" w:color="auto"/>
              <w:right w:val="single" w:sz="4" w:space="0" w:color="auto"/>
            </w:tcBorders>
            <w:shd w:val="clear" w:color="000000" w:fill="FFC599"/>
            <w:noWrap/>
            <w:vAlign w:val="bottom"/>
            <w:hideMark/>
          </w:tcPr>
          <w:p w14:paraId="7405EB65" w14:textId="77777777" w:rsidR="0004639B" w:rsidRPr="00D52564" w:rsidRDefault="0004639B" w:rsidP="009F69B9">
            <w:pPr>
              <w:spacing w:before="240" w:after="240"/>
              <w:jc w:val="center"/>
              <w:rPr>
                <w:rFonts w:ascii="Arial" w:hAnsi="Arial"/>
                <w:color w:val="000000"/>
                <w:szCs w:val="20"/>
                <w:lang w:val="en-GB"/>
              </w:rPr>
            </w:pPr>
            <w:r w:rsidRPr="00D52564">
              <w:rPr>
                <w:rFonts w:ascii="Arial" w:hAnsi="Arial"/>
                <w:color w:val="000000"/>
                <w:szCs w:val="20"/>
                <w:lang w:val="en-GB"/>
              </w:rPr>
              <w:t>$281</w:t>
            </w:r>
          </w:p>
        </w:tc>
      </w:tr>
      <w:tr w:rsidR="0004639B" w:rsidRPr="00D52564" w14:paraId="1A3C3B87" w14:textId="77777777" w:rsidTr="00E76D48">
        <w:trPr>
          <w:gridAfter w:val="1"/>
          <w:wAfter w:w="126" w:type="pct"/>
          <w:trHeight w:val="264"/>
        </w:trPr>
        <w:tc>
          <w:tcPr>
            <w:tcW w:w="1056" w:type="pct"/>
            <w:vMerge/>
            <w:tcBorders>
              <w:top w:val="nil"/>
              <w:left w:val="single" w:sz="4" w:space="0" w:color="auto"/>
              <w:bottom w:val="single" w:sz="4" w:space="0" w:color="auto"/>
              <w:right w:val="single" w:sz="4" w:space="0" w:color="auto"/>
            </w:tcBorders>
            <w:vAlign w:val="center"/>
            <w:hideMark/>
          </w:tcPr>
          <w:p w14:paraId="6E589759" w14:textId="77777777" w:rsidR="0004639B" w:rsidRPr="00D52564" w:rsidRDefault="0004639B" w:rsidP="00D52564">
            <w:pPr>
              <w:spacing w:before="240" w:after="240"/>
              <w:rPr>
                <w:rFonts w:ascii="Arial" w:hAnsi="Arial"/>
                <w:b/>
                <w:bCs/>
                <w:color w:val="000000"/>
                <w:szCs w:val="20"/>
                <w:lang w:val="en-GB"/>
              </w:rPr>
            </w:pPr>
          </w:p>
        </w:tc>
        <w:tc>
          <w:tcPr>
            <w:tcW w:w="2959" w:type="pct"/>
            <w:tcBorders>
              <w:top w:val="nil"/>
              <w:left w:val="nil"/>
              <w:bottom w:val="single" w:sz="4" w:space="0" w:color="auto"/>
              <w:right w:val="single" w:sz="4" w:space="0" w:color="auto"/>
            </w:tcBorders>
            <w:shd w:val="clear" w:color="000000" w:fill="FFC599"/>
            <w:noWrap/>
            <w:vAlign w:val="bottom"/>
            <w:hideMark/>
          </w:tcPr>
          <w:p w14:paraId="57B31117" w14:textId="77777777" w:rsidR="0004639B" w:rsidRPr="00D52564" w:rsidRDefault="0004639B" w:rsidP="00D52564">
            <w:pPr>
              <w:spacing w:before="240" w:after="240"/>
              <w:rPr>
                <w:rFonts w:ascii="Arial" w:hAnsi="Arial"/>
                <w:color w:val="000000"/>
                <w:szCs w:val="20"/>
                <w:lang w:val="en-GB"/>
              </w:rPr>
            </w:pPr>
            <w:r w:rsidRPr="00D52564">
              <w:rPr>
                <w:rFonts w:ascii="Arial" w:hAnsi="Arial"/>
                <w:color w:val="000000"/>
                <w:szCs w:val="20"/>
                <w:lang w:val="en-GB"/>
              </w:rPr>
              <w:t>Revenue</w:t>
            </w:r>
          </w:p>
        </w:tc>
        <w:tc>
          <w:tcPr>
            <w:tcW w:w="859" w:type="pct"/>
            <w:tcBorders>
              <w:top w:val="nil"/>
              <w:left w:val="nil"/>
              <w:bottom w:val="single" w:sz="4" w:space="0" w:color="auto"/>
              <w:right w:val="single" w:sz="4" w:space="0" w:color="auto"/>
            </w:tcBorders>
            <w:shd w:val="clear" w:color="000000" w:fill="FFC599"/>
            <w:noWrap/>
            <w:vAlign w:val="bottom"/>
            <w:hideMark/>
          </w:tcPr>
          <w:p w14:paraId="0BA37E98" w14:textId="77777777" w:rsidR="0004639B" w:rsidRPr="00D52564" w:rsidRDefault="0004639B" w:rsidP="009F69B9">
            <w:pPr>
              <w:spacing w:before="240" w:after="240"/>
              <w:jc w:val="center"/>
              <w:rPr>
                <w:rFonts w:ascii="Arial" w:hAnsi="Arial"/>
                <w:color w:val="000000"/>
                <w:szCs w:val="20"/>
                <w:lang w:val="en-GB"/>
              </w:rPr>
            </w:pPr>
            <w:r w:rsidRPr="00D52564">
              <w:rPr>
                <w:rFonts w:ascii="Arial" w:hAnsi="Arial"/>
                <w:color w:val="000000"/>
                <w:szCs w:val="20"/>
                <w:lang w:val="en-GB"/>
              </w:rPr>
              <w:t>$1,429</w:t>
            </w:r>
          </w:p>
        </w:tc>
      </w:tr>
      <w:tr w:rsidR="0004639B" w:rsidRPr="00D52564" w14:paraId="1F72B1A2" w14:textId="77777777" w:rsidTr="00E76D48">
        <w:trPr>
          <w:gridAfter w:val="1"/>
          <w:wAfter w:w="126" w:type="pct"/>
          <w:trHeight w:val="264"/>
        </w:trPr>
        <w:tc>
          <w:tcPr>
            <w:tcW w:w="1056" w:type="pct"/>
            <w:vMerge/>
            <w:tcBorders>
              <w:top w:val="nil"/>
              <w:left w:val="single" w:sz="4" w:space="0" w:color="auto"/>
              <w:bottom w:val="single" w:sz="4" w:space="0" w:color="auto"/>
              <w:right w:val="single" w:sz="4" w:space="0" w:color="auto"/>
            </w:tcBorders>
            <w:vAlign w:val="center"/>
            <w:hideMark/>
          </w:tcPr>
          <w:p w14:paraId="13C46743" w14:textId="77777777" w:rsidR="0004639B" w:rsidRPr="00D52564" w:rsidRDefault="0004639B" w:rsidP="00D52564">
            <w:pPr>
              <w:spacing w:before="240" w:after="240"/>
              <w:rPr>
                <w:rFonts w:ascii="Arial" w:hAnsi="Arial"/>
                <w:b/>
                <w:bCs/>
                <w:color w:val="000000"/>
                <w:szCs w:val="20"/>
                <w:lang w:val="en-GB"/>
              </w:rPr>
            </w:pPr>
          </w:p>
        </w:tc>
        <w:tc>
          <w:tcPr>
            <w:tcW w:w="2959" w:type="pct"/>
            <w:tcBorders>
              <w:top w:val="nil"/>
              <w:left w:val="nil"/>
              <w:bottom w:val="single" w:sz="4" w:space="0" w:color="auto"/>
              <w:right w:val="single" w:sz="4" w:space="0" w:color="auto"/>
            </w:tcBorders>
            <w:shd w:val="clear" w:color="000000" w:fill="F7B4AE"/>
            <w:noWrap/>
            <w:vAlign w:val="bottom"/>
            <w:hideMark/>
          </w:tcPr>
          <w:p w14:paraId="70BA382C" w14:textId="77777777" w:rsidR="0004639B" w:rsidRPr="00D52564" w:rsidRDefault="0004639B" w:rsidP="00D52564">
            <w:pPr>
              <w:spacing w:before="240" w:after="240"/>
              <w:rPr>
                <w:rFonts w:ascii="Arial" w:hAnsi="Arial"/>
                <w:b/>
                <w:bCs/>
                <w:color w:val="000000"/>
                <w:szCs w:val="20"/>
                <w:lang w:val="en-GB"/>
              </w:rPr>
            </w:pPr>
            <w:r w:rsidRPr="00D52564">
              <w:rPr>
                <w:rFonts w:ascii="Arial" w:hAnsi="Arial"/>
                <w:b/>
                <w:bCs/>
                <w:color w:val="000000"/>
                <w:szCs w:val="20"/>
                <w:lang w:val="en-GB"/>
              </w:rPr>
              <w:t>Formula: (Average Trade Receivables / Revenue) * 365</w:t>
            </w:r>
          </w:p>
        </w:tc>
        <w:tc>
          <w:tcPr>
            <w:tcW w:w="859" w:type="pct"/>
            <w:tcBorders>
              <w:top w:val="nil"/>
              <w:left w:val="nil"/>
              <w:bottom w:val="single" w:sz="4" w:space="0" w:color="auto"/>
              <w:right w:val="single" w:sz="4" w:space="0" w:color="auto"/>
            </w:tcBorders>
            <w:shd w:val="clear" w:color="000000" w:fill="F7B4AE"/>
            <w:noWrap/>
            <w:vAlign w:val="bottom"/>
            <w:hideMark/>
          </w:tcPr>
          <w:p w14:paraId="3309F116" w14:textId="77777777" w:rsidR="0004639B" w:rsidRPr="00D52564" w:rsidRDefault="0004639B" w:rsidP="009F69B9">
            <w:pPr>
              <w:spacing w:before="240" w:after="240"/>
              <w:jc w:val="center"/>
              <w:rPr>
                <w:rFonts w:ascii="Arial" w:hAnsi="Arial"/>
                <w:b/>
                <w:bCs/>
                <w:color w:val="000000"/>
                <w:szCs w:val="20"/>
                <w:lang w:val="en-GB"/>
              </w:rPr>
            </w:pPr>
            <w:r w:rsidRPr="00D52564">
              <w:rPr>
                <w:rFonts w:ascii="Arial" w:hAnsi="Arial"/>
                <w:b/>
                <w:bCs/>
                <w:color w:val="000000"/>
                <w:szCs w:val="20"/>
                <w:lang w:val="en-GB"/>
              </w:rPr>
              <w:t>71.77</w:t>
            </w:r>
          </w:p>
        </w:tc>
      </w:tr>
      <w:tr w:rsidR="0004639B" w:rsidRPr="00D52564" w14:paraId="45FE8BB0" w14:textId="77777777" w:rsidTr="00E76D48">
        <w:trPr>
          <w:gridAfter w:val="1"/>
          <w:wAfter w:w="126" w:type="pct"/>
          <w:trHeight w:val="264"/>
        </w:trPr>
        <w:tc>
          <w:tcPr>
            <w:tcW w:w="1056" w:type="pct"/>
            <w:vMerge w:val="restart"/>
            <w:tcBorders>
              <w:top w:val="nil"/>
              <w:left w:val="single" w:sz="4" w:space="0" w:color="auto"/>
              <w:bottom w:val="single" w:sz="4" w:space="0" w:color="auto"/>
              <w:right w:val="single" w:sz="4" w:space="0" w:color="auto"/>
            </w:tcBorders>
            <w:shd w:val="clear" w:color="000000" w:fill="FDE49B"/>
            <w:noWrap/>
            <w:vAlign w:val="bottom"/>
            <w:hideMark/>
          </w:tcPr>
          <w:p w14:paraId="0E156920" w14:textId="77777777" w:rsidR="0004639B" w:rsidRPr="00D52564" w:rsidRDefault="0004639B" w:rsidP="00D52564">
            <w:pPr>
              <w:spacing w:before="240" w:after="240"/>
              <w:rPr>
                <w:rFonts w:ascii="Arial" w:hAnsi="Arial"/>
                <w:b/>
                <w:bCs/>
                <w:color w:val="000000"/>
                <w:szCs w:val="20"/>
                <w:lang w:val="en-GB"/>
              </w:rPr>
            </w:pPr>
            <w:r w:rsidRPr="00D52564">
              <w:rPr>
                <w:rFonts w:ascii="Arial" w:hAnsi="Arial"/>
                <w:b/>
                <w:bCs/>
                <w:color w:val="000000"/>
                <w:szCs w:val="20"/>
                <w:lang w:val="en-GB"/>
              </w:rPr>
              <w:t>Step 3: Payables Payment Period</w:t>
            </w:r>
          </w:p>
        </w:tc>
        <w:tc>
          <w:tcPr>
            <w:tcW w:w="2959" w:type="pct"/>
            <w:tcBorders>
              <w:top w:val="nil"/>
              <w:left w:val="nil"/>
              <w:bottom w:val="single" w:sz="4" w:space="0" w:color="auto"/>
              <w:right w:val="single" w:sz="4" w:space="0" w:color="auto"/>
            </w:tcBorders>
            <w:shd w:val="clear" w:color="000000" w:fill="FFC599"/>
            <w:noWrap/>
            <w:vAlign w:val="bottom"/>
            <w:hideMark/>
          </w:tcPr>
          <w:p w14:paraId="666E98DC" w14:textId="77777777" w:rsidR="0004639B" w:rsidRPr="00D52564" w:rsidRDefault="0004639B" w:rsidP="00D52564">
            <w:pPr>
              <w:spacing w:before="240" w:after="240"/>
              <w:rPr>
                <w:rFonts w:ascii="Arial" w:hAnsi="Arial"/>
                <w:color w:val="000000"/>
                <w:szCs w:val="20"/>
                <w:lang w:val="en-GB"/>
              </w:rPr>
            </w:pPr>
            <w:r w:rsidRPr="00D52564">
              <w:rPr>
                <w:rFonts w:ascii="Arial" w:hAnsi="Arial"/>
                <w:color w:val="000000"/>
                <w:szCs w:val="20"/>
                <w:lang w:val="en-GB"/>
              </w:rPr>
              <w:t>Average Trade Payables</w:t>
            </w:r>
          </w:p>
        </w:tc>
        <w:tc>
          <w:tcPr>
            <w:tcW w:w="859" w:type="pct"/>
            <w:tcBorders>
              <w:top w:val="nil"/>
              <w:left w:val="nil"/>
              <w:bottom w:val="single" w:sz="4" w:space="0" w:color="auto"/>
              <w:right w:val="single" w:sz="4" w:space="0" w:color="auto"/>
            </w:tcBorders>
            <w:shd w:val="clear" w:color="000000" w:fill="FFC599"/>
            <w:noWrap/>
            <w:vAlign w:val="bottom"/>
            <w:hideMark/>
          </w:tcPr>
          <w:p w14:paraId="3BEB1E84" w14:textId="77777777" w:rsidR="0004639B" w:rsidRPr="00D52564" w:rsidRDefault="0004639B" w:rsidP="009F69B9">
            <w:pPr>
              <w:spacing w:before="240" w:after="240"/>
              <w:jc w:val="center"/>
              <w:rPr>
                <w:rFonts w:ascii="Arial" w:hAnsi="Arial"/>
                <w:color w:val="000000"/>
                <w:szCs w:val="20"/>
                <w:lang w:val="en-GB"/>
              </w:rPr>
            </w:pPr>
            <w:r w:rsidRPr="00D52564">
              <w:rPr>
                <w:rFonts w:ascii="Arial" w:hAnsi="Arial"/>
                <w:color w:val="000000"/>
                <w:szCs w:val="20"/>
                <w:lang w:val="en-GB"/>
              </w:rPr>
              <w:t>$38</w:t>
            </w:r>
          </w:p>
        </w:tc>
      </w:tr>
      <w:tr w:rsidR="0004639B" w:rsidRPr="00D52564" w14:paraId="6D4F979D" w14:textId="77777777" w:rsidTr="00E76D48">
        <w:trPr>
          <w:gridAfter w:val="1"/>
          <w:wAfter w:w="126" w:type="pct"/>
          <w:trHeight w:val="264"/>
        </w:trPr>
        <w:tc>
          <w:tcPr>
            <w:tcW w:w="1056" w:type="pct"/>
            <w:vMerge/>
            <w:tcBorders>
              <w:top w:val="nil"/>
              <w:left w:val="single" w:sz="4" w:space="0" w:color="auto"/>
              <w:bottom w:val="single" w:sz="4" w:space="0" w:color="auto"/>
              <w:right w:val="single" w:sz="4" w:space="0" w:color="auto"/>
            </w:tcBorders>
            <w:vAlign w:val="center"/>
            <w:hideMark/>
          </w:tcPr>
          <w:p w14:paraId="5141C1B1" w14:textId="77777777" w:rsidR="0004639B" w:rsidRPr="00D52564" w:rsidRDefault="0004639B" w:rsidP="00D52564">
            <w:pPr>
              <w:spacing w:before="240" w:after="240"/>
              <w:rPr>
                <w:rFonts w:ascii="Arial" w:hAnsi="Arial"/>
                <w:b/>
                <w:bCs/>
                <w:color w:val="000000"/>
                <w:szCs w:val="20"/>
                <w:lang w:val="en-GB"/>
              </w:rPr>
            </w:pPr>
          </w:p>
        </w:tc>
        <w:tc>
          <w:tcPr>
            <w:tcW w:w="2959" w:type="pct"/>
            <w:tcBorders>
              <w:top w:val="nil"/>
              <w:left w:val="nil"/>
              <w:bottom w:val="single" w:sz="4" w:space="0" w:color="auto"/>
              <w:right w:val="single" w:sz="4" w:space="0" w:color="auto"/>
            </w:tcBorders>
            <w:shd w:val="clear" w:color="000000" w:fill="FFC599"/>
            <w:noWrap/>
            <w:vAlign w:val="bottom"/>
            <w:hideMark/>
          </w:tcPr>
          <w:p w14:paraId="62B08C93" w14:textId="77777777" w:rsidR="0004639B" w:rsidRPr="00D52564" w:rsidRDefault="0004639B" w:rsidP="00D52564">
            <w:pPr>
              <w:spacing w:before="240" w:after="240"/>
              <w:rPr>
                <w:rFonts w:ascii="Arial" w:hAnsi="Arial"/>
                <w:color w:val="000000"/>
                <w:szCs w:val="20"/>
                <w:lang w:val="en-GB"/>
              </w:rPr>
            </w:pPr>
            <w:r w:rsidRPr="00D52564">
              <w:rPr>
                <w:rFonts w:ascii="Arial" w:hAnsi="Arial"/>
                <w:color w:val="000000"/>
                <w:szCs w:val="20"/>
                <w:lang w:val="en-GB"/>
              </w:rPr>
              <w:t>Cost of Revenue</w:t>
            </w:r>
          </w:p>
        </w:tc>
        <w:tc>
          <w:tcPr>
            <w:tcW w:w="859" w:type="pct"/>
            <w:tcBorders>
              <w:top w:val="nil"/>
              <w:left w:val="nil"/>
              <w:bottom w:val="single" w:sz="4" w:space="0" w:color="auto"/>
              <w:right w:val="single" w:sz="4" w:space="0" w:color="auto"/>
            </w:tcBorders>
            <w:shd w:val="clear" w:color="000000" w:fill="FFC599"/>
            <w:noWrap/>
            <w:vAlign w:val="bottom"/>
            <w:hideMark/>
          </w:tcPr>
          <w:p w14:paraId="2A0DC51C" w14:textId="77777777" w:rsidR="0004639B" w:rsidRPr="00D52564" w:rsidRDefault="0004639B" w:rsidP="009F69B9">
            <w:pPr>
              <w:spacing w:before="240" w:after="240"/>
              <w:jc w:val="center"/>
              <w:rPr>
                <w:rFonts w:ascii="Arial" w:hAnsi="Arial"/>
                <w:color w:val="000000"/>
                <w:szCs w:val="20"/>
                <w:lang w:val="en-GB"/>
              </w:rPr>
            </w:pPr>
            <w:r w:rsidRPr="00D52564">
              <w:rPr>
                <w:rFonts w:ascii="Arial" w:hAnsi="Arial"/>
                <w:color w:val="000000"/>
                <w:szCs w:val="20"/>
                <w:lang w:val="en-GB"/>
              </w:rPr>
              <w:t>$565</w:t>
            </w:r>
          </w:p>
        </w:tc>
      </w:tr>
      <w:tr w:rsidR="0004639B" w:rsidRPr="00D52564" w14:paraId="4FAFF45C" w14:textId="77777777" w:rsidTr="00E76D48">
        <w:trPr>
          <w:gridAfter w:val="1"/>
          <w:wAfter w:w="126" w:type="pct"/>
          <w:trHeight w:val="264"/>
        </w:trPr>
        <w:tc>
          <w:tcPr>
            <w:tcW w:w="1056" w:type="pct"/>
            <w:vMerge/>
            <w:tcBorders>
              <w:top w:val="nil"/>
              <w:left w:val="single" w:sz="4" w:space="0" w:color="auto"/>
              <w:bottom w:val="single" w:sz="4" w:space="0" w:color="auto"/>
              <w:right w:val="single" w:sz="4" w:space="0" w:color="auto"/>
            </w:tcBorders>
            <w:vAlign w:val="center"/>
            <w:hideMark/>
          </w:tcPr>
          <w:p w14:paraId="21785713" w14:textId="77777777" w:rsidR="0004639B" w:rsidRPr="00D52564" w:rsidRDefault="0004639B" w:rsidP="00D52564">
            <w:pPr>
              <w:spacing w:before="240" w:after="240"/>
              <w:rPr>
                <w:rFonts w:ascii="Arial" w:hAnsi="Arial"/>
                <w:b/>
                <w:bCs/>
                <w:color w:val="000000"/>
                <w:szCs w:val="20"/>
                <w:lang w:val="en-GB"/>
              </w:rPr>
            </w:pPr>
          </w:p>
        </w:tc>
        <w:tc>
          <w:tcPr>
            <w:tcW w:w="2959" w:type="pct"/>
            <w:tcBorders>
              <w:top w:val="nil"/>
              <w:left w:val="nil"/>
              <w:bottom w:val="single" w:sz="4" w:space="0" w:color="auto"/>
              <w:right w:val="single" w:sz="4" w:space="0" w:color="auto"/>
            </w:tcBorders>
            <w:shd w:val="clear" w:color="000000" w:fill="F7B4AE"/>
            <w:noWrap/>
            <w:vAlign w:val="bottom"/>
            <w:hideMark/>
          </w:tcPr>
          <w:p w14:paraId="20B14341" w14:textId="77777777" w:rsidR="0004639B" w:rsidRPr="00D52564" w:rsidRDefault="0004639B" w:rsidP="00D52564">
            <w:pPr>
              <w:spacing w:before="240" w:after="240"/>
              <w:rPr>
                <w:rFonts w:ascii="Arial" w:hAnsi="Arial"/>
                <w:b/>
                <w:bCs/>
                <w:color w:val="000000"/>
                <w:szCs w:val="20"/>
                <w:lang w:val="en-GB"/>
              </w:rPr>
            </w:pPr>
            <w:r w:rsidRPr="00D52564">
              <w:rPr>
                <w:rFonts w:ascii="Arial" w:hAnsi="Arial"/>
                <w:b/>
                <w:bCs/>
                <w:color w:val="000000"/>
                <w:szCs w:val="20"/>
                <w:lang w:val="en-GB"/>
              </w:rPr>
              <w:t>Formula: (Average Trade Payables / Cost of Revenue) * 365</w:t>
            </w:r>
          </w:p>
        </w:tc>
        <w:tc>
          <w:tcPr>
            <w:tcW w:w="859" w:type="pct"/>
            <w:tcBorders>
              <w:top w:val="nil"/>
              <w:left w:val="nil"/>
              <w:bottom w:val="single" w:sz="4" w:space="0" w:color="auto"/>
              <w:right w:val="single" w:sz="4" w:space="0" w:color="auto"/>
            </w:tcBorders>
            <w:shd w:val="clear" w:color="000000" w:fill="F7B4AE"/>
            <w:noWrap/>
            <w:vAlign w:val="bottom"/>
            <w:hideMark/>
          </w:tcPr>
          <w:p w14:paraId="4B6DD5CD" w14:textId="77777777" w:rsidR="0004639B" w:rsidRPr="00D52564" w:rsidRDefault="0004639B" w:rsidP="009F69B9">
            <w:pPr>
              <w:spacing w:before="240" w:after="240"/>
              <w:jc w:val="center"/>
              <w:rPr>
                <w:rFonts w:ascii="Arial" w:hAnsi="Arial"/>
                <w:b/>
                <w:bCs/>
                <w:color w:val="000000"/>
                <w:szCs w:val="20"/>
                <w:lang w:val="en-GB"/>
              </w:rPr>
            </w:pPr>
            <w:r w:rsidRPr="00D52564">
              <w:rPr>
                <w:rFonts w:ascii="Arial" w:hAnsi="Arial"/>
                <w:b/>
                <w:bCs/>
                <w:color w:val="000000"/>
                <w:szCs w:val="20"/>
                <w:lang w:val="en-GB"/>
              </w:rPr>
              <w:t>24.23</w:t>
            </w:r>
          </w:p>
        </w:tc>
      </w:tr>
      <w:tr w:rsidR="0004639B" w:rsidRPr="00D52564" w14:paraId="68AAEA53" w14:textId="77777777" w:rsidTr="00E76D48">
        <w:trPr>
          <w:gridAfter w:val="1"/>
          <w:wAfter w:w="126" w:type="pct"/>
          <w:trHeight w:val="814"/>
        </w:trPr>
        <w:tc>
          <w:tcPr>
            <w:tcW w:w="1056" w:type="pct"/>
            <w:vMerge w:val="restart"/>
            <w:tcBorders>
              <w:top w:val="nil"/>
              <w:left w:val="single" w:sz="4" w:space="0" w:color="auto"/>
              <w:bottom w:val="single" w:sz="4" w:space="0" w:color="auto"/>
              <w:right w:val="single" w:sz="4" w:space="0" w:color="auto"/>
            </w:tcBorders>
            <w:shd w:val="clear" w:color="000000" w:fill="FDD868"/>
            <w:noWrap/>
            <w:vAlign w:val="bottom"/>
            <w:hideMark/>
          </w:tcPr>
          <w:p w14:paraId="2C3E53ED" w14:textId="77777777" w:rsidR="0004639B" w:rsidRPr="00D52564" w:rsidRDefault="0004639B" w:rsidP="00D52564">
            <w:pPr>
              <w:spacing w:before="240" w:after="240"/>
              <w:rPr>
                <w:rFonts w:ascii="Arial" w:hAnsi="Arial"/>
                <w:b/>
                <w:bCs/>
                <w:color w:val="000000"/>
                <w:szCs w:val="20"/>
                <w:lang w:val="en-GB"/>
              </w:rPr>
            </w:pPr>
            <w:r w:rsidRPr="00D52564">
              <w:rPr>
                <w:rFonts w:ascii="Arial" w:hAnsi="Arial"/>
                <w:b/>
                <w:bCs/>
                <w:color w:val="000000"/>
                <w:szCs w:val="20"/>
                <w:lang w:val="en-GB"/>
              </w:rPr>
              <w:lastRenderedPageBreak/>
              <w:t>Step 4: Cash Operating Cycle</w:t>
            </w:r>
          </w:p>
        </w:tc>
        <w:tc>
          <w:tcPr>
            <w:tcW w:w="2959" w:type="pct"/>
            <w:vMerge w:val="restart"/>
            <w:tcBorders>
              <w:top w:val="nil"/>
              <w:left w:val="single" w:sz="4" w:space="0" w:color="auto"/>
              <w:bottom w:val="single" w:sz="4" w:space="0" w:color="auto"/>
              <w:right w:val="single" w:sz="4" w:space="0" w:color="auto"/>
            </w:tcBorders>
            <w:shd w:val="clear" w:color="000000" w:fill="F28E86"/>
            <w:vAlign w:val="bottom"/>
            <w:hideMark/>
          </w:tcPr>
          <w:p w14:paraId="6E267127" w14:textId="77777777" w:rsidR="0004639B" w:rsidRPr="00D52564" w:rsidRDefault="0004639B" w:rsidP="00D52564">
            <w:pPr>
              <w:spacing w:before="240" w:after="240"/>
              <w:rPr>
                <w:rFonts w:ascii="Arial" w:hAnsi="Arial"/>
                <w:b/>
                <w:bCs/>
                <w:color w:val="000000"/>
                <w:szCs w:val="20"/>
                <w:lang w:val="en-GB"/>
              </w:rPr>
            </w:pPr>
            <w:r w:rsidRPr="00D52564">
              <w:rPr>
                <w:rFonts w:ascii="Arial" w:hAnsi="Arial"/>
                <w:b/>
                <w:bCs/>
                <w:color w:val="000000"/>
                <w:szCs w:val="20"/>
                <w:lang w:val="en-GB"/>
              </w:rPr>
              <w:t>Formula: Inventory Holding Period + Receivables Collection Period - Payables Payment Period</w:t>
            </w:r>
          </w:p>
        </w:tc>
        <w:tc>
          <w:tcPr>
            <w:tcW w:w="859" w:type="pct"/>
            <w:vMerge w:val="restart"/>
            <w:tcBorders>
              <w:top w:val="nil"/>
              <w:left w:val="single" w:sz="4" w:space="0" w:color="auto"/>
              <w:bottom w:val="single" w:sz="4" w:space="0" w:color="auto"/>
              <w:right w:val="single" w:sz="4" w:space="0" w:color="auto"/>
            </w:tcBorders>
            <w:shd w:val="clear" w:color="000000" w:fill="F28E86"/>
            <w:noWrap/>
            <w:vAlign w:val="bottom"/>
            <w:hideMark/>
          </w:tcPr>
          <w:p w14:paraId="53CFDF00" w14:textId="77777777" w:rsidR="0004639B" w:rsidRPr="00D52564" w:rsidRDefault="0004639B" w:rsidP="009F69B9">
            <w:pPr>
              <w:spacing w:before="240" w:after="240"/>
              <w:jc w:val="center"/>
              <w:rPr>
                <w:rFonts w:ascii="Arial" w:hAnsi="Arial"/>
                <w:b/>
                <w:bCs/>
                <w:color w:val="000000"/>
                <w:szCs w:val="20"/>
                <w:lang w:val="en-GB"/>
              </w:rPr>
            </w:pPr>
            <w:r w:rsidRPr="00D52564">
              <w:rPr>
                <w:rFonts w:ascii="Arial" w:hAnsi="Arial"/>
                <w:b/>
                <w:bCs/>
                <w:color w:val="000000"/>
                <w:szCs w:val="20"/>
                <w:lang w:val="en-GB"/>
              </w:rPr>
              <w:t>47.55</w:t>
            </w:r>
          </w:p>
        </w:tc>
      </w:tr>
      <w:tr w:rsidR="0004639B" w:rsidRPr="00D52564" w14:paraId="4507C119" w14:textId="77777777" w:rsidTr="00E76D48">
        <w:trPr>
          <w:trHeight w:val="264"/>
        </w:trPr>
        <w:tc>
          <w:tcPr>
            <w:tcW w:w="1056" w:type="pct"/>
            <w:vMerge/>
            <w:tcBorders>
              <w:top w:val="nil"/>
              <w:left w:val="single" w:sz="4" w:space="0" w:color="auto"/>
              <w:bottom w:val="single" w:sz="4" w:space="0" w:color="auto"/>
              <w:right w:val="single" w:sz="4" w:space="0" w:color="auto"/>
            </w:tcBorders>
            <w:vAlign w:val="center"/>
            <w:hideMark/>
          </w:tcPr>
          <w:p w14:paraId="7FEC5E7F" w14:textId="77777777" w:rsidR="0004639B" w:rsidRPr="00D52564" w:rsidRDefault="0004639B" w:rsidP="00D52564">
            <w:pPr>
              <w:spacing w:before="240" w:after="240"/>
              <w:rPr>
                <w:rFonts w:ascii="Arial" w:hAnsi="Arial"/>
                <w:b/>
                <w:bCs/>
                <w:color w:val="000000"/>
                <w:szCs w:val="20"/>
                <w:lang w:val="en-GB"/>
              </w:rPr>
            </w:pPr>
          </w:p>
        </w:tc>
        <w:tc>
          <w:tcPr>
            <w:tcW w:w="2959" w:type="pct"/>
            <w:vMerge/>
            <w:tcBorders>
              <w:top w:val="nil"/>
              <w:left w:val="single" w:sz="4" w:space="0" w:color="auto"/>
              <w:bottom w:val="single" w:sz="4" w:space="0" w:color="auto"/>
              <w:right w:val="single" w:sz="4" w:space="0" w:color="auto"/>
            </w:tcBorders>
            <w:vAlign w:val="center"/>
            <w:hideMark/>
          </w:tcPr>
          <w:p w14:paraId="29F22101" w14:textId="77777777" w:rsidR="0004639B" w:rsidRPr="00D52564" w:rsidRDefault="0004639B" w:rsidP="00D52564">
            <w:pPr>
              <w:spacing w:before="240" w:after="240"/>
              <w:rPr>
                <w:rFonts w:ascii="Arial" w:hAnsi="Arial"/>
                <w:b/>
                <w:bCs/>
                <w:color w:val="000000"/>
                <w:szCs w:val="20"/>
                <w:lang w:val="en-GB"/>
              </w:rPr>
            </w:pPr>
          </w:p>
        </w:tc>
        <w:tc>
          <w:tcPr>
            <w:tcW w:w="859" w:type="pct"/>
            <w:vMerge/>
            <w:tcBorders>
              <w:top w:val="nil"/>
              <w:left w:val="single" w:sz="4" w:space="0" w:color="auto"/>
              <w:bottom w:val="single" w:sz="4" w:space="0" w:color="auto"/>
              <w:right w:val="single" w:sz="4" w:space="0" w:color="auto"/>
            </w:tcBorders>
            <w:vAlign w:val="center"/>
            <w:hideMark/>
          </w:tcPr>
          <w:p w14:paraId="48E8E85F" w14:textId="77777777" w:rsidR="0004639B" w:rsidRPr="00D52564" w:rsidRDefault="0004639B" w:rsidP="00D52564">
            <w:pPr>
              <w:spacing w:before="240" w:after="240"/>
              <w:rPr>
                <w:rFonts w:ascii="Arial" w:hAnsi="Arial"/>
                <w:b/>
                <w:bCs/>
                <w:color w:val="000000"/>
                <w:szCs w:val="20"/>
                <w:lang w:val="en-GB"/>
              </w:rPr>
            </w:pPr>
          </w:p>
        </w:tc>
        <w:tc>
          <w:tcPr>
            <w:tcW w:w="126" w:type="pct"/>
            <w:tcBorders>
              <w:top w:val="nil"/>
              <w:left w:val="nil"/>
              <w:bottom w:val="nil"/>
              <w:right w:val="nil"/>
            </w:tcBorders>
            <w:noWrap/>
            <w:vAlign w:val="bottom"/>
            <w:hideMark/>
          </w:tcPr>
          <w:p w14:paraId="2A276984" w14:textId="77777777" w:rsidR="0004639B" w:rsidRPr="00D52564" w:rsidRDefault="0004639B" w:rsidP="00D52564">
            <w:pPr>
              <w:spacing w:before="240" w:after="240"/>
              <w:rPr>
                <w:rFonts w:ascii="Arial" w:hAnsi="Arial"/>
                <w:b/>
                <w:bCs/>
                <w:color w:val="000000"/>
                <w:szCs w:val="20"/>
                <w:lang w:val="en-GB"/>
              </w:rPr>
            </w:pPr>
          </w:p>
        </w:tc>
      </w:tr>
    </w:tbl>
    <w:p w14:paraId="55488F52" w14:textId="15772248" w:rsidR="0004639B" w:rsidRPr="00D52564" w:rsidRDefault="00E76D48" w:rsidP="009F69B9">
      <w:pPr>
        <w:spacing w:before="240" w:after="240"/>
        <w:jc w:val="center"/>
        <w:rPr>
          <w:rFonts w:ascii="Arial" w:hAnsi="Arial"/>
          <w:b/>
          <w:bCs/>
          <w:lang w:val="en-GB"/>
        </w:rPr>
      </w:pPr>
      <w:r w:rsidRPr="00D52564">
        <w:rPr>
          <w:rFonts w:ascii="Arial" w:hAnsi="Arial"/>
          <w:b/>
          <w:bCs/>
          <w:lang w:val="en-GB"/>
        </w:rPr>
        <w:t>Table 2: Cash Operating Cycle</w:t>
      </w:r>
    </w:p>
    <w:p w14:paraId="7BA2BCD0" w14:textId="586C5D24" w:rsidR="00E76D48" w:rsidRPr="00D52564" w:rsidRDefault="00E76D48" w:rsidP="009F69B9">
      <w:pPr>
        <w:spacing w:before="240" w:after="240"/>
        <w:jc w:val="center"/>
        <w:rPr>
          <w:rFonts w:ascii="Arial" w:hAnsi="Arial"/>
          <w:lang w:val="en-GB"/>
        </w:rPr>
      </w:pPr>
      <w:r w:rsidRPr="00D52564">
        <w:rPr>
          <w:rFonts w:ascii="Arial" w:hAnsi="Arial"/>
          <w:lang w:val="en-GB"/>
        </w:rPr>
        <w:t>(Source: Excel Output)</w:t>
      </w:r>
    </w:p>
    <w:p w14:paraId="1C5ACDF7" w14:textId="7219ABB5" w:rsidR="00E76D48" w:rsidRPr="00D52564" w:rsidRDefault="0015717D" w:rsidP="00D52564">
      <w:pPr>
        <w:spacing w:before="240" w:after="240"/>
        <w:rPr>
          <w:rFonts w:ascii="Arial" w:hAnsi="Arial"/>
          <w:lang w:val="en-GB"/>
        </w:rPr>
      </w:pPr>
      <w:r w:rsidRPr="00D52564">
        <w:rPr>
          <w:rFonts w:ascii="Arial" w:hAnsi="Arial"/>
          <w:lang w:val="en-GB"/>
        </w:rPr>
        <w:t xml:space="preserve">The cash operating cycle works as a key tool in cash or liquidity management for business organisations. According to </w:t>
      </w:r>
      <w:r w:rsidR="006F2086" w:rsidRPr="00D52564">
        <w:rPr>
          <w:rFonts w:ascii="Arial" w:hAnsi="Arial"/>
          <w:lang w:val="en-GB"/>
        </w:rPr>
        <w:t xml:space="preserve">Stice </w:t>
      </w:r>
      <w:r w:rsidR="006F2086" w:rsidRPr="00D52564">
        <w:rPr>
          <w:rFonts w:ascii="Arial" w:hAnsi="Arial"/>
          <w:i/>
          <w:iCs/>
          <w:lang w:val="en-GB"/>
        </w:rPr>
        <w:t>et al</w:t>
      </w:r>
      <w:r w:rsidR="006F2086" w:rsidRPr="00D52564">
        <w:rPr>
          <w:rFonts w:ascii="Arial" w:hAnsi="Arial"/>
          <w:lang w:val="en-GB"/>
        </w:rPr>
        <w:t xml:space="preserve">. </w:t>
      </w:r>
      <w:r w:rsidRPr="00D52564">
        <w:rPr>
          <w:rFonts w:ascii="Arial" w:hAnsi="Arial"/>
          <w:lang w:val="en-GB"/>
        </w:rPr>
        <w:t>(</w:t>
      </w:r>
      <w:r w:rsidR="006F2086" w:rsidRPr="00D52564">
        <w:rPr>
          <w:rFonts w:ascii="Arial" w:hAnsi="Arial"/>
          <w:lang w:val="en-GB"/>
        </w:rPr>
        <w:t>2023</w:t>
      </w:r>
      <w:r w:rsidRPr="00D52564">
        <w:rPr>
          <w:rFonts w:ascii="Arial" w:hAnsi="Arial"/>
          <w:lang w:val="en-GB"/>
        </w:rPr>
        <w:t xml:space="preserve">), the cash operating cycle is used to measure the total time from when a business buys its inventory to its collection of cash </w:t>
      </w:r>
      <w:r w:rsidR="006F2086" w:rsidRPr="00D52564">
        <w:rPr>
          <w:rFonts w:ascii="Arial" w:hAnsi="Arial"/>
          <w:lang w:val="en-GB"/>
        </w:rPr>
        <w:t xml:space="preserve">from customers. The key elements of </w:t>
      </w:r>
      <w:r w:rsidR="00492249" w:rsidRPr="00D52564">
        <w:rPr>
          <w:rFonts w:ascii="Arial" w:hAnsi="Arial"/>
          <w:lang w:val="en-GB"/>
        </w:rPr>
        <w:t xml:space="preserve">the </w:t>
      </w:r>
      <w:r w:rsidR="006F2086" w:rsidRPr="00D52564">
        <w:rPr>
          <w:rFonts w:ascii="Arial" w:hAnsi="Arial"/>
          <w:lang w:val="en-GB"/>
        </w:rPr>
        <w:t xml:space="preserve">cash operating cycle of a firm </w:t>
      </w:r>
      <w:r w:rsidR="005B7636" w:rsidRPr="00D52564">
        <w:rPr>
          <w:rFonts w:ascii="Arial" w:hAnsi="Arial"/>
          <w:lang w:val="en-GB"/>
        </w:rPr>
        <w:t>are the inventory holding period, receivables collection period and payables payment period</w:t>
      </w:r>
      <w:r w:rsidR="00492249" w:rsidRPr="00D52564">
        <w:rPr>
          <w:rFonts w:ascii="Arial" w:hAnsi="Arial"/>
          <w:lang w:val="en-GB"/>
        </w:rPr>
        <w:t xml:space="preserve">. As Wyndham operates with a franchising business model, </w:t>
      </w:r>
      <w:r w:rsidR="005B7636" w:rsidRPr="00D52564">
        <w:rPr>
          <w:rFonts w:ascii="Arial" w:hAnsi="Arial"/>
        </w:rPr>
        <w:t>the firm's inventory cost and inventory holding period are zero</w:t>
      </w:r>
      <w:r w:rsidR="00492249" w:rsidRPr="00D52564">
        <w:rPr>
          <w:rFonts w:ascii="Arial" w:hAnsi="Arial"/>
          <w:lang w:val="en-GB"/>
        </w:rPr>
        <w:t xml:space="preserve">. Whereas the receivables collection period and payables payment period are, respectively, 71.44 days and 24.33 days. This leads to a cash operating cycle for the company of 47.55 days, offsetting the payable payment period from the receivables collection period. It can be stated that the cash operating cycle is significantly low, which can be a positive factor in terms of working capital management. </w:t>
      </w:r>
      <w:r w:rsidR="00A61CB2" w:rsidRPr="00D52564">
        <w:rPr>
          <w:rFonts w:ascii="Arial" w:hAnsi="Arial"/>
          <w:lang w:val="en-GB"/>
        </w:rPr>
        <w:t xml:space="preserve">In addition to this, the asset-light business model of the company helped it to reduce the inventory holding period. Thus, the overall working capital of the company is supported by its solid operating cash flows and its </w:t>
      </w:r>
      <w:r w:rsidR="005B7636" w:rsidRPr="00D52564">
        <w:rPr>
          <w:rFonts w:ascii="Arial" w:hAnsi="Arial"/>
        </w:rPr>
        <w:t>cash generated through franchise income</w:t>
      </w:r>
      <w:r w:rsidR="00A61CB2" w:rsidRPr="00D52564">
        <w:rPr>
          <w:rFonts w:ascii="Arial" w:hAnsi="Arial"/>
          <w:lang w:val="en-GB"/>
        </w:rPr>
        <w:t xml:space="preserve">. If credit management can be further improved and </w:t>
      </w:r>
      <w:r w:rsidR="005B7636" w:rsidRPr="00D52564">
        <w:rPr>
          <w:rFonts w:ascii="Arial" w:hAnsi="Arial"/>
          <w:lang w:val="en-GB"/>
        </w:rPr>
        <w:t>electronic payment methods are implemented</w:t>
      </w:r>
      <w:r w:rsidR="00A61CB2" w:rsidRPr="00D52564">
        <w:rPr>
          <w:rFonts w:ascii="Arial" w:hAnsi="Arial"/>
          <w:lang w:val="en-GB"/>
        </w:rPr>
        <w:t xml:space="preserve">, the liquidity would be further strengthened, and </w:t>
      </w:r>
      <w:r w:rsidR="005B7636" w:rsidRPr="00D52564">
        <w:rPr>
          <w:rFonts w:ascii="Arial" w:hAnsi="Arial"/>
          <w:lang w:val="en-GB"/>
        </w:rPr>
        <w:t>cash conversion would be accelerated</w:t>
      </w:r>
      <w:r w:rsidR="00A61CB2" w:rsidRPr="00D52564">
        <w:rPr>
          <w:rFonts w:ascii="Arial" w:hAnsi="Arial"/>
          <w:lang w:val="en-GB"/>
        </w:rPr>
        <w:t xml:space="preserve">, which would further </w:t>
      </w:r>
      <w:r w:rsidR="005B7636" w:rsidRPr="00D52564">
        <w:rPr>
          <w:rFonts w:ascii="Arial" w:hAnsi="Arial"/>
          <w:lang w:val="en-GB"/>
        </w:rPr>
        <w:t>reduce the need for short-term financing</w:t>
      </w:r>
      <w:r w:rsidR="00A61CB2" w:rsidRPr="00D52564">
        <w:rPr>
          <w:rFonts w:ascii="Arial" w:hAnsi="Arial"/>
          <w:lang w:val="en-GB"/>
        </w:rPr>
        <w:t>.</w:t>
      </w:r>
    </w:p>
    <w:p w14:paraId="00000014" w14:textId="67370DD4" w:rsidR="003F35A2" w:rsidRPr="00D52564" w:rsidRDefault="00346555" w:rsidP="00D52564">
      <w:pPr>
        <w:pStyle w:val="Heading2"/>
        <w:spacing w:before="240" w:after="240"/>
        <w:rPr>
          <w:rFonts w:ascii="Arial" w:hAnsi="Arial"/>
          <w:sz w:val="24"/>
          <w:lang w:val="en-GB"/>
        </w:rPr>
      </w:pPr>
      <w:bookmarkStart w:id="60" w:name="_9y26y47lfw8y" w:colFirst="0" w:colLast="0"/>
      <w:bookmarkStart w:id="61" w:name="_i5v74pfmxca" w:colFirst="0" w:colLast="0"/>
      <w:bookmarkStart w:id="62" w:name="_Toc236179773"/>
      <w:bookmarkStart w:id="63" w:name="_Toc236250019"/>
      <w:bookmarkStart w:id="64" w:name="_Toc237532207"/>
      <w:bookmarkEnd w:id="60"/>
      <w:bookmarkEnd w:id="61"/>
      <w:r w:rsidRPr="00D52564">
        <w:rPr>
          <w:rFonts w:ascii="Arial" w:hAnsi="Arial"/>
          <w:sz w:val="24"/>
          <w:lang w:val="en-GB"/>
        </w:rPr>
        <w:t>3.</w:t>
      </w:r>
      <w:r w:rsidR="00B80888" w:rsidRPr="00D52564">
        <w:rPr>
          <w:rFonts w:ascii="Arial" w:hAnsi="Arial"/>
          <w:sz w:val="24"/>
          <w:lang w:val="en-GB"/>
        </w:rPr>
        <w:t>2</w:t>
      </w:r>
      <w:r w:rsidRPr="00D52564">
        <w:rPr>
          <w:rFonts w:ascii="Arial" w:hAnsi="Arial"/>
          <w:sz w:val="24"/>
          <w:lang w:val="en-GB"/>
        </w:rPr>
        <w:t xml:space="preserve"> Liquidity </w:t>
      </w:r>
      <w:r w:rsidR="00B80888" w:rsidRPr="00D52564">
        <w:rPr>
          <w:rFonts w:ascii="Arial" w:hAnsi="Arial"/>
          <w:sz w:val="24"/>
          <w:lang w:val="en-GB"/>
        </w:rPr>
        <w:t>I</w:t>
      </w:r>
      <w:r w:rsidRPr="00D52564">
        <w:rPr>
          <w:rFonts w:ascii="Arial" w:hAnsi="Arial"/>
          <w:sz w:val="24"/>
          <w:lang w:val="en-GB"/>
        </w:rPr>
        <w:t xml:space="preserve">mprovement </w:t>
      </w:r>
      <w:r w:rsidR="00B80888" w:rsidRPr="00D52564">
        <w:rPr>
          <w:rFonts w:ascii="Arial" w:hAnsi="Arial"/>
          <w:sz w:val="24"/>
          <w:lang w:val="en-GB"/>
        </w:rPr>
        <w:t>S</w:t>
      </w:r>
      <w:r w:rsidRPr="00D52564">
        <w:rPr>
          <w:rFonts w:ascii="Arial" w:hAnsi="Arial"/>
          <w:sz w:val="24"/>
          <w:lang w:val="en-GB"/>
        </w:rPr>
        <w:t>trategies</w:t>
      </w:r>
      <w:bookmarkEnd w:id="62"/>
      <w:bookmarkEnd w:id="63"/>
      <w:bookmarkEnd w:id="64"/>
    </w:p>
    <w:p w14:paraId="6CE8A1BA" w14:textId="3BCD0ED9" w:rsidR="00573032" w:rsidRPr="00D52564" w:rsidRDefault="00573032" w:rsidP="00D52564">
      <w:pPr>
        <w:spacing w:before="240" w:after="240"/>
        <w:rPr>
          <w:rFonts w:ascii="Arial" w:hAnsi="Arial"/>
          <w:lang w:val="en-GB"/>
        </w:rPr>
      </w:pPr>
      <w:r w:rsidRPr="00D52564">
        <w:rPr>
          <w:rFonts w:ascii="Arial" w:hAnsi="Arial"/>
          <w:lang w:val="en-GB"/>
        </w:rPr>
        <w:t>In order to improve the liquidity of the firm, the management of Wyndham can focus on implementing these strategies for effective working capital reforms.</w:t>
      </w:r>
    </w:p>
    <w:p w14:paraId="7FF45BC4" w14:textId="6232D077" w:rsidR="00573032" w:rsidRPr="00D52564" w:rsidRDefault="00573032" w:rsidP="009F69B9">
      <w:pPr>
        <w:pStyle w:val="ListParagraph"/>
        <w:numPr>
          <w:ilvl w:val="0"/>
          <w:numId w:val="13"/>
        </w:numPr>
        <w:spacing w:before="240" w:after="240"/>
        <w:contextualSpacing w:val="0"/>
        <w:rPr>
          <w:rFonts w:ascii="Arial" w:hAnsi="Arial"/>
          <w:b/>
          <w:bCs/>
          <w:lang w:val="en-GB"/>
        </w:rPr>
      </w:pPr>
      <w:r w:rsidRPr="00D52564">
        <w:rPr>
          <w:rFonts w:ascii="Arial" w:hAnsi="Arial"/>
          <w:b/>
          <w:bCs/>
          <w:lang w:val="en-GB"/>
        </w:rPr>
        <w:t>Strengthening Receivables Management</w:t>
      </w:r>
    </w:p>
    <w:p w14:paraId="6B54DFD6" w14:textId="42091C5F" w:rsidR="00404138" w:rsidRPr="00D52564" w:rsidRDefault="005B7636" w:rsidP="00D52564">
      <w:pPr>
        <w:spacing w:before="240" w:after="240"/>
        <w:rPr>
          <w:rFonts w:ascii="Arial" w:hAnsi="Arial"/>
          <w:lang w:val="en-GB"/>
        </w:rPr>
      </w:pPr>
      <w:r w:rsidRPr="00D52564">
        <w:rPr>
          <w:rFonts w:ascii="Arial" w:hAnsi="Arial"/>
          <w:lang w:val="en-GB"/>
        </w:rPr>
        <w:lastRenderedPageBreak/>
        <w:t>Faster collection of trade receivables can reduce the cash operating cycle</w:t>
      </w:r>
      <w:r w:rsidR="00404138" w:rsidRPr="00D52564">
        <w:rPr>
          <w:rFonts w:ascii="Arial" w:hAnsi="Arial"/>
          <w:lang w:val="en-GB"/>
        </w:rPr>
        <w:t xml:space="preserve"> and increasing the availability of cash resources to fund day-to-day business activities (Ojha </w:t>
      </w:r>
      <w:r w:rsidR="00404138" w:rsidRPr="00D52564">
        <w:rPr>
          <w:rFonts w:ascii="Arial" w:hAnsi="Arial"/>
          <w:i/>
          <w:iCs/>
          <w:lang w:val="en-GB"/>
        </w:rPr>
        <w:t>et al</w:t>
      </w:r>
      <w:r w:rsidR="00404138" w:rsidRPr="00D52564">
        <w:rPr>
          <w:rFonts w:ascii="Arial" w:hAnsi="Arial"/>
          <w:lang w:val="en-GB"/>
        </w:rPr>
        <w:t xml:space="preserve">. 2021). In order to achieve faster receivables collection, the company can offer early payment incentives to franchisee hotels. In addition to this, automation of invoicing processes and stricter credit assessment may reduce the average collection period for the firm. </w:t>
      </w:r>
    </w:p>
    <w:p w14:paraId="1F066698" w14:textId="5195A982" w:rsidR="00404138" w:rsidRPr="00D52564" w:rsidRDefault="00573032" w:rsidP="009F69B9">
      <w:pPr>
        <w:pStyle w:val="ListParagraph"/>
        <w:numPr>
          <w:ilvl w:val="0"/>
          <w:numId w:val="14"/>
        </w:numPr>
        <w:spacing w:before="240" w:after="240"/>
        <w:contextualSpacing w:val="0"/>
        <w:rPr>
          <w:rFonts w:ascii="Arial" w:hAnsi="Arial"/>
          <w:b/>
          <w:bCs/>
          <w:lang w:val="en-GB"/>
        </w:rPr>
      </w:pPr>
      <w:r w:rsidRPr="00D52564">
        <w:rPr>
          <w:rFonts w:ascii="Arial" w:hAnsi="Arial"/>
          <w:b/>
          <w:bCs/>
          <w:lang w:val="en-GB"/>
        </w:rPr>
        <w:t>Optimising Cash Management and Forecasting Systems</w:t>
      </w:r>
    </w:p>
    <w:p w14:paraId="6CCECC2F" w14:textId="4F82EB2E" w:rsidR="00404138" w:rsidRPr="00D52564" w:rsidRDefault="00112601" w:rsidP="00D52564">
      <w:pPr>
        <w:spacing w:before="240" w:after="240"/>
        <w:rPr>
          <w:rFonts w:ascii="Arial" w:hAnsi="Arial"/>
          <w:lang w:val="en-GB"/>
        </w:rPr>
      </w:pPr>
      <w:r w:rsidRPr="00D52564">
        <w:rPr>
          <w:rFonts w:ascii="Arial" w:hAnsi="Arial"/>
          <w:lang w:val="en-GB"/>
        </w:rPr>
        <w:t xml:space="preserve">Developing </w:t>
      </w:r>
      <w:r w:rsidR="00404138" w:rsidRPr="00D52564">
        <w:rPr>
          <w:rFonts w:ascii="Arial" w:hAnsi="Arial"/>
          <w:lang w:val="en-GB"/>
        </w:rPr>
        <w:t xml:space="preserve">rolling cash flow projections, adequate funding buffers, and </w:t>
      </w:r>
      <w:r w:rsidR="005B7636" w:rsidRPr="00D52564">
        <w:rPr>
          <w:rFonts w:ascii="Arial" w:hAnsi="Arial"/>
          <w:lang w:val="en-GB"/>
        </w:rPr>
        <w:t>centralisation of treasury activities could help management</w:t>
      </w:r>
      <w:r w:rsidR="00404138" w:rsidRPr="00D52564">
        <w:rPr>
          <w:rFonts w:ascii="Arial" w:hAnsi="Arial"/>
          <w:lang w:val="en-GB"/>
        </w:rPr>
        <w:t xml:space="preserve"> to better anticipate the funding needs and to </w:t>
      </w:r>
      <w:r w:rsidRPr="00D52564">
        <w:rPr>
          <w:rFonts w:ascii="Arial" w:hAnsi="Arial"/>
          <w:lang w:val="en-GB"/>
        </w:rPr>
        <w:t>avoid</w:t>
      </w:r>
      <w:r w:rsidR="00404138" w:rsidRPr="00D52564">
        <w:rPr>
          <w:rFonts w:ascii="Arial" w:hAnsi="Arial"/>
          <w:lang w:val="en-GB"/>
        </w:rPr>
        <w:t xml:space="preserve"> borrowing. In this context, better cash visibility would </w:t>
      </w:r>
      <w:r w:rsidRPr="00D52564">
        <w:rPr>
          <w:rFonts w:ascii="Arial" w:hAnsi="Arial"/>
          <w:lang w:val="en-GB"/>
        </w:rPr>
        <w:t xml:space="preserve">also </w:t>
      </w:r>
      <w:r w:rsidR="00404138" w:rsidRPr="00D52564">
        <w:rPr>
          <w:rFonts w:ascii="Arial" w:hAnsi="Arial"/>
          <w:lang w:val="en-GB"/>
        </w:rPr>
        <w:t xml:space="preserve">help </w:t>
      </w:r>
      <w:r w:rsidR="005B7636" w:rsidRPr="00D52564">
        <w:rPr>
          <w:rFonts w:ascii="Arial" w:hAnsi="Arial"/>
          <w:lang w:val="en-GB"/>
        </w:rPr>
        <w:t xml:space="preserve">make informed investment decisions more quickly </w:t>
      </w:r>
      <w:r w:rsidR="00404138" w:rsidRPr="00D52564">
        <w:rPr>
          <w:rFonts w:ascii="Arial" w:hAnsi="Arial"/>
          <w:lang w:val="en-GB"/>
        </w:rPr>
        <w:t xml:space="preserve">and </w:t>
      </w:r>
      <w:r w:rsidR="005B7636" w:rsidRPr="00D52564">
        <w:rPr>
          <w:rFonts w:ascii="Arial" w:hAnsi="Arial"/>
          <w:lang w:val="en-GB"/>
        </w:rPr>
        <w:t xml:space="preserve">might strengthen the company's cash flow </w:t>
      </w:r>
      <w:r w:rsidRPr="00D52564">
        <w:rPr>
          <w:rFonts w:ascii="Arial" w:hAnsi="Arial"/>
          <w:lang w:val="en-GB"/>
        </w:rPr>
        <w:t xml:space="preserve">during times of heavy hospitality services demand. </w:t>
      </w:r>
    </w:p>
    <w:p w14:paraId="6FBCF22E" w14:textId="33787DAE" w:rsidR="00404138" w:rsidRPr="00D52564" w:rsidRDefault="00404138" w:rsidP="009F69B9">
      <w:pPr>
        <w:pStyle w:val="ListParagraph"/>
        <w:numPr>
          <w:ilvl w:val="0"/>
          <w:numId w:val="15"/>
        </w:numPr>
        <w:spacing w:before="240" w:after="240"/>
        <w:contextualSpacing w:val="0"/>
        <w:rPr>
          <w:rFonts w:ascii="Arial" w:hAnsi="Arial"/>
          <w:b/>
          <w:bCs/>
          <w:lang w:val="en-GB"/>
        </w:rPr>
      </w:pPr>
      <w:r w:rsidRPr="00D52564">
        <w:rPr>
          <w:rFonts w:ascii="Arial" w:hAnsi="Arial"/>
          <w:b/>
          <w:bCs/>
          <w:lang w:val="en-GB"/>
        </w:rPr>
        <w:t>Capital Structure Optimisation</w:t>
      </w:r>
    </w:p>
    <w:p w14:paraId="7F29B9D9" w14:textId="4E8EBA08" w:rsidR="00B80888" w:rsidRPr="00D52564" w:rsidRDefault="00112601" w:rsidP="00D52564">
      <w:pPr>
        <w:spacing w:before="240" w:after="240"/>
        <w:rPr>
          <w:rFonts w:ascii="Arial" w:hAnsi="Arial"/>
          <w:lang w:val="en-GB"/>
        </w:rPr>
      </w:pPr>
      <w:r w:rsidRPr="00D52564">
        <w:rPr>
          <w:rFonts w:ascii="Arial" w:hAnsi="Arial"/>
          <w:lang w:val="en-GB"/>
        </w:rPr>
        <w:t>R</w:t>
      </w:r>
      <w:r w:rsidR="00404138" w:rsidRPr="00D52564">
        <w:rPr>
          <w:rFonts w:ascii="Arial" w:hAnsi="Arial"/>
          <w:lang w:val="en-GB"/>
        </w:rPr>
        <w:t xml:space="preserve">efinancing risk </w:t>
      </w:r>
      <w:r w:rsidRPr="00D52564">
        <w:rPr>
          <w:rFonts w:ascii="Arial" w:hAnsi="Arial"/>
          <w:lang w:val="en-GB"/>
        </w:rPr>
        <w:t xml:space="preserve">can be </w:t>
      </w:r>
      <w:r w:rsidR="00404138" w:rsidRPr="00D52564">
        <w:rPr>
          <w:rFonts w:ascii="Arial" w:hAnsi="Arial"/>
          <w:lang w:val="en-GB"/>
        </w:rPr>
        <w:t xml:space="preserve">reduced by </w:t>
      </w:r>
      <w:r w:rsidRPr="00D52564">
        <w:rPr>
          <w:rFonts w:ascii="Arial" w:hAnsi="Arial"/>
          <w:lang w:val="en-GB"/>
        </w:rPr>
        <w:t>replacing</w:t>
      </w:r>
      <w:r w:rsidR="00404138" w:rsidRPr="00D52564">
        <w:rPr>
          <w:rFonts w:ascii="Arial" w:hAnsi="Arial"/>
          <w:lang w:val="en-GB"/>
        </w:rPr>
        <w:t xml:space="preserve"> costly </w:t>
      </w:r>
      <w:r w:rsidRPr="00D52564">
        <w:rPr>
          <w:rFonts w:ascii="Arial" w:hAnsi="Arial"/>
          <w:lang w:val="en-GB"/>
        </w:rPr>
        <w:t>short-term</w:t>
      </w:r>
      <w:r w:rsidR="00404138" w:rsidRPr="00D52564">
        <w:rPr>
          <w:rFonts w:ascii="Arial" w:hAnsi="Arial"/>
          <w:lang w:val="en-GB"/>
        </w:rPr>
        <w:t xml:space="preserve"> debt </w:t>
      </w:r>
      <w:r w:rsidRPr="00D52564">
        <w:rPr>
          <w:rFonts w:ascii="Arial" w:hAnsi="Arial"/>
          <w:lang w:val="en-GB"/>
        </w:rPr>
        <w:t>with</w:t>
      </w:r>
      <w:r w:rsidR="00404138" w:rsidRPr="00D52564">
        <w:rPr>
          <w:rFonts w:ascii="Arial" w:hAnsi="Arial"/>
          <w:lang w:val="en-GB"/>
        </w:rPr>
        <w:t xml:space="preserve"> </w:t>
      </w:r>
      <w:r w:rsidRPr="00D52564">
        <w:rPr>
          <w:rFonts w:ascii="Arial" w:hAnsi="Arial"/>
          <w:lang w:val="en-GB"/>
        </w:rPr>
        <w:t>longer-term</w:t>
      </w:r>
      <w:r w:rsidR="00404138" w:rsidRPr="00D52564">
        <w:rPr>
          <w:rFonts w:ascii="Arial" w:hAnsi="Arial"/>
          <w:lang w:val="en-GB"/>
        </w:rPr>
        <w:t xml:space="preserve"> debt</w:t>
      </w:r>
      <w:r w:rsidRPr="00D52564">
        <w:rPr>
          <w:rFonts w:ascii="Arial" w:hAnsi="Arial"/>
          <w:lang w:val="en-GB"/>
        </w:rPr>
        <w:t>,</w:t>
      </w:r>
      <w:r w:rsidR="00404138" w:rsidRPr="00D52564">
        <w:rPr>
          <w:rFonts w:ascii="Arial" w:hAnsi="Arial"/>
          <w:lang w:val="en-GB"/>
        </w:rPr>
        <w:t xml:space="preserve"> </w:t>
      </w:r>
      <w:r w:rsidRPr="00D52564">
        <w:rPr>
          <w:rFonts w:ascii="Arial" w:hAnsi="Arial"/>
          <w:lang w:val="en-GB"/>
        </w:rPr>
        <w:t xml:space="preserve">which also enhances </w:t>
      </w:r>
      <w:r w:rsidR="00404138" w:rsidRPr="00D52564">
        <w:rPr>
          <w:rFonts w:ascii="Arial" w:hAnsi="Arial"/>
          <w:lang w:val="en-GB"/>
        </w:rPr>
        <w:t>liquidity</w:t>
      </w:r>
      <w:r w:rsidRPr="00D52564">
        <w:rPr>
          <w:rFonts w:ascii="Arial" w:hAnsi="Arial"/>
          <w:lang w:val="en-GB"/>
        </w:rPr>
        <w:t xml:space="preserve"> (Sigmund </w:t>
      </w:r>
      <w:r w:rsidRPr="00D52564">
        <w:rPr>
          <w:rFonts w:ascii="Arial" w:hAnsi="Arial"/>
          <w:i/>
          <w:iCs/>
          <w:lang w:val="en-GB"/>
        </w:rPr>
        <w:t>et al</w:t>
      </w:r>
      <w:r w:rsidRPr="00D52564">
        <w:rPr>
          <w:rFonts w:ascii="Arial" w:hAnsi="Arial"/>
          <w:lang w:val="en-GB"/>
        </w:rPr>
        <w:t>. 2024)</w:t>
      </w:r>
      <w:r w:rsidR="00404138" w:rsidRPr="00D52564">
        <w:rPr>
          <w:rFonts w:ascii="Arial" w:hAnsi="Arial"/>
          <w:lang w:val="en-GB"/>
        </w:rPr>
        <w:t xml:space="preserve">. Concurrently, </w:t>
      </w:r>
      <w:r w:rsidRPr="00D52564">
        <w:rPr>
          <w:rFonts w:ascii="Arial" w:hAnsi="Arial"/>
          <w:lang w:val="en-GB"/>
        </w:rPr>
        <w:t xml:space="preserve">a </w:t>
      </w:r>
      <w:r w:rsidR="00404138" w:rsidRPr="00D52564">
        <w:rPr>
          <w:rFonts w:ascii="Arial" w:hAnsi="Arial"/>
          <w:lang w:val="en-GB"/>
        </w:rPr>
        <w:t xml:space="preserve">higher percentage of franchise and managed hotels and properties </w:t>
      </w:r>
      <w:r w:rsidR="005B7636" w:rsidRPr="00D52564">
        <w:rPr>
          <w:rFonts w:ascii="Arial" w:hAnsi="Arial"/>
          <w:lang w:val="en-GB"/>
        </w:rPr>
        <w:t xml:space="preserve">instead of owning hotels </w:t>
      </w:r>
      <w:r w:rsidR="00404138" w:rsidRPr="00D52564">
        <w:rPr>
          <w:rFonts w:ascii="Arial" w:hAnsi="Arial"/>
          <w:lang w:val="en-GB"/>
        </w:rPr>
        <w:t xml:space="preserve">would reduce the requirements for capital investments and yield regular and predictable income from franchise fees. </w:t>
      </w:r>
      <w:r w:rsidRPr="00D52564">
        <w:rPr>
          <w:rFonts w:ascii="Arial" w:hAnsi="Arial"/>
          <w:lang w:val="en-GB"/>
        </w:rPr>
        <w:t xml:space="preserve">This will notably contribute to increasing </w:t>
      </w:r>
      <w:r w:rsidR="00404138" w:rsidRPr="00D52564">
        <w:rPr>
          <w:rFonts w:ascii="Arial" w:hAnsi="Arial"/>
          <w:lang w:val="en-GB"/>
        </w:rPr>
        <w:t>Wyndham'</w:t>
      </w:r>
      <w:r w:rsidRPr="00D52564">
        <w:rPr>
          <w:rFonts w:ascii="Arial" w:hAnsi="Arial"/>
          <w:lang w:val="en-GB"/>
        </w:rPr>
        <w:t xml:space="preserve">s </w:t>
      </w:r>
      <w:r w:rsidR="00404138" w:rsidRPr="00D52564">
        <w:rPr>
          <w:rFonts w:ascii="Arial" w:hAnsi="Arial"/>
          <w:lang w:val="en-GB"/>
        </w:rPr>
        <w:t>liquidity</w:t>
      </w:r>
      <w:r w:rsidRPr="00D52564">
        <w:rPr>
          <w:rFonts w:ascii="Arial" w:hAnsi="Arial"/>
          <w:lang w:val="en-GB"/>
        </w:rPr>
        <w:t xml:space="preserve"> and efficiency in working capital management </w:t>
      </w:r>
      <w:r w:rsidR="00404138" w:rsidRPr="00D52564">
        <w:rPr>
          <w:rFonts w:ascii="Arial" w:hAnsi="Arial"/>
          <w:lang w:val="en-GB"/>
        </w:rPr>
        <w:t xml:space="preserve">and </w:t>
      </w:r>
      <w:r w:rsidRPr="00D52564">
        <w:rPr>
          <w:rFonts w:ascii="Arial" w:hAnsi="Arial"/>
          <w:lang w:val="en-GB"/>
        </w:rPr>
        <w:t xml:space="preserve">will also </w:t>
      </w:r>
      <w:r w:rsidR="00404138" w:rsidRPr="00D52564">
        <w:rPr>
          <w:rFonts w:ascii="Arial" w:hAnsi="Arial"/>
          <w:lang w:val="en-GB"/>
        </w:rPr>
        <w:t xml:space="preserve">support and enable sustainable </w:t>
      </w:r>
      <w:r w:rsidRPr="00D52564">
        <w:rPr>
          <w:rFonts w:ascii="Arial" w:hAnsi="Arial"/>
          <w:lang w:val="en-GB"/>
        </w:rPr>
        <w:t>long-term</w:t>
      </w:r>
      <w:r w:rsidR="00404138" w:rsidRPr="00D52564">
        <w:rPr>
          <w:rFonts w:ascii="Arial" w:hAnsi="Arial"/>
          <w:lang w:val="en-GB"/>
        </w:rPr>
        <w:t xml:space="preserve"> financial performance.</w:t>
      </w:r>
    </w:p>
    <w:p w14:paraId="00000015" w14:textId="2B3C9E1C" w:rsidR="003F35A2" w:rsidRPr="00D52564" w:rsidRDefault="00346555" w:rsidP="00D52564">
      <w:pPr>
        <w:pStyle w:val="Heading2"/>
        <w:spacing w:before="240" w:after="240"/>
        <w:rPr>
          <w:rFonts w:ascii="Arial" w:hAnsi="Arial"/>
          <w:sz w:val="24"/>
          <w:lang w:val="en-GB"/>
        </w:rPr>
      </w:pPr>
      <w:bookmarkStart w:id="65" w:name="_njoa8qpm5ok1" w:colFirst="0" w:colLast="0"/>
      <w:bookmarkStart w:id="66" w:name="_Toc236179774"/>
      <w:bookmarkStart w:id="67" w:name="_Toc236250020"/>
      <w:bookmarkStart w:id="68" w:name="_Toc237532208"/>
      <w:bookmarkEnd w:id="65"/>
      <w:r w:rsidRPr="00D52564">
        <w:rPr>
          <w:rFonts w:ascii="Arial" w:hAnsi="Arial"/>
          <w:sz w:val="24"/>
          <w:lang w:val="en-GB"/>
        </w:rPr>
        <w:t>3.</w:t>
      </w:r>
      <w:r w:rsidR="00B80888" w:rsidRPr="00D52564">
        <w:rPr>
          <w:rFonts w:ascii="Arial" w:hAnsi="Arial"/>
          <w:sz w:val="24"/>
          <w:lang w:val="en-GB"/>
        </w:rPr>
        <w:t>3</w:t>
      </w:r>
      <w:r w:rsidRPr="00D52564">
        <w:rPr>
          <w:rFonts w:ascii="Arial" w:hAnsi="Arial"/>
          <w:sz w:val="24"/>
          <w:lang w:val="en-GB"/>
        </w:rPr>
        <w:t xml:space="preserve"> </w:t>
      </w:r>
      <w:bookmarkEnd w:id="66"/>
      <w:bookmarkEnd w:id="67"/>
      <w:r w:rsidR="00897DE9" w:rsidRPr="00D52564">
        <w:rPr>
          <w:rFonts w:ascii="Arial" w:hAnsi="Arial"/>
          <w:sz w:val="24"/>
          <w:lang w:val="en-GB"/>
        </w:rPr>
        <w:t>Short-Term vs Long-Term Financing</w:t>
      </w:r>
      <w:bookmarkEnd w:id="68"/>
    </w:p>
    <w:p w14:paraId="4EAE107E" w14:textId="5E32801A" w:rsidR="00A21123" w:rsidRPr="00D52564" w:rsidRDefault="00112601" w:rsidP="00D52564">
      <w:pPr>
        <w:spacing w:before="240" w:after="240"/>
        <w:rPr>
          <w:rFonts w:ascii="Arial" w:hAnsi="Arial"/>
          <w:lang w:val="en-GB"/>
        </w:rPr>
      </w:pPr>
      <w:r w:rsidRPr="00D52564">
        <w:rPr>
          <w:rFonts w:ascii="Arial" w:hAnsi="Arial"/>
          <w:lang w:val="en-GB"/>
        </w:rPr>
        <w:t xml:space="preserve">In supporting the business activities of Wyndham Hotels &amp; Resorts, </w:t>
      </w:r>
      <w:r w:rsidR="00897DE9" w:rsidRPr="00D52564">
        <w:rPr>
          <w:rFonts w:ascii="Arial" w:hAnsi="Arial"/>
          <w:lang w:val="en-GB"/>
        </w:rPr>
        <w:t>both long-term and short-term financing play significant roles</w:t>
      </w:r>
      <w:r w:rsidRPr="00D52564">
        <w:rPr>
          <w:rFonts w:ascii="Arial" w:hAnsi="Arial"/>
          <w:lang w:val="en-GB"/>
        </w:rPr>
        <w:t xml:space="preserve">. </w:t>
      </w:r>
      <w:r w:rsidR="00172E45" w:rsidRPr="00D52564">
        <w:rPr>
          <w:rFonts w:ascii="Arial" w:hAnsi="Arial"/>
          <w:lang w:val="en-GB"/>
        </w:rPr>
        <w:t>In this regard, s</w:t>
      </w:r>
      <w:r w:rsidRPr="00D52564">
        <w:rPr>
          <w:rFonts w:ascii="Arial" w:hAnsi="Arial"/>
          <w:lang w:val="en-GB"/>
        </w:rPr>
        <w:t xml:space="preserve">hort-term financing, </w:t>
      </w:r>
      <w:r w:rsidR="00172E45" w:rsidRPr="00D52564">
        <w:rPr>
          <w:rFonts w:ascii="Arial" w:hAnsi="Arial"/>
          <w:lang w:val="en-GB"/>
        </w:rPr>
        <w:t xml:space="preserve">often categorised as </w:t>
      </w:r>
      <w:r w:rsidRPr="00D52564">
        <w:rPr>
          <w:rFonts w:ascii="Arial" w:hAnsi="Arial"/>
          <w:lang w:val="en-GB"/>
        </w:rPr>
        <w:t xml:space="preserve">bank overdrafts, revolving credit facilities and trade credit, </w:t>
      </w:r>
      <w:r w:rsidR="00172E45" w:rsidRPr="00D52564">
        <w:rPr>
          <w:rFonts w:ascii="Arial" w:hAnsi="Arial"/>
          <w:lang w:val="en-GB"/>
        </w:rPr>
        <w:t xml:space="preserve">manages the </w:t>
      </w:r>
      <w:r w:rsidRPr="00D52564">
        <w:rPr>
          <w:rFonts w:ascii="Arial" w:hAnsi="Arial"/>
          <w:lang w:val="en-GB"/>
        </w:rPr>
        <w:t>working capital requirements and temporary cash flow fluctuations</w:t>
      </w:r>
      <w:r w:rsidR="00172E45" w:rsidRPr="00D52564">
        <w:rPr>
          <w:rFonts w:ascii="Arial" w:hAnsi="Arial"/>
          <w:lang w:val="en-GB"/>
        </w:rPr>
        <w:t xml:space="preserve"> of a firm</w:t>
      </w:r>
      <w:r w:rsidRPr="00D52564">
        <w:rPr>
          <w:rFonts w:ascii="Arial" w:hAnsi="Arial"/>
          <w:lang w:val="en-GB"/>
        </w:rPr>
        <w:t xml:space="preserve">. </w:t>
      </w:r>
      <w:r w:rsidR="00172E45" w:rsidRPr="00D52564">
        <w:rPr>
          <w:rFonts w:ascii="Arial" w:hAnsi="Arial"/>
          <w:lang w:val="en-GB"/>
        </w:rPr>
        <w:t xml:space="preserve">These sources of finance provide higher flexibility to business organisations, alongside </w:t>
      </w:r>
      <w:r w:rsidR="00A21123" w:rsidRPr="00D52564">
        <w:rPr>
          <w:rFonts w:ascii="Arial" w:hAnsi="Arial"/>
          <w:lang w:val="en-GB"/>
        </w:rPr>
        <w:t xml:space="preserve">a </w:t>
      </w:r>
      <w:r w:rsidR="00172E45" w:rsidRPr="00D52564">
        <w:rPr>
          <w:rFonts w:ascii="Arial" w:hAnsi="Arial"/>
          <w:lang w:val="en-GB"/>
        </w:rPr>
        <w:t>lower cost of financing</w:t>
      </w:r>
      <w:r w:rsidR="00386546" w:rsidRPr="00D52564">
        <w:rPr>
          <w:rFonts w:ascii="Arial" w:hAnsi="Arial"/>
          <w:lang w:val="en-GB"/>
        </w:rPr>
        <w:t xml:space="preserve"> (D'Mello and Toscano, 2020)</w:t>
      </w:r>
      <w:r w:rsidR="00172E45" w:rsidRPr="00D52564">
        <w:rPr>
          <w:rFonts w:ascii="Arial" w:hAnsi="Arial"/>
          <w:lang w:val="en-GB"/>
        </w:rPr>
        <w:t xml:space="preserve">. However, </w:t>
      </w:r>
      <w:r w:rsidR="00897DE9" w:rsidRPr="00D52564">
        <w:rPr>
          <w:rFonts w:ascii="Arial" w:hAnsi="Arial"/>
          <w:lang w:val="en-GB"/>
        </w:rPr>
        <w:t xml:space="preserve">The firm's exposure to certain risks </w:t>
      </w:r>
      <w:r w:rsidR="00172E45" w:rsidRPr="00D52564">
        <w:rPr>
          <w:rFonts w:ascii="Arial" w:hAnsi="Arial"/>
          <w:lang w:val="en-GB"/>
        </w:rPr>
        <w:t xml:space="preserve">such as interest rate volatility and refinancing requirements significantly </w:t>
      </w:r>
      <w:r w:rsidR="00EE3FF3" w:rsidRPr="00D52564">
        <w:rPr>
          <w:rFonts w:ascii="Arial" w:hAnsi="Arial"/>
          <w:lang w:val="en-GB"/>
        </w:rPr>
        <w:t>increases</w:t>
      </w:r>
      <w:r w:rsidR="00172E45" w:rsidRPr="00D52564">
        <w:rPr>
          <w:rFonts w:ascii="Arial" w:hAnsi="Arial"/>
          <w:lang w:val="en-GB"/>
        </w:rPr>
        <w:t xml:space="preserve"> during adverse market conditions. On the other hand</w:t>
      </w:r>
      <w:r w:rsidRPr="00D52564">
        <w:rPr>
          <w:rFonts w:ascii="Arial" w:hAnsi="Arial"/>
          <w:lang w:val="en-GB"/>
        </w:rPr>
        <w:t>,</w:t>
      </w:r>
      <w:r w:rsidR="00500B2D" w:rsidRPr="00D52564">
        <w:rPr>
          <w:rFonts w:ascii="Arial" w:hAnsi="Arial"/>
          <w:lang w:val="en-GB"/>
        </w:rPr>
        <w:t xml:space="preserve"> long-term financing </w:t>
      </w:r>
      <w:r w:rsidR="00A21123" w:rsidRPr="00D52564">
        <w:rPr>
          <w:rFonts w:ascii="Arial" w:hAnsi="Arial"/>
          <w:lang w:val="en-GB"/>
        </w:rPr>
        <w:t xml:space="preserve">involves debt </w:t>
      </w:r>
      <w:r w:rsidR="00A21123" w:rsidRPr="00D52564">
        <w:rPr>
          <w:rFonts w:ascii="Arial" w:hAnsi="Arial"/>
          <w:lang w:val="en-GB"/>
        </w:rPr>
        <w:lastRenderedPageBreak/>
        <w:t xml:space="preserve">instruments such as long-term loans, corporate bonds and lease liabilities, which often help businesses fund their strategic actions. Despite the fact that long-term financing increases the finance costs of a firm, </w:t>
      </w:r>
      <w:r w:rsidR="00897DE9" w:rsidRPr="00D52564">
        <w:rPr>
          <w:rFonts w:ascii="Arial" w:hAnsi="Arial"/>
          <w:lang w:val="en-GB"/>
        </w:rPr>
        <w:t>it can also reduce financing pressures during periods of financial difficulty</w:t>
      </w:r>
      <w:r w:rsidR="00A21123" w:rsidRPr="00D52564">
        <w:rPr>
          <w:rFonts w:ascii="Arial" w:hAnsi="Arial"/>
          <w:lang w:val="en-GB"/>
        </w:rPr>
        <w:t xml:space="preserve"> (Mustafina </w:t>
      </w:r>
      <w:r w:rsidR="00A21123" w:rsidRPr="00D52564">
        <w:rPr>
          <w:rFonts w:ascii="Arial" w:hAnsi="Arial"/>
          <w:i/>
          <w:iCs/>
          <w:lang w:val="en-GB"/>
        </w:rPr>
        <w:t>et al</w:t>
      </w:r>
      <w:r w:rsidR="00A21123" w:rsidRPr="00D52564">
        <w:rPr>
          <w:rFonts w:ascii="Arial" w:hAnsi="Arial"/>
          <w:lang w:val="en-GB"/>
        </w:rPr>
        <w:t xml:space="preserve">. 2020). Based on Wyndham's relative weakness in terms of liquidity, </w:t>
      </w:r>
      <w:r w:rsidR="00897DE9" w:rsidRPr="00D52564">
        <w:rPr>
          <w:rFonts w:ascii="Arial" w:hAnsi="Arial"/>
          <w:lang w:val="en-GB"/>
        </w:rPr>
        <w:t xml:space="preserve">the company should use its operating cash flows or long-term financing </w:t>
      </w:r>
      <w:r w:rsidR="00A21123" w:rsidRPr="00D52564">
        <w:rPr>
          <w:rFonts w:ascii="Arial" w:hAnsi="Arial"/>
          <w:lang w:val="en-GB"/>
        </w:rPr>
        <w:t>for strategic investments, only limiting its short-term financing needs to seasonal working capital needs. The balance of financing would reduce the liquidity risk, enhance financial flexibility and support sustainable growth without affecting the effective use of capital.</w:t>
      </w:r>
    </w:p>
    <w:p w14:paraId="00000016" w14:textId="2B47811B" w:rsidR="003F35A2" w:rsidRPr="00D52564" w:rsidRDefault="00346555" w:rsidP="00D52564">
      <w:pPr>
        <w:pStyle w:val="Heading1"/>
        <w:spacing w:before="240" w:after="240"/>
        <w:rPr>
          <w:rFonts w:ascii="Arial" w:hAnsi="Arial"/>
          <w:sz w:val="24"/>
          <w:lang w:val="en-GB"/>
        </w:rPr>
      </w:pPr>
      <w:bookmarkStart w:id="69" w:name="_puqdzuqm6u5z" w:colFirst="0" w:colLast="0"/>
      <w:bookmarkStart w:id="70" w:name="_Toc236179775"/>
      <w:bookmarkStart w:id="71" w:name="_Toc236250021"/>
      <w:bookmarkStart w:id="72" w:name="_Toc237532209"/>
      <w:bookmarkEnd w:id="69"/>
      <w:r w:rsidRPr="00D52564">
        <w:rPr>
          <w:rFonts w:ascii="Arial" w:hAnsi="Arial"/>
          <w:sz w:val="24"/>
          <w:lang w:val="en-GB"/>
        </w:rPr>
        <w:t>4. Strategic Financial Restructuring Plan</w:t>
      </w:r>
      <w:bookmarkEnd w:id="70"/>
      <w:bookmarkEnd w:id="71"/>
      <w:bookmarkEnd w:id="72"/>
    </w:p>
    <w:p w14:paraId="00000018" w14:textId="252190FB" w:rsidR="003F35A2" w:rsidRPr="00D52564" w:rsidRDefault="00346555" w:rsidP="00D52564">
      <w:pPr>
        <w:pStyle w:val="Heading2"/>
        <w:spacing w:before="240" w:after="240"/>
        <w:rPr>
          <w:rFonts w:ascii="Arial" w:hAnsi="Arial"/>
          <w:sz w:val="24"/>
          <w:lang w:val="en-GB"/>
        </w:rPr>
      </w:pPr>
      <w:bookmarkStart w:id="73" w:name="_vr1l2i23t9jl" w:colFirst="0" w:colLast="0"/>
      <w:bookmarkStart w:id="74" w:name="_Toc236179776"/>
      <w:bookmarkStart w:id="75" w:name="_Toc236250022"/>
      <w:bookmarkStart w:id="76" w:name="_Toc237532210"/>
      <w:bookmarkEnd w:id="73"/>
      <w:r w:rsidRPr="00D52564">
        <w:rPr>
          <w:rFonts w:ascii="Arial" w:hAnsi="Arial"/>
          <w:sz w:val="24"/>
          <w:lang w:val="en-GB"/>
        </w:rPr>
        <w:t xml:space="preserve">4.1 </w:t>
      </w:r>
      <w:bookmarkStart w:id="77" w:name="_xtd2mofa9d1w" w:colFirst="0" w:colLast="0"/>
      <w:bookmarkStart w:id="78" w:name="_Toc236179777"/>
      <w:bookmarkEnd w:id="74"/>
      <w:bookmarkEnd w:id="77"/>
      <w:r w:rsidR="00386546" w:rsidRPr="00D52564">
        <w:rPr>
          <w:rFonts w:ascii="Arial" w:hAnsi="Arial"/>
          <w:sz w:val="24"/>
          <w:lang w:val="en-GB"/>
        </w:rPr>
        <w:t>Financial R</w:t>
      </w:r>
      <w:r w:rsidRPr="00D52564">
        <w:rPr>
          <w:rFonts w:ascii="Arial" w:hAnsi="Arial"/>
          <w:sz w:val="24"/>
          <w:lang w:val="en-GB"/>
        </w:rPr>
        <w:t xml:space="preserve">estructuring </w:t>
      </w:r>
      <w:bookmarkEnd w:id="78"/>
      <w:r w:rsidR="00386546" w:rsidRPr="00D52564">
        <w:rPr>
          <w:rFonts w:ascii="Arial" w:hAnsi="Arial"/>
          <w:sz w:val="24"/>
          <w:lang w:val="en-GB"/>
        </w:rPr>
        <w:t>Options</w:t>
      </w:r>
      <w:bookmarkEnd w:id="75"/>
      <w:bookmarkEnd w:id="76"/>
    </w:p>
    <w:p w14:paraId="2EBE63CD" w14:textId="2A06EFFF" w:rsidR="00916FB3" w:rsidRPr="00D52564" w:rsidRDefault="00916FB3" w:rsidP="00D52564">
      <w:pPr>
        <w:spacing w:before="240" w:after="240"/>
        <w:rPr>
          <w:rFonts w:ascii="Arial" w:hAnsi="Arial"/>
          <w:lang w:val="en-GB"/>
        </w:rPr>
      </w:pPr>
      <w:r w:rsidRPr="00D52564">
        <w:rPr>
          <w:rFonts w:ascii="Arial" w:hAnsi="Arial"/>
          <w:lang w:val="en-GB"/>
        </w:rPr>
        <w:t xml:space="preserve">The key financing issues of Wyndham Hotels and Resorts </w:t>
      </w:r>
      <w:r w:rsidR="00897DE9" w:rsidRPr="00D52564">
        <w:rPr>
          <w:rFonts w:ascii="Arial" w:hAnsi="Arial"/>
          <w:lang w:val="en-GB"/>
        </w:rPr>
        <w:t>include high leverage and financing costs, making financial restructuring necessary</w:t>
      </w:r>
      <w:r w:rsidRPr="00D52564">
        <w:rPr>
          <w:rFonts w:ascii="Arial" w:hAnsi="Arial"/>
          <w:lang w:val="en-GB"/>
        </w:rPr>
        <w:t xml:space="preserve"> for the firm. However, the company has two strategic options for financial restructuring, </w:t>
      </w:r>
      <w:r w:rsidR="00897DE9" w:rsidRPr="00D52564">
        <w:rPr>
          <w:rFonts w:ascii="Arial" w:hAnsi="Arial"/>
          <w:lang w:val="en-GB"/>
        </w:rPr>
        <w:t>as discussed below</w:t>
      </w:r>
      <w:r w:rsidRPr="00D52564">
        <w:rPr>
          <w:rFonts w:ascii="Arial" w:hAnsi="Arial"/>
          <w:lang w:val="en-GB"/>
        </w:rPr>
        <w:t>.</w:t>
      </w:r>
    </w:p>
    <w:p w14:paraId="256B4C22" w14:textId="296A27A9" w:rsidR="00186344" w:rsidRPr="00D52564" w:rsidRDefault="00916FB3" w:rsidP="009F69B9">
      <w:pPr>
        <w:pStyle w:val="ListParagraph"/>
        <w:numPr>
          <w:ilvl w:val="0"/>
          <w:numId w:val="16"/>
        </w:numPr>
        <w:spacing w:before="240" w:after="240"/>
        <w:contextualSpacing w:val="0"/>
        <w:rPr>
          <w:rFonts w:ascii="Arial" w:hAnsi="Arial"/>
          <w:b/>
          <w:bCs/>
          <w:lang w:val="en-GB"/>
        </w:rPr>
      </w:pPr>
      <w:r w:rsidRPr="00D52564">
        <w:rPr>
          <w:rFonts w:ascii="Arial" w:hAnsi="Arial"/>
          <w:b/>
          <w:bCs/>
          <w:lang w:val="en-GB"/>
        </w:rPr>
        <w:t>Divestiture of Low-Performing Assets and Investments</w:t>
      </w:r>
    </w:p>
    <w:p w14:paraId="1992E359" w14:textId="5FBAB23E" w:rsidR="00916FB3" w:rsidRPr="00D52564" w:rsidRDefault="0098317A" w:rsidP="00D52564">
      <w:pPr>
        <w:spacing w:before="240" w:after="240"/>
        <w:rPr>
          <w:rFonts w:ascii="Arial" w:hAnsi="Arial"/>
          <w:lang w:val="en-GB"/>
        </w:rPr>
      </w:pPr>
      <w:r w:rsidRPr="00D52564">
        <w:rPr>
          <w:rFonts w:ascii="Arial" w:hAnsi="Arial"/>
          <w:lang w:val="en-GB"/>
        </w:rPr>
        <w:t xml:space="preserve">The </w:t>
      </w:r>
      <w:r w:rsidR="00916FB3" w:rsidRPr="00D52564">
        <w:rPr>
          <w:rFonts w:ascii="Arial" w:hAnsi="Arial"/>
          <w:lang w:val="en-GB"/>
        </w:rPr>
        <w:t xml:space="preserve">company </w:t>
      </w:r>
      <w:r w:rsidRPr="00D52564">
        <w:rPr>
          <w:rFonts w:ascii="Arial" w:hAnsi="Arial"/>
          <w:lang w:val="en-GB"/>
        </w:rPr>
        <w:t xml:space="preserve">can engage in </w:t>
      </w:r>
      <w:r w:rsidR="00897DE9" w:rsidRPr="00D52564">
        <w:rPr>
          <w:rFonts w:ascii="Arial" w:hAnsi="Arial"/>
          <w:lang w:val="en-GB"/>
        </w:rPr>
        <w:t xml:space="preserve">liquidity and return-on-investment assessments of non-core assets </w:t>
      </w:r>
      <w:r w:rsidR="00916FB3" w:rsidRPr="00D52564">
        <w:rPr>
          <w:rFonts w:ascii="Arial" w:hAnsi="Arial"/>
          <w:lang w:val="en-GB"/>
        </w:rPr>
        <w:t>and underperforming investments</w:t>
      </w:r>
      <w:r w:rsidRPr="00D52564">
        <w:rPr>
          <w:rFonts w:ascii="Arial" w:hAnsi="Arial"/>
          <w:lang w:val="en-GB"/>
        </w:rPr>
        <w:t xml:space="preserve">. It may help the financial decision-makers to </w:t>
      </w:r>
      <w:r w:rsidR="00897DE9" w:rsidRPr="00D52564">
        <w:rPr>
          <w:rFonts w:ascii="Arial" w:hAnsi="Arial"/>
          <w:lang w:val="en-GB"/>
        </w:rPr>
        <w:t>undertake the timely divestiture of assets that do not contribute significantly</w:t>
      </w:r>
      <w:r w:rsidR="00916FB3" w:rsidRPr="00D52564">
        <w:rPr>
          <w:rFonts w:ascii="Arial" w:hAnsi="Arial"/>
          <w:lang w:val="en-GB"/>
        </w:rPr>
        <w:t xml:space="preserve"> to long-term profitability</w:t>
      </w:r>
      <w:r w:rsidRPr="00D52564">
        <w:rPr>
          <w:rFonts w:ascii="Arial" w:hAnsi="Arial"/>
          <w:lang w:val="en-GB"/>
        </w:rPr>
        <w:t xml:space="preserve"> of the firm</w:t>
      </w:r>
      <w:r w:rsidR="00916FB3" w:rsidRPr="00D52564">
        <w:rPr>
          <w:rFonts w:ascii="Arial" w:hAnsi="Arial"/>
          <w:lang w:val="en-GB"/>
        </w:rPr>
        <w:t xml:space="preserve">. Divesting assets </w:t>
      </w:r>
      <w:r w:rsidRPr="00D52564">
        <w:rPr>
          <w:rFonts w:ascii="Arial" w:hAnsi="Arial"/>
          <w:lang w:val="en-GB"/>
        </w:rPr>
        <w:t xml:space="preserve">can be effective in terms of increasing cash generation, thus improving </w:t>
      </w:r>
      <w:r w:rsidR="00916FB3" w:rsidRPr="00D52564">
        <w:rPr>
          <w:rFonts w:ascii="Arial" w:hAnsi="Arial"/>
          <w:lang w:val="en-GB"/>
        </w:rPr>
        <w:t xml:space="preserve">liquidity </w:t>
      </w:r>
      <w:r w:rsidRPr="00D52564">
        <w:rPr>
          <w:rFonts w:ascii="Arial" w:hAnsi="Arial"/>
          <w:lang w:val="en-GB"/>
        </w:rPr>
        <w:t>performance of the firm</w:t>
      </w:r>
      <w:r w:rsidR="007B101E" w:rsidRPr="00D52564">
        <w:rPr>
          <w:rFonts w:ascii="Arial" w:hAnsi="Arial"/>
          <w:lang w:val="en-GB"/>
        </w:rPr>
        <w:t xml:space="preserve"> (Pearce II and Patel, 2022)</w:t>
      </w:r>
      <w:r w:rsidRPr="00D52564">
        <w:rPr>
          <w:rFonts w:ascii="Arial" w:hAnsi="Arial"/>
          <w:lang w:val="en-GB"/>
        </w:rPr>
        <w:t xml:space="preserve">. In the context of Wyndham, </w:t>
      </w:r>
      <w:r w:rsidR="00897DE9" w:rsidRPr="00D52564">
        <w:rPr>
          <w:rFonts w:ascii="Arial" w:hAnsi="Arial"/>
          <w:lang w:val="en-GB"/>
        </w:rPr>
        <w:t>management can improve returns by focusing on</w:t>
      </w:r>
      <w:r w:rsidR="00916FB3" w:rsidRPr="00D52564">
        <w:rPr>
          <w:rFonts w:ascii="Arial" w:hAnsi="Arial"/>
          <w:lang w:val="en-GB"/>
        </w:rPr>
        <w:t xml:space="preserve"> its highly profitable asset-light franchise and management business. </w:t>
      </w:r>
    </w:p>
    <w:p w14:paraId="63DE834D" w14:textId="4EC7D183" w:rsidR="00916FB3" w:rsidRPr="00D52564" w:rsidRDefault="00916FB3" w:rsidP="009F69B9">
      <w:pPr>
        <w:pStyle w:val="ListParagraph"/>
        <w:numPr>
          <w:ilvl w:val="0"/>
          <w:numId w:val="17"/>
        </w:numPr>
        <w:spacing w:before="240" w:after="240"/>
        <w:contextualSpacing w:val="0"/>
        <w:rPr>
          <w:rFonts w:ascii="Arial" w:hAnsi="Arial"/>
          <w:b/>
          <w:bCs/>
          <w:lang w:val="en-GB"/>
        </w:rPr>
      </w:pPr>
      <w:r w:rsidRPr="00D52564">
        <w:rPr>
          <w:rFonts w:ascii="Arial" w:hAnsi="Arial"/>
          <w:b/>
          <w:bCs/>
          <w:lang w:val="en-GB"/>
        </w:rPr>
        <w:t>Equity Injection</w:t>
      </w:r>
    </w:p>
    <w:p w14:paraId="0B6587D2" w14:textId="26156E31" w:rsidR="007B101E" w:rsidRPr="00D52564" w:rsidRDefault="00916FB3" w:rsidP="00D52564">
      <w:pPr>
        <w:spacing w:before="240" w:after="240"/>
        <w:rPr>
          <w:rFonts w:ascii="Arial" w:hAnsi="Arial"/>
          <w:lang w:val="en-GB"/>
        </w:rPr>
      </w:pPr>
      <w:r w:rsidRPr="00D52564">
        <w:rPr>
          <w:rFonts w:ascii="Arial" w:hAnsi="Arial"/>
          <w:lang w:val="en-GB"/>
        </w:rPr>
        <w:t xml:space="preserve">Wyndham </w:t>
      </w:r>
      <w:r w:rsidR="0098317A" w:rsidRPr="00D52564">
        <w:rPr>
          <w:rFonts w:ascii="Arial" w:hAnsi="Arial"/>
          <w:lang w:val="en-GB"/>
        </w:rPr>
        <w:t xml:space="preserve">can also </w:t>
      </w:r>
      <w:r w:rsidRPr="00D52564">
        <w:rPr>
          <w:rFonts w:ascii="Arial" w:hAnsi="Arial"/>
          <w:lang w:val="en-GB"/>
        </w:rPr>
        <w:t>optimise its capital structure through debt refinancing and selective equity injection where</w:t>
      </w:r>
      <w:r w:rsidR="0098317A" w:rsidRPr="00D52564">
        <w:rPr>
          <w:rFonts w:ascii="Arial" w:hAnsi="Arial"/>
          <w:lang w:val="en-GB"/>
        </w:rPr>
        <w:t>ver needed</w:t>
      </w:r>
      <w:r w:rsidR="007B101E" w:rsidRPr="00D52564">
        <w:rPr>
          <w:rFonts w:ascii="Arial" w:hAnsi="Arial"/>
          <w:lang w:val="en-GB"/>
        </w:rPr>
        <w:t xml:space="preserve">. In addition to this, </w:t>
      </w:r>
      <w:r w:rsidRPr="00D52564">
        <w:rPr>
          <w:rFonts w:ascii="Arial" w:hAnsi="Arial"/>
          <w:lang w:val="en-GB"/>
        </w:rPr>
        <w:t>equity issuance could strengthen the balance sheet</w:t>
      </w:r>
      <w:r w:rsidR="007B101E" w:rsidRPr="00D52564">
        <w:rPr>
          <w:rFonts w:ascii="Arial" w:hAnsi="Arial"/>
          <w:lang w:val="en-GB"/>
        </w:rPr>
        <w:t xml:space="preserve"> of the firm and </w:t>
      </w:r>
      <w:r w:rsidRPr="00D52564">
        <w:rPr>
          <w:rFonts w:ascii="Arial" w:hAnsi="Arial"/>
          <w:lang w:val="en-GB"/>
        </w:rPr>
        <w:t>reduce the debt-to-equity ratio</w:t>
      </w:r>
      <w:r w:rsidR="007B101E" w:rsidRPr="00D52564">
        <w:rPr>
          <w:rFonts w:ascii="Arial" w:hAnsi="Arial"/>
          <w:lang w:val="en-GB"/>
        </w:rPr>
        <w:t xml:space="preserve">, while positive financial performance can boost investor confidence. </w:t>
      </w:r>
      <w:r w:rsidR="00897DE9" w:rsidRPr="00D52564">
        <w:rPr>
          <w:rFonts w:ascii="Arial" w:hAnsi="Arial"/>
          <w:lang w:val="en-GB"/>
        </w:rPr>
        <w:t>Given the firm's low shareholders' equity, equity financing could reduce financial pressure and lower its reliance on debt financing</w:t>
      </w:r>
      <w:r w:rsidR="007B101E" w:rsidRPr="00D52564">
        <w:rPr>
          <w:rFonts w:ascii="Arial" w:hAnsi="Arial"/>
          <w:lang w:val="en-GB"/>
        </w:rPr>
        <w:t xml:space="preserve">. </w:t>
      </w:r>
    </w:p>
    <w:p w14:paraId="00000019" w14:textId="167CD02D" w:rsidR="003F35A2" w:rsidRPr="00D52564" w:rsidRDefault="00346555" w:rsidP="00D52564">
      <w:pPr>
        <w:pStyle w:val="Heading2"/>
        <w:spacing w:before="240" w:after="240"/>
        <w:rPr>
          <w:rFonts w:ascii="Arial" w:hAnsi="Arial"/>
          <w:sz w:val="24"/>
          <w:lang w:val="en-GB"/>
        </w:rPr>
      </w:pPr>
      <w:bookmarkStart w:id="79" w:name="_crub32r47lvz" w:colFirst="0" w:colLast="0"/>
      <w:bookmarkStart w:id="80" w:name="_Toc236179778"/>
      <w:bookmarkStart w:id="81" w:name="_Toc236250023"/>
      <w:bookmarkStart w:id="82" w:name="_Toc237532211"/>
      <w:bookmarkEnd w:id="79"/>
      <w:r w:rsidRPr="00D52564">
        <w:rPr>
          <w:rFonts w:ascii="Arial" w:hAnsi="Arial"/>
          <w:sz w:val="24"/>
          <w:lang w:val="en-GB"/>
        </w:rPr>
        <w:lastRenderedPageBreak/>
        <w:t>4.</w:t>
      </w:r>
      <w:r w:rsidR="00386546" w:rsidRPr="00D52564">
        <w:rPr>
          <w:rFonts w:ascii="Arial" w:hAnsi="Arial"/>
          <w:sz w:val="24"/>
          <w:lang w:val="en-GB"/>
        </w:rPr>
        <w:t>2</w:t>
      </w:r>
      <w:r w:rsidRPr="00D52564">
        <w:rPr>
          <w:rFonts w:ascii="Arial" w:hAnsi="Arial"/>
          <w:sz w:val="24"/>
          <w:lang w:val="en-GB"/>
        </w:rPr>
        <w:t xml:space="preserve"> Impact on </w:t>
      </w:r>
      <w:bookmarkEnd w:id="80"/>
      <w:r w:rsidR="00386546" w:rsidRPr="00D52564">
        <w:rPr>
          <w:rFonts w:ascii="Arial" w:hAnsi="Arial"/>
          <w:sz w:val="24"/>
          <w:lang w:val="en-GB"/>
        </w:rPr>
        <w:t>the Organisation</w:t>
      </w:r>
      <w:bookmarkEnd w:id="81"/>
      <w:bookmarkEnd w:id="82"/>
    </w:p>
    <w:tbl>
      <w:tblPr>
        <w:tblStyle w:val="GridTable5Dark-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17"/>
        <w:gridCol w:w="3963"/>
        <w:gridCol w:w="3770"/>
      </w:tblGrid>
      <w:tr w:rsidR="00386546" w:rsidRPr="00D52564" w14:paraId="0E887712" w14:textId="77777777" w:rsidTr="009F69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3" w:type="dxa"/>
            <w:tcBorders>
              <w:top w:val="none" w:sz="0" w:space="0" w:color="auto"/>
              <w:left w:val="none" w:sz="0" w:space="0" w:color="auto"/>
              <w:right w:val="none" w:sz="0" w:space="0" w:color="auto"/>
            </w:tcBorders>
            <w:shd w:val="clear" w:color="auto" w:fill="D75C00" w:themeFill="accent5" w:themeFillShade="BF"/>
          </w:tcPr>
          <w:p w14:paraId="7E2A0E03" w14:textId="0B1B4F82" w:rsidR="00386546" w:rsidRPr="009F69B9" w:rsidRDefault="00386546" w:rsidP="00D52564">
            <w:pPr>
              <w:spacing w:before="240" w:after="240" w:line="360" w:lineRule="auto"/>
              <w:rPr>
                <w:rFonts w:ascii="Arial" w:hAnsi="Arial"/>
                <w:lang w:val="en-GB"/>
              </w:rPr>
            </w:pPr>
            <w:r w:rsidRPr="009F69B9">
              <w:rPr>
                <w:rFonts w:ascii="Arial" w:hAnsi="Arial"/>
                <w:lang w:val="en-GB"/>
              </w:rPr>
              <w:t>Factors</w:t>
            </w:r>
          </w:p>
        </w:tc>
        <w:tc>
          <w:tcPr>
            <w:tcW w:w="4041" w:type="dxa"/>
            <w:tcBorders>
              <w:top w:val="none" w:sz="0" w:space="0" w:color="auto"/>
              <w:left w:val="none" w:sz="0" w:space="0" w:color="auto"/>
              <w:right w:val="none" w:sz="0" w:space="0" w:color="auto"/>
            </w:tcBorders>
            <w:shd w:val="clear" w:color="auto" w:fill="D75C00" w:themeFill="accent5" w:themeFillShade="BF"/>
          </w:tcPr>
          <w:p w14:paraId="2E688433" w14:textId="3D716E60" w:rsidR="00974170" w:rsidRPr="009F69B9" w:rsidRDefault="00386546" w:rsidP="00D52564">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b w:val="0"/>
                <w:bCs w:val="0"/>
                <w:lang w:val="en-GB"/>
              </w:rPr>
            </w:pPr>
            <w:r w:rsidRPr="009F69B9">
              <w:rPr>
                <w:rFonts w:ascii="Arial" w:hAnsi="Arial"/>
                <w:lang w:val="en-GB"/>
              </w:rPr>
              <w:t>Strategic Option 1</w:t>
            </w:r>
            <w:r w:rsidR="00974170" w:rsidRPr="009F69B9">
              <w:rPr>
                <w:rFonts w:ascii="Arial" w:hAnsi="Arial"/>
                <w:lang w:val="en-GB"/>
              </w:rPr>
              <w:t xml:space="preserve"> – Divestiture</w:t>
            </w:r>
          </w:p>
        </w:tc>
        <w:tc>
          <w:tcPr>
            <w:tcW w:w="3826" w:type="dxa"/>
            <w:tcBorders>
              <w:top w:val="none" w:sz="0" w:space="0" w:color="auto"/>
              <w:left w:val="none" w:sz="0" w:space="0" w:color="auto"/>
              <w:right w:val="none" w:sz="0" w:space="0" w:color="auto"/>
            </w:tcBorders>
            <w:shd w:val="clear" w:color="auto" w:fill="D75C00" w:themeFill="accent5" w:themeFillShade="BF"/>
          </w:tcPr>
          <w:p w14:paraId="7AA45CC9" w14:textId="4D096F0D" w:rsidR="00974170" w:rsidRPr="009F69B9" w:rsidRDefault="00386546" w:rsidP="00D52564">
            <w:pPr>
              <w:spacing w:before="240" w:after="240" w:line="360" w:lineRule="auto"/>
              <w:cnfStyle w:val="100000000000" w:firstRow="1" w:lastRow="0" w:firstColumn="0" w:lastColumn="0" w:oddVBand="0" w:evenVBand="0" w:oddHBand="0" w:evenHBand="0" w:firstRowFirstColumn="0" w:firstRowLastColumn="0" w:lastRowFirstColumn="0" w:lastRowLastColumn="0"/>
              <w:rPr>
                <w:rFonts w:ascii="Arial" w:hAnsi="Arial"/>
                <w:b w:val="0"/>
                <w:bCs w:val="0"/>
                <w:lang w:val="en-GB"/>
              </w:rPr>
            </w:pPr>
            <w:r w:rsidRPr="009F69B9">
              <w:rPr>
                <w:rFonts w:ascii="Arial" w:hAnsi="Arial"/>
                <w:lang w:val="en-GB"/>
              </w:rPr>
              <w:t>Strategic Option 2</w:t>
            </w:r>
            <w:r w:rsidR="00974170" w:rsidRPr="009F69B9">
              <w:rPr>
                <w:rFonts w:ascii="Arial" w:hAnsi="Arial"/>
                <w:lang w:val="en-GB"/>
              </w:rPr>
              <w:t xml:space="preserve"> – Equity Injection</w:t>
            </w:r>
          </w:p>
        </w:tc>
      </w:tr>
      <w:tr w:rsidR="00386546" w:rsidRPr="00D52564" w14:paraId="59083961" w14:textId="77777777" w:rsidTr="009F69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3" w:type="dxa"/>
            <w:tcBorders>
              <w:left w:val="none" w:sz="0" w:space="0" w:color="auto"/>
            </w:tcBorders>
            <w:shd w:val="clear" w:color="auto" w:fill="D75C00" w:themeFill="accent5" w:themeFillShade="BF"/>
          </w:tcPr>
          <w:p w14:paraId="244C9E52" w14:textId="65F042ED" w:rsidR="00386546" w:rsidRPr="009F69B9" w:rsidRDefault="00386546" w:rsidP="00D52564">
            <w:pPr>
              <w:spacing w:before="240" w:after="240" w:line="360" w:lineRule="auto"/>
              <w:rPr>
                <w:rFonts w:ascii="Arial" w:hAnsi="Arial"/>
                <w:lang w:val="en-GB"/>
              </w:rPr>
            </w:pPr>
            <w:r w:rsidRPr="009F69B9">
              <w:rPr>
                <w:rFonts w:ascii="Arial" w:hAnsi="Arial"/>
                <w:lang w:val="en-GB"/>
              </w:rPr>
              <w:t>Shareholder Value</w:t>
            </w:r>
          </w:p>
        </w:tc>
        <w:tc>
          <w:tcPr>
            <w:tcW w:w="4041" w:type="dxa"/>
            <w:shd w:val="clear" w:color="auto" w:fill="DCEFF4"/>
          </w:tcPr>
          <w:p w14:paraId="70B34920" w14:textId="42FDCA7E" w:rsidR="00386546" w:rsidRPr="00D52564" w:rsidRDefault="00BA31B7" w:rsidP="009F69B9">
            <w:pPr>
              <w:pStyle w:val="ListParagraph"/>
              <w:numPr>
                <w:ilvl w:val="0"/>
                <w:numId w:val="18"/>
              </w:numPr>
              <w:spacing w:before="240" w:after="240" w:line="360" w:lineRule="auto"/>
              <w:contextualSpacing w:val="0"/>
              <w:cnfStyle w:val="000000100000" w:firstRow="0" w:lastRow="0" w:firstColumn="0" w:lastColumn="0" w:oddVBand="0" w:evenVBand="0" w:oddHBand="1" w:evenHBand="0" w:firstRowFirstColumn="0" w:firstRowLastColumn="0" w:lastRowFirstColumn="0" w:lastRowLastColumn="0"/>
              <w:rPr>
                <w:rFonts w:ascii="Arial" w:hAnsi="Arial"/>
                <w:lang w:val="en-GB"/>
              </w:rPr>
            </w:pPr>
            <w:r w:rsidRPr="00D52564">
              <w:rPr>
                <w:rFonts w:ascii="Arial" w:hAnsi="Arial"/>
                <w:lang w:val="en-GB"/>
              </w:rPr>
              <w:t xml:space="preserve">Divestiture of non-performing assets would be effective in terms of improving liquidity performance, which could help to focus more on management of the asset-light business model. </w:t>
            </w:r>
          </w:p>
          <w:p w14:paraId="2A626CC8" w14:textId="7DC5D93C" w:rsidR="00BA31B7" w:rsidRPr="00D52564" w:rsidRDefault="00BA31B7" w:rsidP="009F69B9">
            <w:pPr>
              <w:pStyle w:val="ListParagraph"/>
              <w:numPr>
                <w:ilvl w:val="0"/>
                <w:numId w:val="18"/>
              </w:numPr>
              <w:spacing w:before="240" w:after="240" w:line="360" w:lineRule="auto"/>
              <w:contextualSpacing w:val="0"/>
              <w:cnfStyle w:val="000000100000" w:firstRow="0" w:lastRow="0" w:firstColumn="0" w:lastColumn="0" w:oddVBand="0" w:evenVBand="0" w:oddHBand="1" w:evenHBand="0" w:firstRowFirstColumn="0" w:firstRowLastColumn="0" w:lastRowFirstColumn="0" w:lastRowLastColumn="0"/>
              <w:rPr>
                <w:rFonts w:ascii="Arial" w:hAnsi="Arial"/>
                <w:lang w:val="en-GB"/>
              </w:rPr>
            </w:pPr>
            <w:r w:rsidRPr="00D52564">
              <w:rPr>
                <w:rFonts w:ascii="Arial" w:hAnsi="Arial"/>
                <w:lang w:val="en-GB"/>
              </w:rPr>
              <w:t>Proceeds from the sale of non-performing assets may help in reducing debt and so financing costs, which may deliver higher profitability</w:t>
            </w:r>
            <w:r w:rsidR="00A53BF5" w:rsidRPr="00D52564">
              <w:rPr>
                <w:rFonts w:ascii="Arial" w:hAnsi="Arial"/>
                <w:lang w:val="en-GB"/>
              </w:rPr>
              <w:t xml:space="preserve"> (Do </w:t>
            </w:r>
            <w:r w:rsidR="00A53BF5" w:rsidRPr="00D52564">
              <w:rPr>
                <w:rFonts w:ascii="Arial" w:hAnsi="Arial"/>
                <w:i/>
                <w:iCs/>
                <w:lang w:val="en-GB"/>
              </w:rPr>
              <w:t>et al</w:t>
            </w:r>
            <w:r w:rsidR="00A53BF5" w:rsidRPr="00D52564">
              <w:rPr>
                <w:rFonts w:ascii="Arial" w:hAnsi="Arial"/>
                <w:lang w:val="en-GB"/>
              </w:rPr>
              <w:t>. 2020)</w:t>
            </w:r>
            <w:r w:rsidRPr="00D52564">
              <w:rPr>
                <w:rFonts w:ascii="Arial" w:hAnsi="Arial"/>
                <w:lang w:val="en-GB"/>
              </w:rPr>
              <w:t xml:space="preserve">. </w:t>
            </w:r>
          </w:p>
        </w:tc>
        <w:tc>
          <w:tcPr>
            <w:tcW w:w="3826" w:type="dxa"/>
            <w:shd w:val="clear" w:color="auto" w:fill="DCEFF4"/>
          </w:tcPr>
          <w:p w14:paraId="63B3E0AF" w14:textId="32EA9653" w:rsidR="00386546" w:rsidRPr="00D52564" w:rsidRDefault="00BA31B7" w:rsidP="009F69B9">
            <w:pPr>
              <w:pStyle w:val="ListParagraph"/>
              <w:numPr>
                <w:ilvl w:val="0"/>
                <w:numId w:val="19"/>
              </w:numPr>
              <w:spacing w:before="240" w:after="240" w:line="360" w:lineRule="auto"/>
              <w:contextualSpacing w:val="0"/>
              <w:cnfStyle w:val="000000100000" w:firstRow="0" w:lastRow="0" w:firstColumn="0" w:lastColumn="0" w:oddVBand="0" w:evenVBand="0" w:oddHBand="1" w:evenHBand="0" w:firstRowFirstColumn="0" w:firstRowLastColumn="0" w:lastRowFirstColumn="0" w:lastRowLastColumn="0"/>
              <w:rPr>
                <w:rFonts w:ascii="Arial" w:hAnsi="Arial"/>
                <w:lang w:val="en-GB"/>
              </w:rPr>
            </w:pPr>
            <w:r w:rsidRPr="00D52564">
              <w:rPr>
                <w:rFonts w:ascii="Arial" w:hAnsi="Arial"/>
                <w:lang w:val="en-GB"/>
              </w:rPr>
              <w:t xml:space="preserve">This will help to increase </w:t>
            </w:r>
            <w:r w:rsidR="00897DE9" w:rsidRPr="00D52564">
              <w:rPr>
                <w:rFonts w:ascii="Arial" w:hAnsi="Arial"/>
                <w:lang w:val="en-GB"/>
              </w:rPr>
              <w:t>shareholders' equity</w:t>
            </w:r>
            <w:r w:rsidRPr="00D52564">
              <w:rPr>
                <w:rFonts w:ascii="Arial" w:hAnsi="Arial"/>
                <w:lang w:val="en-GB"/>
              </w:rPr>
              <w:t xml:space="preserve"> and reduce pressures related to debt financing. </w:t>
            </w:r>
          </w:p>
          <w:p w14:paraId="1CF408F4" w14:textId="0122687E" w:rsidR="00BA31B7" w:rsidRPr="00D52564" w:rsidRDefault="00484A0F" w:rsidP="009F69B9">
            <w:pPr>
              <w:pStyle w:val="ListParagraph"/>
              <w:numPr>
                <w:ilvl w:val="0"/>
                <w:numId w:val="19"/>
              </w:numPr>
              <w:spacing w:before="240" w:after="240" w:line="360" w:lineRule="auto"/>
              <w:contextualSpacing w:val="0"/>
              <w:cnfStyle w:val="000000100000" w:firstRow="0" w:lastRow="0" w:firstColumn="0" w:lastColumn="0" w:oddVBand="0" w:evenVBand="0" w:oddHBand="1" w:evenHBand="0" w:firstRowFirstColumn="0" w:firstRowLastColumn="0" w:lastRowFirstColumn="0" w:lastRowLastColumn="0"/>
              <w:rPr>
                <w:rFonts w:ascii="Arial" w:hAnsi="Arial"/>
                <w:lang w:val="en-GB"/>
              </w:rPr>
            </w:pPr>
            <w:r w:rsidRPr="00D52564">
              <w:rPr>
                <w:rFonts w:ascii="Arial" w:hAnsi="Arial"/>
                <w:lang w:val="en-GB"/>
              </w:rPr>
              <w:t xml:space="preserve">Reduction in refinancing costs and lower financing risks may further </w:t>
            </w:r>
            <w:r w:rsidR="00897DE9" w:rsidRPr="00D52564">
              <w:rPr>
                <w:rFonts w:ascii="Arial" w:hAnsi="Arial"/>
                <w:lang w:val="en-GB"/>
              </w:rPr>
              <w:t>increase investor confidence over the long term</w:t>
            </w:r>
            <w:r w:rsidRPr="00D52564">
              <w:rPr>
                <w:rFonts w:ascii="Arial" w:hAnsi="Arial"/>
                <w:lang w:val="en-GB"/>
              </w:rPr>
              <w:t>.</w:t>
            </w:r>
          </w:p>
        </w:tc>
      </w:tr>
      <w:tr w:rsidR="00386546" w:rsidRPr="00D52564" w14:paraId="11B54D81" w14:textId="77777777" w:rsidTr="009F69B9">
        <w:tc>
          <w:tcPr>
            <w:cnfStyle w:val="001000000000" w:firstRow="0" w:lastRow="0" w:firstColumn="1" w:lastColumn="0" w:oddVBand="0" w:evenVBand="0" w:oddHBand="0" w:evenHBand="0" w:firstRowFirstColumn="0" w:firstRowLastColumn="0" w:lastRowFirstColumn="0" w:lastRowLastColumn="0"/>
            <w:tcW w:w="1483" w:type="dxa"/>
            <w:tcBorders>
              <w:left w:val="none" w:sz="0" w:space="0" w:color="auto"/>
            </w:tcBorders>
            <w:shd w:val="clear" w:color="auto" w:fill="D75C00" w:themeFill="accent5" w:themeFillShade="BF"/>
          </w:tcPr>
          <w:p w14:paraId="2B8E15AE" w14:textId="067704BD" w:rsidR="00386546" w:rsidRPr="009F69B9" w:rsidRDefault="00386546" w:rsidP="00D52564">
            <w:pPr>
              <w:spacing w:before="240" w:after="240" w:line="360" w:lineRule="auto"/>
              <w:rPr>
                <w:rFonts w:ascii="Arial" w:hAnsi="Arial"/>
                <w:lang w:val="en-GB"/>
              </w:rPr>
            </w:pPr>
            <w:r w:rsidRPr="009F69B9">
              <w:rPr>
                <w:rFonts w:ascii="Arial" w:hAnsi="Arial"/>
                <w:lang w:val="en-GB"/>
              </w:rPr>
              <w:t>Debt Structure</w:t>
            </w:r>
          </w:p>
        </w:tc>
        <w:tc>
          <w:tcPr>
            <w:tcW w:w="4041" w:type="dxa"/>
            <w:shd w:val="clear" w:color="auto" w:fill="DCEFF4"/>
          </w:tcPr>
          <w:p w14:paraId="16E5C3E1" w14:textId="77777777" w:rsidR="00386546" w:rsidRPr="00D52564" w:rsidRDefault="00484A0F" w:rsidP="009F69B9">
            <w:pPr>
              <w:pStyle w:val="ListParagraph"/>
              <w:numPr>
                <w:ilvl w:val="0"/>
                <w:numId w:val="20"/>
              </w:numPr>
              <w:spacing w:before="240" w:after="240" w:line="360" w:lineRule="auto"/>
              <w:contextualSpacing w:val="0"/>
              <w:cnfStyle w:val="000000000000" w:firstRow="0" w:lastRow="0" w:firstColumn="0" w:lastColumn="0" w:oddVBand="0" w:evenVBand="0" w:oddHBand="0" w:evenHBand="0" w:firstRowFirstColumn="0" w:firstRowLastColumn="0" w:lastRowFirstColumn="0" w:lastRowLastColumn="0"/>
              <w:rPr>
                <w:rFonts w:ascii="Arial" w:hAnsi="Arial"/>
                <w:lang w:val="en-GB"/>
              </w:rPr>
            </w:pPr>
            <w:r w:rsidRPr="00D52564">
              <w:rPr>
                <w:rFonts w:ascii="Arial" w:hAnsi="Arial"/>
                <w:lang w:val="en-GB"/>
              </w:rPr>
              <w:t xml:space="preserve">Repayment of outstanding debts using proceeds would decrease interest expenses. </w:t>
            </w:r>
          </w:p>
          <w:p w14:paraId="04E28D14" w14:textId="1DE4712D" w:rsidR="00484A0F" w:rsidRPr="00D52564" w:rsidRDefault="00484A0F" w:rsidP="009F69B9">
            <w:pPr>
              <w:pStyle w:val="ListParagraph"/>
              <w:numPr>
                <w:ilvl w:val="0"/>
                <w:numId w:val="20"/>
              </w:numPr>
              <w:spacing w:before="240" w:after="240" w:line="360" w:lineRule="auto"/>
              <w:contextualSpacing w:val="0"/>
              <w:cnfStyle w:val="000000000000" w:firstRow="0" w:lastRow="0" w:firstColumn="0" w:lastColumn="0" w:oddVBand="0" w:evenVBand="0" w:oddHBand="0" w:evenHBand="0" w:firstRowFirstColumn="0" w:firstRowLastColumn="0" w:lastRowFirstColumn="0" w:lastRowLastColumn="0"/>
              <w:rPr>
                <w:rFonts w:ascii="Arial" w:hAnsi="Arial"/>
                <w:lang w:val="en-GB"/>
              </w:rPr>
            </w:pPr>
            <w:r w:rsidRPr="00D52564">
              <w:rPr>
                <w:rFonts w:ascii="Arial" w:hAnsi="Arial"/>
                <w:lang w:val="en-GB"/>
              </w:rPr>
              <w:t xml:space="preserve">Lowering the debt finance and strengthening shareholders’ equity might </w:t>
            </w:r>
            <w:r w:rsidR="009F474A" w:rsidRPr="00D52564">
              <w:rPr>
                <w:rFonts w:ascii="Arial" w:hAnsi="Arial"/>
                <w:lang w:val="en-GB"/>
              </w:rPr>
              <w:t>offer a balanced capital structure.</w:t>
            </w:r>
          </w:p>
        </w:tc>
        <w:tc>
          <w:tcPr>
            <w:tcW w:w="3826" w:type="dxa"/>
            <w:shd w:val="clear" w:color="auto" w:fill="DCEFF4"/>
          </w:tcPr>
          <w:p w14:paraId="68A5F714" w14:textId="77777777" w:rsidR="00386546" w:rsidRPr="00D52564" w:rsidRDefault="009F474A" w:rsidP="009F69B9">
            <w:pPr>
              <w:pStyle w:val="ListParagraph"/>
              <w:numPr>
                <w:ilvl w:val="0"/>
                <w:numId w:val="21"/>
              </w:numPr>
              <w:spacing w:before="240" w:after="240" w:line="360" w:lineRule="auto"/>
              <w:contextualSpacing w:val="0"/>
              <w:cnfStyle w:val="000000000000" w:firstRow="0" w:lastRow="0" w:firstColumn="0" w:lastColumn="0" w:oddVBand="0" w:evenVBand="0" w:oddHBand="0" w:evenHBand="0" w:firstRowFirstColumn="0" w:firstRowLastColumn="0" w:lastRowFirstColumn="0" w:lastRowLastColumn="0"/>
              <w:rPr>
                <w:rFonts w:ascii="Arial" w:hAnsi="Arial"/>
                <w:lang w:val="en-GB"/>
              </w:rPr>
            </w:pPr>
            <w:r w:rsidRPr="00D52564">
              <w:rPr>
                <w:rFonts w:ascii="Arial" w:hAnsi="Arial"/>
                <w:lang w:val="en-GB"/>
              </w:rPr>
              <w:t xml:space="preserve">This may mitigate the overdependence of the firm on debt financing. </w:t>
            </w:r>
          </w:p>
          <w:p w14:paraId="024AFC14" w14:textId="24A53127" w:rsidR="006362BE" w:rsidRPr="009F69B9" w:rsidRDefault="00897DE9" w:rsidP="00D52564">
            <w:pPr>
              <w:pStyle w:val="ListParagraph"/>
              <w:numPr>
                <w:ilvl w:val="0"/>
                <w:numId w:val="21"/>
              </w:numPr>
              <w:spacing w:before="240" w:after="240" w:line="360" w:lineRule="auto"/>
              <w:contextualSpacing w:val="0"/>
              <w:cnfStyle w:val="000000000000" w:firstRow="0" w:lastRow="0" w:firstColumn="0" w:lastColumn="0" w:oddVBand="0" w:evenVBand="0" w:oddHBand="0" w:evenHBand="0" w:firstRowFirstColumn="0" w:firstRowLastColumn="0" w:lastRowFirstColumn="0" w:lastRowLastColumn="0"/>
              <w:rPr>
                <w:rFonts w:ascii="Arial" w:hAnsi="Arial"/>
                <w:lang w:val="en-GB"/>
              </w:rPr>
            </w:pPr>
            <w:r w:rsidRPr="00D52564">
              <w:rPr>
                <w:rFonts w:ascii="Arial" w:hAnsi="Arial"/>
                <w:lang w:val="en-GB"/>
              </w:rPr>
              <w:t xml:space="preserve">Equity injection can strengthen the company's capital base and reduce its dependence on debt financing </w:t>
            </w:r>
            <w:r w:rsidR="00A53BF5" w:rsidRPr="00D52564">
              <w:rPr>
                <w:rFonts w:ascii="Arial" w:hAnsi="Arial"/>
                <w:lang w:val="en-GB"/>
              </w:rPr>
              <w:t xml:space="preserve">(Ozik </w:t>
            </w:r>
            <w:r w:rsidR="00A53BF5" w:rsidRPr="00D52564">
              <w:rPr>
                <w:rFonts w:ascii="Arial" w:hAnsi="Arial"/>
                <w:i/>
                <w:iCs/>
                <w:lang w:val="en-GB"/>
              </w:rPr>
              <w:t>et al</w:t>
            </w:r>
            <w:r w:rsidR="00A53BF5" w:rsidRPr="00D52564">
              <w:rPr>
                <w:rFonts w:ascii="Arial" w:hAnsi="Arial"/>
                <w:lang w:val="en-GB"/>
              </w:rPr>
              <w:t>. 2021)</w:t>
            </w:r>
            <w:r w:rsidR="009F474A" w:rsidRPr="00D52564">
              <w:rPr>
                <w:rFonts w:ascii="Arial" w:hAnsi="Arial"/>
                <w:lang w:val="en-GB"/>
              </w:rPr>
              <w:t>.</w:t>
            </w:r>
          </w:p>
        </w:tc>
      </w:tr>
      <w:tr w:rsidR="00386546" w:rsidRPr="00D52564" w14:paraId="608491E2" w14:textId="77777777" w:rsidTr="009F69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3" w:type="dxa"/>
            <w:tcBorders>
              <w:left w:val="none" w:sz="0" w:space="0" w:color="auto"/>
              <w:bottom w:val="none" w:sz="0" w:space="0" w:color="auto"/>
            </w:tcBorders>
            <w:shd w:val="clear" w:color="auto" w:fill="D75C00" w:themeFill="accent5" w:themeFillShade="BF"/>
          </w:tcPr>
          <w:p w14:paraId="736B1738" w14:textId="3E862F31" w:rsidR="00386546" w:rsidRPr="00D52564" w:rsidRDefault="00386546" w:rsidP="00D52564">
            <w:pPr>
              <w:spacing w:before="240" w:after="240" w:line="360" w:lineRule="auto"/>
              <w:rPr>
                <w:rFonts w:ascii="Arial" w:hAnsi="Arial"/>
                <w:color w:val="000000" w:themeColor="text1"/>
                <w:lang w:val="en-GB"/>
              </w:rPr>
            </w:pPr>
            <w:r w:rsidRPr="009F69B9">
              <w:rPr>
                <w:rFonts w:ascii="Arial" w:hAnsi="Arial"/>
                <w:lang w:val="en-GB"/>
              </w:rPr>
              <w:lastRenderedPageBreak/>
              <w:t>Operational Flexibility</w:t>
            </w:r>
          </w:p>
        </w:tc>
        <w:tc>
          <w:tcPr>
            <w:tcW w:w="4041" w:type="dxa"/>
            <w:shd w:val="clear" w:color="auto" w:fill="DCEFF4"/>
          </w:tcPr>
          <w:p w14:paraId="6E66A984" w14:textId="48E90CC3" w:rsidR="00386546" w:rsidRPr="00D52564" w:rsidRDefault="009F474A" w:rsidP="009F69B9">
            <w:pPr>
              <w:pStyle w:val="ListParagraph"/>
              <w:numPr>
                <w:ilvl w:val="0"/>
                <w:numId w:val="22"/>
              </w:numPr>
              <w:spacing w:before="240" w:after="240" w:line="360" w:lineRule="auto"/>
              <w:contextualSpacing w:val="0"/>
              <w:cnfStyle w:val="000000100000" w:firstRow="0" w:lastRow="0" w:firstColumn="0" w:lastColumn="0" w:oddVBand="0" w:evenVBand="0" w:oddHBand="1" w:evenHBand="0" w:firstRowFirstColumn="0" w:firstRowLastColumn="0" w:lastRowFirstColumn="0" w:lastRowLastColumn="0"/>
              <w:rPr>
                <w:rFonts w:ascii="Arial" w:hAnsi="Arial"/>
                <w:lang w:val="en-GB"/>
              </w:rPr>
            </w:pPr>
            <w:r w:rsidRPr="00D52564">
              <w:rPr>
                <w:rFonts w:ascii="Arial" w:hAnsi="Arial"/>
                <w:lang w:val="en-GB"/>
              </w:rPr>
              <w:t>Operational efficiency will increase through effective use of working capital on the asset-light business model.</w:t>
            </w:r>
          </w:p>
        </w:tc>
        <w:tc>
          <w:tcPr>
            <w:tcW w:w="3826" w:type="dxa"/>
            <w:shd w:val="clear" w:color="auto" w:fill="DCEFF4"/>
          </w:tcPr>
          <w:p w14:paraId="738215A0" w14:textId="232E8150" w:rsidR="00386546" w:rsidRPr="00D52564" w:rsidRDefault="009F474A" w:rsidP="009F69B9">
            <w:pPr>
              <w:pStyle w:val="ListParagraph"/>
              <w:numPr>
                <w:ilvl w:val="0"/>
                <w:numId w:val="23"/>
              </w:numPr>
              <w:spacing w:before="240" w:after="240" w:line="360" w:lineRule="auto"/>
              <w:contextualSpacing w:val="0"/>
              <w:cnfStyle w:val="000000100000" w:firstRow="0" w:lastRow="0" w:firstColumn="0" w:lastColumn="0" w:oddVBand="0" w:evenVBand="0" w:oddHBand="1" w:evenHBand="0" w:firstRowFirstColumn="0" w:firstRowLastColumn="0" w:lastRowFirstColumn="0" w:lastRowLastColumn="0"/>
              <w:rPr>
                <w:rFonts w:ascii="Arial" w:hAnsi="Arial"/>
                <w:lang w:val="en-GB"/>
              </w:rPr>
            </w:pPr>
            <w:r w:rsidRPr="00D52564">
              <w:rPr>
                <w:rFonts w:ascii="Arial" w:hAnsi="Arial"/>
                <w:lang w:val="en-GB"/>
              </w:rPr>
              <w:t xml:space="preserve">Equity injection can help to fund projects and investments aiming to achieve operational growth and expansion. </w:t>
            </w:r>
          </w:p>
        </w:tc>
      </w:tr>
    </w:tbl>
    <w:p w14:paraId="271976B4" w14:textId="1F19E3E3" w:rsidR="00386546" w:rsidRPr="00D52564" w:rsidRDefault="00386546" w:rsidP="009F69B9">
      <w:pPr>
        <w:spacing w:before="240" w:after="240"/>
        <w:jc w:val="center"/>
        <w:rPr>
          <w:rFonts w:ascii="Arial" w:hAnsi="Arial"/>
          <w:b/>
          <w:bCs/>
          <w:lang w:val="en-GB"/>
        </w:rPr>
      </w:pPr>
      <w:r w:rsidRPr="00D52564">
        <w:rPr>
          <w:rFonts w:ascii="Arial" w:hAnsi="Arial"/>
          <w:b/>
          <w:bCs/>
          <w:lang w:val="en-GB"/>
        </w:rPr>
        <w:t>Table 3: Organisational Impacts of Strategic Options</w:t>
      </w:r>
    </w:p>
    <w:p w14:paraId="520A87E4" w14:textId="11EAEEEE" w:rsidR="00386546" w:rsidRPr="00D52564" w:rsidRDefault="00386546" w:rsidP="009F69B9">
      <w:pPr>
        <w:spacing w:before="240" w:after="240"/>
        <w:jc w:val="center"/>
        <w:rPr>
          <w:rFonts w:ascii="Arial" w:hAnsi="Arial"/>
          <w:lang w:val="en-GB"/>
        </w:rPr>
      </w:pPr>
      <w:r w:rsidRPr="00D52564">
        <w:rPr>
          <w:rFonts w:ascii="Arial" w:hAnsi="Arial"/>
          <w:lang w:val="en-GB"/>
        </w:rPr>
        <w:t xml:space="preserve">(Source: </w:t>
      </w:r>
      <w:r w:rsidR="009F69B9" w:rsidRPr="009F69B9">
        <w:rPr>
          <w:rFonts w:ascii="Arial" w:hAnsi="Arial"/>
          <w:lang w:val="en-GB"/>
        </w:rPr>
        <w:t>Self-Developed</w:t>
      </w:r>
      <w:r w:rsidRPr="00D52564">
        <w:rPr>
          <w:rFonts w:ascii="Arial" w:hAnsi="Arial"/>
          <w:lang w:val="en-GB"/>
        </w:rPr>
        <w:t>)</w:t>
      </w:r>
    </w:p>
    <w:p w14:paraId="0000001B" w14:textId="5B3009EC" w:rsidR="003F35A2" w:rsidRPr="00D52564" w:rsidRDefault="00346555" w:rsidP="00D52564">
      <w:pPr>
        <w:pStyle w:val="Heading2"/>
        <w:spacing w:before="240" w:after="240"/>
        <w:rPr>
          <w:rFonts w:ascii="Arial" w:hAnsi="Arial"/>
          <w:sz w:val="24"/>
          <w:lang w:val="en-GB"/>
        </w:rPr>
      </w:pPr>
      <w:bookmarkStart w:id="83" w:name="_26oukwdl8igp" w:colFirst="0" w:colLast="0"/>
      <w:bookmarkStart w:id="84" w:name="_feh630lig510" w:colFirst="0" w:colLast="0"/>
      <w:bookmarkStart w:id="85" w:name="_Toc236179780"/>
      <w:bookmarkStart w:id="86" w:name="_Toc236250024"/>
      <w:bookmarkStart w:id="87" w:name="_Toc237532212"/>
      <w:bookmarkEnd w:id="83"/>
      <w:bookmarkEnd w:id="84"/>
      <w:r w:rsidRPr="00D52564">
        <w:rPr>
          <w:rFonts w:ascii="Arial" w:hAnsi="Arial"/>
          <w:sz w:val="24"/>
          <w:lang w:val="en-GB"/>
        </w:rPr>
        <w:t>4.</w:t>
      </w:r>
      <w:r w:rsidR="00386546" w:rsidRPr="00D52564">
        <w:rPr>
          <w:rFonts w:ascii="Arial" w:hAnsi="Arial"/>
          <w:sz w:val="24"/>
          <w:lang w:val="en-GB"/>
        </w:rPr>
        <w:t>3</w:t>
      </w:r>
      <w:r w:rsidRPr="00D52564">
        <w:rPr>
          <w:rFonts w:ascii="Arial" w:hAnsi="Arial"/>
          <w:sz w:val="24"/>
          <w:lang w:val="en-GB"/>
        </w:rPr>
        <w:t xml:space="preserve"> </w:t>
      </w:r>
      <w:r w:rsidR="00386546" w:rsidRPr="00D52564">
        <w:rPr>
          <w:rFonts w:ascii="Arial" w:hAnsi="Arial"/>
          <w:sz w:val="24"/>
          <w:lang w:val="en-GB"/>
        </w:rPr>
        <w:t xml:space="preserve">International </w:t>
      </w:r>
      <w:r w:rsidRPr="00D52564">
        <w:rPr>
          <w:rFonts w:ascii="Arial" w:hAnsi="Arial"/>
          <w:sz w:val="24"/>
          <w:lang w:val="en-GB"/>
        </w:rPr>
        <w:t xml:space="preserve">and </w:t>
      </w:r>
      <w:r w:rsidR="00386546" w:rsidRPr="00D52564">
        <w:rPr>
          <w:rFonts w:ascii="Arial" w:hAnsi="Arial"/>
          <w:sz w:val="24"/>
          <w:lang w:val="en-GB"/>
        </w:rPr>
        <w:t>E</w:t>
      </w:r>
      <w:r w:rsidRPr="00D52564">
        <w:rPr>
          <w:rFonts w:ascii="Arial" w:hAnsi="Arial"/>
          <w:sz w:val="24"/>
          <w:lang w:val="en-GB"/>
        </w:rPr>
        <w:t xml:space="preserve">thical </w:t>
      </w:r>
      <w:r w:rsidR="00386546" w:rsidRPr="00D52564">
        <w:rPr>
          <w:rFonts w:ascii="Arial" w:hAnsi="Arial"/>
          <w:sz w:val="24"/>
          <w:lang w:val="en-GB"/>
        </w:rPr>
        <w:t>C</w:t>
      </w:r>
      <w:r w:rsidRPr="00D52564">
        <w:rPr>
          <w:rFonts w:ascii="Arial" w:hAnsi="Arial"/>
          <w:sz w:val="24"/>
          <w:lang w:val="en-GB"/>
        </w:rPr>
        <w:t>onsiderations</w:t>
      </w:r>
      <w:bookmarkEnd w:id="85"/>
      <w:bookmarkEnd w:id="86"/>
      <w:bookmarkEnd w:id="87"/>
    </w:p>
    <w:p w14:paraId="3120C9AD" w14:textId="1488BA74" w:rsidR="006362BE" w:rsidRPr="00D52564" w:rsidRDefault="006362BE" w:rsidP="00D52564">
      <w:pPr>
        <w:spacing w:before="240" w:after="240"/>
        <w:rPr>
          <w:rFonts w:ascii="Arial" w:hAnsi="Arial"/>
          <w:lang w:val="en-GB"/>
        </w:rPr>
      </w:pPr>
      <w:r w:rsidRPr="00D52564">
        <w:rPr>
          <w:rFonts w:ascii="Arial" w:hAnsi="Arial"/>
          <w:lang w:val="en-GB"/>
        </w:rPr>
        <w:t xml:space="preserve">Wyndham Hotels &amp; Resorts is a worldwide hospitality company that operates in more than 100 countries, which makes it necessary for the firm to take the </w:t>
      </w:r>
      <w:r w:rsidR="00897DE9" w:rsidRPr="00D52564">
        <w:rPr>
          <w:rFonts w:ascii="Arial" w:hAnsi="Arial"/>
          <w:lang w:val="en-GB"/>
        </w:rPr>
        <w:t xml:space="preserve">local and ethical considerations </w:t>
      </w:r>
      <w:r w:rsidRPr="00D52564">
        <w:rPr>
          <w:rFonts w:ascii="Arial" w:hAnsi="Arial"/>
          <w:lang w:val="en-GB"/>
        </w:rPr>
        <w:t xml:space="preserve">of its financial restructuring plan into account. Macroeconomic factors affecting business conditions such as foreign exchange rates, inflation rates and interest rates, alongside geopolitical issues, </w:t>
      </w:r>
      <w:r w:rsidR="00897DE9" w:rsidRPr="00D52564">
        <w:rPr>
          <w:rFonts w:ascii="Arial" w:hAnsi="Arial"/>
          <w:lang w:val="en-GB"/>
        </w:rPr>
        <w:t>can have varying impacts on revenue and profitability</w:t>
      </w:r>
      <w:r w:rsidRPr="00D52564">
        <w:rPr>
          <w:rFonts w:ascii="Arial" w:hAnsi="Arial"/>
          <w:lang w:val="en-GB"/>
        </w:rPr>
        <w:t xml:space="preserve"> of the firm in international markets. The company should, therefore, expand its geographic footprint, employ suitable foreign exchange risk management and stay focused on country-specific developments in the economic and regulatory environment to mitigate financial risks.</w:t>
      </w:r>
    </w:p>
    <w:p w14:paraId="394529A7" w14:textId="4C3C4352" w:rsidR="00A53BF5" w:rsidRPr="00D52564" w:rsidRDefault="006362BE" w:rsidP="00D52564">
      <w:pPr>
        <w:spacing w:before="240" w:after="240"/>
        <w:rPr>
          <w:rFonts w:ascii="Arial" w:hAnsi="Arial"/>
          <w:lang w:val="en-GB"/>
        </w:rPr>
      </w:pPr>
      <w:r w:rsidRPr="00D52564">
        <w:rPr>
          <w:rFonts w:ascii="Arial" w:hAnsi="Arial"/>
          <w:lang w:val="en-GB"/>
        </w:rPr>
        <w:t xml:space="preserve">From an ethical perspective, Wyndham should make sure that the restructuring process is clearly communicated and </w:t>
      </w:r>
      <w:r w:rsidR="00897DE9" w:rsidRPr="00D52564">
        <w:rPr>
          <w:rFonts w:ascii="Arial" w:hAnsi="Arial"/>
          <w:lang w:val="en-GB"/>
        </w:rPr>
        <w:t>acts in the interests of shareholders, employees, franchisees and local communities</w:t>
      </w:r>
      <w:r w:rsidRPr="00D52564">
        <w:rPr>
          <w:rFonts w:ascii="Arial" w:hAnsi="Arial"/>
          <w:lang w:val="en-GB"/>
        </w:rPr>
        <w:t xml:space="preserve">. Any divestment or financing transaction must be </w:t>
      </w:r>
      <w:r w:rsidR="00897DE9" w:rsidRPr="00D52564">
        <w:rPr>
          <w:rFonts w:ascii="Arial" w:hAnsi="Arial"/>
          <w:lang w:val="en-GB"/>
        </w:rPr>
        <w:t>conducted in accordance with corporate governance guidelines</w:t>
      </w:r>
      <w:r w:rsidRPr="00D52564">
        <w:rPr>
          <w:rFonts w:ascii="Arial" w:hAnsi="Arial"/>
          <w:lang w:val="en-GB"/>
        </w:rPr>
        <w:t>, financial reporting requirements, and environmental, social and governance (ESG) values</w:t>
      </w:r>
      <w:r w:rsidR="00704D97" w:rsidRPr="00D52564">
        <w:rPr>
          <w:rFonts w:ascii="Arial" w:hAnsi="Arial"/>
          <w:lang w:val="en-GB"/>
        </w:rPr>
        <w:t xml:space="preserve"> (Jia </w:t>
      </w:r>
      <w:r w:rsidR="00704D97" w:rsidRPr="00D52564">
        <w:rPr>
          <w:rFonts w:ascii="Arial" w:hAnsi="Arial"/>
          <w:i/>
          <w:iCs/>
          <w:lang w:val="en-GB"/>
        </w:rPr>
        <w:t>et al</w:t>
      </w:r>
      <w:r w:rsidR="00704D97" w:rsidRPr="00D52564">
        <w:rPr>
          <w:rFonts w:ascii="Arial" w:hAnsi="Arial"/>
          <w:lang w:val="en-GB"/>
        </w:rPr>
        <w:t>. 2026)</w:t>
      </w:r>
      <w:r w:rsidRPr="00D52564">
        <w:rPr>
          <w:rFonts w:ascii="Arial" w:hAnsi="Arial"/>
          <w:lang w:val="en-GB"/>
        </w:rPr>
        <w:t xml:space="preserve">. In addition, ongoing investments in </w:t>
      </w:r>
      <w:r w:rsidR="00897DE9" w:rsidRPr="00D52564">
        <w:rPr>
          <w:rFonts w:ascii="Arial" w:hAnsi="Arial"/>
          <w:lang w:val="en-GB"/>
        </w:rPr>
        <w:t>sustainable hotel operations</w:t>
      </w:r>
      <w:r w:rsidRPr="00D52564">
        <w:rPr>
          <w:rFonts w:ascii="Arial" w:hAnsi="Arial"/>
          <w:lang w:val="en-GB"/>
        </w:rPr>
        <w:t xml:space="preserve">, employee well-being, data privacy and responsible business practices will help to build trust among stakeholders, boost company brand positioning, and </w:t>
      </w:r>
      <w:r w:rsidR="00897DE9" w:rsidRPr="00D52564">
        <w:rPr>
          <w:rFonts w:ascii="Arial" w:hAnsi="Arial"/>
          <w:lang w:val="en-GB"/>
        </w:rPr>
        <w:t>contribute to the company's financial sustainability</w:t>
      </w:r>
      <w:r w:rsidRPr="00D52564">
        <w:rPr>
          <w:rFonts w:ascii="Arial" w:hAnsi="Arial"/>
          <w:lang w:val="en-GB"/>
        </w:rPr>
        <w:t xml:space="preserve"> in the worldwide hospitality market.</w:t>
      </w:r>
    </w:p>
    <w:p w14:paraId="0000001C" w14:textId="09E81B42" w:rsidR="003F35A2" w:rsidRPr="00D52564" w:rsidRDefault="00346555" w:rsidP="00D52564">
      <w:pPr>
        <w:pStyle w:val="Heading1"/>
        <w:spacing w:before="240" w:after="240"/>
        <w:rPr>
          <w:rFonts w:ascii="Arial" w:hAnsi="Arial"/>
          <w:sz w:val="24"/>
          <w:lang w:val="en-GB"/>
        </w:rPr>
      </w:pPr>
      <w:bookmarkStart w:id="88" w:name="_bltunjq37qx2" w:colFirst="0" w:colLast="0"/>
      <w:bookmarkStart w:id="89" w:name="_Toc236179781"/>
      <w:bookmarkStart w:id="90" w:name="_Toc236250025"/>
      <w:bookmarkStart w:id="91" w:name="_Toc237532213"/>
      <w:bookmarkEnd w:id="88"/>
      <w:r w:rsidRPr="00D52564">
        <w:rPr>
          <w:rFonts w:ascii="Arial" w:hAnsi="Arial"/>
          <w:sz w:val="24"/>
          <w:lang w:val="en-GB"/>
        </w:rPr>
        <w:lastRenderedPageBreak/>
        <w:t>5. Investment Appraisal and Capital Budgeting</w:t>
      </w:r>
      <w:bookmarkEnd w:id="89"/>
      <w:bookmarkEnd w:id="90"/>
      <w:bookmarkEnd w:id="91"/>
    </w:p>
    <w:p w14:paraId="0000001D" w14:textId="77777777" w:rsidR="003F35A2" w:rsidRPr="00D52564" w:rsidRDefault="00346555" w:rsidP="00D52564">
      <w:pPr>
        <w:pStyle w:val="Heading2"/>
        <w:spacing w:before="240" w:after="240"/>
        <w:rPr>
          <w:rFonts w:ascii="Arial" w:hAnsi="Arial"/>
          <w:sz w:val="24"/>
          <w:lang w:val="en-GB"/>
        </w:rPr>
      </w:pPr>
      <w:bookmarkStart w:id="92" w:name="_r039l94sgpbh" w:colFirst="0" w:colLast="0"/>
      <w:bookmarkStart w:id="93" w:name="_Toc236179782"/>
      <w:bookmarkStart w:id="94" w:name="_Toc236250026"/>
      <w:bookmarkStart w:id="95" w:name="_Toc237532214"/>
      <w:bookmarkEnd w:id="92"/>
      <w:r w:rsidRPr="00D52564">
        <w:rPr>
          <w:rFonts w:ascii="Arial" w:hAnsi="Arial"/>
          <w:sz w:val="24"/>
          <w:lang w:val="en-GB"/>
        </w:rPr>
        <w:t>5.1 Payback Period</w:t>
      </w:r>
      <w:bookmarkEnd w:id="93"/>
      <w:bookmarkEnd w:id="94"/>
      <w:bookmarkEnd w:id="95"/>
    </w:p>
    <w:p w14:paraId="103A4101" w14:textId="73287DC0" w:rsidR="0004348E" w:rsidRPr="00D52564" w:rsidRDefault="00897DE9" w:rsidP="00D52564">
      <w:pPr>
        <w:spacing w:before="240" w:after="240"/>
        <w:rPr>
          <w:rFonts w:ascii="Arial" w:hAnsi="Arial"/>
          <w:lang w:val="en-GB"/>
        </w:rPr>
      </w:pPr>
      <w:r w:rsidRPr="00D52564">
        <w:rPr>
          <w:rFonts w:ascii="Arial" w:hAnsi="Arial"/>
          <w:lang w:val="en-GB"/>
        </w:rPr>
        <w:t xml:space="preserve">The payback period refers to the time required to recover an investment from its projected cash flows </w:t>
      </w:r>
      <w:r w:rsidR="005448CC" w:rsidRPr="00D52564">
        <w:rPr>
          <w:rFonts w:ascii="Arial" w:hAnsi="Arial"/>
          <w:lang w:val="en-GB"/>
        </w:rPr>
        <w:t xml:space="preserve">(Dai </w:t>
      </w:r>
      <w:r w:rsidR="005448CC" w:rsidRPr="00D52564">
        <w:rPr>
          <w:rFonts w:ascii="Arial" w:hAnsi="Arial"/>
          <w:i/>
          <w:iCs/>
          <w:lang w:val="en-GB"/>
        </w:rPr>
        <w:t>et al</w:t>
      </w:r>
      <w:r w:rsidR="005448CC" w:rsidRPr="00D52564">
        <w:rPr>
          <w:rFonts w:ascii="Arial" w:hAnsi="Arial"/>
          <w:lang w:val="en-GB"/>
        </w:rPr>
        <w:t>. 2022)</w:t>
      </w:r>
      <w:r w:rsidR="0004348E" w:rsidRPr="00D52564">
        <w:rPr>
          <w:rFonts w:ascii="Arial" w:hAnsi="Arial"/>
          <w:lang w:val="en-GB"/>
        </w:rPr>
        <w:t xml:space="preserve">. This method helps to assess the risk associated with the return potential of the project and </w:t>
      </w:r>
      <w:r w:rsidRPr="00D52564">
        <w:rPr>
          <w:rFonts w:ascii="Arial" w:hAnsi="Arial"/>
          <w:lang w:val="en-GB"/>
        </w:rPr>
        <w:t>provides an indication of the project's liquidity and recovery period</w:t>
      </w:r>
      <w:r w:rsidR="0004348E" w:rsidRPr="00D52564">
        <w:rPr>
          <w:rFonts w:ascii="Arial" w:hAnsi="Arial"/>
          <w:lang w:val="en-GB"/>
        </w:rPr>
        <w:t>. However, this method needs to be supported by other investment appraisal methods as it does not incorporate time value of money concepts. In this regard</w:t>
      </w:r>
      <w:r w:rsidR="009471E2" w:rsidRPr="00D52564">
        <w:rPr>
          <w:rFonts w:ascii="Arial" w:hAnsi="Arial"/>
          <w:lang w:val="en-GB"/>
        </w:rPr>
        <w:t xml:space="preserve">, </w:t>
      </w:r>
      <w:r w:rsidRPr="00D52564">
        <w:rPr>
          <w:rFonts w:ascii="Arial" w:hAnsi="Arial"/>
          <w:lang w:val="en-GB"/>
        </w:rPr>
        <w:t xml:space="preserve">Projects A and B have </w:t>
      </w:r>
      <w:r w:rsidR="009471E2" w:rsidRPr="00D52564">
        <w:rPr>
          <w:rFonts w:ascii="Arial" w:hAnsi="Arial"/>
          <w:lang w:val="en-GB"/>
        </w:rPr>
        <w:t xml:space="preserve">a very close payback period of </w:t>
      </w:r>
      <w:r w:rsidR="0004348E" w:rsidRPr="00D52564">
        <w:rPr>
          <w:rFonts w:ascii="Arial" w:hAnsi="Arial"/>
          <w:lang w:val="en-GB"/>
        </w:rPr>
        <w:t xml:space="preserve">4 years 6 months </w:t>
      </w:r>
      <w:r w:rsidR="009471E2" w:rsidRPr="00D52564">
        <w:rPr>
          <w:rFonts w:ascii="Arial" w:hAnsi="Arial"/>
          <w:lang w:val="en-GB"/>
        </w:rPr>
        <w:t xml:space="preserve">and 4 years 6 months 17 days, respectively. However, the payback period of Project C is comparatively lower at 3 years 7 months 6 days </w:t>
      </w:r>
      <w:r w:rsidR="009471E2" w:rsidRPr="00D52564">
        <w:rPr>
          <w:rFonts w:ascii="Arial" w:hAnsi="Arial"/>
          <w:b/>
          <w:bCs/>
          <w:i/>
          <w:iCs/>
          <w:lang w:val="en-GB"/>
        </w:rPr>
        <w:t>[Refer to Appendix 2]</w:t>
      </w:r>
      <w:r w:rsidR="009471E2" w:rsidRPr="00D52564">
        <w:rPr>
          <w:rFonts w:ascii="Arial" w:hAnsi="Arial"/>
          <w:lang w:val="en-GB"/>
        </w:rPr>
        <w:t xml:space="preserve">. </w:t>
      </w:r>
      <w:r w:rsidRPr="00D52564">
        <w:rPr>
          <w:rFonts w:ascii="Arial" w:hAnsi="Arial"/>
          <w:lang w:val="en-GB"/>
        </w:rPr>
        <w:t xml:space="preserve">The shorter payback period of Project C indicates lower investment risk </w:t>
      </w:r>
      <w:r w:rsidR="009471E2" w:rsidRPr="00D52564">
        <w:rPr>
          <w:rFonts w:ascii="Arial" w:hAnsi="Arial"/>
          <w:lang w:val="en-GB"/>
        </w:rPr>
        <w:t xml:space="preserve">and higher liquidity potential of the project. </w:t>
      </w:r>
    </w:p>
    <w:p w14:paraId="0000001E" w14:textId="0714E295" w:rsidR="003F35A2" w:rsidRPr="00D52564" w:rsidRDefault="00346555" w:rsidP="00D52564">
      <w:pPr>
        <w:pStyle w:val="Heading2"/>
        <w:spacing w:before="240" w:after="240"/>
        <w:rPr>
          <w:rFonts w:ascii="Arial" w:hAnsi="Arial"/>
          <w:sz w:val="24"/>
          <w:lang w:val="en-GB"/>
        </w:rPr>
      </w:pPr>
      <w:bookmarkStart w:id="96" w:name="_h23z1qkrx7mh" w:colFirst="0" w:colLast="0"/>
      <w:bookmarkStart w:id="97" w:name="_Toc236179783"/>
      <w:bookmarkStart w:id="98" w:name="_Toc236250027"/>
      <w:bookmarkStart w:id="99" w:name="_Toc237532215"/>
      <w:bookmarkEnd w:id="96"/>
      <w:r w:rsidRPr="00D52564">
        <w:rPr>
          <w:rFonts w:ascii="Arial" w:hAnsi="Arial"/>
          <w:sz w:val="24"/>
          <w:lang w:val="en-GB"/>
        </w:rPr>
        <w:t>5.2 A</w:t>
      </w:r>
      <w:r w:rsidR="0074276A" w:rsidRPr="00D52564">
        <w:rPr>
          <w:rFonts w:ascii="Arial" w:hAnsi="Arial"/>
          <w:sz w:val="24"/>
          <w:lang w:val="en-GB"/>
        </w:rPr>
        <w:t>ccounting Rate of Return (ARR)</w:t>
      </w:r>
      <w:bookmarkEnd w:id="97"/>
      <w:bookmarkEnd w:id="98"/>
      <w:bookmarkEnd w:id="99"/>
    </w:p>
    <w:p w14:paraId="3E4EFBC3" w14:textId="79ECE9EF" w:rsidR="009471E2" w:rsidRPr="00D52564" w:rsidRDefault="009471E2" w:rsidP="00D52564">
      <w:pPr>
        <w:spacing w:before="240" w:after="240"/>
        <w:rPr>
          <w:rFonts w:ascii="Arial" w:hAnsi="Arial"/>
          <w:lang w:val="en-GB"/>
        </w:rPr>
      </w:pPr>
      <w:r w:rsidRPr="00D52564">
        <w:rPr>
          <w:rFonts w:ascii="Arial" w:hAnsi="Arial"/>
          <w:lang w:val="en-GB"/>
        </w:rPr>
        <w:t xml:space="preserve">Accounting rate of return </w:t>
      </w:r>
      <w:r w:rsidR="00603A02" w:rsidRPr="00D52564">
        <w:rPr>
          <w:rFonts w:ascii="Arial" w:hAnsi="Arial"/>
          <w:lang w:val="en-GB"/>
        </w:rPr>
        <w:t>shows the average annual profit percentage of a project based on its projected cash flows and depreciation over the project lifetime</w:t>
      </w:r>
      <w:r w:rsidR="005448CC" w:rsidRPr="00D52564">
        <w:rPr>
          <w:rFonts w:ascii="Arial" w:hAnsi="Arial"/>
          <w:lang w:val="en-GB"/>
        </w:rPr>
        <w:t xml:space="preserve"> (</w:t>
      </w:r>
      <w:r w:rsidR="00F45BE1" w:rsidRPr="00D52564">
        <w:rPr>
          <w:rFonts w:ascii="Arial" w:hAnsi="Arial"/>
          <w:lang w:val="en-GB"/>
        </w:rPr>
        <w:t>Coccia, 2023</w:t>
      </w:r>
      <w:r w:rsidR="005448CC" w:rsidRPr="00D52564">
        <w:rPr>
          <w:rFonts w:ascii="Arial" w:hAnsi="Arial"/>
          <w:lang w:val="en-GB"/>
        </w:rPr>
        <w:t>)</w:t>
      </w:r>
      <w:r w:rsidR="00603A02" w:rsidRPr="00D52564">
        <w:rPr>
          <w:rFonts w:ascii="Arial" w:hAnsi="Arial"/>
          <w:lang w:val="en-GB"/>
        </w:rPr>
        <w:t xml:space="preserve">. It is a very simple method that helps to determine </w:t>
      </w:r>
      <w:r w:rsidR="00897DE9" w:rsidRPr="00D52564">
        <w:rPr>
          <w:rFonts w:ascii="Arial" w:hAnsi="Arial"/>
          <w:lang w:val="en-GB"/>
        </w:rPr>
        <w:t>the accounting return of an investment over its useful life</w:t>
      </w:r>
      <w:r w:rsidR="00603A02" w:rsidRPr="00D52564">
        <w:rPr>
          <w:rFonts w:ascii="Arial" w:hAnsi="Arial"/>
          <w:lang w:val="en-GB"/>
        </w:rPr>
        <w:t xml:space="preserve">. However, this method also </w:t>
      </w:r>
      <w:r w:rsidR="00897DE9" w:rsidRPr="00D52564">
        <w:rPr>
          <w:rFonts w:ascii="Arial" w:hAnsi="Arial"/>
          <w:lang w:val="en-GB"/>
        </w:rPr>
        <w:t xml:space="preserve">does not consider the time value of money </w:t>
      </w:r>
      <w:r w:rsidR="00603A02" w:rsidRPr="00D52564">
        <w:rPr>
          <w:rFonts w:ascii="Arial" w:hAnsi="Arial"/>
          <w:lang w:val="en-GB"/>
        </w:rPr>
        <w:t xml:space="preserve">while determining accounting profits, due to which it cannot be used as the key investment appraisal metric. In this regard, the ARR of Project A is the lowest at 1.6%, </w:t>
      </w:r>
      <w:r w:rsidR="00897DE9" w:rsidRPr="00D52564">
        <w:rPr>
          <w:rFonts w:ascii="Arial" w:hAnsi="Arial"/>
          <w:lang w:val="en-GB"/>
        </w:rPr>
        <w:t xml:space="preserve">followed by Project B with an ARR of 2% </w:t>
      </w:r>
      <w:r w:rsidR="00603A02" w:rsidRPr="00D52564">
        <w:rPr>
          <w:rFonts w:ascii="Arial" w:hAnsi="Arial"/>
          <w:b/>
          <w:bCs/>
          <w:i/>
          <w:iCs/>
          <w:lang w:val="en-GB"/>
        </w:rPr>
        <w:t>[Refer to Appendix 2]</w:t>
      </w:r>
      <w:r w:rsidR="00603A02" w:rsidRPr="00D52564">
        <w:rPr>
          <w:rFonts w:ascii="Arial" w:hAnsi="Arial"/>
          <w:lang w:val="en-GB"/>
        </w:rPr>
        <w:t xml:space="preserve">. Moreover, Project C has a notably higher ARR of 6% as compared to the alternative </w:t>
      </w:r>
      <w:r w:rsidR="00804129" w:rsidRPr="00D52564">
        <w:rPr>
          <w:rFonts w:ascii="Arial" w:hAnsi="Arial"/>
          <w:lang w:val="en-GB"/>
        </w:rPr>
        <w:t xml:space="preserve">projects. This highlights that the higher accounting return of Project C </w:t>
      </w:r>
      <w:r w:rsidR="00897DE9" w:rsidRPr="00D52564">
        <w:rPr>
          <w:rFonts w:ascii="Arial" w:hAnsi="Arial"/>
          <w:lang w:val="en-GB"/>
        </w:rPr>
        <w:t>can increase the confidence of financial decision-makers</w:t>
      </w:r>
      <w:r w:rsidR="00804129" w:rsidRPr="00D52564">
        <w:rPr>
          <w:rFonts w:ascii="Arial" w:hAnsi="Arial"/>
          <w:lang w:val="en-GB"/>
        </w:rPr>
        <w:t xml:space="preserve"> of the firm. </w:t>
      </w:r>
    </w:p>
    <w:p w14:paraId="0000001F" w14:textId="20AE6FA3" w:rsidR="003F35A2" w:rsidRPr="00D52564" w:rsidRDefault="00346555" w:rsidP="00D52564">
      <w:pPr>
        <w:pStyle w:val="Heading2"/>
        <w:spacing w:before="240" w:after="240"/>
        <w:rPr>
          <w:rFonts w:ascii="Arial" w:hAnsi="Arial"/>
          <w:sz w:val="24"/>
          <w:lang w:val="en-GB"/>
        </w:rPr>
      </w:pPr>
      <w:bookmarkStart w:id="100" w:name="_nmbc19wg1mgc" w:colFirst="0" w:colLast="0"/>
      <w:bookmarkStart w:id="101" w:name="_Toc236179784"/>
      <w:bookmarkStart w:id="102" w:name="_Toc236250028"/>
      <w:bookmarkStart w:id="103" w:name="_Toc237532216"/>
      <w:bookmarkEnd w:id="100"/>
      <w:r w:rsidRPr="00D52564">
        <w:rPr>
          <w:rFonts w:ascii="Arial" w:hAnsi="Arial"/>
          <w:sz w:val="24"/>
          <w:lang w:val="en-GB"/>
        </w:rPr>
        <w:t xml:space="preserve">5.3 </w:t>
      </w:r>
      <w:r w:rsidR="0074276A" w:rsidRPr="00D52564">
        <w:rPr>
          <w:rFonts w:ascii="Arial" w:hAnsi="Arial"/>
          <w:sz w:val="24"/>
          <w:lang w:val="en-GB"/>
        </w:rPr>
        <w:t>Net Present Value (</w:t>
      </w:r>
      <w:r w:rsidRPr="00D52564">
        <w:rPr>
          <w:rFonts w:ascii="Arial" w:hAnsi="Arial"/>
          <w:sz w:val="24"/>
          <w:lang w:val="en-GB"/>
        </w:rPr>
        <w:t>NPV</w:t>
      </w:r>
      <w:r w:rsidR="0074276A" w:rsidRPr="00D52564">
        <w:rPr>
          <w:rFonts w:ascii="Arial" w:hAnsi="Arial"/>
          <w:sz w:val="24"/>
          <w:lang w:val="en-GB"/>
        </w:rPr>
        <w:t>)</w:t>
      </w:r>
      <w:bookmarkEnd w:id="101"/>
      <w:bookmarkEnd w:id="102"/>
      <w:bookmarkEnd w:id="103"/>
    </w:p>
    <w:p w14:paraId="3A664A0E" w14:textId="1F9286F1" w:rsidR="001E4541" w:rsidRPr="00D52564" w:rsidRDefault="001E4541" w:rsidP="00D52564">
      <w:pPr>
        <w:spacing w:before="240" w:after="240"/>
        <w:rPr>
          <w:rFonts w:ascii="Arial" w:hAnsi="Arial"/>
          <w:lang w:val="en-GB"/>
        </w:rPr>
      </w:pPr>
      <w:r w:rsidRPr="00D52564">
        <w:rPr>
          <w:rFonts w:ascii="Arial" w:hAnsi="Arial"/>
          <w:lang w:val="en-GB"/>
        </w:rPr>
        <w:t>Net present value is an investment appraisal method that helps to estimate the present values of projected cash flows related to an investment using a present discount rate</w:t>
      </w:r>
      <w:r w:rsidR="005448CC" w:rsidRPr="00D52564">
        <w:rPr>
          <w:rFonts w:ascii="Arial" w:hAnsi="Arial"/>
          <w:lang w:val="en-GB"/>
        </w:rPr>
        <w:t xml:space="preserve"> (Shou, 2022)</w:t>
      </w:r>
      <w:r w:rsidRPr="00D52564">
        <w:rPr>
          <w:rFonts w:ascii="Arial" w:hAnsi="Arial"/>
          <w:lang w:val="en-GB"/>
        </w:rPr>
        <w:t xml:space="preserve">. Considering the time value of money concept, the method provides </w:t>
      </w:r>
      <w:r w:rsidR="00360866" w:rsidRPr="00D52564">
        <w:rPr>
          <w:rFonts w:ascii="Arial" w:hAnsi="Arial"/>
          <w:lang w:val="en-GB"/>
        </w:rPr>
        <w:t>the present value of the project's expected net cash flows</w:t>
      </w:r>
      <w:r w:rsidRPr="00D52564">
        <w:rPr>
          <w:rFonts w:ascii="Arial" w:hAnsi="Arial"/>
          <w:lang w:val="en-GB"/>
        </w:rPr>
        <w:t xml:space="preserve">. However, accuracy in cost of capital determination is a key aspect for investors, as a failure to do so may lead to </w:t>
      </w:r>
      <w:r w:rsidRPr="00D52564">
        <w:rPr>
          <w:rFonts w:ascii="Arial" w:hAnsi="Arial"/>
          <w:lang w:val="en-GB"/>
        </w:rPr>
        <w:lastRenderedPageBreak/>
        <w:t xml:space="preserve">significant variance in expected returns and actual returns. In this regard, considering an 8% discount rate for all three projects, negative net present values of </w:t>
      </w:r>
      <w:r w:rsidR="00360866" w:rsidRPr="00D52564">
        <w:rPr>
          <w:rFonts w:ascii="Arial" w:hAnsi="Arial"/>
          <w:lang w:val="en-GB"/>
        </w:rPr>
        <w:t xml:space="preserve">£6,542,000 and £6,077,000 </w:t>
      </w:r>
      <w:r w:rsidRPr="00D52564">
        <w:rPr>
          <w:rFonts w:ascii="Arial" w:hAnsi="Arial"/>
          <w:lang w:val="en-GB"/>
        </w:rPr>
        <w:t>have been estimated for Project A and Project B, respectively</w:t>
      </w:r>
      <w:r w:rsidR="00572607" w:rsidRPr="00D52564">
        <w:rPr>
          <w:rFonts w:ascii="Arial" w:hAnsi="Arial"/>
          <w:lang w:val="en-GB"/>
        </w:rPr>
        <w:t xml:space="preserve"> </w:t>
      </w:r>
      <w:r w:rsidR="00572607" w:rsidRPr="00D52564">
        <w:rPr>
          <w:rFonts w:ascii="Arial" w:hAnsi="Arial"/>
          <w:b/>
          <w:bCs/>
          <w:i/>
          <w:iCs/>
          <w:lang w:val="en-GB"/>
        </w:rPr>
        <w:t>[Refer to Appendix 2]</w:t>
      </w:r>
      <w:r w:rsidRPr="00D52564">
        <w:rPr>
          <w:rFonts w:ascii="Arial" w:hAnsi="Arial"/>
          <w:lang w:val="en-GB"/>
        </w:rPr>
        <w:t xml:space="preserve">. </w:t>
      </w:r>
      <w:r w:rsidR="00613917">
        <w:rPr>
          <w:rFonts w:ascii="Arial" w:hAnsi="Arial"/>
          <w:lang w:val="en-GB"/>
        </w:rPr>
        <w:t>I</w:t>
      </w:r>
      <w:r w:rsidR="00613917" w:rsidRPr="00D52564">
        <w:rPr>
          <w:rFonts w:ascii="Arial" w:hAnsi="Arial"/>
          <w:lang w:val="en-GB"/>
        </w:rPr>
        <w:t>n</w:t>
      </w:r>
      <w:r w:rsidR="00360866" w:rsidRPr="00D52564">
        <w:rPr>
          <w:rFonts w:ascii="Arial" w:hAnsi="Arial"/>
          <w:lang w:val="en-GB"/>
        </w:rPr>
        <w:t xml:space="preserve"> contrast, only Project C is expected </w:t>
      </w:r>
      <w:r w:rsidRPr="00D52564">
        <w:rPr>
          <w:rFonts w:ascii="Arial" w:hAnsi="Arial"/>
          <w:lang w:val="en-GB"/>
        </w:rPr>
        <w:t xml:space="preserve">to deliver a </w:t>
      </w:r>
      <w:r w:rsidR="00572607" w:rsidRPr="00D52564">
        <w:rPr>
          <w:rFonts w:ascii="Arial" w:hAnsi="Arial"/>
          <w:lang w:val="en-GB"/>
        </w:rPr>
        <w:t xml:space="preserve">positive </w:t>
      </w:r>
      <w:r w:rsidRPr="00D52564">
        <w:rPr>
          <w:rFonts w:ascii="Arial" w:hAnsi="Arial"/>
          <w:lang w:val="en-GB"/>
        </w:rPr>
        <w:t xml:space="preserve">net present value of £8,60,000 considering the same discount rate. </w:t>
      </w:r>
      <w:r w:rsidR="00572607" w:rsidRPr="00D52564">
        <w:rPr>
          <w:rFonts w:ascii="Arial" w:hAnsi="Arial"/>
          <w:lang w:val="en-GB"/>
        </w:rPr>
        <w:t xml:space="preserve">This shows that at the present rate, only Project C can deliver the expected return to the firm. </w:t>
      </w:r>
    </w:p>
    <w:p w14:paraId="00000020" w14:textId="5F703E08" w:rsidR="003F35A2" w:rsidRPr="00D52564" w:rsidRDefault="00346555" w:rsidP="00D52564">
      <w:pPr>
        <w:pStyle w:val="Heading2"/>
        <w:spacing w:before="240" w:after="240"/>
        <w:rPr>
          <w:rFonts w:ascii="Arial" w:hAnsi="Arial"/>
          <w:sz w:val="24"/>
          <w:lang w:val="en-GB"/>
        </w:rPr>
      </w:pPr>
      <w:bookmarkStart w:id="104" w:name="_6o3jgr72xcea" w:colFirst="0" w:colLast="0"/>
      <w:bookmarkStart w:id="105" w:name="_Toc236179785"/>
      <w:bookmarkStart w:id="106" w:name="_Toc236250029"/>
      <w:bookmarkStart w:id="107" w:name="_Toc237532217"/>
      <w:bookmarkEnd w:id="104"/>
      <w:r w:rsidRPr="00D52564">
        <w:rPr>
          <w:rFonts w:ascii="Arial" w:hAnsi="Arial"/>
          <w:sz w:val="24"/>
          <w:lang w:val="en-GB"/>
        </w:rPr>
        <w:t>5.4 Profitability Index</w:t>
      </w:r>
      <w:r w:rsidR="0074276A" w:rsidRPr="00D52564">
        <w:rPr>
          <w:rFonts w:ascii="Arial" w:hAnsi="Arial"/>
          <w:sz w:val="24"/>
          <w:lang w:val="en-GB"/>
        </w:rPr>
        <w:t xml:space="preserve"> (PI)</w:t>
      </w:r>
      <w:bookmarkEnd w:id="105"/>
      <w:bookmarkEnd w:id="106"/>
      <w:bookmarkEnd w:id="107"/>
    </w:p>
    <w:p w14:paraId="171D71BE" w14:textId="2C7F714B" w:rsidR="00750FBE" w:rsidRPr="00D52564" w:rsidRDefault="00750FBE" w:rsidP="00D52564">
      <w:pPr>
        <w:spacing w:before="240" w:after="240"/>
        <w:rPr>
          <w:rFonts w:ascii="Arial" w:hAnsi="Arial"/>
          <w:lang w:val="en-GB"/>
        </w:rPr>
      </w:pPr>
      <w:r w:rsidRPr="00D52564">
        <w:rPr>
          <w:rFonts w:ascii="Arial" w:hAnsi="Arial"/>
          <w:lang w:val="en-GB"/>
        </w:rPr>
        <w:t xml:space="preserve">Profitability Index (PI) reflects the PV of future cash inflows of a project </w:t>
      </w:r>
      <w:r w:rsidR="00360866" w:rsidRPr="00D52564">
        <w:rPr>
          <w:rFonts w:ascii="Arial" w:hAnsi="Arial"/>
          <w:lang w:val="en-GB"/>
        </w:rPr>
        <w:t>relative to the project's initial investment</w:t>
      </w:r>
      <w:r w:rsidR="00F45BE1" w:rsidRPr="00D52564">
        <w:rPr>
          <w:rFonts w:ascii="Arial" w:hAnsi="Arial"/>
          <w:lang w:val="en-GB"/>
        </w:rPr>
        <w:t xml:space="preserve"> (Al-Rikabi, 2021)</w:t>
      </w:r>
      <w:r w:rsidRPr="00D52564">
        <w:rPr>
          <w:rFonts w:ascii="Arial" w:hAnsi="Arial"/>
          <w:lang w:val="en-GB"/>
        </w:rPr>
        <w:t xml:space="preserve">. </w:t>
      </w:r>
      <w:r w:rsidR="0074276A" w:rsidRPr="00D52564">
        <w:rPr>
          <w:rFonts w:ascii="Arial" w:hAnsi="Arial"/>
          <w:lang w:val="en-GB"/>
        </w:rPr>
        <w:t>This value considers t</w:t>
      </w:r>
      <w:r w:rsidRPr="00D52564">
        <w:rPr>
          <w:rFonts w:ascii="Arial" w:hAnsi="Arial"/>
          <w:lang w:val="en-GB"/>
        </w:rPr>
        <w:t xml:space="preserve">he present value of the cash flows to be received </w:t>
      </w:r>
      <w:r w:rsidR="0074276A" w:rsidRPr="00D52564">
        <w:rPr>
          <w:rFonts w:ascii="Arial" w:hAnsi="Arial"/>
          <w:lang w:val="en-GB"/>
        </w:rPr>
        <w:t xml:space="preserve">throughout the lifetime of </w:t>
      </w:r>
      <w:r w:rsidR="000A43C5" w:rsidRPr="00D52564">
        <w:rPr>
          <w:rFonts w:ascii="Arial" w:hAnsi="Arial"/>
          <w:lang w:val="en-GB"/>
        </w:rPr>
        <w:t xml:space="preserve">the </w:t>
      </w:r>
      <w:r w:rsidR="0074276A" w:rsidRPr="00D52564">
        <w:rPr>
          <w:rFonts w:ascii="Arial" w:hAnsi="Arial"/>
          <w:lang w:val="en-GB"/>
        </w:rPr>
        <w:t>investment to determine whether the returns will be favourable or adverse</w:t>
      </w:r>
      <w:r w:rsidRPr="00D52564">
        <w:rPr>
          <w:rFonts w:ascii="Arial" w:hAnsi="Arial"/>
          <w:lang w:val="en-GB"/>
        </w:rPr>
        <w:t>. A profitability index value of greater than 1 means a project is likely to create value for investors, while</w:t>
      </w:r>
      <w:r w:rsidR="00360866" w:rsidRPr="00D52564">
        <w:rPr>
          <w:rFonts w:ascii="Arial" w:hAnsi="Arial"/>
          <w:lang w:val="en-GB"/>
        </w:rPr>
        <w:t xml:space="preserve"> a value below 1 </w:t>
      </w:r>
      <w:r w:rsidRPr="00D52564">
        <w:rPr>
          <w:rFonts w:ascii="Arial" w:hAnsi="Arial"/>
          <w:lang w:val="en-GB"/>
        </w:rPr>
        <w:t xml:space="preserve">means that an investment is likely to </w:t>
      </w:r>
      <w:r w:rsidR="00360866" w:rsidRPr="00D52564">
        <w:rPr>
          <w:rFonts w:ascii="Arial" w:hAnsi="Arial"/>
          <w:lang w:val="en-GB"/>
        </w:rPr>
        <w:t>result in an unfavourable return on investment</w:t>
      </w:r>
      <w:r w:rsidRPr="00D52564">
        <w:rPr>
          <w:rFonts w:ascii="Arial" w:hAnsi="Arial"/>
          <w:lang w:val="en-GB"/>
        </w:rPr>
        <w:t xml:space="preserve">. The profitability indices for Project A and Project B are 0.87 and 0.88, respectively, which means that the discounted cash inflows for the projects are not enough to cover the initial investments </w:t>
      </w:r>
      <w:r w:rsidRPr="00D52564">
        <w:rPr>
          <w:rFonts w:ascii="Arial" w:hAnsi="Arial"/>
          <w:b/>
          <w:bCs/>
          <w:i/>
          <w:iCs/>
          <w:lang w:val="en-GB"/>
        </w:rPr>
        <w:t>[Refer to Appendix 2]</w:t>
      </w:r>
      <w:r w:rsidRPr="00D52564">
        <w:rPr>
          <w:rFonts w:ascii="Arial" w:hAnsi="Arial"/>
          <w:lang w:val="en-GB"/>
        </w:rPr>
        <w:t>. Project C has a profitability index of 1.02, which shows that it is likely to yield a return greater than its cost of investment and is thus the most financially viable project.</w:t>
      </w:r>
    </w:p>
    <w:p w14:paraId="00000021" w14:textId="42B60E36" w:rsidR="003F35A2" w:rsidRPr="00D52564" w:rsidRDefault="00346555" w:rsidP="00D52564">
      <w:pPr>
        <w:pStyle w:val="Heading2"/>
        <w:spacing w:before="240" w:after="240"/>
        <w:rPr>
          <w:rFonts w:ascii="Arial" w:hAnsi="Arial"/>
          <w:sz w:val="24"/>
          <w:lang w:val="en-GB"/>
        </w:rPr>
      </w:pPr>
      <w:bookmarkStart w:id="108" w:name="_l7y34zb8cgrz" w:colFirst="0" w:colLast="0"/>
      <w:bookmarkStart w:id="109" w:name="_Toc236179786"/>
      <w:bookmarkStart w:id="110" w:name="_Toc236250030"/>
      <w:bookmarkStart w:id="111" w:name="_Toc237532218"/>
      <w:bookmarkEnd w:id="108"/>
      <w:r w:rsidRPr="00D52564">
        <w:rPr>
          <w:rFonts w:ascii="Arial" w:hAnsi="Arial"/>
          <w:sz w:val="24"/>
          <w:lang w:val="en-GB"/>
        </w:rPr>
        <w:t xml:space="preserve">5.5 </w:t>
      </w:r>
      <w:r w:rsidR="0074276A" w:rsidRPr="00D52564">
        <w:rPr>
          <w:rFonts w:ascii="Arial" w:hAnsi="Arial"/>
          <w:sz w:val="24"/>
          <w:lang w:val="en-GB"/>
        </w:rPr>
        <w:t>Internal Rate of Return (</w:t>
      </w:r>
      <w:r w:rsidRPr="00D52564">
        <w:rPr>
          <w:rFonts w:ascii="Arial" w:hAnsi="Arial"/>
          <w:sz w:val="24"/>
          <w:lang w:val="en-GB"/>
        </w:rPr>
        <w:t>IRR</w:t>
      </w:r>
      <w:r w:rsidR="0074276A" w:rsidRPr="00D52564">
        <w:rPr>
          <w:rFonts w:ascii="Arial" w:hAnsi="Arial"/>
          <w:sz w:val="24"/>
          <w:lang w:val="en-GB"/>
        </w:rPr>
        <w:t>)</w:t>
      </w:r>
      <w:bookmarkEnd w:id="109"/>
      <w:bookmarkEnd w:id="110"/>
      <w:bookmarkEnd w:id="111"/>
    </w:p>
    <w:p w14:paraId="40227804" w14:textId="0FAFADAF" w:rsidR="00804129" w:rsidRPr="00D52564" w:rsidRDefault="0074276A" w:rsidP="00D52564">
      <w:pPr>
        <w:spacing w:before="240" w:after="240"/>
        <w:rPr>
          <w:rFonts w:ascii="Arial" w:hAnsi="Arial"/>
          <w:lang w:val="en-GB"/>
        </w:rPr>
      </w:pPr>
      <w:r w:rsidRPr="00D52564">
        <w:rPr>
          <w:rFonts w:ascii="Arial" w:hAnsi="Arial"/>
          <w:lang w:val="en-GB"/>
        </w:rPr>
        <w:t>The internal rate of return presents the rate that will make the net present values of a project equal to zero using a predetermined discount rate</w:t>
      </w:r>
      <w:r w:rsidR="005448CC" w:rsidRPr="00D52564">
        <w:rPr>
          <w:rFonts w:ascii="Arial" w:hAnsi="Arial"/>
          <w:lang w:val="en-GB"/>
        </w:rPr>
        <w:t xml:space="preserve"> (Huang </w:t>
      </w:r>
      <w:r w:rsidR="005448CC" w:rsidRPr="00D52564">
        <w:rPr>
          <w:rFonts w:ascii="Arial" w:hAnsi="Arial"/>
          <w:i/>
          <w:iCs/>
          <w:lang w:val="en-GB"/>
        </w:rPr>
        <w:t>et al</w:t>
      </w:r>
      <w:r w:rsidR="005448CC" w:rsidRPr="00D52564">
        <w:rPr>
          <w:rFonts w:ascii="Arial" w:hAnsi="Arial"/>
          <w:lang w:val="en-GB"/>
        </w:rPr>
        <w:t>. 2022)</w:t>
      </w:r>
      <w:r w:rsidRPr="00D52564">
        <w:rPr>
          <w:rFonts w:ascii="Arial" w:hAnsi="Arial"/>
          <w:lang w:val="en-GB"/>
        </w:rPr>
        <w:t xml:space="preserve">. This investment criterion, similar to NPV, considers the time value of money concept and </w:t>
      </w:r>
      <w:r w:rsidR="00360866" w:rsidRPr="00D52564">
        <w:rPr>
          <w:rFonts w:ascii="Arial" w:hAnsi="Arial"/>
          <w:lang w:val="en-GB"/>
        </w:rPr>
        <w:t>it provides a percentage return that can be compared with the firm's required rate of return</w:t>
      </w:r>
      <w:r w:rsidRPr="00D52564">
        <w:rPr>
          <w:rFonts w:ascii="Arial" w:hAnsi="Arial"/>
          <w:lang w:val="en-GB"/>
        </w:rPr>
        <w:t xml:space="preserve">. However, IRR can give false and misleading results for mutually exclusive projects as well as </w:t>
      </w:r>
      <w:r w:rsidR="00360866" w:rsidRPr="00D52564">
        <w:rPr>
          <w:rFonts w:ascii="Arial" w:hAnsi="Arial"/>
          <w:lang w:val="en-GB"/>
        </w:rPr>
        <w:t>non-conventional cash flow patterns</w:t>
      </w:r>
      <w:r w:rsidRPr="00D52564">
        <w:rPr>
          <w:rFonts w:ascii="Arial" w:hAnsi="Arial"/>
          <w:lang w:val="en-GB"/>
        </w:rPr>
        <w:t xml:space="preserve">. The investment appraisal reveals that the IRRs of Project A and Project B are 2.72% and 3.26%, respectively, which are notably lower than the 8% required rate of return </w:t>
      </w:r>
      <w:r w:rsidRPr="00D52564">
        <w:rPr>
          <w:rFonts w:ascii="Arial" w:hAnsi="Arial"/>
          <w:b/>
          <w:bCs/>
          <w:i/>
          <w:iCs/>
          <w:lang w:val="en-GB"/>
        </w:rPr>
        <w:t>[Refer to Appendix 2]</w:t>
      </w:r>
      <w:r w:rsidRPr="00D52564">
        <w:rPr>
          <w:rFonts w:ascii="Arial" w:hAnsi="Arial"/>
          <w:lang w:val="en-GB"/>
        </w:rPr>
        <w:t>. On the other hand, Project C has an IRR of 8.59%, which is higher than the acceptable rate of return, which suggests that the project can create value for the firm and deliver expected returns.</w:t>
      </w:r>
    </w:p>
    <w:p w14:paraId="00000022" w14:textId="418D39D5" w:rsidR="003F35A2" w:rsidRPr="00D52564" w:rsidRDefault="00346555" w:rsidP="00D52564">
      <w:pPr>
        <w:pStyle w:val="Heading2"/>
        <w:spacing w:before="240" w:after="240"/>
        <w:rPr>
          <w:rFonts w:ascii="Arial" w:hAnsi="Arial"/>
          <w:sz w:val="24"/>
          <w:lang w:val="en-GB"/>
        </w:rPr>
      </w:pPr>
      <w:bookmarkStart w:id="112" w:name="_vve4cfa9942d" w:colFirst="0" w:colLast="0"/>
      <w:bookmarkStart w:id="113" w:name="_Toc236179787"/>
      <w:bookmarkStart w:id="114" w:name="_Toc236250031"/>
      <w:bookmarkStart w:id="115" w:name="_Toc237532219"/>
      <w:bookmarkEnd w:id="112"/>
      <w:r w:rsidRPr="00D52564">
        <w:rPr>
          <w:rFonts w:ascii="Arial" w:hAnsi="Arial"/>
          <w:sz w:val="24"/>
          <w:lang w:val="en-GB"/>
        </w:rPr>
        <w:lastRenderedPageBreak/>
        <w:t xml:space="preserve">5.6 Recommendation of the </w:t>
      </w:r>
      <w:r w:rsidR="00F45BE1" w:rsidRPr="00D52564">
        <w:rPr>
          <w:rFonts w:ascii="Arial" w:hAnsi="Arial"/>
          <w:sz w:val="24"/>
          <w:lang w:val="en-GB"/>
        </w:rPr>
        <w:t>B</w:t>
      </w:r>
      <w:r w:rsidRPr="00D52564">
        <w:rPr>
          <w:rFonts w:ascii="Arial" w:hAnsi="Arial"/>
          <w:sz w:val="24"/>
          <w:lang w:val="en-GB"/>
        </w:rPr>
        <w:t xml:space="preserve">est </w:t>
      </w:r>
      <w:r w:rsidR="00F45BE1" w:rsidRPr="00D52564">
        <w:rPr>
          <w:rFonts w:ascii="Arial" w:hAnsi="Arial"/>
          <w:sz w:val="24"/>
          <w:lang w:val="en-GB"/>
        </w:rPr>
        <w:t>P</w:t>
      </w:r>
      <w:r w:rsidRPr="00D52564">
        <w:rPr>
          <w:rFonts w:ascii="Arial" w:hAnsi="Arial"/>
          <w:sz w:val="24"/>
          <w:lang w:val="en-GB"/>
        </w:rPr>
        <w:t>roject</w:t>
      </w:r>
      <w:bookmarkEnd w:id="113"/>
      <w:bookmarkEnd w:id="114"/>
      <w:bookmarkEnd w:id="115"/>
    </w:p>
    <w:p w14:paraId="4BA8175F" w14:textId="2B839DF9" w:rsidR="00A80FDE" w:rsidRPr="00D52564" w:rsidRDefault="00E76D48" w:rsidP="00D52564">
      <w:pPr>
        <w:spacing w:before="240" w:after="240"/>
        <w:rPr>
          <w:rFonts w:ascii="Arial" w:hAnsi="Arial"/>
          <w:lang w:val="en-GB"/>
        </w:rPr>
      </w:pPr>
      <w:r w:rsidRPr="00D52564">
        <w:rPr>
          <w:rFonts w:ascii="Arial" w:hAnsi="Arial"/>
          <w:lang w:val="en-GB"/>
        </w:rPr>
        <w:t xml:space="preserve">Considering the results of the investment appraisal using different methods, it can be stated that </w:t>
      </w:r>
      <w:r w:rsidR="00360866" w:rsidRPr="00D52564">
        <w:rPr>
          <w:rFonts w:ascii="Arial" w:hAnsi="Arial"/>
          <w:lang w:val="en-GB"/>
        </w:rPr>
        <w:t xml:space="preserve">Project C outperforms the alternatives in terms of financial viability and can therefore be recommended </w:t>
      </w:r>
      <w:r w:rsidRPr="00D52564">
        <w:rPr>
          <w:rFonts w:ascii="Arial" w:hAnsi="Arial"/>
          <w:lang w:val="en-GB"/>
        </w:rPr>
        <w:t xml:space="preserve">as the best project for Wyndham. </w:t>
      </w:r>
      <w:r w:rsidR="0040660A" w:rsidRPr="00D52564">
        <w:rPr>
          <w:rFonts w:ascii="Arial" w:hAnsi="Arial"/>
          <w:lang w:val="en-GB"/>
        </w:rPr>
        <w:t xml:space="preserve">As per the views of McDonagh </w:t>
      </w:r>
      <w:r w:rsidR="0040660A" w:rsidRPr="00D52564">
        <w:rPr>
          <w:rFonts w:ascii="Arial" w:hAnsi="Arial"/>
          <w:i/>
          <w:iCs/>
          <w:lang w:val="en-GB"/>
        </w:rPr>
        <w:t>et al</w:t>
      </w:r>
      <w:r w:rsidR="0040660A" w:rsidRPr="00D52564">
        <w:rPr>
          <w:rFonts w:ascii="Arial" w:hAnsi="Arial"/>
          <w:lang w:val="en-GB"/>
        </w:rPr>
        <w:t xml:space="preserve">. (2020), a positive and high NPV of a project shows that the project can offer profitability to investors. Whereas </w:t>
      </w:r>
      <w:r w:rsidR="00360866" w:rsidRPr="00D52564">
        <w:rPr>
          <w:rFonts w:ascii="Arial" w:hAnsi="Arial"/>
          <w:lang w:val="en-GB"/>
        </w:rPr>
        <w:t xml:space="preserve">Liu (2020) argued that </w:t>
      </w:r>
      <w:r w:rsidR="0040660A" w:rsidRPr="00D52564">
        <w:rPr>
          <w:rFonts w:ascii="Arial" w:hAnsi="Arial"/>
          <w:lang w:val="en-GB"/>
        </w:rPr>
        <w:t xml:space="preserve">an IRR above the hurdle rate or required rate of return is highly viable and draws the attention of investors as a potential investment. For this reason, Project C has been </w:t>
      </w:r>
      <w:r w:rsidR="00360866" w:rsidRPr="00D52564">
        <w:rPr>
          <w:rFonts w:ascii="Arial" w:hAnsi="Arial"/>
          <w:lang w:val="en-GB"/>
        </w:rPr>
        <w:t xml:space="preserve">selected as the recommended project </w:t>
      </w:r>
      <w:r w:rsidR="0040660A" w:rsidRPr="00D52564">
        <w:rPr>
          <w:rFonts w:ascii="Arial" w:hAnsi="Arial"/>
          <w:lang w:val="en-GB"/>
        </w:rPr>
        <w:t xml:space="preserve">as it can deliver the highest NPV and </w:t>
      </w:r>
      <w:r w:rsidR="00705DCF" w:rsidRPr="00D52564">
        <w:rPr>
          <w:rFonts w:ascii="Arial" w:hAnsi="Arial"/>
          <w:lang w:val="en-GB"/>
        </w:rPr>
        <w:t xml:space="preserve">an IRR above the hurdle rate. In addition to this, the project also has higher ARR and PI alongside a shorter payback period as compared to the other available projects. </w:t>
      </w:r>
    </w:p>
    <w:p w14:paraId="79109566" w14:textId="75741657" w:rsidR="00E76D48" w:rsidRPr="00D52564" w:rsidRDefault="00705DCF" w:rsidP="00D52564">
      <w:pPr>
        <w:spacing w:before="240" w:after="240"/>
        <w:rPr>
          <w:rFonts w:ascii="Arial" w:hAnsi="Arial"/>
          <w:lang w:val="en-GB"/>
        </w:rPr>
      </w:pPr>
      <w:r w:rsidRPr="00D52564">
        <w:rPr>
          <w:rFonts w:ascii="Arial" w:hAnsi="Arial"/>
          <w:lang w:val="en-GB"/>
        </w:rPr>
        <w:t>Apart from this, t</w:t>
      </w:r>
      <w:r w:rsidR="00E76D48" w:rsidRPr="00D52564">
        <w:rPr>
          <w:rFonts w:ascii="Arial" w:hAnsi="Arial"/>
          <w:lang w:val="en-GB"/>
        </w:rPr>
        <w:t>he recommendation is also in line with the financial condition</w:t>
      </w:r>
      <w:r w:rsidRPr="00D52564">
        <w:rPr>
          <w:rFonts w:ascii="Arial" w:hAnsi="Arial"/>
          <w:lang w:val="en-GB"/>
        </w:rPr>
        <w:t xml:space="preserve"> and performance</w:t>
      </w:r>
      <w:r w:rsidR="00E76D48" w:rsidRPr="00D52564">
        <w:rPr>
          <w:rFonts w:ascii="Arial" w:hAnsi="Arial"/>
          <w:lang w:val="en-GB"/>
        </w:rPr>
        <w:t xml:space="preserve"> of Wyndham</w:t>
      </w:r>
      <w:r w:rsidR="0040660A" w:rsidRPr="00D52564">
        <w:rPr>
          <w:rFonts w:ascii="Arial" w:hAnsi="Arial"/>
          <w:lang w:val="en-GB"/>
        </w:rPr>
        <w:t xml:space="preserve"> Hotels and Resorts</w:t>
      </w:r>
      <w:r w:rsidRPr="00D52564">
        <w:rPr>
          <w:rFonts w:ascii="Arial" w:hAnsi="Arial"/>
          <w:lang w:val="en-GB"/>
        </w:rPr>
        <w:t xml:space="preserve">. </w:t>
      </w:r>
      <w:r w:rsidR="00E76D48" w:rsidRPr="00D52564">
        <w:rPr>
          <w:rFonts w:ascii="Arial" w:hAnsi="Arial"/>
          <w:lang w:val="en-GB"/>
        </w:rPr>
        <w:t xml:space="preserve">The project selection process is important as </w:t>
      </w:r>
      <w:r w:rsidR="00360866" w:rsidRPr="00D52564">
        <w:rPr>
          <w:rFonts w:ascii="Arial" w:hAnsi="Arial"/>
          <w:lang w:val="en-GB"/>
        </w:rPr>
        <w:t>the company is facing increasing pressure from its cash flow and debt positions</w:t>
      </w:r>
      <w:r w:rsidR="00E76D48" w:rsidRPr="00D52564">
        <w:rPr>
          <w:rFonts w:ascii="Arial" w:hAnsi="Arial"/>
          <w:lang w:val="en-GB"/>
        </w:rPr>
        <w:t xml:space="preserve">, and </w:t>
      </w:r>
      <w:r w:rsidR="00360866" w:rsidRPr="00D52564">
        <w:rPr>
          <w:rFonts w:ascii="Arial" w:hAnsi="Arial"/>
          <w:lang w:val="en-GB"/>
        </w:rPr>
        <w:t>its revenues are primarily generated through its asset-light franchise model</w:t>
      </w:r>
      <w:r w:rsidR="00E76D48" w:rsidRPr="00D52564">
        <w:rPr>
          <w:rFonts w:ascii="Arial" w:hAnsi="Arial"/>
          <w:lang w:val="en-GB"/>
        </w:rPr>
        <w:t>, which gives it a stronger operating cash flow</w:t>
      </w:r>
      <w:r w:rsidRPr="00D52564">
        <w:rPr>
          <w:rFonts w:ascii="Arial" w:hAnsi="Arial"/>
          <w:lang w:val="en-GB"/>
        </w:rPr>
        <w:t xml:space="preserve"> </w:t>
      </w:r>
      <w:r w:rsidRPr="00D52564">
        <w:rPr>
          <w:rFonts w:ascii="Arial" w:hAnsi="Arial"/>
          <w:b/>
          <w:bCs/>
          <w:i/>
          <w:iCs/>
          <w:lang w:val="en-GB"/>
        </w:rPr>
        <w:t>[Refer to Appendix 1]</w:t>
      </w:r>
      <w:r w:rsidR="00E76D48" w:rsidRPr="00D52564">
        <w:rPr>
          <w:rFonts w:ascii="Arial" w:hAnsi="Arial"/>
          <w:lang w:val="en-GB"/>
        </w:rPr>
        <w:t>. This is supported by the positive NPV and higher profitability of project C, which will improve the profitability of the company without it taking on unnecessary investment risk.</w:t>
      </w:r>
      <w:r w:rsidR="00A80FDE" w:rsidRPr="00D52564">
        <w:rPr>
          <w:rFonts w:ascii="Arial" w:hAnsi="Arial"/>
          <w:lang w:val="en-GB"/>
        </w:rPr>
        <w:t xml:space="preserve"> On the other hand, </w:t>
      </w:r>
      <w:r w:rsidR="00360866" w:rsidRPr="00D52564">
        <w:rPr>
          <w:rFonts w:ascii="Arial" w:hAnsi="Arial"/>
          <w:lang w:val="en-GB"/>
        </w:rPr>
        <w:t xml:space="preserve">political and economic uncertainties </w:t>
      </w:r>
      <w:r w:rsidR="000E054E" w:rsidRPr="00D52564">
        <w:rPr>
          <w:rFonts w:ascii="Arial" w:hAnsi="Arial"/>
          <w:lang w:val="en-GB"/>
        </w:rPr>
        <w:t xml:space="preserve">in the international markets, such as changing regulations, inflation and exchange rate volatility, are areas in which Wyndham will need to be cautious from a non-financial point of view. The project is also expected to be successful due to the company's strong focus on customer satisfaction, both within its service quality management and with its Wyndham Rewards programme, alongside digital innovations which will allow </w:t>
      </w:r>
      <w:r w:rsidR="00360866" w:rsidRPr="00D52564">
        <w:rPr>
          <w:rFonts w:ascii="Arial" w:hAnsi="Arial"/>
          <w:lang w:val="en-GB"/>
        </w:rPr>
        <w:t>the company's competitive offering to strengthen its position in the international hospitality market</w:t>
      </w:r>
      <w:r w:rsidR="000E054E" w:rsidRPr="00D52564">
        <w:rPr>
          <w:rFonts w:ascii="Arial" w:hAnsi="Arial"/>
          <w:lang w:val="en-GB"/>
        </w:rPr>
        <w:t>.</w:t>
      </w:r>
    </w:p>
    <w:p w14:paraId="00000023" w14:textId="2EBAAE13" w:rsidR="003F35A2" w:rsidRPr="00D52564" w:rsidRDefault="00346555" w:rsidP="00D52564">
      <w:pPr>
        <w:pStyle w:val="Heading2"/>
        <w:spacing w:before="240" w:after="240"/>
        <w:rPr>
          <w:rFonts w:ascii="Arial" w:hAnsi="Arial"/>
          <w:sz w:val="24"/>
          <w:lang w:val="en-GB"/>
        </w:rPr>
      </w:pPr>
      <w:bookmarkStart w:id="116" w:name="_4k9qivrcofl3" w:colFirst="0" w:colLast="0"/>
      <w:bookmarkStart w:id="117" w:name="_Toc236179788"/>
      <w:bookmarkStart w:id="118" w:name="_Toc236250032"/>
      <w:bookmarkStart w:id="119" w:name="_Toc237532220"/>
      <w:bookmarkEnd w:id="116"/>
      <w:r w:rsidRPr="00D52564">
        <w:rPr>
          <w:rFonts w:ascii="Arial" w:hAnsi="Arial"/>
          <w:sz w:val="24"/>
          <w:lang w:val="en-GB"/>
        </w:rPr>
        <w:t xml:space="preserve">5.7 Capital </w:t>
      </w:r>
      <w:r w:rsidR="00804129" w:rsidRPr="00D52564">
        <w:rPr>
          <w:rFonts w:ascii="Arial" w:hAnsi="Arial"/>
          <w:sz w:val="24"/>
          <w:lang w:val="en-GB"/>
        </w:rPr>
        <w:t>R</w:t>
      </w:r>
      <w:r w:rsidRPr="00D52564">
        <w:rPr>
          <w:rFonts w:ascii="Arial" w:hAnsi="Arial"/>
          <w:sz w:val="24"/>
          <w:lang w:val="en-GB"/>
        </w:rPr>
        <w:t>ationing</w:t>
      </w:r>
      <w:bookmarkEnd w:id="117"/>
      <w:bookmarkEnd w:id="118"/>
      <w:bookmarkEnd w:id="119"/>
      <w:r w:rsidRPr="00D52564">
        <w:rPr>
          <w:rFonts w:ascii="Arial" w:hAnsi="Arial"/>
          <w:sz w:val="24"/>
          <w:lang w:val="en-GB"/>
        </w:rPr>
        <w:t xml:space="preserve"> </w:t>
      </w:r>
    </w:p>
    <w:p w14:paraId="65426F41" w14:textId="7DBD9ED3" w:rsidR="000E054E" w:rsidRPr="00D52564" w:rsidRDefault="000E054E" w:rsidP="00D52564">
      <w:pPr>
        <w:spacing w:before="240" w:after="240"/>
        <w:rPr>
          <w:rFonts w:ascii="Arial" w:hAnsi="Arial"/>
          <w:lang w:val="en-GB"/>
        </w:rPr>
      </w:pPr>
      <w:r w:rsidRPr="00D52564">
        <w:rPr>
          <w:rFonts w:ascii="Arial" w:hAnsi="Arial"/>
          <w:lang w:val="en-GB"/>
        </w:rPr>
        <w:t xml:space="preserve">Capital rationing is the </w:t>
      </w:r>
      <w:r w:rsidR="00360866" w:rsidRPr="00D52564">
        <w:rPr>
          <w:rFonts w:ascii="Arial" w:hAnsi="Arial"/>
          <w:lang w:val="en-GB"/>
        </w:rPr>
        <w:t>allocation of limited investment funds among competing investments to maximise</w:t>
      </w:r>
      <w:r w:rsidRPr="00D52564">
        <w:rPr>
          <w:rFonts w:ascii="Arial" w:hAnsi="Arial"/>
          <w:lang w:val="en-GB"/>
        </w:rPr>
        <w:t xml:space="preserve"> the value of the shareholders' </w:t>
      </w:r>
      <w:r w:rsidR="00A476DC" w:rsidRPr="00D52564">
        <w:rPr>
          <w:rFonts w:ascii="Arial" w:hAnsi="Arial"/>
          <w:lang w:val="en-GB"/>
        </w:rPr>
        <w:t>wealth (Khan, 2024)</w:t>
      </w:r>
      <w:r w:rsidRPr="00D52564">
        <w:rPr>
          <w:rFonts w:ascii="Arial" w:hAnsi="Arial"/>
          <w:lang w:val="en-GB"/>
        </w:rPr>
        <w:t>. The maximum capital budget of Wyndham Hotels &amp; Resorts is £100 million</w:t>
      </w:r>
      <w:r w:rsidR="00A476DC" w:rsidRPr="00D52564">
        <w:rPr>
          <w:rFonts w:ascii="Arial" w:hAnsi="Arial"/>
          <w:lang w:val="en-GB"/>
        </w:rPr>
        <w:t>,</w:t>
      </w:r>
      <w:r w:rsidRPr="00D52564">
        <w:rPr>
          <w:rFonts w:ascii="Arial" w:hAnsi="Arial"/>
          <w:lang w:val="en-GB"/>
        </w:rPr>
        <w:t xml:space="preserve"> and each project </w:t>
      </w:r>
      <w:r w:rsidR="00A476DC" w:rsidRPr="00D52564">
        <w:rPr>
          <w:rFonts w:ascii="Arial" w:hAnsi="Arial"/>
          <w:lang w:val="en-GB"/>
        </w:rPr>
        <w:lastRenderedPageBreak/>
        <w:t>has</w:t>
      </w:r>
      <w:r w:rsidRPr="00D52564">
        <w:rPr>
          <w:rFonts w:ascii="Arial" w:hAnsi="Arial"/>
          <w:lang w:val="en-GB"/>
        </w:rPr>
        <w:t xml:space="preserve"> a </w:t>
      </w:r>
      <w:r w:rsidR="00A476DC" w:rsidRPr="00D52564">
        <w:rPr>
          <w:rFonts w:ascii="Arial" w:hAnsi="Arial"/>
          <w:lang w:val="en-GB"/>
        </w:rPr>
        <w:t xml:space="preserve">fixed initial </w:t>
      </w:r>
      <w:r w:rsidRPr="00D52564">
        <w:rPr>
          <w:rFonts w:ascii="Arial" w:hAnsi="Arial"/>
          <w:lang w:val="en-GB"/>
        </w:rPr>
        <w:t>cost of £50 million</w:t>
      </w:r>
      <w:r w:rsidR="00A476DC" w:rsidRPr="00D52564">
        <w:rPr>
          <w:rFonts w:ascii="Arial" w:hAnsi="Arial"/>
          <w:lang w:val="en-GB"/>
        </w:rPr>
        <w:t xml:space="preserve">, which means </w:t>
      </w:r>
      <w:r w:rsidR="00360866" w:rsidRPr="00D52564">
        <w:rPr>
          <w:rFonts w:ascii="Arial" w:hAnsi="Arial"/>
          <w:lang w:val="en-GB"/>
        </w:rPr>
        <w:t xml:space="preserve">the firm can invest in a maximum of two projects </w:t>
      </w:r>
      <w:r w:rsidR="00A476DC" w:rsidRPr="00D52564">
        <w:rPr>
          <w:rFonts w:ascii="Arial" w:hAnsi="Arial"/>
          <w:lang w:val="en-GB"/>
        </w:rPr>
        <w:t xml:space="preserve">while not exceeding </w:t>
      </w:r>
      <w:r w:rsidRPr="00D52564">
        <w:rPr>
          <w:rFonts w:ascii="Arial" w:hAnsi="Arial"/>
          <w:lang w:val="en-GB"/>
        </w:rPr>
        <w:t xml:space="preserve">the investment limit. </w:t>
      </w:r>
      <w:r w:rsidR="00A476DC" w:rsidRPr="00D52564">
        <w:rPr>
          <w:rFonts w:ascii="Arial" w:hAnsi="Arial"/>
          <w:lang w:val="en-GB"/>
        </w:rPr>
        <w:t>However, c</w:t>
      </w:r>
      <w:r w:rsidRPr="00D52564">
        <w:rPr>
          <w:rFonts w:ascii="Arial" w:hAnsi="Arial"/>
          <w:lang w:val="en-GB"/>
        </w:rPr>
        <w:t xml:space="preserve">apital rationing </w:t>
      </w:r>
      <w:r w:rsidR="00A476DC" w:rsidRPr="00D52564">
        <w:rPr>
          <w:rFonts w:ascii="Arial" w:hAnsi="Arial"/>
          <w:lang w:val="en-GB"/>
        </w:rPr>
        <w:t xml:space="preserve">aims </w:t>
      </w:r>
      <w:r w:rsidRPr="00D52564">
        <w:rPr>
          <w:rFonts w:ascii="Arial" w:hAnsi="Arial"/>
          <w:lang w:val="en-GB"/>
        </w:rPr>
        <w:t xml:space="preserve">to </w:t>
      </w:r>
      <w:r w:rsidR="00A476DC" w:rsidRPr="00D52564">
        <w:rPr>
          <w:rFonts w:ascii="Arial" w:hAnsi="Arial"/>
          <w:lang w:val="en-GB"/>
        </w:rPr>
        <w:t xml:space="preserve">offer the maximum </w:t>
      </w:r>
      <w:r w:rsidRPr="00D52564">
        <w:rPr>
          <w:rFonts w:ascii="Arial" w:hAnsi="Arial"/>
          <w:lang w:val="en-GB"/>
        </w:rPr>
        <w:t xml:space="preserve">possible value, </w:t>
      </w:r>
      <w:r w:rsidR="00360866" w:rsidRPr="00D52564">
        <w:rPr>
          <w:rFonts w:ascii="Arial" w:hAnsi="Arial"/>
          <w:lang w:val="en-GB"/>
        </w:rPr>
        <w:t>rather than simply investing the maximum available amount</w:t>
      </w:r>
      <w:r w:rsidRPr="00D52564">
        <w:rPr>
          <w:rFonts w:ascii="Arial" w:hAnsi="Arial"/>
          <w:lang w:val="en-GB"/>
        </w:rPr>
        <w:t xml:space="preserve">, so it would </w:t>
      </w:r>
      <w:r w:rsidR="00A476DC" w:rsidRPr="00D52564">
        <w:rPr>
          <w:rFonts w:ascii="Arial" w:hAnsi="Arial"/>
          <w:lang w:val="en-GB"/>
        </w:rPr>
        <w:t>be suitable for</w:t>
      </w:r>
      <w:r w:rsidRPr="00D52564">
        <w:rPr>
          <w:rFonts w:ascii="Arial" w:hAnsi="Arial"/>
          <w:lang w:val="en-GB"/>
        </w:rPr>
        <w:t xml:space="preserve"> Wyndham to pursue only Project C. </w:t>
      </w:r>
      <w:r w:rsidR="00360866" w:rsidRPr="00D52564">
        <w:rPr>
          <w:rFonts w:ascii="Arial" w:hAnsi="Arial"/>
          <w:lang w:val="en-GB"/>
        </w:rPr>
        <w:t>The remaining £50 million should be retained for future value-creating opportunities, such as hotel brand expansion, digital investment or debt reduction</w:t>
      </w:r>
      <w:r w:rsidRPr="00D52564">
        <w:rPr>
          <w:rFonts w:ascii="Arial" w:hAnsi="Arial"/>
          <w:lang w:val="en-GB"/>
        </w:rPr>
        <w:t>.</w:t>
      </w:r>
    </w:p>
    <w:p w14:paraId="00000024" w14:textId="62756CE3" w:rsidR="003F35A2" w:rsidRPr="00D52564" w:rsidRDefault="00346555" w:rsidP="00D52564">
      <w:pPr>
        <w:pStyle w:val="Heading1"/>
        <w:spacing w:before="240" w:after="240"/>
        <w:rPr>
          <w:rFonts w:ascii="Arial" w:hAnsi="Arial"/>
          <w:sz w:val="24"/>
          <w:lang w:val="en-GB"/>
        </w:rPr>
      </w:pPr>
      <w:bookmarkStart w:id="120" w:name="_55pu833w0n5h" w:colFirst="0" w:colLast="0"/>
      <w:bookmarkStart w:id="121" w:name="_Toc236179789"/>
      <w:bookmarkStart w:id="122" w:name="_Toc236250033"/>
      <w:bookmarkStart w:id="123" w:name="_Toc237532221"/>
      <w:bookmarkEnd w:id="120"/>
      <w:r w:rsidRPr="00D52564">
        <w:rPr>
          <w:rFonts w:ascii="Arial" w:hAnsi="Arial"/>
          <w:sz w:val="24"/>
          <w:lang w:val="en-GB"/>
        </w:rPr>
        <w:t>6. Critical Reflection on AI Usage</w:t>
      </w:r>
      <w:bookmarkEnd w:id="121"/>
      <w:bookmarkEnd w:id="122"/>
      <w:bookmarkEnd w:id="123"/>
    </w:p>
    <w:p w14:paraId="130D7710" w14:textId="2A99288C" w:rsidR="00CC7060" w:rsidRPr="00D52564" w:rsidRDefault="006362BE" w:rsidP="00D52564">
      <w:pPr>
        <w:pStyle w:val="Heading2"/>
        <w:spacing w:before="240" w:after="240"/>
        <w:rPr>
          <w:rFonts w:ascii="Arial" w:hAnsi="Arial"/>
          <w:sz w:val="24"/>
          <w:lang w:val="en-GB"/>
        </w:rPr>
      </w:pPr>
      <w:bookmarkStart w:id="124" w:name="_Toc236250034"/>
      <w:bookmarkStart w:id="125" w:name="_Toc237532222"/>
      <w:r w:rsidRPr="00D52564">
        <w:rPr>
          <w:rFonts w:ascii="Arial" w:hAnsi="Arial"/>
          <w:sz w:val="24"/>
          <w:lang w:val="en-GB"/>
        </w:rPr>
        <w:t>6.1 AI Tools Used</w:t>
      </w:r>
      <w:bookmarkEnd w:id="124"/>
      <w:bookmarkEnd w:id="125"/>
    </w:p>
    <w:p w14:paraId="420D2D63" w14:textId="059ED06B" w:rsidR="00A95F31" w:rsidRPr="00D52564" w:rsidRDefault="00A95F31" w:rsidP="00D52564">
      <w:pPr>
        <w:spacing w:before="240" w:after="240"/>
        <w:rPr>
          <w:rFonts w:ascii="Arial" w:hAnsi="Arial"/>
          <w:lang w:val="en-GB"/>
        </w:rPr>
      </w:pPr>
      <w:r w:rsidRPr="00D52564">
        <w:rPr>
          <w:rFonts w:ascii="Arial" w:hAnsi="Arial"/>
          <w:lang w:val="en-GB"/>
        </w:rPr>
        <w:t xml:space="preserve">AI tools such as ChatGPT and Google Gemini have been used to help me develop this assignment. The use of AI tools has </w:t>
      </w:r>
      <w:r w:rsidR="00360866" w:rsidRPr="00D52564">
        <w:rPr>
          <w:rFonts w:ascii="Arial" w:hAnsi="Arial"/>
          <w:lang w:val="en-GB"/>
        </w:rPr>
        <w:t>helped me improve my efficiency in writing this report and complete it within the given deadline</w:t>
      </w:r>
      <w:r w:rsidRPr="00D52564">
        <w:rPr>
          <w:rFonts w:ascii="Arial" w:hAnsi="Arial"/>
          <w:lang w:val="en-GB"/>
        </w:rPr>
        <w:t xml:space="preserve">. </w:t>
      </w:r>
      <w:r w:rsidR="00360866" w:rsidRPr="00D52564">
        <w:rPr>
          <w:rFonts w:ascii="Arial" w:hAnsi="Arial"/>
          <w:lang w:val="en-GB"/>
        </w:rPr>
        <w:t xml:space="preserve">I asked both ChatGPT and Gemini </w:t>
      </w:r>
      <w:r w:rsidRPr="00D52564">
        <w:rPr>
          <w:rFonts w:ascii="Arial" w:hAnsi="Arial"/>
          <w:lang w:val="en-GB"/>
        </w:rPr>
        <w:t xml:space="preserve">to suggest a structure for the report based on the given assignment brief. After getting the results from both platforms, I have compared and contrasted them to create the structure currently used in the report. Apart from this, the AI platforms have also helped me with </w:t>
      </w:r>
      <w:r w:rsidR="00360866" w:rsidRPr="00D52564">
        <w:rPr>
          <w:rFonts w:ascii="Arial" w:hAnsi="Arial"/>
          <w:lang w:val="en-GB"/>
        </w:rPr>
        <w:t xml:space="preserve">ideas for designing the calculation tables </w:t>
      </w:r>
      <w:r w:rsidRPr="00D52564">
        <w:rPr>
          <w:rFonts w:ascii="Arial" w:hAnsi="Arial"/>
          <w:lang w:val="en-GB"/>
        </w:rPr>
        <w:t xml:space="preserve">in Excel alongside suggesting certain formulas. </w:t>
      </w:r>
    </w:p>
    <w:p w14:paraId="56FA447C" w14:textId="6388B52E" w:rsidR="006362BE" w:rsidRPr="00D52564" w:rsidRDefault="006362BE" w:rsidP="00D52564">
      <w:pPr>
        <w:pStyle w:val="Heading2"/>
        <w:spacing w:before="240" w:after="240"/>
        <w:rPr>
          <w:rFonts w:ascii="Arial" w:hAnsi="Arial"/>
          <w:sz w:val="24"/>
          <w:lang w:val="en-GB"/>
        </w:rPr>
      </w:pPr>
      <w:bookmarkStart w:id="126" w:name="_Toc236250035"/>
      <w:bookmarkStart w:id="127" w:name="_Toc237532223"/>
      <w:r w:rsidRPr="00D52564">
        <w:rPr>
          <w:rFonts w:ascii="Arial" w:hAnsi="Arial"/>
          <w:sz w:val="24"/>
          <w:lang w:val="en-GB"/>
        </w:rPr>
        <w:t>6.2 Evaluation of AI Output</w:t>
      </w:r>
      <w:bookmarkEnd w:id="126"/>
      <w:bookmarkEnd w:id="127"/>
    </w:p>
    <w:p w14:paraId="1657BF48" w14:textId="1FBD29EC" w:rsidR="00A95F31" w:rsidRPr="00D52564" w:rsidRDefault="00A95F31" w:rsidP="00D52564">
      <w:pPr>
        <w:spacing w:before="240" w:after="240"/>
        <w:rPr>
          <w:rFonts w:ascii="Arial" w:hAnsi="Arial"/>
          <w:lang w:val="en-GB"/>
        </w:rPr>
      </w:pPr>
      <w:r w:rsidRPr="00D52564">
        <w:rPr>
          <w:rFonts w:ascii="Arial" w:hAnsi="Arial"/>
          <w:lang w:val="en-GB"/>
        </w:rPr>
        <w:t xml:space="preserve">Despite the fact that AI implementation has led to the enhancement of research and writing efficiency, a strong critical evaluation of the given outputs by ChatGPT and Gemini has been performed. I have matched the criteria stated in the brief with the report structure presented to me by both AI platforms. This has helped me to </w:t>
      </w:r>
      <w:r w:rsidR="00360866" w:rsidRPr="00D52564">
        <w:rPr>
          <w:rFonts w:ascii="Arial" w:hAnsi="Arial"/>
          <w:lang w:val="en-GB"/>
        </w:rPr>
        <w:t xml:space="preserve">develop my own report structure </w:t>
      </w:r>
      <w:r w:rsidRPr="00D52564">
        <w:rPr>
          <w:rFonts w:ascii="Arial" w:hAnsi="Arial"/>
          <w:lang w:val="en-GB"/>
        </w:rPr>
        <w:t>for this assignment</w:t>
      </w:r>
      <w:r w:rsidR="00704D97" w:rsidRPr="00D52564">
        <w:rPr>
          <w:rFonts w:ascii="Arial" w:hAnsi="Arial"/>
          <w:lang w:val="en-GB"/>
        </w:rPr>
        <w:t>,</w:t>
      </w:r>
      <w:r w:rsidRPr="00D52564">
        <w:rPr>
          <w:rFonts w:ascii="Arial" w:hAnsi="Arial"/>
          <w:lang w:val="en-GB"/>
        </w:rPr>
        <w:t xml:space="preserve"> </w:t>
      </w:r>
      <w:r w:rsidR="00360866" w:rsidRPr="00D52564">
        <w:rPr>
          <w:rFonts w:ascii="Arial" w:hAnsi="Arial"/>
          <w:lang w:val="en-GB"/>
        </w:rPr>
        <w:t>which was informed by AI-generated suggestions</w:t>
      </w:r>
      <w:r w:rsidRPr="00D52564">
        <w:rPr>
          <w:rFonts w:ascii="Arial" w:hAnsi="Arial"/>
          <w:lang w:val="en-GB"/>
        </w:rPr>
        <w:t xml:space="preserve">. </w:t>
      </w:r>
      <w:r w:rsidR="00704D97" w:rsidRPr="00D52564">
        <w:rPr>
          <w:rFonts w:ascii="Arial" w:hAnsi="Arial"/>
          <w:lang w:val="en-GB"/>
        </w:rPr>
        <w:t xml:space="preserve">In addition to this, I have also used AI for reviewing my calculations related to ratio analysis, investment appraisal and cash operating cycles. This helped me to provide accurate results in each section as </w:t>
      </w:r>
      <w:r w:rsidR="00360866" w:rsidRPr="00D52564">
        <w:rPr>
          <w:rFonts w:ascii="Arial" w:hAnsi="Arial"/>
          <w:lang w:val="en-GB"/>
        </w:rPr>
        <w:t>the calculations were checked for accuracy</w:t>
      </w:r>
      <w:r w:rsidR="00704D97" w:rsidRPr="00D52564">
        <w:rPr>
          <w:rFonts w:ascii="Arial" w:hAnsi="Arial"/>
          <w:lang w:val="en-GB"/>
        </w:rPr>
        <w:t xml:space="preserve">. However, AI sometimes offered generic suggestions, which </w:t>
      </w:r>
      <w:r w:rsidR="00360866" w:rsidRPr="00D52564">
        <w:rPr>
          <w:rFonts w:ascii="Arial" w:hAnsi="Arial"/>
          <w:lang w:val="en-GB"/>
        </w:rPr>
        <w:t>were not sufficiently tailored to Wyndham's asset-light franchise business model</w:t>
      </w:r>
      <w:r w:rsidR="00704D97" w:rsidRPr="00D52564">
        <w:rPr>
          <w:rFonts w:ascii="Arial" w:hAnsi="Arial"/>
          <w:lang w:val="en-GB"/>
        </w:rPr>
        <w:t xml:space="preserve">. These responses were further developed through the inclusion of company-specific information and academic research. Thus, it can be stated that AI has been used as an assistive application for researching </w:t>
      </w:r>
      <w:r w:rsidR="00704D97" w:rsidRPr="00D52564">
        <w:rPr>
          <w:rFonts w:ascii="Arial" w:hAnsi="Arial"/>
          <w:lang w:val="en-GB"/>
        </w:rPr>
        <w:lastRenderedPageBreak/>
        <w:t>content and drafting it, but not as a replacement for sound financial analysis, which ensured that the final conclusions were fact-based, logical and supported by reliable financial data.</w:t>
      </w:r>
    </w:p>
    <w:p w14:paraId="0147B591" w14:textId="0D8200F2" w:rsidR="006362BE" w:rsidRPr="00D52564" w:rsidRDefault="006362BE" w:rsidP="00D52564">
      <w:pPr>
        <w:pStyle w:val="Heading2"/>
        <w:spacing w:before="240" w:after="240"/>
        <w:rPr>
          <w:rFonts w:ascii="Arial" w:hAnsi="Arial"/>
          <w:sz w:val="24"/>
          <w:lang w:val="en-GB"/>
        </w:rPr>
      </w:pPr>
      <w:bookmarkStart w:id="128" w:name="_Toc236250036"/>
      <w:bookmarkStart w:id="129" w:name="_Toc237532224"/>
      <w:r w:rsidRPr="00D52564">
        <w:rPr>
          <w:rFonts w:ascii="Arial" w:hAnsi="Arial"/>
          <w:sz w:val="24"/>
          <w:lang w:val="en-GB"/>
        </w:rPr>
        <w:t>6.3 Contribution Analysis</w:t>
      </w:r>
      <w:bookmarkEnd w:id="128"/>
      <w:bookmarkEnd w:id="129"/>
    </w:p>
    <w:p w14:paraId="44B29060" w14:textId="231960AD" w:rsidR="00502965" w:rsidRPr="00D52564" w:rsidRDefault="00360866" w:rsidP="00D52564">
      <w:pPr>
        <w:spacing w:before="240" w:after="240"/>
        <w:rPr>
          <w:rFonts w:ascii="Arial" w:hAnsi="Arial"/>
          <w:lang w:val="en-GB"/>
        </w:rPr>
      </w:pPr>
      <w:r w:rsidRPr="00D52564">
        <w:rPr>
          <w:rFonts w:ascii="Arial" w:hAnsi="Arial"/>
          <w:lang w:val="en-GB"/>
        </w:rPr>
        <w:t>AI was mainly used to create an outline for the report, explain financial concepts, clarify written content, and identify potentially relevant academic and industry sources</w:t>
      </w:r>
      <w:r w:rsidR="00502965" w:rsidRPr="00D52564">
        <w:rPr>
          <w:rFonts w:ascii="Arial" w:hAnsi="Arial"/>
          <w:lang w:val="en-GB"/>
        </w:rPr>
        <w:t xml:space="preserve">. </w:t>
      </w:r>
      <w:r w:rsidRPr="00D52564">
        <w:rPr>
          <w:rFonts w:ascii="Arial" w:hAnsi="Arial"/>
          <w:lang w:val="en-GB"/>
        </w:rPr>
        <w:t xml:space="preserve">For the original contribution, I gathered the financial data </w:t>
      </w:r>
      <w:r w:rsidR="00502965" w:rsidRPr="00D52564">
        <w:rPr>
          <w:rFonts w:ascii="Arial" w:hAnsi="Arial"/>
          <w:lang w:val="en-GB"/>
        </w:rPr>
        <w:t xml:space="preserve">from Wyndham Hotels &amp; Resorts' annual reports, performed cash operating cycle calculations and </w:t>
      </w:r>
      <w:r w:rsidR="001E71EE" w:rsidRPr="00D52564">
        <w:rPr>
          <w:rFonts w:ascii="Arial" w:hAnsi="Arial"/>
          <w:lang w:val="en-GB"/>
        </w:rPr>
        <w:t xml:space="preserve">financial ratio calculations </w:t>
      </w:r>
      <w:r w:rsidR="00502965" w:rsidRPr="00D52564">
        <w:rPr>
          <w:rFonts w:ascii="Arial" w:hAnsi="Arial"/>
          <w:lang w:val="en-GB"/>
        </w:rPr>
        <w:t xml:space="preserve">with Microsoft Excel, </w:t>
      </w:r>
      <w:r w:rsidR="001E71EE" w:rsidRPr="00D52564">
        <w:rPr>
          <w:rFonts w:ascii="Arial" w:hAnsi="Arial"/>
          <w:lang w:val="en-GB"/>
        </w:rPr>
        <w:t xml:space="preserve">analysed the cash operating cycle and performed investment appraisal calculations </w:t>
      </w:r>
      <w:r w:rsidR="00502965" w:rsidRPr="00D52564">
        <w:rPr>
          <w:rFonts w:ascii="Arial" w:hAnsi="Arial"/>
          <w:lang w:val="en-GB"/>
        </w:rPr>
        <w:t xml:space="preserve">in Microsoft Excel and </w:t>
      </w:r>
      <w:r w:rsidR="001E71EE" w:rsidRPr="00D52564">
        <w:rPr>
          <w:rFonts w:ascii="Arial" w:hAnsi="Arial"/>
          <w:lang w:val="en-GB"/>
        </w:rPr>
        <w:t>interpreted the financial analysis results and developed the strategic recommendations</w:t>
      </w:r>
      <w:r w:rsidR="00502965" w:rsidRPr="00D52564">
        <w:rPr>
          <w:rFonts w:ascii="Arial" w:hAnsi="Arial"/>
          <w:lang w:val="en-GB"/>
        </w:rPr>
        <w:t xml:space="preserve">. The final analysis and evaluation of financial performance, restructuring proposals and investment recommendations were independently </w:t>
      </w:r>
      <w:r w:rsidR="001E71EE" w:rsidRPr="00D52564">
        <w:rPr>
          <w:rFonts w:ascii="Arial" w:hAnsi="Arial"/>
          <w:lang w:val="en-GB"/>
        </w:rPr>
        <w:t xml:space="preserve">were independently developed and went beyond </w:t>
      </w:r>
      <w:r w:rsidR="00502965" w:rsidRPr="00D52564">
        <w:rPr>
          <w:rFonts w:ascii="Arial" w:hAnsi="Arial"/>
          <w:lang w:val="en-GB"/>
        </w:rPr>
        <w:t>mere outputs produced by AI, covering a critical analysis of the company's financial statements, industry conditions and appropriate financial management theories.</w:t>
      </w:r>
    </w:p>
    <w:p w14:paraId="6EC897C2" w14:textId="0DED51DC" w:rsidR="007A50A3" w:rsidRPr="00D52564" w:rsidRDefault="006362BE" w:rsidP="00D52564">
      <w:pPr>
        <w:pStyle w:val="Heading2"/>
        <w:spacing w:before="240" w:after="240"/>
        <w:rPr>
          <w:rFonts w:ascii="Arial" w:hAnsi="Arial"/>
          <w:sz w:val="24"/>
          <w:lang w:val="en-GB"/>
        </w:rPr>
      </w:pPr>
      <w:bookmarkStart w:id="130" w:name="_Toc236250037"/>
      <w:bookmarkStart w:id="131" w:name="_Toc237532225"/>
      <w:r w:rsidRPr="00D52564">
        <w:rPr>
          <w:rFonts w:ascii="Arial" w:hAnsi="Arial"/>
          <w:sz w:val="24"/>
          <w:lang w:val="en-GB"/>
        </w:rPr>
        <w:t>6.4 Ethical and Professional Reflection</w:t>
      </w:r>
      <w:bookmarkEnd w:id="130"/>
      <w:bookmarkEnd w:id="131"/>
    </w:p>
    <w:p w14:paraId="6D736944" w14:textId="0B45B8B3" w:rsidR="00704D97" w:rsidRPr="00D52564" w:rsidRDefault="006C1D87" w:rsidP="00D52564">
      <w:pPr>
        <w:spacing w:before="240" w:after="240"/>
        <w:rPr>
          <w:rFonts w:ascii="Arial" w:hAnsi="Arial"/>
          <w:lang w:val="en-IN"/>
        </w:rPr>
      </w:pPr>
      <w:r w:rsidRPr="00D52564">
        <w:rPr>
          <w:rFonts w:ascii="Arial" w:hAnsi="Arial"/>
          <w:lang w:val="en-IN"/>
        </w:rPr>
        <w:t xml:space="preserve">In recent times, </w:t>
      </w:r>
      <w:r w:rsidR="00502965" w:rsidRPr="00D52564">
        <w:rPr>
          <w:rFonts w:ascii="Arial" w:hAnsi="Arial"/>
          <w:lang w:val="en-IN"/>
        </w:rPr>
        <w:t xml:space="preserve">AI tools </w:t>
      </w:r>
      <w:r w:rsidRPr="00D52564">
        <w:rPr>
          <w:rFonts w:ascii="Arial" w:hAnsi="Arial"/>
          <w:lang w:val="en-IN"/>
        </w:rPr>
        <w:t xml:space="preserve">have been contributing significantly toward </w:t>
      </w:r>
      <w:r w:rsidR="00502965" w:rsidRPr="00D52564">
        <w:rPr>
          <w:rFonts w:ascii="Arial" w:hAnsi="Arial"/>
          <w:lang w:val="en-IN"/>
        </w:rPr>
        <w:t xml:space="preserve">financial </w:t>
      </w:r>
      <w:r w:rsidRPr="00D52564">
        <w:rPr>
          <w:rFonts w:ascii="Arial" w:hAnsi="Arial"/>
          <w:lang w:val="en-IN"/>
        </w:rPr>
        <w:t xml:space="preserve">analysis and financial management in terms of </w:t>
      </w:r>
      <w:r w:rsidR="00502965" w:rsidRPr="00D52564">
        <w:rPr>
          <w:rFonts w:ascii="Arial" w:hAnsi="Arial"/>
          <w:lang w:val="en-IN"/>
        </w:rPr>
        <w:t xml:space="preserve">efficiency, data </w:t>
      </w:r>
      <w:r w:rsidRPr="00D52564">
        <w:rPr>
          <w:rFonts w:ascii="Arial" w:hAnsi="Arial"/>
          <w:lang w:val="en-IN"/>
        </w:rPr>
        <w:t xml:space="preserve">analysis </w:t>
      </w:r>
      <w:r w:rsidR="00502965" w:rsidRPr="00D52564">
        <w:rPr>
          <w:rFonts w:ascii="Arial" w:hAnsi="Arial"/>
          <w:lang w:val="en-IN"/>
        </w:rPr>
        <w:t xml:space="preserve">and </w:t>
      </w:r>
      <w:r w:rsidRPr="00D52564">
        <w:rPr>
          <w:rFonts w:ascii="Arial" w:hAnsi="Arial"/>
          <w:lang w:val="en-IN"/>
        </w:rPr>
        <w:t>helping</w:t>
      </w:r>
      <w:r w:rsidR="00502965" w:rsidRPr="00D52564">
        <w:rPr>
          <w:rFonts w:ascii="Arial" w:hAnsi="Arial"/>
          <w:lang w:val="en-IN"/>
        </w:rPr>
        <w:t xml:space="preserve"> with information retrieval. </w:t>
      </w:r>
      <w:r w:rsidRPr="00D52564">
        <w:rPr>
          <w:rFonts w:ascii="Arial" w:hAnsi="Arial"/>
          <w:lang w:val="en-IN"/>
        </w:rPr>
        <w:t xml:space="preserve">However, </w:t>
      </w:r>
      <w:r w:rsidR="001E71EE" w:rsidRPr="00D52564">
        <w:rPr>
          <w:rFonts w:ascii="Arial" w:hAnsi="Arial"/>
          <w:lang w:val="en-IN"/>
        </w:rPr>
        <w:t xml:space="preserve">excessive use or overreliance on AI tools </w:t>
      </w:r>
      <w:r w:rsidR="00502965" w:rsidRPr="00D52564">
        <w:rPr>
          <w:rFonts w:ascii="Arial" w:hAnsi="Arial"/>
          <w:lang w:val="en-IN"/>
        </w:rPr>
        <w:t xml:space="preserve">and </w:t>
      </w:r>
      <w:r w:rsidRPr="00D52564">
        <w:rPr>
          <w:rFonts w:ascii="Arial" w:hAnsi="Arial"/>
          <w:lang w:val="en-IN"/>
        </w:rPr>
        <w:t>their</w:t>
      </w:r>
      <w:r w:rsidR="00502965" w:rsidRPr="00D52564">
        <w:rPr>
          <w:rFonts w:ascii="Arial" w:hAnsi="Arial"/>
          <w:lang w:val="en-IN"/>
        </w:rPr>
        <w:t xml:space="preserve"> outputs </w:t>
      </w:r>
      <w:r w:rsidR="001E71EE" w:rsidRPr="00D52564">
        <w:rPr>
          <w:rFonts w:ascii="Arial" w:hAnsi="Arial"/>
          <w:lang w:val="en-IN"/>
        </w:rPr>
        <w:t>may reduce the comprehensiveness and quality of a study as AI outputs cannot replace professional judgement</w:t>
      </w:r>
      <w:r w:rsidR="00502965" w:rsidRPr="00D52564">
        <w:rPr>
          <w:rFonts w:ascii="Arial" w:hAnsi="Arial"/>
          <w:lang w:val="en-IN"/>
        </w:rPr>
        <w:t xml:space="preserve">. </w:t>
      </w:r>
      <w:r w:rsidRPr="00D52564">
        <w:rPr>
          <w:rFonts w:ascii="Arial" w:hAnsi="Arial"/>
          <w:lang w:val="en-IN"/>
        </w:rPr>
        <w:t>Financial analysis and financial management</w:t>
      </w:r>
      <w:r w:rsidR="00502965" w:rsidRPr="00D52564">
        <w:rPr>
          <w:rFonts w:ascii="Arial" w:hAnsi="Arial"/>
          <w:lang w:val="en-IN"/>
        </w:rPr>
        <w:t xml:space="preserve"> </w:t>
      </w:r>
      <w:r w:rsidRPr="00D52564">
        <w:rPr>
          <w:rFonts w:ascii="Arial" w:hAnsi="Arial"/>
          <w:lang w:val="en-IN"/>
        </w:rPr>
        <w:t>require transparency</w:t>
      </w:r>
      <w:r w:rsidR="00502965" w:rsidRPr="00D52564">
        <w:rPr>
          <w:rFonts w:ascii="Arial" w:hAnsi="Arial"/>
          <w:lang w:val="en-IN"/>
        </w:rPr>
        <w:t xml:space="preserve"> and </w:t>
      </w:r>
      <w:r w:rsidRPr="00D52564">
        <w:rPr>
          <w:rFonts w:ascii="Arial" w:hAnsi="Arial"/>
          <w:lang w:val="en-IN"/>
        </w:rPr>
        <w:t>responsibility</w:t>
      </w:r>
      <w:r w:rsidR="00502965" w:rsidRPr="00D52564">
        <w:rPr>
          <w:rFonts w:ascii="Arial" w:hAnsi="Arial"/>
          <w:lang w:val="en-IN"/>
        </w:rPr>
        <w:t xml:space="preserve"> in </w:t>
      </w:r>
      <w:r w:rsidRPr="00D52564">
        <w:rPr>
          <w:rFonts w:ascii="Arial" w:hAnsi="Arial"/>
          <w:lang w:val="en-IN"/>
        </w:rPr>
        <w:t>terms of</w:t>
      </w:r>
      <w:r w:rsidR="00502965" w:rsidRPr="00D52564">
        <w:rPr>
          <w:rFonts w:ascii="Arial" w:hAnsi="Arial"/>
          <w:lang w:val="en-IN"/>
        </w:rPr>
        <w:t xml:space="preserve"> AI</w:t>
      </w:r>
      <w:r w:rsidRPr="00D52564">
        <w:rPr>
          <w:rFonts w:ascii="Arial" w:hAnsi="Arial"/>
          <w:lang w:val="en-IN"/>
        </w:rPr>
        <w:t xml:space="preserve"> usage</w:t>
      </w:r>
      <w:r w:rsidR="00502965" w:rsidRPr="00D52564">
        <w:rPr>
          <w:rFonts w:ascii="Arial" w:hAnsi="Arial"/>
          <w:lang w:val="en-IN"/>
        </w:rPr>
        <w:t xml:space="preserve">, </w:t>
      </w:r>
      <w:r w:rsidRPr="00D52564">
        <w:rPr>
          <w:rFonts w:ascii="Arial" w:hAnsi="Arial"/>
          <w:lang w:val="en-IN"/>
        </w:rPr>
        <w:t xml:space="preserve">alongside </w:t>
      </w:r>
      <w:r w:rsidR="00502965" w:rsidRPr="00D52564">
        <w:rPr>
          <w:rFonts w:ascii="Arial" w:hAnsi="Arial"/>
          <w:lang w:val="en-IN"/>
        </w:rPr>
        <w:t>safeguard</w:t>
      </w:r>
      <w:r w:rsidRPr="00D52564">
        <w:rPr>
          <w:rFonts w:ascii="Arial" w:hAnsi="Arial"/>
          <w:lang w:val="en-IN"/>
        </w:rPr>
        <w:t xml:space="preserve">ing </w:t>
      </w:r>
      <w:r w:rsidR="00502965" w:rsidRPr="00D52564">
        <w:rPr>
          <w:rFonts w:ascii="Arial" w:hAnsi="Arial"/>
          <w:lang w:val="en-IN"/>
        </w:rPr>
        <w:t>sensitive financial data against unauthorised access and adher</w:t>
      </w:r>
      <w:r w:rsidRPr="00D52564">
        <w:rPr>
          <w:rFonts w:ascii="Arial" w:hAnsi="Arial"/>
          <w:lang w:val="en-IN"/>
        </w:rPr>
        <w:t xml:space="preserve">ing </w:t>
      </w:r>
      <w:r w:rsidR="00502965" w:rsidRPr="00D52564">
        <w:rPr>
          <w:rFonts w:ascii="Arial" w:hAnsi="Arial"/>
          <w:lang w:val="en-IN"/>
        </w:rPr>
        <w:t xml:space="preserve">to data privacy and corporate governance regulations. </w:t>
      </w:r>
      <w:r w:rsidRPr="00D52564">
        <w:rPr>
          <w:rFonts w:ascii="Arial" w:hAnsi="Arial"/>
          <w:lang w:val="en-IN"/>
        </w:rPr>
        <w:t xml:space="preserve">For this reason, the </w:t>
      </w:r>
      <w:r w:rsidR="00502965" w:rsidRPr="00D52564">
        <w:rPr>
          <w:rFonts w:ascii="Arial" w:hAnsi="Arial"/>
          <w:lang w:val="en-IN"/>
        </w:rPr>
        <w:t xml:space="preserve">AI-generated information </w:t>
      </w:r>
      <w:r w:rsidRPr="00D52564">
        <w:rPr>
          <w:rFonts w:ascii="Arial" w:hAnsi="Arial"/>
          <w:lang w:val="en-IN"/>
        </w:rPr>
        <w:t xml:space="preserve">in this study has been </w:t>
      </w:r>
      <w:r w:rsidR="00502965" w:rsidRPr="00D52564">
        <w:rPr>
          <w:rFonts w:ascii="Arial" w:hAnsi="Arial"/>
          <w:lang w:val="en-IN"/>
        </w:rPr>
        <w:t xml:space="preserve">independently verified using reliable sources before </w:t>
      </w:r>
      <w:r w:rsidRPr="00D52564">
        <w:rPr>
          <w:rFonts w:ascii="Arial" w:hAnsi="Arial"/>
          <w:lang w:val="en-IN"/>
        </w:rPr>
        <w:t xml:space="preserve">they were incorporated in this study, </w:t>
      </w:r>
      <w:r w:rsidR="001E71EE" w:rsidRPr="00D52564">
        <w:rPr>
          <w:rFonts w:ascii="Arial" w:hAnsi="Arial"/>
          <w:lang w:val="en-IN"/>
        </w:rPr>
        <w:t>which helped maintain ethical decision-making standards</w:t>
      </w:r>
      <w:r w:rsidR="00502965" w:rsidRPr="00D52564">
        <w:rPr>
          <w:rFonts w:ascii="Arial" w:hAnsi="Arial"/>
          <w:lang w:val="en-IN"/>
        </w:rPr>
        <w:t xml:space="preserve">. </w:t>
      </w:r>
      <w:r w:rsidR="00E26F66" w:rsidRPr="00D52564">
        <w:rPr>
          <w:rFonts w:ascii="Arial" w:hAnsi="Arial"/>
          <w:lang w:val="en-IN"/>
        </w:rPr>
        <w:t>It can be said, then, that human oversight and critical thinking play a part in ensuring that AI plays its intended role, rather than replacing, human financial judgement and accountability.</w:t>
      </w:r>
    </w:p>
    <w:p w14:paraId="00000025" w14:textId="4D7EEDC0" w:rsidR="003F35A2" w:rsidRPr="00D52564" w:rsidRDefault="00346555" w:rsidP="00D52564">
      <w:pPr>
        <w:pStyle w:val="Heading1"/>
        <w:spacing w:before="240" w:after="240"/>
        <w:rPr>
          <w:rFonts w:ascii="Arial" w:hAnsi="Arial"/>
          <w:sz w:val="24"/>
          <w:lang w:val="en-GB"/>
        </w:rPr>
      </w:pPr>
      <w:bookmarkStart w:id="132" w:name="_r14qc9r3keoe" w:colFirst="0" w:colLast="0"/>
      <w:bookmarkStart w:id="133" w:name="_Toc236179790"/>
      <w:bookmarkStart w:id="134" w:name="_Toc236250038"/>
      <w:bookmarkStart w:id="135" w:name="_Toc237532226"/>
      <w:bookmarkEnd w:id="132"/>
      <w:r w:rsidRPr="00D52564">
        <w:rPr>
          <w:rFonts w:ascii="Arial" w:hAnsi="Arial"/>
          <w:sz w:val="24"/>
          <w:lang w:val="en-GB"/>
        </w:rPr>
        <w:lastRenderedPageBreak/>
        <w:t>7. Conclusion</w:t>
      </w:r>
      <w:bookmarkEnd w:id="133"/>
      <w:bookmarkEnd w:id="134"/>
      <w:bookmarkEnd w:id="135"/>
    </w:p>
    <w:p w14:paraId="74632FA8" w14:textId="67E93BCC" w:rsidR="00404AB0" w:rsidRPr="00D52564" w:rsidRDefault="00E26F66" w:rsidP="00D52564">
      <w:pPr>
        <w:spacing w:before="240" w:after="240"/>
        <w:rPr>
          <w:rFonts w:ascii="Arial" w:hAnsi="Arial"/>
          <w:lang w:val="en-GB"/>
        </w:rPr>
      </w:pPr>
      <w:r w:rsidRPr="00D52564">
        <w:rPr>
          <w:rFonts w:ascii="Arial" w:hAnsi="Arial"/>
          <w:lang w:val="en-GB"/>
        </w:rPr>
        <w:t xml:space="preserve">The results of this study indicated that Wyndham Hotels and Resorts have maintained a constant revenue and profit generation during the period of the study, and also had positive cash flow as they have adopted a franchise business model. The company, however, had a significant leverage during the past 5 years despite weak liquidity. Therefore, the study presented some recommendations that the company can take to lower its leverage and enhance its liquidity by injecting equity and selling the non-performing assets of the firm. </w:t>
      </w:r>
      <w:r w:rsidR="00BB6980" w:rsidRPr="00D52564">
        <w:rPr>
          <w:rFonts w:ascii="Arial" w:hAnsi="Arial"/>
          <w:lang w:val="en-GB"/>
        </w:rPr>
        <w:t xml:space="preserve">In addition to this, the study also proposed </w:t>
      </w:r>
      <w:r w:rsidR="001E71EE" w:rsidRPr="00D52564">
        <w:rPr>
          <w:rFonts w:ascii="Arial" w:hAnsi="Arial"/>
          <w:lang w:val="en-GB"/>
        </w:rPr>
        <w:t>selecting Project C from the three available investment options</w:t>
      </w:r>
      <w:r w:rsidR="00BB6980" w:rsidRPr="00D52564">
        <w:rPr>
          <w:rFonts w:ascii="Arial" w:hAnsi="Arial"/>
          <w:lang w:val="en-GB"/>
        </w:rPr>
        <w:t xml:space="preserve">, as </w:t>
      </w:r>
      <w:r w:rsidR="001E71EE" w:rsidRPr="00D52564">
        <w:rPr>
          <w:rFonts w:ascii="Arial" w:hAnsi="Arial"/>
          <w:lang w:val="en-GB"/>
        </w:rPr>
        <w:t>Project C had the highest ARR, IRR and PI, a positive NPV, and a shorter payback period than the alternatives</w:t>
      </w:r>
      <w:r w:rsidR="00BB6980" w:rsidRPr="00D52564">
        <w:rPr>
          <w:rFonts w:ascii="Arial" w:hAnsi="Arial"/>
          <w:lang w:val="en-GB"/>
        </w:rPr>
        <w:t xml:space="preserve">. </w:t>
      </w:r>
      <w:r w:rsidR="001E71EE" w:rsidRPr="00D52564">
        <w:rPr>
          <w:rFonts w:ascii="Arial" w:hAnsi="Arial"/>
          <w:lang w:val="en-GB"/>
        </w:rPr>
        <w:t xml:space="preserve">Overall, the study presented recommendations </w:t>
      </w:r>
      <w:r w:rsidR="00BB6980" w:rsidRPr="00D52564">
        <w:rPr>
          <w:rFonts w:ascii="Arial" w:hAnsi="Arial"/>
          <w:lang w:val="en-GB"/>
        </w:rPr>
        <w:t xml:space="preserve">that are specific to Wyndham Hotels and Resorts in terms of </w:t>
      </w:r>
      <w:r w:rsidR="006959E9" w:rsidRPr="00D52564">
        <w:rPr>
          <w:rFonts w:ascii="Arial" w:hAnsi="Arial"/>
        </w:rPr>
        <w:t>support</w:t>
      </w:r>
      <w:r w:rsidR="00BB6980" w:rsidRPr="00D52564">
        <w:rPr>
          <w:rFonts w:ascii="Arial" w:hAnsi="Arial"/>
        </w:rPr>
        <w:t xml:space="preserve">ing its </w:t>
      </w:r>
      <w:r w:rsidR="006959E9" w:rsidRPr="00D52564">
        <w:rPr>
          <w:rFonts w:ascii="Arial" w:hAnsi="Arial"/>
        </w:rPr>
        <w:t>sustainable long-term growth while enhancing shareholder value and maintaining competitiveness in the global hospitality industry.</w:t>
      </w:r>
      <w:bookmarkStart w:id="136" w:name="_6eov5pz0uvzp" w:colFirst="0" w:colLast="0"/>
      <w:bookmarkEnd w:id="136"/>
    </w:p>
    <w:p w14:paraId="1D13E291" w14:textId="46959ADF" w:rsidR="0040660A" w:rsidRPr="00D52564" w:rsidRDefault="00AA027D" w:rsidP="00D52564">
      <w:pPr>
        <w:pStyle w:val="Heading1"/>
        <w:spacing w:before="240" w:after="240"/>
        <w:rPr>
          <w:rFonts w:ascii="Arial" w:hAnsi="Arial"/>
          <w:sz w:val="24"/>
          <w:lang w:val="en-GB"/>
        </w:rPr>
      </w:pPr>
      <w:r w:rsidRPr="00D52564">
        <w:rPr>
          <w:rFonts w:ascii="Arial" w:hAnsi="Arial"/>
          <w:sz w:val="24"/>
          <w:lang w:val="en-GB"/>
        </w:rPr>
        <w:br w:type="page"/>
      </w:r>
      <w:bookmarkStart w:id="137" w:name="_Toc236179791"/>
      <w:bookmarkStart w:id="138" w:name="_Toc236250039"/>
      <w:bookmarkStart w:id="139" w:name="_Toc237532227"/>
      <w:r w:rsidR="00346555" w:rsidRPr="00D52564">
        <w:rPr>
          <w:rFonts w:ascii="Arial" w:hAnsi="Arial"/>
          <w:sz w:val="24"/>
          <w:lang w:val="en-GB"/>
        </w:rPr>
        <w:lastRenderedPageBreak/>
        <w:t>References</w:t>
      </w:r>
      <w:bookmarkEnd w:id="137"/>
      <w:bookmarkEnd w:id="138"/>
      <w:bookmarkEnd w:id="139"/>
    </w:p>
    <w:p w14:paraId="1BE5614D" w14:textId="77777777" w:rsidR="00693649" w:rsidRPr="00D52564" w:rsidRDefault="00693649" w:rsidP="00D52564">
      <w:pPr>
        <w:spacing w:before="240" w:after="240"/>
        <w:rPr>
          <w:rFonts w:ascii="Arial" w:hAnsi="Arial"/>
          <w:lang w:val="en-GB"/>
        </w:rPr>
      </w:pPr>
      <w:r w:rsidRPr="00D52564">
        <w:rPr>
          <w:rFonts w:ascii="Arial" w:hAnsi="Arial"/>
          <w:lang w:val="en-GB"/>
        </w:rPr>
        <w:t>Al-Rikabi, N.S. (2021). Profitability index and its impact on short and long-term decisions. </w:t>
      </w:r>
      <w:r w:rsidRPr="00D52564">
        <w:rPr>
          <w:rFonts w:ascii="Arial" w:hAnsi="Arial"/>
          <w:i/>
          <w:iCs/>
          <w:lang w:val="en-GB"/>
        </w:rPr>
        <w:t>Pt. 2 J. Legal Ethical &amp; Regul. Isses</w:t>
      </w:r>
      <w:r w:rsidRPr="00D52564">
        <w:rPr>
          <w:rFonts w:ascii="Arial" w:hAnsi="Arial"/>
          <w:lang w:val="en-GB"/>
        </w:rPr>
        <w:t>, </w:t>
      </w:r>
      <w:r w:rsidRPr="00D52564">
        <w:rPr>
          <w:rFonts w:ascii="Arial" w:hAnsi="Arial"/>
          <w:i/>
          <w:iCs/>
          <w:lang w:val="en-GB"/>
        </w:rPr>
        <w:t>24</w:t>
      </w:r>
      <w:r w:rsidRPr="00D52564">
        <w:rPr>
          <w:rFonts w:ascii="Arial" w:hAnsi="Arial"/>
          <w:lang w:val="en-GB"/>
        </w:rPr>
        <w:t xml:space="preserve">, p.1. </w:t>
      </w:r>
      <w:hyperlink r:id="rId19" w:history="1">
        <w:r w:rsidRPr="00D52564">
          <w:rPr>
            <w:rStyle w:val="Hyperlink"/>
            <w:rFonts w:ascii="Arial" w:hAnsi="Arial"/>
            <w:lang w:val="en-GB"/>
          </w:rPr>
          <w:t>https://www.abacademies.org/articles/profitability-index-and-its-impact-on-short-and-long-term-decisions-12977.html</w:t>
        </w:r>
      </w:hyperlink>
      <w:r w:rsidRPr="00D52564">
        <w:rPr>
          <w:rFonts w:ascii="Arial" w:hAnsi="Arial"/>
          <w:lang w:val="en-GB"/>
        </w:rPr>
        <w:t xml:space="preserve"> </w:t>
      </w:r>
    </w:p>
    <w:p w14:paraId="49D29144" w14:textId="77777777" w:rsidR="00693649" w:rsidRPr="00D52564" w:rsidRDefault="00693649" w:rsidP="00D52564">
      <w:pPr>
        <w:spacing w:before="240" w:after="240"/>
        <w:rPr>
          <w:rFonts w:ascii="Arial" w:hAnsi="Arial"/>
          <w:lang w:val="en-GB"/>
        </w:rPr>
      </w:pPr>
      <w:r w:rsidRPr="00D52564">
        <w:rPr>
          <w:rFonts w:ascii="Arial" w:hAnsi="Arial"/>
          <w:lang w:val="en-GB"/>
        </w:rPr>
        <w:t>Astuti, W. (2021). A literature review of net profit margin. </w:t>
      </w:r>
      <w:r w:rsidRPr="00D52564">
        <w:rPr>
          <w:rFonts w:ascii="Arial" w:hAnsi="Arial"/>
          <w:i/>
          <w:iCs/>
          <w:lang w:val="en-GB"/>
        </w:rPr>
        <w:t>Social Science Studies</w:t>
      </w:r>
      <w:r w:rsidRPr="00D52564">
        <w:rPr>
          <w:rFonts w:ascii="Arial" w:hAnsi="Arial"/>
          <w:lang w:val="en-GB"/>
        </w:rPr>
        <w:t>, </w:t>
      </w:r>
      <w:r w:rsidRPr="00D52564">
        <w:rPr>
          <w:rFonts w:ascii="Arial" w:hAnsi="Arial"/>
          <w:i/>
          <w:iCs/>
          <w:lang w:val="en-GB"/>
        </w:rPr>
        <w:t>1</w:t>
      </w:r>
      <w:r w:rsidRPr="00D52564">
        <w:rPr>
          <w:rFonts w:ascii="Arial" w:hAnsi="Arial"/>
          <w:lang w:val="en-GB"/>
        </w:rPr>
        <w:t xml:space="preserve">(2), pp.115-128. </w:t>
      </w:r>
      <w:hyperlink r:id="rId20" w:history="1">
        <w:r w:rsidRPr="00D52564">
          <w:rPr>
            <w:rStyle w:val="Hyperlink"/>
            <w:rFonts w:ascii="Arial" w:hAnsi="Arial"/>
            <w:lang w:val="en-GB"/>
          </w:rPr>
          <w:t>https://doi.org/10.47153/sss12.2262021</w:t>
        </w:r>
      </w:hyperlink>
      <w:r w:rsidRPr="00D52564">
        <w:rPr>
          <w:rFonts w:ascii="Arial" w:hAnsi="Arial"/>
          <w:lang w:val="en-GB"/>
        </w:rPr>
        <w:t xml:space="preserve"> </w:t>
      </w:r>
    </w:p>
    <w:p w14:paraId="2E1BA812" w14:textId="77777777" w:rsidR="00693649" w:rsidRPr="00D52564" w:rsidRDefault="00693649" w:rsidP="00D52564">
      <w:pPr>
        <w:spacing w:before="240" w:after="240"/>
        <w:rPr>
          <w:rFonts w:ascii="Arial" w:hAnsi="Arial"/>
          <w:lang w:val="en-GB"/>
        </w:rPr>
      </w:pPr>
      <w:r w:rsidRPr="00D52564">
        <w:rPr>
          <w:rFonts w:ascii="Arial" w:hAnsi="Arial"/>
          <w:lang w:val="en-GB"/>
        </w:rPr>
        <w:t>Balatsky, E.V. (2021). Return on equity as an economic growth driver. </w:t>
      </w:r>
      <w:r w:rsidRPr="00D52564">
        <w:rPr>
          <w:rFonts w:ascii="Arial" w:hAnsi="Arial"/>
          <w:i/>
          <w:iCs/>
          <w:lang w:val="en-GB"/>
        </w:rPr>
        <w:t>Ekonomicheskie i Sotsialnye Peremeny</w:t>
      </w:r>
      <w:r w:rsidRPr="00D52564">
        <w:rPr>
          <w:rFonts w:ascii="Arial" w:hAnsi="Arial"/>
          <w:lang w:val="en-GB"/>
        </w:rPr>
        <w:t>, </w:t>
      </w:r>
      <w:r w:rsidRPr="00D52564">
        <w:rPr>
          <w:rFonts w:ascii="Arial" w:hAnsi="Arial"/>
          <w:i/>
          <w:iCs/>
          <w:lang w:val="en-GB"/>
        </w:rPr>
        <w:t>14</w:t>
      </w:r>
      <w:r w:rsidRPr="00D52564">
        <w:rPr>
          <w:rFonts w:ascii="Arial" w:hAnsi="Arial"/>
          <w:lang w:val="en-GB"/>
        </w:rPr>
        <w:t xml:space="preserve">(1), pp.26-40. </w:t>
      </w:r>
      <w:hyperlink r:id="rId21" w:history="1">
        <w:r w:rsidRPr="00D52564">
          <w:rPr>
            <w:rStyle w:val="Hyperlink"/>
            <w:rFonts w:ascii="Arial" w:hAnsi="Arial"/>
            <w:lang w:val="en-GB"/>
          </w:rPr>
          <w:t>https://doi.org/10.15838/esc.2021.1.73.3</w:t>
        </w:r>
      </w:hyperlink>
    </w:p>
    <w:p w14:paraId="760B8BE9" w14:textId="77777777" w:rsidR="00693649" w:rsidRPr="00D52564" w:rsidRDefault="00693649" w:rsidP="00D52564">
      <w:pPr>
        <w:spacing w:before="240" w:after="240"/>
        <w:rPr>
          <w:rFonts w:ascii="Arial" w:hAnsi="Arial"/>
          <w:lang w:val="en-GB"/>
        </w:rPr>
      </w:pPr>
      <w:r w:rsidRPr="00D52564">
        <w:rPr>
          <w:rFonts w:ascii="Arial" w:hAnsi="Arial"/>
          <w:lang w:val="en-GB"/>
        </w:rPr>
        <w:t>Christia, C., Sari, E.N., Simorangkir, E.N. and Hutagalung, G. (2021). The effect of current ratio and debt to equity ratio on stock prices with return on equity as an intervening variable in food and beverage companies. </w:t>
      </w:r>
      <w:r w:rsidRPr="00D52564">
        <w:rPr>
          <w:rFonts w:ascii="Arial" w:hAnsi="Arial"/>
          <w:i/>
          <w:iCs/>
          <w:lang w:val="en-GB"/>
        </w:rPr>
        <w:t>Journal of Social Science</w:t>
      </w:r>
      <w:r w:rsidRPr="00D52564">
        <w:rPr>
          <w:rFonts w:ascii="Arial" w:hAnsi="Arial"/>
          <w:lang w:val="en-GB"/>
        </w:rPr>
        <w:t>, </w:t>
      </w:r>
      <w:r w:rsidRPr="00D52564">
        <w:rPr>
          <w:rFonts w:ascii="Arial" w:hAnsi="Arial"/>
          <w:i/>
          <w:iCs/>
          <w:lang w:val="en-GB"/>
        </w:rPr>
        <w:t>2</w:t>
      </w:r>
      <w:r w:rsidRPr="00D52564">
        <w:rPr>
          <w:rFonts w:ascii="Arial" w:hAnsi="Arial"/>
          <w:lang w:val="en-GB"/>
        </w:rPr>
        <w:t xml:space="preserve">(2), pp.126-134. </w:t>
      </w:r>
      <w:hyperlink r:id="rId22" w:history="1">
        <w:r w:rsidRPr="00D52564">
          <w:rPr>
            <w:rStyle w:val="Hyperlink"/>
            <w:rFonts w:ascii="Arial" w:hAnsi="Arial"/>
            <w:lang w:val="en-GB"/>
          </w:rPr>
          <w:t>https://doi.org/10.46799/jss.v2i2.107</w:t>
        </w:r>
      </w:hyperlink>
      <w:r w:rsidRPr="00D52564">
        <w:rPr>
          <w:rFonts w:ascii="Arial" w:hAnsi="Arial"/>
          <w:lang w:val="en-GB"/>
        </w:rPr>
        <w:t xml:space="preserve"> </w:t>
      </w:r>
    </w:p>
    <w:p w14:paraId="34034D86" w14:textId="77777777" w:rsidR="00693649" w:rsidRPr="00D52564" w:rsidRDefault="00693649" w:rsidP="00D52564">
      <w:pPr>
        <w:spacing w:before="240" w:after="240"/>
        <w:rPr>
          <w:rFonts w:ascii="Arial" w:hAnsi="Arial"/>
          <w:lang w:val="en-GB"/>
        </w:rPr>
      </w:pPr>
      <w:r w:rsidRPr="00D52564">
        <w:rPr>
          <w:rFonts w:ascii="Arial" w:hAnsi="Arial"/>
          <w:lang w:val="en-GB"/>
        </w:rPr>
        <w:t>Coccia, M. (2023). Comparative critical decisions in management. In </w:t>
      </w:r>
      <w:r w:rsidRPr="00D52564">
        <w:rPr>
          <w:rFonts w:ascii="Arial" w:hAnsi="Arial"/>
          <w:i/>
          <w:iCs/>
          <w:lang w:val="en-GB"/>
        </w:rPr>
        <w:t>Global encyclopedia of public administration, public policy, and governance</w:t>
      </w:r>
      <w:r w:rsidRPr="00D52564">
        <w:rPr>
          <w:rFonts w:ascii="Arial" w:hAnsi="Arial"/>
          <w:lang w:val="en-GB"/>
        </w:rPr>
        <w:t xml:space="preserve"> (pp. 2015-2024). Cham: Springer International Publishing. </w:t>
      </w:r>
      <w:hyperlink r:id="rId23" w:history="1">
        <w:r w:rsidRPr="00D52564">
          <w:rPr>
            <w:rStyle w:val="Hyperlink"/>
            <w:rFonts w:ascii="Arial" w:hAnsi="Arial"/>
            <w:lang w:val="en-GB"/>
          </w:rPr>
          <w:t>https://doi.org/10.1007/978-3-319-31816-5_3969-1</w:t>
        </w:r>
      </w:hyperlink>
      <w:r w:rsidRPr="00D52564">
        <w:rPr>
          <w:rFonts w:ascii="Arial" w:hAnsi="Arial"/>
          <w:lang w:val="en-GB"/>
        </w:rPr>
        <w:t xml:space="preserve"> </w:t>
      </w:r>
    </w:p>
    <w:p w14:paraId="7DC1EC76" w14:textId="77777777" w:rsidR="00693649" w:rsidRPr="00D52564" w:rsidRDefault="00693649" w:rsidP="00D52564">
      <w:pPr>
        <w:spacing w:before="240" w:after="240"/>
        <w:rPr>
          <w:rFonts w:ascii="Arial" w:hAnsi="Arial"/>
          <w:lang w:val="en-GB"/>
        </w:rPr>
      </w:pPr>
      <w:r w:rsidRPr="00D52564">
        <w:rPr>
          <w:rFonts w:ascii="Arial" w:hAnsi="Arial"/>
          <w:lang w:val="en-GB"/>
        </w:rPr>
        <w:t>Dai, H., Li, N., Wang, Y. and Zhao, X. (2022). The analysis of three main investment criteria: NPV IRR and payback period. In </w:t>
      </w:r>
      <w:r w:rsidRPr="00D52564">
        <w:rPr>
          <w:rFonts w:ascii="Arial" w:hAnsi="Arial"/>
          <w:i/>
          <w:iCs/>
          <w:lang w:val="en-GB"/>
        </w:rPr>
        <w:t>2022 7th International Conference on Financial Innovation and Economic Development (ICFIED 2022)</w:t>
      </w:r>
      <w:r w:rsidRPr="00D52564">
        <w:rPr>
          <w:rFonts w:ascii="Arial" w:hAnsi="Arial"/>
          <w:lang w:val="en-GB"/>
        </w:rPr>
        <w:t xml:space="preserve"> (pp. 185-189). Atlantis Press. </w:t>
      </w:r>
      <w:hyperlink r:id="rId24" w:history="1">
        <w:r w:rsidRPr="00D52564">
          <w:rPr>
            <w:rStyle w:val="Hyperlink"/>
            <w:rFonts w:ascii="Arial" w:hAnsi="Arial"/>
            <w:lang w:val="en-GB"/>
          </w:rPr>
          <w:t>https://doi.org/10.2991/aebmr.k.220307.028</w:t>
        </w:r>
      </w:hyperlink>
      <w:r w:rsidRPr="00D52564">
        <w:rPr>
          <w:rFonts w:ascii="Arial" w:hAnsi="Arial"/>
          <w:lang w:val="en-GB"/>
        </w:rPr>
        <w:t xml:space="preserve"> </w:t>
      </w:r>
    </w:p>
    <w:p w14:paraId="13996275" w14:textId="77777777" w:rsidR="00693649" w:rsidRPr="00D52564" w:rsidRDefault="00693649" w:rsidP="00D52564">
      <w:pPr>
        <w:spacing w:before="240" w:after="240"/>
        <w:rPr>
          <w:rFonts w:ascii="Arial" w:hAnsi="Arial"/>
          <w:b/>
          <w:bCs/>
          <w:lang w:val="en-GB"/>
        </w:rPr>
      </w:pPr>
      <w:r w:rsidRPr="00D52564">
        <w:rPr>
          <w:rFonts w:ascii="Arial" w:hAnsi="Arial"/>
          <w:lang w:val="en-GB"/>
        </w:rPr>
        <w:t>D'Mello, R. and Toscano, F. (2020). Economic policy uncertainty and short-term financing: The case of trade credit. </w:t>
      </w:r>
      <w:r w:rsidRPr="00D52564">
        <w:rPr>
          <w:rFonts w:ascii="Arial" w:hAnsi="Arial"/>
          <w:i/>
          <w:iCs/>
          <w:lang w:val="en-GB"/>
        </w:rPr>
        <w:t>Journal of Corporate Finance</w:t>
      </w:r>
      <w:r w:rsidRPr="00D52564">
        <w:rPr>
          <w:rFonts w:ascii="Arial" w:hAnsi="Arial"/>
          <w:lang w:val="en-GB"/>
        </w:rPr>
        <w:t>, </w:t>
      </w:r>
      <w:r w:rsidRPr="00D52564">
        <w:rPr>
          <w:rFonts w:ascii="Arial" w:hAnsi="Arial"/>
          <w:i/>
          <w:iCs/>
          <w:lang w:val="en-GB"/>
        </w:rPr>
        <w:t>64</w:t>
      </w:r>
      <w:r w:rsidRPr="00D52564">
        <w:rPr>
          <w:rFonts w:ascii="Arial" w:hAnsi="Arial"/>
          <w:lang w:val="en-GB"/>
        </w:rPr>
        <w:t xml:space="preserve">, p.101686. </w:t>
      </w:r>
      <w:hyperlink r:id="rId25" w:history="1">
        <w:r w:rsidRPr="00D52564">
          <w:rPr>
            <w:rStyle w:val="Hyperlink"/>
            <w:rFonts w:ascii="Arial" w:hAnsi="Arial"/>
            <w:lang w:val="en-GB"/>
          </w:rPr>
          <w:t>https://dx.doi.org/10.2139/ssrn.3358503</w:t>
        </w:r>
      </w:hyperlink>
    </w:p>
    <w:p w14:paraId="7E62D214" w14:textId="77777777" w:rsidR="00693649" w:rsidRPr="00D52564" w:rsidRDefault="00693649" w:rsidP="00D52564">
      <w:pPr>
        <w:spacing w:before="240" w:after="240"/>
        <w:rPr>
          <w:rFonts w:ascii="Arial" w:hAnsi="Arial"/>
          <w:lang w:val="en-GB"/>
        </w:rPr>
      </w:pPr>
      <w:r w:rsidRPr="00D52564">
        <w:rPr>
          <w:rFonts w:ascii="Arial" w:hAnsi="Arial"/>
          <w:lang w:val="en-GB"/>
        </w:rPr>
        <w:t>Do, H., Ngo, T. and Phung, Q. (2020). The effect of non-performing loans on profitability of commercial banks: Case of Vietnam. </w:t>
      </w:r>
      <w:r w:rsidRPr="00D52564">
        <w:rPr>
          <w:rFonts w:ascii="Arial" w:hAnsi="Arial"/>
          <w:i/>
          <w:iCs/>
          <w:lang w:val="en-GB"/>
        </w:rPr>
        <w:t>Accounting</w:t>
      </w:r>
      <w:r w:rsidRPr="00D52564">
        <w:rPr>
          <w:rFonts w:ascii="Arial" w:hAnsi="Arial"/>
          <w:lang w:val="en-GB"/>
        </w:rPr>
        <w:t>, </w:t>
      </w:r>
      <w:r w:rsidRPr="00D52564">
        <w:rPr>
          <w:rFonts w:ascii="Arial" w:hAnsi="Arial"/>
          <w:i/>
          <w:iCs/>
          <w:lang w:val="en-GB"/>
        </w:rPr>
        <w:t>6</w:t>
      </w:r>
      <w:r w:rsidRPr="00D52564">
        <w:rPr>
          <w:rFonts w:ascii="Arial" w:hAnsi="Arial"/>
          <w:lang w:val="en-GB"/>
        </w:rPr>
        <w:t xml:space="preserve">(3), pp.373-386. </w:t>
      </w:r>
      <w:hyperlink r:id="rId26" w:history="1">
        <w:r w:rsidRPr="00D52564">
          <w:rPr>
            <w:rStyle w:val="Hyperlink"/>
            <w:rFonts w:ascii="Arial" w:hAnsi="Arial"/>
            <w:lang w:val="en-GB"/>
          </w:rPr>
          <w:t>https://doi.org/10.5267/j.ac.2020.1.001</w:t>
        </w:r>
      </w:hyperlink>
    </w:p>
    <w:p w14:paraId="30225695" w14:textId="77777777" w:rsidR="00693649" w:rsidRPr="00D52564" w:rsidRDefault="00693649" w:rsidP="00D52564">
      <w:pPr>
        <w:spacing w:before="240" w:after="240"/>
        <w:rPr>
          <w:rFonts w:ascii="Arial" w:hAnsi="Arial"/>
          <w:lang w:val="en-GB"/>
        </w:rPr>
      </w:pPr>
      <w:r w:rsidRPr="00D52564">
        <w:rPr>
          <w:rFonts w:ascii="Arial" w:hAnsi="Arial"/>
          <w:lang w:val="en-GB"/>
        </w:rPr>
        <w:lastRenderedPageBreak/>
        <w:t xml:space="preserve">Hospitality Institute (2024). </w:t>
      </w:r>
      <w:r w:rsidRPr="00D52564">
        <w:rPr>
          <w:rFonts w:ascii="Arial" w:hAnsi="Arial"/>
          <w:i/>
          <w:iCs/>
          <w:lang w:val="en-GB"/>
        </w:rPr>
        <w:t>Key Liquidity Ratios for Hotel Financial Health</w:t>
      </w:r>
      <w:r w:rsidRPr="00D52564">
        <w:rPr>
          <w:rFonts w:ascii="Arial" w:hAnsi="Arial"/>
          <w:lang w:val="en-GB"/>
        </w:rPr>
        <w:t xml:space="preserve">. Available at: </w:t>
      </w:r>
      <w:hyperlink r:id="rId27" w:history="1">
        <w:r w:rsidRPr="00D52564">
          <w:rPr>
            <w:rStyle w:val="Hyperlink"/>
            <w:rFonts w:ascii="Arial" w:hAnsi="Arial"/>
            <w:lang w:val="en-GB"/>
          </w:rPr>
          <w:t>https://hospitality.institute/mha805/key-liquidity-ratios-hotel-financial-health/</w:t>
        </w:r>
      </w:hyperlink>
      <w:r w:rsidRPr="00D52564">
        <w:rPr>
          <w:rFonts w:ascii="Arial" w:hAnsi="Arial"/>
          <w:lang w:val="en-GB"/>
        </w:rPr>
        <w:t xml:space="preserve"> (Accessed: 25 July 2026)</w:t>
      </w:r>
    </w:p>
    <w:p w14:paraId="30605BC9" w14:textId="77777777" w:rsidR="00693649" w:rsidRPr="00D52564" w:rsidRDefault="00693649" w:rsidP="00D52564">
      <w:pPr>
        <w:spacing w:before="240" w:after="240"/>
        <w:rPr>
          <w:rFonts w:ascii="Arial" w:hAnsi="Arial"/>
          <w:lang w:val="en-GB"/>
        </w:rPr>
      </w:pPr>
      <w:r w:rsidRPr="00D52564">
        <w:rPr>
          <w:rFonts w:ascii="Arial" w:hAnsi="Arial"/>
          <w:lang w:val="en-GB"/>
        </w:rPr>
        <w:t>Huang, J., Tong, J., Wang, P. and Zheng, X. (2022). Application and comparison of NPV and IRR methods in the company investment decision. In </w:t>
      </w:r>
      <w:r w:rsidRPr="00D52564">
        <w:rPr>
          <w:rFonts w:ascii="Arial" w:hAnsi="Arial"/>
          <w:i/>
          <w:iCs/>
          <w:lang w:val="en-GB"/>
        </w:rPr>
        <w:t>2022 7th International Conference on Financial Innovation and Economic Development (ICFIED 2022)</w:t>
      </w:r>
      <w:r w:rsidRPr="00D52564">
        <w:rPr>
          <w:rFonts w:ascii="Arial" w:hAnsi="Arial"/>
          <w:lang w:val="en-GB"/>
        </w:rPr>
        <w:t xml:space="preserve"> (pp. 71-78). Atlantis Press. </w:t>
      </w:r>
      <w:hyperlink r:id="rId28" w:history="1">
        <w:r w:rsidRPr="00D52564">
          <w:rPr>
            <w:rStyle w:val="Hyperlink"/>
            <w:rFonts w:ascii="Arial" w:hAnsi="Arial"/>
            <w:lang w:val="en-GB"/>
          </w:rPr>
          <w:t>https://doi.org/10.2991/aebmr.k.220307.012</w:t>
        </w:r>
      </w:hyperlink>
      <w:r w:rsidRPr="00D52564">
        <w:rPr>
          <w:rFonts w:ascii="Arial" w:hAnsi="Arial"/>
          <w:lang w:val="en-GB"/>
        </w:rPr>
        <w:t xml:space="preserve"> </w:t>
      </w:r>
    </w:p>
    <w:p w14:paraId="7BADF6B2" w14:textId="77777777" w:rsidR="00693649" w:rsidRPr="00D52564" w:rsidRDefault="00693649" w:rsidP="00D52564">
      <w:pPr>
        <w:spacing w:before="240" w:after="240"/>
        <w:rPr>
          <w:rFonts w:ascii="Arial" w:hAnsi="Arial"/>
          <w:lang w:val="en-GB"/>
        </w:rPr>
      </w:pPr>
      <w:r w:rsidRPr="00D52564">
        <w:rPr>
          <w:rFonts w:ascii="Arial" w:hAnsi="Arial"/>
          <w:lang w:val="en-GB"/>
        </w:rPr>
        <w:t>Jia, D., Yang, T. and Wu, K. (2026). A Review of Recent Developments in ESG and Corporate Finance. </w:t>
      </w:r>
      <w:r w:rsidRPr="00D52564">
        <w:rPr>
          <w:rFonts w:ascii="Arial" w:hAnsi="Arial"/>
          <w:i/>
          <w:iCs/>
          <w:lang w:val="en-GB"/>
        </w:rPr>
        <w:t>Journal of Corporate Finance Research/Корпоративные Финансы| ISSN: 2073-0438</w:t>
      </w:r>
      <w:r w:rsidRPr="00D52564">
        <w:rPr>
          <w:rFonts w:ascii="Arial" w:hAnsi="Arial"/>
          <w:lang w:val="en-GB"/>
        </w:rPr>
        <w:t>, </w:t>
      </w:r>
      <w:r w:rsidRPr="00D52564">
        <w:rPr>
          <w:rFonts w:ascii="Arial" w:hAnsi="Arial"/>
          <w:i/>
          <w:iCs/>
          <w:lang w:val="en-GB"/>
        </w:rPr>
        <w:t>20</w:t>
      </w:r>
      <w:r w:rsidRPr="00D52564">
        <w:rPr>
          <w:rFonts w:ascii="Arial" w:hAnsi="Arial"/>
          <w:lang w:val="en-GB"/>
        </w:rPr>
        <w:t>(1), pp.6-22.</w:t>
      </w:r>
    </w:p>
    <w:p w14:paraId="5BDE1235" w14:textId="77777777" w:rsidR="00693649" w:rsidRPr="00D52564" w:rsidRDefault="00693649" w:rsidP="00D52564">
      <w:pPr>
        <w:spacing w:before="240" w:after="240"/>
        <w:rPr>
          <w:rFonts w:ascii="Arial" w:hAnsi="Arial"/>
          <w:lang w:val="en-GB"/>
        </w:rPr>
      </w:pPr>
      <w:r w:rsidRPr="00D52564">
        <w:rPr>
          <w:rFonts w:ascii="Arial" w:hAnsi="Arial"/>
          <w:lang w:val="en-GB"/>
        </w:rPr>
        <w:t>Khan, A. (2024). </w:t>
      </w:r>
      <w:r w:rsidRPr="00D52564">
        <w:rPr>
          <w:rFonts w:ascii="Arial" w:hAnsi="Arial"/>
          <w:i/>
          <w:iCs/>
          <w:lang w:val="en-GB"/>
        </w:rPr>
        <w:t>Fundamentals of public budgeting and finance</w:t>
      </w:r>
      <w:r w:rsidRPr="00D52564">
        <w:rPr>
          <w:rFonts w:ascii="Arial" w:hAnsi="Arial"/>
          <w:lang w:val="en-GB"/>
        </w:rPr>
        <w:t xml:space="preserve">. Springer Nature. </w:t>
      </w:r>
      <w:hyperlink r:id="rId29" w:anchor="v=onepage&amp;q=Capital%20Rationing&amp;f=false" w:history="1">
        <w:r w:rsidRPr="00D52564">
          <w:rPr>
            <w:rStyle w:val="Hyperlink"/>
            <w:rFonts w:ascii="Arial" w:hAnsi="Arial"/>
            <w:lang w:val="en-GB"/>
          </w:rPr>
          <w:t>https://books.google.co.in/books?hl=en&amp;lr=&amp;id=L4YVEQAAQBAJ&amp;oi=fnd&amp;pg=PR7&amp;dq=Capital+Rationing&amp;ots=rdC8V-QrUb&amp;sig=yK0JHAzTOZnOOJMIV4Q9EeYypQ8&amp;redir_esc=y#v=onepage&amp;q=Capital%20Rationing&amp;f=false</w:t>
        </w:r>
      </w:hyperlink>
    </w:p>
    <w:p w14:paraId="716D6BB8" w14:textId="77777777" w:rsidR="00693649" w:rsidRPr="00D52564" w:rsidRDefault="00693649" w:rsidP="00D52564">
      <w:pPr>
        <w:spacing w:before="240" w:after="240"/>
        <w:rPr>
          <w:rFonts w:ascii="Arial" w:hAnsi="Arial"/>
          <w:lang w:val="en-GB"/>
        </w:rPr>
      </w:pPr>
      <w:r w:rsidRPr="00D52564">
        <w:rPr>
          <w:rFonts w:ascii="Arial" w:hAnsi="Arial"/>
          <w:lang w:val="en-GB"/>
        </w:rPr>
        <w:t>Liu, Y. (2022). Evaluation method based on NPV and IRR. In </w:t>
      </w:r>
      <w:r w:rsidRPr="00D52564">
        <w:rPr>
          <w:rFonts w:ascii="Arial" w:hAnsi="Arial"/>
          <w:i/>
          <w:iCs/>
          <w:lang w:val="en-GB"/>
        </w:rPr>
        <w:t>2022 2nd International Conference on Enterprise Management and Economic Development (ICEMED 2022)</w:t>
      </w:r>
      <w:r w:rsidRPr="00D52564">
        <w:rPr>
          <w:rFonts w:ascii="Arial" w:hAnsi="Arial"/>
          <w:lang w:val="en-GB"/>
        </w:rPr>
        <w:t xml:space="preserve"> (pp. 816-820). Atlantis Press. </w:t>
      </w:r>
      <w:hyperlink r:id="rId30" w:history="1">
        <w:r w:rsidRPr="00D52564">
          <w:rPr>
            <w:rStyle w:val="Hyperlink"/>
            <w:rFonts w:ascii="Arial" w:hAnsi="Arial"/>
            <w:lang w:val="en-GB"/>
          </w:rPr>
          <w:t>https://doi.org/10.2991/aebmr.k.220603.133</w:t>
        </w:r>
      </w:hyperlink>
    </w:p>
    <w:p w14:paraId="0DCA6456" w14:textId="77777777" w:rsidR="00693649" w:rsidRPr="00D52564" w:rsidRDefault="00693649" w:rsidP="00D52564">
      <w:pPr>
        <w:spacing w:before="240" w:after="240"/>
        <w:rPr>
          <w:rFonts w:ascii="Arial" w:hAnsi="Arial"/>
          <w:lang w:val="en-GB"/>
        </w:rPr>
      </w:pPr>
      <w:r w:rsidRPr="00D52564">
        <w:rPr>
          <w:rFonts w:ascii="Arial" w:hAnsi="Arial"/>
          <w:lang w:val="en-GB"/>
        </w:rPr>
        <w:t>Majumdar, A. and Majumdar, D. (2020). Cash flow ratios under growth approach as an indicator for evaluation of business performance. </w:t>
      </w:r>
      <w:r w:rsidRPr="00D52564">
        <w:rPr>
          <w:rFonts w:ascii="Arial" w:hAnsi="Arial"/>
          <w:i/>
          <w:iCs/>
          <w:lang w:val="en-GB"/>
        </w:rPr>
        <w:t>Journal of Commerce and Accounting Research</w:t>
      </w:r>
      <w:r w:rsidRPr="00D52564">
        <w:rPr>
          <w:rFonts w:ascii="Arial" w:hAnsi="Arial"/>
          <w:lang w:val="en-GB"/>
        </w:rPr>
        <w:t>, </w:t>
      </w:r>
      <w:r w:rsidRPr="00D52564">
        <w:rPr>
          <w:rFonts w:ascii="Arial" w:hAnsi="Arial"/>
          <w:i/>
          <w:iCs/>
          <w:lang w:val="en-GB"/>
        </w:rPr>
        <w:t>9</w:t>
      </w:r>
      <w:r w:rsidRPr="00D52564">
        <w:rPr>
          <w:rFonts w:ascii="Arial" w:hAnsi="Arial"/>
          <w:lang w:val="en-GB"/>
        </w:rPr>
        <w:t xml:space="preserve">(1), pp.6-12. </w:t>
      </w:r>
      <w:hyperlink r:id="rId31" w:history="1">
        <w:r w:rsidRPr="00D52564">
          <w:rPr>
            <w:rStyle w:val="Hyperlink"/>
            <w:rFonts w:ascii="Arial" w:hAnsi="Arial"/>
            <w:lang w:val="en-GB"/>
          </w:rPr>
          <w:t>https://www.academia.edu/download/66208884/479_03_JCAR.pdf</w:t>
        </w:r>
      </w:hyperlink>
    </w:p>
    <w:p w14:paraId="2877FFB3" w14:textId="77777777" w:rsidR="00693649" w:rsidRPr="00D52564" w:rsidRDefault="00693649" w:rsidP="00D52564">
      <w:pPr>
        <w:spacing w:before="240" w:after="240"/>
        <w:rPr>
          <w:rFonts w:ascii="Arial" w:hAnsi="Arial"/>
          <w:lang w:val="en-GB"/>
        </w:rPr>
      </w:pPr>
      <w:r w:rsidRPr="00D52564">
        <w:rPr>
          <w:rFonts w:ascii="Arial" w:hAnsi="Arial"/>
          <w:lang w:val="en-GB"/>
        </w:rPr>
        <w:t>McDonagh, S., Ahmed, S., Desmond, C. and Murphy, J.D. (2020). Hydrogen from offshore wind: Investor perspective on the profitability of a hybrid system including for curtailment. </w:t>
      </w:r>
      <w:r w:rsidRPr="00D52564">
        <w:rPr>
          <w:rFonts w:ascii="Arial" w:hAnsi="Arial"/>
          <w:i/>
          <w:iCs/>
          <w:lang w:val="en-GB"/>
        </w:rPr>
        <w:t>Applied Energy</w:t>
      </w:r>
      <w:r w:rsidRPr="00D52564">
        <w:rPr>
          <w:rFonts w:ascii="Arial" w:hAnsi="Arial"/>
          <w:lang w:val="en-GB"/>
        </w:rPr>
        <w:t>, </w:t>
      </w:r>
      <w:r w:rsidRPr="00D52564">
        <w:rPr>
          <w:rFonts w:ascii="Arial" w:hAnsi="Arial"/>
          <w:i/>
          <w:iCs/>
          <w:lang w:val="en-GB"/>
        </w:rPr>
        <w:t>265</w:t>
      </w:r>
      <w:r w:rsidRPr="00D52564">
        <w:rPr>
          <w:rFonts w:ascii="Arial" w:hAnsi="Arial"/>
          <w:lang w:val="en-GB"/>
        </w:rPr>
        <w:t xml:space="preserve">, p.114732. </w:t>
      </w:r>
      <w:hyperlink r:id="rId32" w:history="1">
        <w:r w:rsidRPr="00D52564">
          <w:rPr>
            <w:rStyle w:val="Hyperlink"/>
            <w:rFonts w:ascii="Arial" w:hAnsi="Arial"/>
            <w:lang w:val="en-GB"/>
          </w:rPr>
          <w:t>https://doi.org/10.1016/j.apenergy.2020.114732</w:t>
        </w:r>
      </w:hyperlink>
    </w:p>
    <w:p w14:paraId="1E99424F" w14:textId="77777777" w:rsidR="00693649" w:rsidRPr="00D52564" w:rsidRDefault="00693649" w:rsidP="00D52564">
      <w:pPr>
        <w:spacing w:before="240" w:after="240"/>
        <w:rPr>
          <w:rFonts w:ascii="Arial" w:hAnsi="Arial"/>
          <w:lang w:val="en-GB"/>
        </w:rPr>
      </w:pPr>
      <w:r w:rsidRPr="00D52564">
        <w:rPr>
          <w:rFonts w:ascii="Arial" w:hAnsi="Arial"/>
          <w:lang w:val="en-GB"/>
        </w:rPr>
        <w:lastRenderedPageBreak/>
        <w:t>Mustafina, A.A., Kaigorodova, G.N., Pyrkova, G.K., Alyakina, D.P. and Kamalova, A.A. (2020). Management of long-term financing in a company. </w:t>
      </w:r>
      <w:r w:rsidRPr="00D52564">
        <w:rPr>
          <w:rFonts w:ascii="Arial" w:hAnsi="Arial"/>
          <w:i/>
          <w:iCs/>
          <w:lang w:val="en-GB"/>
        </w:rPr>
        <w:t>Revista Turismo Estudos e Práticas-RTEP/GEPLAT/UERN</w:t>
      </w:r>
      <w:r w:rsidRPr="00D52564">
        <w:rPr>
          <w:rFonts w:ascii="Arial" w:hAnsi="Arial"/>
          <w:lang w:val="en-GB"/>
        </w:rPr>
        <w:t xml:space="preserve">, (5), pp.1-8. </w:t>
      </w:r>
      <w:hyperlink r:id="rId33" w:history="1">
        <w:r w:rsidRPr="00D52564">
          <w:rPr>
            <w:rStyle w:val="Hyperlink"/>
            <w:rFonts w:ascii="Arial" w:hAnsi="Arial"/>
            <w:lang w:val="en-GB"/>
          </w:rPr>
          <w:t>https://geplat.com/rtep/index.php/tourism/article/view/790</w:t>
        </w:r>
      </w:hyperlink>
    </w:p>
    <w:p w14:paraId="789180BA" w14:textId="77777777" w:rsidR="00693649" w:rsidRPr="00D52564" w:rsidRDefault="00693649" w:rsidP="00D52564">
      <w:pPr>
        <w:spacing w:before="240" w:after="240"/>
        <w:rPr>
          <w:rFonts w:ascii="Arial" w:hAnsi="Arial"/>
          <w:lang w:val="en-GB"/>
        </w:rPr>
      </w:pPr>
      <w:r w:rsidRPr="00D52564">
        <w:rPr>
          <w:rFonts w:ascii="Arial" w:hAnsi="Arial"/>
          <w:lang w:val="en-GB"/>
        </w:rPr>
        <w:t>Ojha, M.K., Sharma, C.P., Saluja, S. and Kumar, D.R. (2021). Impact Of Working Capital Management On Firms’ Profitability And Liquidity: A Critical Assessment. </w:t>
      </w:r>
      <w:r w:rsidRPr="00D52564">
        <w:rPr>
          <w:rFonts w:ascii="Arial" w:hAnsi="Arial"/>
          <w:i/>
          <w:iCs/>
          <w:lang w:val="en-GB"/>
        </w:rPr>
        <w:t>Ilkogretim Online</w:t>
      </w:r>
      <w:r w:rsidRPr="00D52564">
        <w:rPr>
          <w:rFonts w:ascii="Arial" w:hAnsi="Arial"/>
          <w:lang w:val="en-GB"/>
        </w:rPr>
        <w:t>, </w:t>
      </w:r>
      <w:r w:rsidRPr="00D52564">
        <w:rPr>
          <w:rFonts w:ascii="Arial" w:hAnsi="Arial"/>
          <w:i/>
          <w:iCs/>
          <w:lang w:val="en-GB"/>
        </w:rPr>
        <w:t>20</w:t>
      </w:r>
      <w:r w:rsidRPr="00D52564">
        <w:rPr>
          <w:rFonts w:ascii="Arial" w:hAnsi="Arial"/>
          <w:lang w:val="en-GB"/>
        </w:rPr>
        <w:t xml:space="preserve">(2), pp.2572-2584. </w:t>
      </w:r>
      <w:hyperlink r:id="rId34" w:history="1">
        <w:r w:rsidRPr="00D52564">
          <w:rPr>
            <w:rStyle w:val="Hyperlink"/>
            <w:rFonts w:ascii="Arial" w:hAnsi="Arial"/>
            <w:lang w:val="en-GB"/>
          </w:rPr>
          <w:t>https://scholar.archive.org/work/2wd2waanj5bstcpsosw6pmoohy/access/wayback/https://www.ilkogretim-online.org/fulltext/218-1662468640.pdf?1663914600</w:t>
        </w:r>
      </w:hyperlink>
    </w:p>
    <w:p w14:paraId="010449F9" w14:textId="77777777" w:rsidR="00693649" w:rsidRPr="00D52564" w:rsidRDefault="00693649" w:rsidP="00D52564">
      <w:pPr>
        <w:spacing w:before="240" w:after="240"/>
        <w:rPr>
          <w:rFonts w:ascii="Arial" w:hAnsi="Arial"/>
          <w:lang w:val="en-GB"/>
        </w:rPr>
      </w:pPr>
      <w:r w:rsidRPr="00D52564">
        <w:rPr>
          <w:rFonts w:ascii="Arial" w:hAnsi="Arial"/>
          <w:lang w:val="en-GB"/>
        </w:rPr>
        <w:t>Ozik, G., Sadka, R. and Shen, S. (2021). Flattening the illiquidity curve: Retail trading during the COVID-19 lockdown. </w:t>
      </w:r>
      <w:r w:rsidRPr="00D52564">
        <w:rPr>
          <w:rFonts w:ascii="Arial" w:hAnsi="Arial"/>
          <w:i/>
          <w:iCs/>
          <w:lang w:val="en-GB"/>
        </w:rPr>
        <w:t>Journal of Financial and Quantitative Analysis</w:t>
      </w:r>
      <w:r w:rsidRPr="00D52564">
        <w:rPr>
          <w:rFonts w:ascii="Arial" w:hAnsi="Arial"/>
          <w:lang w:val="en-GB"/>
        </w:rPr>
        <w:t>, </w:t>
      </w:r>
      <w:r w:rsidRPr="00D52564">
        <w:rPr>
          <w:rFonts w:ascii="Arial" w:hAnsi="Arial"/>
          <w:i/>
          <w:iCs/>
          <w:lang w:val="en-GB"/>
        </w:rPr>
        <w:t>56</w:t>
      </w:r>
      <w:r w:rsidRPr="00D52564">
        <w:rPr>
          <w:rFonts w:ascii="Arial" w:hAnsi="Arial"/>
          <w:lang w:val="en-GB"/>
        </w:rPr>
        <w:t xml:space="preserve">(7), pp.2356-2388. </w:t>
      </w:r>
      <w:hyperlink r:id="rId35" w:history="1">
        <w:r w:rsidRPr="00D52564">
          <w:rPr>
            <w:rStyle w:val="Hyperlink"/>
            <w:rFonts w:ascii="Arial" w:hAnsi="Arial"/>
            <w:lang w:val="en-GB"/>
          </w:rPr>
          <w:t>https://dx.doi.org/10.2139/ssrn.3663970</w:t>
        </w:r>
      </w:hyperlink>
    </w:p>
    <w:p w14:paraId="1C96863D" w14:textId="77777777" w:rsidR="00693649" w:rsidRPr="00D52564" w:rsidRDefault="00693649" w:rsidP="00D52564">
      <w:pPr>
        <w:spacing w:before="240" w:after="240"/>
        <w:rPr>
          <w:rFonts w:ascii="Arial" w:hAnsi="Arial"/>
          <w:lang w:val="en-GB"/>
        </w:rPr>
      </w:pPr>
      <w:r w:rsidRPr="00D52564">
        <w:rPr>
          <w:rFonts w:ascii="Arial" w:hAnsi="Arial"/>
          <w:lang w:val="en-GB"/>
        </w:rPr>
        <w:t>Pearce II, J.A. and Patel, P.C. (2022). Reaping the financial and strategic benefits of a divestiture by spin-off. </w:t>
      </w:r>
      <w:r w:rsidRPr="00D52564">
        <w:rPr>
          <w:rFonts w:ascii="Arial" w:hAnsi="Arial"/>
          <w:i/>
          <w:iCs/>
          <w:lang w:val="en-GB"/>
        </w:rPr>
        <w:t>Business horizons</w:t>
      </w:r>
      <w:r w:rsidRPr="00D52564">
        <w:rPr>
          <w:rFonts w:ascii="Arial" w:hAnsi="Arial"/>
          <w:lang w:val="en-GB"/>
        </w:rPr>
        <w:t>, </w:t>
      </w:r>
      <w:r w:rsidRPr="00D52564">
        <w:rPr>
          <w:rFonts w:ascii="Arial" w:hAnsi="Arial"/>
          <w:i/>
          <w:iCs/>
          <w:lang w:val="en-GB"/>
        </w:rPr>
        <w:t>65</w:t>
      </w:r>
      <w:r w:rsidRPr="00D52564">
        <w:rPr>
          <w:rFonts w:ascii="Arial" w:hAnsi="Arial"/>
          <w:lang w:val="en-GB"/>
        </w:rPr>
        <w:t xml:space="preserve">(3), pp.291-301. </w:t>
      </w:r>
      <w:hyperlink r:id="rId36" w:history="1">
        <w:r w:rsidRPr="00D52564">
          <w:rPr>
            <w:rStyle w:val="Hyperlink"/>
            <w:rFonts w:ascii="Arial" w:hAnsi="Arial"/>
            <w:lang w:val="en-GB"/>
          </w:rPr>
          <w:t>https://doi.org/10.1016/j.bushor.2021.03.001</w:t>
        </w:r>
      </w:hyperlink>
    </w:p>
    <w:p w14:paraId="55A88F27" w14:textId="77777777" w:rsidR="00693649" w:rsidRPr="00D52564" w:rsidRDefault="00693649" w:rsidP="00D52564">
      <w:pPr>
        <w:spacing w:before="240" w:after="240"/>
        <w:rPr>
          <w:rFonts w:ascii="Arial" w:hAnsi="Arial"/>
          <w:lang w:val="en-GB"/>
        </w:rPr>
      </w:pPr>
      <w:r w:rsidRPr="00D52564">
        <w:rPr>
          <w:rFonts w:ascii="Arial" w:hAnsi="Arial"/>
          <w:lang w:val="en-GB"/>
        </w:rPr>
        <w:t>Shou, T. (2022). A literature review on the net present value (NPV) valuation method. In </w:t>
      </w:r>
      <w:r w:rsidRPr="00D52564">
        <w:rPr>
          <w:rFonts w:ascii="Arial" w:hAnsi="Arial"/>
          <w:i/>
          <w:iCs/>
          <w:lang w:val="en-GB"/>
        </w:rPr>
        <w:t>2022 2nd International Conference on Enterprise Management and Economic Development (ICEMED 2022)</w:t>
      </w:r>
      <w:r w:rsidRPr="00D52564">
        <w:rPr>
          <w:rFonts w:ascii="Arial" w:hAnsi="Arial"/>
          <w:lang w:val="en-GB"/>
        </w:rPr>
        <w:t xml:space="preserve"> (pp. 826-830). Atlantis Press. </w:t>
      </w:r>
      <w:hyperlink r:id="rId37" w:history="1">
        <w:r w:rsidRPr="00D52564">
          <w:rPr>
            <w:rStyle w:val="Hyperlink"/>
            <w:rFonts w:ascii="Arial" w:hAnsi="Arial"/>
            <w:lang w:val="en-GB"/>
          </w:rPr>
          <w:t>https://doi.org/10.2991/aebmr.k.220603.135</w:t>
        </w:r>
      </w:hyperlink>
      <w:r w:rsidRPr="00D52564">
        <w:rPr>
          <w:rFonts w:ascii="Arial" w:hAnsi="Arial"/>
          <w:lang w:val="en-GB"/>
        </w:rPr>
        <w:t xml:space="preserve"> </w:t>
      </w:r>
    </w:p>
    <w:p w14:paraId="3E88AAF7" w14:textId="77777777" w:rsidR="00693649" w:rsidRPr="00D52564" w:rsidRDefault="00693649" w:rsidP="00D52564">
      <w:pPr>
        <w:spacing w:before="240" w:after="240"/>
        <w:rPr>
          <w:rFonts w:ascii="Arial" w:hAnsi="Arial"/>
          <w:lang w:val="en-GB"/>
        </w:rPr>
      </w:pPr>
      <w:r w:rsidRPr="00D52564">
        <w:rPr>
          <w:rFonts w:ascii="Arial" w:hAnsi="Arial"/>
          <w:lang w:val="en-GB"/>
        </w:rPr>
        <w:t>Sigmund, M., Wächtler, J., Schuster, P., Ferstl, R. and Valderrama, M.T. (2024). </w:t>
      </w:r>
      <w:r w:rsidRPr="00D52564">
        <w:rPr>
          <w:rFonts w:ascii="Arial" w:hAnsi="Arial"/>
          <w:i/>
          <w:iCs/>
          <w:lang w:val="en-GB"/>
        </w:rPr>
        <w:t>Take it and leave it: Banks' balance sheet optimization and targeted longer-term refinancing operations</w:t>
      </w:r>
      <w:r w:rsidRPr="00D52564">
        <w:rPr>
          <w:rFonts w:ascii="Arial" w:hAnsi="Arial"/>
          <w:lang w:val="en-GB"/>
        </w:rPr>
        <w:t xml:space="preserve"> (No. 257). Working Paper. </w:t>
      </w:r>
      <w:hyperlink r:id="rId38" w:history="1">
        <w:r w:rsidRPr="00D52564">
          <w:rPr>
            <w:rStyle w:val="Hyperlink"/>
            <w:rFonts w:ascii="Arial" w:hAnsi="Arial"/>
            <w:lang w:val="en-GB"/>
          </w:rPr>
          <w:t>https://hdl.handle.net/10419/302850</w:t>
        </w:r>
      </w:hyperlink>
    </w:p>
    <w:p w14:paraId="1C139528" w14:textId="77777777" w:rsidR="00693649" w:rsidRPr="00D52564" w:rsidRDefault="00693649" w:rsidP="00D52564">
      <w:pPr>
        <w:spacing w:before="240" w:after="240"/>
        <w:rPr>
          <w:rFonts w:ascii="Arial" w:hAnsi="Arial"/>
          <w:lang w:val="en-GB"/>
        </w:rPr>
      </w:pPr>
      <w:r w:rsidRPr="00D52564">
        <w:rPr>
          <w:rFonts w:ascii="Arial" w:hAnsi="Arial"/>
          <w:lang w:val="en-GB"/>
        </w:rPr>
        <w:t>Siregar, Q.R. and Harahap, D.D. (2021). Influence Current Ratio, Debt to Equity Ratio and Total Asset Turnover on Return on Equity in the Transportation Sector Industry. </w:t>
      </w:r>
      <w:r w:rsidRPr="00D52564">
        <w:rPr>
          <w:rFonts w:ascii="Arial" w:hAnsi="Arial"/>
          <w:i/>
          <w:iCs/>
          <w:lang w:val="en-GB"/>
        </w:rPr>
        <w:t>International Journal of Business Economics (IJBE)</w:t>
      </w:r>
      <w:r w:rsidRPr="00D52564">
        <w:rPr>
          <w:rFonts w:ascii="Arial" w:hAnsi="Arial"/>
          <w:lang w:val="en-GB"/>
        </w:rPr>
        <w:t>, </w:t>
      </w:r>
      <w:r w:rsidRPr="00D52564">
        <w:rPr>
          <w:rFonts w:ascii="Arial" w:hAnsi="Arial"/>
          <w:i/>
          <w:iCs/>
          <w:lang w:val="en-GB"/>
        </w:rPr>
        <w:t>2</w:t>
      </w:r>
      <w:r w:rsidRPr="00D52564">
        <w:rPr>
          <w:rFonts w:ascii="Arial" w:hAnsi="Arial"/>
          <w:lang w:val="en-GB"/>
        </w:rPr>
        <w:t xml:space="preserve">(2), pp.99-112. </w:t>
      </w:r>
      <w:hyperlink r:id="rId39" w:history="1">
        <w:r w:rsidRPr="00D52564">
          <w:rPr>
            <w:rStyle w:val="Hyperlink"/>
            <w:rFonts w:ascii="Arial" w:hAnsi="Arial"/>
            <w:lang w:val="en-GB"/>
          </w:rPr>
          <w:t>https://doi.org/10.30596/ijbe.v2i2.6644</w:t>
        </w:r>
      </w:hyperlink>
    </w:p>
    <w:p w14:paraId="364DE7B0" w14:textId="77777777" w:rsidR="00693649" w:rsidRPr="00D52564" w:rsidRDefault="00693649" w:rsidP="00D52564">
      <w:pPr>
        <w:spacing w:before="240" w:after="240"/>
        <w:rPr>
          <w:rFonts w:ascii="Arial" w:hAnsi="Arial"/>
          <w:lang w:val="en-GB"/>
        </w:rPr>
      </w:pPr>
      <w:r w:rsidRPr="00D52564">
        <w:rPr>
          <w:rFonts w:ascii="Arial" w:hAnsi="Arial"/>
          <w:lang w:val="en-GB"/>
        </w:rPr>
        <w:lastRenderedPageBreak/>
        <w:t>Stice, D., Stice, E.K. and Stice, J.D. (2023). Five common finance and accounting problems of start-up companies. </w:t>
      </w:r>
      <w:r w:rsidRPr="00D52564">
        <w:rPr>
          <w:rFonts w:ascii="Arial" w:hAnsi="Arial"/>
          <w:i/>
          <w:iCs/>
          <w:lang w:val="en-GB"/>
        </w:rPr>
        <w:t>Journal of Economic Analysis</w:t>
      </w:r>
      <w:r w:rsidRPr="00D52564">
        <w:rPr>
          <w:rFonts w:ascii="Arial" w:hAnsi="Arial"/>
          <w:lang w:val="en-GB"/>
        </w:rPr>
        <w:t>, </w:t>
      </w:r>
      <w:r w:rsidRPr="00D52564">
        <w:rPr>
          <w:rFonts w:ascii="Arial" w:hAnsi="Arial"/>
          <w:i/>
          <w:iCs/>
          <w:lang w:val="en-GB"/>
        </w:rPr>
        <w:t>2</w:t>
      </w:r>
      <w:r w:rsidRPr="00D52564">
        <w:rPr>
          <w:rFonts w:ascii="Arial" w:hAnsi="Arial"/>
          <w:lang w:val="en-GB"/>
        </w:rPr>
        <w:t xml:space="preserve">(2), pp.70-77. </w:t>
      </w:r>
      <w:hyperlink r:id="rId40" w:history="1">
        <w:r w:rsidRPr="00D52564">
          <w:rPr>
            <w:rStyle w:val="Hyperlink"/>
            <w:rFonts w:ascii="Arial" w:hAnsi="Arial"/>
            <w:lang w:val="en-GB"/>
          </w:rPr>
          <w:t>https://doi.org/10.58567/jea02020005</w:t>
        </w:r>
      </w:hyperlink>
      <w:r w:rsidRPr="00D52564">
        <w:rPr>
          <w:rFonts w:ascii="Arial" w:hAnsi="Arial"/>
          <w:lang w:val="en-GB"/>
        </w:rPr>
        <w:t xml:space="preserve"> </w:t>
      </w:r>
    </w:p>
    <w:p w14:paraId="65BE21B4" w14:textId="77777777" w:rsidR="00693649" w:rsidRPr="00D52564" w:rsidRDefault="00693649" w:rsidP="00D52564">
      <w:pPr>
        <w:spacing w:before="240" w:after="240"/>
        <w:rPr>
          <w:rFonts w:ascii="Arial" w:hAnsi="Arial"/>
          <w:lang w:val="en-GB"/>
        </w:rPr>
      </w:pPr>
      <w:r w:rsidRPr="00D52564">
        <w:rPr>
          <w:rFonts w:ascii="Arial" w:hAnsi="Arial"/>
          <w:lang w:val="en-GB"/>
        </w:rPr>
        <w:t>Sunaryo, D., Gentari, R.E. and Adiyanto, Y. (2022). Using Current Ratio Indicator and Total Asset Turnover Approach in Solving Return on Assets Problems with Debt-to-Equity Ratio Moderated. </w:t>
      </w:r>
      <w:r w:rsidRPr="00D52564">
        <w:rPr>
          <w:rFonts w:ascii="Arial" w:hAnsi="Arial"/>
          <w:i/>
          <w:iCs/>
          <w:lang w:val="en-GB"/>
        </w:rPr>
        <w:t>Quality-Access to Success</w:t>
      </w:r>
      <w:r w:rsidRPr="00D52564">
        <w:rPr>
          <w:rFonts w:ascii="Arial" w:hAnsi="Arial"/>
          <w:lang w:val="en-GB"/>
        </w:rPr>
        <w:t>, </w:t>
      </w:r>
      <w:r w:rsidRPr="00D52564">
        <w:rPr>
          <w:rFonts w:ascii="Arial" w:hAnsi="Arial"/>
          <w:i/>
          <w:iCs/>
          <w:lang w:val="en-GB"/>
        </w:rPr>
        <w:t>23</w:t>
      </w:r>
      <w:r w:rsidRPr="00D52564">
        <w:rPr>
          <w:rFonts w:ascii="Arial" w:hAnsi="Arial"/>
          <w:lang w:val="en-GB"/>
        </w:rPr>
        <w:t xml:space="preserve">(189). </w:t>
      </w:r>
      <w:hyperlink r:id="rId41" w:history="1">
        <w:r w:rsidRPr="00D52564">
          <w:rPr>
            <w:rStyle w:val="Hyperlink"/>
            <w:rFonts w:ascii="Arial" w:hAnsi="Arial"/>
            <w:lang w:val="en-GB"/>
          </w:rPr>
          <w:t>https://doi.org/10.47750/QAS/23.189.23</w:t>
        </w:r>
      </w:hyperlink>
    </w:p>
    <w:p w14:paraId="4A1FDD44" w14:textId="77777777" w:rsidR="00693649" w:rsidRPr="00D52564" w:rsidRDefault="00693649" w:rsidP="00D52564">
      <w:pPr>
        <w:spacing w:before="240" w:after="240"/>
        <w:rPr>
          <w:rFonts w:ascii="Arial" w:hAnsi="Arial"/>
          <w:lang w:val="en-GB"/>
        </w:rPr>
      </w:pPr>
      <w:r w:rsidRPr="00D52564">
        <w:rPr>
          <w:rFonts w:ascii="Arial" w:hAnsi="Arial"/>
          <w:lang w:val="en-GB"/>
        </w:rPr>
        <w:t xml:space="preserve">Wyndham (2023). </w:t>
      </w:r>
      <w:r w:rsidRPr="00D52564">
        <w:rPr>
          <w:rFonts w:ascii="Arial" w:hAnsi="Arial"/>
          <w:i/>
          <w:iCs/>
          <w:lang w:val="en-GB"/>
        </w:rPr>
        <w:t>Wyndham Hotels &amp; Resorts Reports Strong Fourth Quarter and Full-Year 2022 Results</w:t>
      </w:r>
      <w:r w:rsidRPr="00D52564">
        <w:rPr>
          <w:rFonts w:ascii="Arial" w:hAnsi="Arial"/>
          <w:lang w:val="en-GB"/>
        </w:rPr>
        <w:t xml:space="preserve">. Available at: </w:t>
      </w:r>
      <w:hyperlink r:id="rId42" w:history="1">
        <w:r w:rsidRPr="00D52564">
          <w:rPr>
            <w:rStyle w:val="Hyperlink"/>
            <w:rFonts w:ascii="Arial" w:hAnsi="Arial"/>
            <w:lang w:val="en-GB"/>
          </w:rPr>
          <w:t>https://d1io3yog0oux5.cloudfront.net/_24925bb85b8d9c674a4ff8a4b927b624/wyndhamhotels/news/2023-02-15_WYNDHAM_HOTELS_RESORTS_REPORTS_STRONG_FOURTH_257.pdf</w:t>
        </w:r>
      </w:hyperlink>
      <w:r w:rsidRPr="00D52564">
        <w:rPr>
          <w:rFonts w:ascii="Arial" w:hAnsi="Arial"/>
          <w:lang w:val="en-GB"/>
        </w:rPr>
        <w:t xml:space="preserve"> (Accessed: 25 July 2026)</w:t>
      </w:r>
    </w:p>
    <w:p w14:paraId="4378629A" w14:textId="77777777" w:rsidR="00693649" w:rsidRPr="00D52564" w:rsidRDefault="00693649" w:rsidP="00D52564">
      <w:pPr>
        <w:spacing w:before="240" w:after="240"/>
        <w:rPr>
          <w:rFonts w:ascii="Arial" w:hAnsi="Arial"/>
          <w:lang w:val="en-GB"/>
        </w:rPr>
      </w:pPr>
      <w:r w:rsidRPr="00D52564">
        <w:rPr>
          <w:rFonts w:ascii="Arial" w:hAnsi="Arial"/>
          <w:lang w:val="en-GB"/>
        </w:rPr>
        <w:t xml:space="preserve">Wyndham (2024). </w:t>
      </w:r>
      <w:r w:rsidRPr="00D52564">
        <w:rPr>
          <w:rFonts w:ascii="Arial" w:hAnsi="Arial"/>
          <w:i/>
          <w:iCs/>
          <w:lang w:val="en-GB"/>
        </w:rPr>
        <w:t>Wyndham Hotels &amp; Resorts Reports Strong Fourth Quarter Results with Record Openings, Retention and System Growth</w:t>
      </w:r>
      <w:r w:rsidRPr="00D52564">
        <w:rPr>
          <w:rFonts w:ascii="Arial" w:hAnsi="Arial"/>
          <w:lang w:val="en-GB"/>
        </w:rPr>
        <w:t xml:space="preserve">. Available at: </w:t>
      </w:r>
      <w:hyperlink r:id="rId43" w:history="1">
        <w:r w:rsidRPr="00D52564">
          <w:rPr>
            <w:rStyle w:val="Hyperlink"/>
            <w:rFonts w:ascii="Arial" w:hAnsi="Arial"/>
            <w:lang w:val="en-GB"/>
          </w:rPr>
          <w:t>https://d1io3yog0oux5.cloudfront.net/_24925bb85b8d9c674a4ff8a4b927b624/wyndhamhotels/news/2024-02-14_WYNDHAM_HOTELS_RESORTS_REPORTS_STRONG_FOURTH_309.pdf</w:t>
        </w:r>
      </w:hyperlink>
      <w:r w:rsidRPr="00D52564">
        <w:rPr>
          <w:rFonts w:ascii="Arial" w:hAnsi="Arial"/>
          <w:lang w:val="en-GB"/>
        </w:rPr>
        <w:t xml:space="preserve"> (Accessed: 25 July 2026)</w:t>
      </w:r>
    </w:p>
    <w:p w14:paraId="7C6B932C" w14:textId="77777777" w:rsidR="00693649" w:rsidRPr="00D52564" w:rsidRDefault="00693649" w:rsidP="00D52564">
      <w:pPr>
        <w:spacing w:before="240" w:after="240"/>
        <w:rPr>
          <w:rFonts w:ascii="Arial" w:hAnsi="Arial"/>
          <w:lang w:val="en-GB"/>
        </w:rPr>
      </w:pPr>
      <w:r w:rsidRPr="00D52564">
        <w:rPr>
          <w:rFonts w:ascii="Arial" w:hAnsi="Arial"/>
          <w:lang w:val="en-GB"/>
        </w:rPr>
        <w:t xml:space="preserve">Wyndham (2026a). </w:t>
      </w:r>
      <w:r w:rsidRPr="00D52564">
        <w:rPr>
          <w:rFonts w:ascii="Arial" w:hAnsi="Arial"/>
          <w:i/>
          <w:iCs/>
          <w:lang w:val="en-GB"/>
        </w:rPr>
        <w:t>Company Profile</w:t>
      </w:r>
      <w:r w:rsidRPr="00D52564">
        <w:rPr>
          <w:rFonts w:ascii="Arial" w:hAnsi="Arial"/>
          <w:lang w:val="en-GB"/>
        </w:rPr>
        <w:t xml:space="preserve">. Available at: </w:t>
      </w:r>
      <w:hyperlink r:id="rId44" w:history="1">
        <w:r w:rsidRPr="00D52564">
          <w:rPr>
            <w:rStyle w:val="Hyperlink"/>
            <w:rFonts w:ascii="Arial" w:hAnsi="Arial"/>
            <w:lang w:val="en-GB"/>
          </w:rPr>
          <w:t>https://investor.wyndhamhotels.com/company-information</w:t>
        </w:r>
      </w:hyperlink>
      <w:r w:rsidRPr="00D52564">
        <w:rPr>
          <w:rFonts w:ascii="Arial" w:hAnsi="Arial"/>
          <w:lang w:val="en-GB"/>
        </w:rPr>
        <w:t xml:space="preserve"> (Accessed: 25 July 2026)</w:t>
      </w:r>
    </w:p>
    <w:p w14:paraId="45F9E809" w14:textId="77777777" w:rsidR="00693649" w:rsidRPr="00D52564" w:rsidRDefault="00693649" w:rsidP="00D52564">
      <w:pPr>
        <w:spacing w:before="240" w:after="240"/>
        <w:rPr>
          <w:rFonts w:ascii="Arial" w:hAnsi="Arial"/>
          <w:lang w:val="en-GB"/>
        </w:rPr>
      </w:pPr>
      <w:r w:rsidRPr="00D52564">
        <w:rPr>
          <w:rFonts w:ascii="Arial" w:hAnsi="Arial"/>
          <w:lang w:val="en-GB"/>
        </w:rPr>
        <w:t xml:space="preserve">Wyndham (2026b). </w:t>
      </w:r>
      <w:r w:rsidRPr="00D52564">
        <w:rPr>
          <w:rFonts w:ascii="Arial" w:hAnsi="Arial"/>
          <w:i/>
          <w:iCs/>
          <w:lang w:val="en-GB"/>
        </w:rPr>
        <w:t>Wyndham Hotels &amp; Resorts Reports Fourth Quarter Results</w:t>
      </w:r>
      <w:r w:rsidRPr="00D52564">
        <w:rPr>
          <w:rFonts w:ascii="Arial" w:hAnsi="Arial"/>
          <w:lang w:val="en-GB"/>
        </w:rPr>
        <w:t xml:space="preserve">. Available at: </w:t>
      </w:r>
      <w:hyperlink r:id="rId45" w:history="1">
        <w:r w:rsidRPr="00D52564">
          <w:rPr>
            <w:rStyle w:val="Hyperlink"/>
            <w:rFonts w:ascii="Arial" w:hAnsi="Arial"/>
            <w:lang w:val="en-GB"/>
          </w:rPr>
          <w:t>https://d1io3yog0oux5.cloudfront.net/_24925bb85b8d9c674a4ff8a4b927b624/wyndhamhotels/news/2026-02-18_WYNDHAM_HOTELS_RESORTS_REPORTS_FOURTH_QUARTER_406.pdf</w:t>
        </w:r>
      </w:hyperlink>
      <w:r w:rsidRPr="00D52564">
        <w:rPr>
          <w:rFonts w:ascii="Arial" w:hAnsi="Arial"/>
          <w:lang w:val="en-GB"/>
        </w:rPr>
        <w:t xml:space="preserve"> (Accessed: 25 July 2026)</w:t>
      </w:r>
    </w:p>
    <w:p w14:paraId="1F476E39" w14:textId="77777777" w:rsidR="00693649" w:rsidRPr="00D52564" w:rsidRDefault="00693649" w:rsidP="00D52564">
      <w:pPr>
        <w:spacing w:before="240" w:after="240"/>
        <w:rPr>
          <w:rFonts w:ascii="Arial" w:hAnsi="Arial"/>
          <w:lang w:val="en-GB"/>
        </w:rPr>
      </w:pPr>
      <w:r w:rsidRPr="00D52564">
        <w:rPr>
          <w:rFonts w:ascii="Arial" w:hAnsi="Arial"/>
          <w:lang w:val="en-GB"/>
        </w:rPr>
        <w:lastRenderedPageBreak/>
        <w:t xml:space="preserve">Wyndham (2026c). </w:t>
      </w:r>
      <w:r w:rsidRPr="00D52564">
        <w:rPr>
          <w:rFonts w:ascii="Arial" w:hAnsi="Arial"/>
          <w:i/>
          <w:iCs/>
          <w:lang w:val="en-GB"/>
        </w:rPr>
        <w:t>Investor Presentation</w:t>
      </w:r>
      <w:r w:rsidRPr="00D52564">
        <w:rPr>
          <w:rFonts w:ascii="Arial" w:hAnsi="Arial"/>
          <w:lang w:val="en-GB"/>
        </w:rPr>
        <w:t xml:space="preserve">. Available at: </w:t>
      </w:r>
      <w:hyperlink r:id="rId46" w:history="1">
        <w:r w:rsidRPr="00D52564">
          <w:rPr>
            <w:rStyle w:val="Hyperlink"/>
            <w:rFonts w:ascii="Arial" w:hAnsi="Arial"/>
            <w:lang w:val="en-GB"/>
          </w:rPr>
          <w:t>https://d1io3yog0oux5.cloudfront.net/_24925bb85b8d9c674a4ff8a4b927b624/wyndhamhotels/db/2238/23619/investor_presentation/WH+Q4+2025+Investor+Presentation.pdf</w:t>
        </w:r>
      </w:hyperlink>
      <w:r w:rsidRPr="00D52564">
        <w:rPr>
          <w:rFonts w:ascii="Arial" w:hAnsi="Arial"/>
          <w:lang w:val="en-GB"/>
        </w:rPr>
        <w:t xml:space="preserve"> (Accessed: 25 July 2026)</w:t>
      </w:r>
    </w:p>
    <w:p w14:paraId="00707AAA" w14:textId="77777777" w:rsidR="00E252C8" w:rsidRPr="00D52564" w:rsidRDefault="00E252C8" w:rsidP="00D52564">
      <w:pPr>
        <w:spacing w:before="240" w:after="240"/>
        <w:rPr>
          <w:rFonts w:ascii="Arial" w:hAnsi="Arial"/>
          <w:lang w:val="en-GB"/>
        </w:rPr>
      </w:pPr>
      <w:r w:rsidRPr="00D52564">
        <w:rPr>
          <w:rFonts w:ascii="Arial" w:hAnsi="Arial"/>
          <w:lang w:val="en-GB"/>
        </w:rPr>
        <w:br w:type="page"/>
      </w:r>
    </w:p>
    <w:p w14:paraId="00000027" w14:textId="2CE8F7A0" w:rsidR="003F35A2" w:rsidRPr="00D52564" w:rsidRDefault="00346555" w:rsidP="00D52564">
      <w:pPr>
        <w:pStyle w:val="Heading1"/>
        <w:spacing w:before="240" w:after="240"/>
        <w:rPr>
          <w:rFonts w:ascii="Arial" w:hAnsi="Arial"/>
          <w:sz w:val="24"/>
          <w:lang w:val="en-GB"/>
        </w:rPr>
      </w:pPr>
      <w:bookmarkStart w:id="140" w:name="_Toc236179792"/>
      <w:bookmarkStart w:id="141" w:name="_Toc236250040"/>
      <w:bookmarkStart w:id="142" w:name="_Toc237532228"/>
      <w:r w:rsidRPr="00D52564">
        <w:rPr>
          <w:rFonts w:ascii="Arial" w:hAnsi="Arial"/>
          <w:sz w:val="24"/>
          <w:lang w:val="en-GB"/>
        </w:rPr>
        <w:lastRenderedPageBreak/>
        <w:t>Appendices</w:t>
      </w:r>
      <w:bookmarkEnd w:id="140"/>
      <w:bookmarkEnd w:id="141"/>
      <w:bookmarkEnd w:id="142"/>
    </w:p>
    <w:p w14:paraId="00000028" w14:textId="77777777" w:rsidR="003F35A2" w:rsidRPr="00D52564" w:rsidRDefault="00346555" w:rsidP="00D52564">
      <w:pPr>
        <w:pStyle w:val="Heading2"/>
        <w:spacing w:before="240" w:after="240"/>
        <w:rPr>
          <w:rFonts w:ascii="Arial" w:hAnsi="Arial"/>
          <w:sz w:val="24"/>
          <w:lang w:val="en-GB"/>
        </w:rPr>
      </w:pPr>
      <w:bookmarkStart w:id="143" w:name="_njmxwwzg03ws" w:colFirst="0" w:colLast="0"/>
      <w:bookmarkStart w:id="144" w:name="_Toc236179793"/>
      <w:bookmarkStart w:id="145" w:name="_Toc236250041"/>
      <w:bookmarkStart w:id="146" w:name="_Toc237532229"/>
      <w:bookmarkEnd w:id="143"/>
      <w:r w:rsidRPr="00D52564">
        <w:rPr>
          <w:rFonts w:ascii="Arial" w:hAnsi="Arial"/>
          <w:sz w:val="24"/>
          <w:lang w:val="en-GB"/>
        </w:rPr>
        <w:t>Appendix 1: Ratio Calculations</w:t>
      </w:r>
      <w:bookmarkEnd w:id="144"/>
      <w:bookmarkEnd w:id="145"/>
      <w:bookmarkEnd w:id="146"/>
    </w:p>
    <w:tbl>
      <w:tblPr>
        <w:tblW w:w="5000" w:type="pct"/>
        <w:tblLook w:val="04A0" w:firstRow="1" w:lastRow="0" w:firstColumn="1" w:lastColumn="0" w:noHBand="0" w:noVBand="1"/>
      </w:tblPr>
      <w:tblGrid>
        <w:gridCol w:w="1537"/>
        <w:gridCol w:w="2663"/>
        <w:gridCol w:w="1030"/>
        <w:gridCol w:w="1030"/>
        <w:gridCol w:w="1030"/>
        <w:gridCol w:w="1030"/>
        <w:gridCol w:w="1030"/>
      </w:tblGrid>
      <w:tr w:rsidR="00CF4C6E" w:rsidRPr="00D52564" w14:paraId="75AF74F5" w14:textId="77777777" w:rsidTr="00F049CB">
        <w:trPr>
          <w:trHeight w:val="348"/>
        </w:trPr>
        <w:tc>
          <w:tcPr>
            <w:tcW w:w="5000" w:type="pct"/>
            <w:gridSpan w:val="7"/>
            <w:tcBorders>
              <w:top w:val="single" w:sz="4" w:space="0" w:color="auto"/>
              <w:left w:val="single" w:sz="4" w:space="0" w:color="auto"/>
              <w:bottom w:val="single" w:sz="4" w:space="0" w:color="auto"/>
              <w:right w:val="single" w:sz="4" w:space="0" w:color="auto"/>
            </w:tcBorders>
            <w:shd w:val="clear" w:color="000000" w:fill="FEA767"/>
            <w:vAlign w:val="bottom"/>
            <w:hideMark/>
          </w:tcPr>
          <w:p w14:paraId="2ACF81B3" w14:textId="77777777" w:rsidR="00CF4C6E" w:rsidRPr="00D52564" w:rsidRDefault="00CF4C6E" w:rsidP="00D52564">
            <w:pPr>
              <w:spacing w:before="240" w:after="240"/>
              <w:rPr>
                <w:rFonts w:ascii="Arial" w:hAnsi="Arial"/>
                <w:b/>
                <w:bCs/>
                <w:color w:val="000000"/>
                <w:szCs w:val="28"/>
                <w:lang w:val="en-GB"/>
              </w:rPr>
            </w:pPr>
            <w:r w:rsidRPr="00D52564">
              <w:rPr>
                <w:rFonts w:ascii="Arial" w:hAnsi="Arial"/>
                <w:b/>
                <w:bCs/>
                <w:color w:val="000000"/>
                <w:szCs w:val="28"/>
                <w:lang w:val="en-GB"/>
              </w:rPr>
              <w:t>Ratio Analysis of Wyndham Hotels and Resorts</w:t>
            </w:r>
          </w:p>
        </w:tc>
      </w:tr>
      <w:tr w:rsidR="00CF4C6E" w:rsidRPr="00D52564" w14:paraId="3821D43C" w14:textId="77777777" w:rsidTr="00F049CB">
        <w:trPr>
          <w:trHeight w:val="315"/>
        </w:trPr>
        <w:tc>
          <w:tcPr>
            <w:tcW w:w="822" w:type="pct"/>
            <w:tcBorders>
              <w:top w:val="nil"/>
              <w:left w:val="single" w:sz="4" w:space="0" w:color="auto"/>
              <w:bottom w:val="single" w:sz="4" w:space="0" w:color="auto"/>
              <w:right w:val="single" w:sz="4" w:space="0" w:color="auto"/>
            </w:tcBorders>
            <w:shd w:val="clear" w:color="000000" w:fill="FBBC04"/>
            <w:noWrap/>
            <w:vAlign w:val="bottom"/>
            <w:hideMark/>
          </w:tcPr>
          <w:p w14:paraId="6726DF66" w14:textId="77777777" w:rsidR="00CF4C6E" w:rsidRPr="00D52564" w:rsidRDefault="00CF4C6E" w:rsidP="00D52564">
            <w:pPr>
              <w:spacing w:before="240" w:after="240"/>
              <w:rPr>
                <w:rFonts w:ascii="Arial" w:hAnsi="Arial"/>
                <w:b/>
                <w:bCs/>
                <w:color w:val="000000"/>
                <w:lang w:val="en-GB"/>
              </w:rPr>
            </w:pPr>
            <w:r w:rsidRPr="00D52564">
              <w:rPr>
                <w:rFonts w:ascii="Arial" w:hAnsi="Arial"/>
                <w:b/>
                <w:bCs/>
                <w:color w:val="000000"/>
                <w:lang w:val="en-GB"/>
              </w:rPr>
              <w:t>Category</w:t>
            </w:r>
          </w:p>
        </w:tc>
        <w:tc>
          <w:tcPr>
            <w:tcW w:w="4178" w:type="pct"/>
            <w:gridSpan w:val="6"/>
            <w:tcBorders>
              <w:top w:val="single" w:sz="4" w:space="0" w:color="auto"/>
              <w:left w:val="nil"/>
              <w:bottom w:val="single" w:sz="4" w:space="0" w:color="auto"/>
              <w:right w:val="single" w:sz="4" w:space="0" w:color="auto"/>
            </w:tcBorders>
            <w:shd w:val="clear" w:color="000000" w:fill="FFC599"/>
            <w:vAlign w:val="bottom"/>
            <w:hideMark/>
          </w:tcPr>
          <w:p w14:paraId="59554AC2"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 xml:space="preserve">Note: </w:t>
            </w:r>
            <w:r w:rsidRPr="00D52564">
              <w:rPr>
                <w:rFonts w:ascii="Arial" w:hAnsi="Arial"/>
                <w:color w:val="000000"/>
                <w:szCs w:val="20"/>
                <w:lang w:val="en-GB"/>
              </w:rPr>
              <w:t>All figures are in Millions except ratios</w:t>
            </w:r>
          </w:p>
        </w:tc>
      </w:tr>
      <w:tr w:rsidR="00CF4C6E" w:rsidRPr="00D52564" w14:paraId="4F35C765" w14:textId="77777777" w:rsidTr="00F049CB">
        <w:trPr>
          <w:trHeight w:val="315"/>
        </w:trPr>
        <w:tc>
          <w:tcPr>
            <w:tcW w:w="822" w:type="pct"/>
            <w:vMerge w:val="restart"/>
            <w:tcBorders>
              <w:top w:val="nil"/>
              <w:left w:val="single" w:sz="4" w:space="0" w:color="auto"/>
              <w:bottom w:val="single" w:sz="4" w:space="0" w:color="auto"/>
              <w:right w:val="single" w:sz="4" w:space="0" w:color="auto"/>
            </w:tcBorders>
            <w:shd w:val="clear" w:color="000000" w:fill="F28E86"/>
            <w:noWrap/>
            <w:vAlign w:val="bottom"/>
            <w:hideMark/>
          </w:tcPr>
          <w:p w14:paraId="04D7E0E3" w14:textId="77777777" w:rsidR="00CF4C6E" w:rsidRPr="00D52564" w:rsidRDefault="00CF4C6E" w:rsidP="00D52564">
            <w:pPr>
              <w:spacing w:before="240" w:after="240"/>
              <w:rPr>
                <w:rFonts w:ascii="Arial" w:hAnsi="Arial"/>
                <w:b/>
                <w:bCs/>
                <w:color w:val="000000"/>
                <w:lang w:val="en-GB"/>
              </w:rPr>
            </w:pPr>
            <w:r w:rsidRPr="00D52564">
              <w:rPr>
                <w:rFonts w:ascii="Arial" w:hAnsi="Arial"/>
                <w:b/>
                <w:bCs/>
                <w:color w:val="000000"/>
                <w:lang w:val="en-GB"/>
              </w:rPr>
              <w:t>Profitability</w:t>
            </w:r>
          </w:p>
        </w:tc>
        <w:tc>
          <w:tcPr>
            <w:tcW w:w="1424" w:type="pct"/>
            <w:tcBorders>
              <w:top w:val="nil"/>
              <w:left w:val="nil"/>
              <w:bottom w:val="single" w:sz="4" w:space="0" w:color="auto"/>
              <w:right w:val="single" w:sz="4" w:space="0" w:color="auto"/>
            </w:tcBorders>
            <w:shd w:val="clear" w:color="000000" w:fill="FBDAD7"/>
            <w:vAlign w:val="bottom"/>
            <w:hideMark/>
          </w:tcPr>
          <w:p w14:paraId="68DB04D5"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Net Profit Margin</w:t>
            </w:r>
          </w:p>
        </w:tc>
        <w:tc>
          <w:tcPr>
            <w:tcW w:w="551" w:type="pct"/>
            <w:tcBorders>
              <w:top w:val="nil"/>
              <w:left w:val="nil"/>
              <w:bottom w:val="single" w:sz="4" w:space="0" w:color="auto"/>
              <w:right w:val="single" w:sz="4" w:space="0" w:color="auto"/>
            </w:tcBorders>
            <w:shd w:val="clear" w:color="000000" w:fill="FBDAD7"/>
            <w:vAlign w:val="bottom"/>
            <w:hideMark/>
          </w:tcPr>
          <w:p w14:paraId="35554B34"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2021</w:t>
            </w:r>
          </w:p>
        </w:tc>
        <w:tc>
          <w:tcPr>
            <w:tcW w:w="551" w:type="pct"/>
            <w:tcBorders>
              <w:top w:val="nil"/>
              <w:left w:val="nil"/>
              <w:bottom w:val="single" w:sz="4" w:space="0" w:color="auto"/>
              <w:right w:val="single" w:sz="4" w:space="0" w:color="auto"/>
            </w:tcBorders>
            <w:shd w:val="clear" w:color="000000" w:fill="FBDAD7"/>
            <w:vAlign w:val="bottom"/>
            <w:hideMark/>
          </w:tcPr>
          <w:p w14:paraId="2432CBFB"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2022</w:t>
            </w:r>
          </w:p>
        </w:tc>
        <w:tc>
          <w:tcPr>
            <w:tcW w:w="551" w:type="pct"/>
            <w:tcBorders>
              <w:top w:val="nil"/>
              <w:left w:val="nil"/>
              <w:bottom w:val="single" w:sz="4" w:space="0" w:color="auto"/>
              <w:right w:val="single" w:sz="4" w:space="0" w:color="auto"/>
            </w:tcBorders>
            <w:shd w:val="clear" w:color="000000" w:fill="FBDAD7"/>
            <w:vAlign w:val="bottom"/>
            <w:hideMark/>
          </w:tcPr>
          <w:p w14:paraId="4BC8179A"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2023</w:t>
            </w:r>
          </w:p>
        </w:tc>
        <w:tc>
          <w:tcPr>
            <w:tcW w:w="551" w:type="pct"/>
            <w:tcBorders>
              <w:top w:val="nil"/>
              <w:left w:val="nil"/>
              <w:bottom w:val="single" w:sz="4" w:space="0" w:color="auto"/>
              <w:right w:val="single" w:sz="4" w:space="0" w:color="auto"/>
            </w:tcBorders>
            <w:shd w:val="clear" w:color="000000" w:fill="FBDAD7"/>
            <w:vAlign w:val="bottom"/>
            <w:hideMark/>
          </w:tcPr>
          <w:p w14:paraId="563E4A5B"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2024</w:t>
            </w:r>
          </w:p>
        </w:tc>
        <w:tc>
          <w:tcPr>
            <w:tcW w:w="551" w:type="pct"/>
            <w:tcBorders>
              <w:top w:val="nil"/>
              <w:left w:val="nil"/>
              <w:bottom w:val="single" w:sz="4" w:space="0" w:color="auto"/>
              <w:right w:val="single" w:sz="4" w:space="0" w:color="auto"/>
            </w:tcBorders>
            <w:shd w:val="clear" w:color="000000" w:fill="FBDAD7"/>
            <w:vAlign w:val="bottom"/>
            <w:hideMark/>
          </w:tcPr>
          <w:p w14:paraId="2EB775FA"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2025</w:t>
            </w:r>
          </w:p>
        </w:tc>
      </w:tr>
      <w:tr w:rsidR="00CF4C6E" w:rsidRPr="00D52564" w14:paraId="7F7514C6" w14:textId="77777777" w:rsidTr="00F049CB">
        <w:trPr>
          <w:trHeight w:val="315"/>
        </w:trPr>
        <w:tc>
          <w:tcPr>
            <w:tcW w:w="822" w:type="pct"/>
            <w:vMerge/>
            <w:tcBorders>
              <w:top w:val="nil"/>
              <w:left w:val="single" w:sz="4" w:space="0" w:color="auto"/>
              <w:bottom w:val="single" w:sz="4" w:space="0" w:color="auto"/>
              <w:right w:val="single" w:sz="4" w:space="0" w:color="auto"/>
            </w:tcBorders>
            <w:vAlign w:val="center"/>
            <w:hideMark/>
          </w:tcPr>
          <w:p w14:paraId="5D2F43C8"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F2F2F2"/>
            <w:vAlign w:val="bottom"/>
            <w:hideMark/>
          </w:tcPr>
          <w:p w14:paraId="7948448B"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Net Income</w:t>
            </w:r>
          </w:p>
        </w:tc>
        <w:tc>
          <w:tcPr>
            <w:tcW w:w="551" w:type="pct"/>
            <w:tcBorders>
              <w:top w:val="nil"/>
              <w:left w:val="nil"/>
              <w:bottom w:val="single" w:sz="4" w:space="0" w:color="auto"/>
              <w:right w:val="single" w:sz="4" w:space="0" w:color="auto"/>
            </w:tcBorders>
            <w:shd w:val="clear" w:color="000000" w:fill="F2F2F2"/>
            <w:vAlign w:val="bottom"/>
            <w:hideMark/>
          </w:tcPr>
          <w:p w14:paraId="647A701F"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$48</w:t>
            </w:r>
          </w:p>
        </w:tc>
        <w:tc>
          <w:tcPr>
            <w:tcW w:w="551" w:type="pct"/>
            <w:tcBorders>
              <w:top w:val="nil"/>
              <w:left w:val="nil"/>
              <w:bottom w:val="single" w:sz="4" w:space="0" w:color="auto"/>
              <w:right w:val="single" w:sz="4" w:space="0" w:color="auto"/>
            </w:tcBorders>
            <w:shd w:val="clear" w:color="000000" w:fill="F2F2F2"/>
            <w:vAlign w:val="bottom"/>
            <w:hideMark/>
          </w:tcPr>
          <w:p w14:paraId="482C3731"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$355</w:t>
            </w:r>
          </w:p>
        </w:tc>
        <w:tc>
          <w:tcPr>
            <w:tcW w:w="551" w:type="pct"/>
            <w:tcBorders>
              <w:top w:val="nil"/>
              <w:left w:val="nil"/>
              <w:bottom w:val="single" w:sz="4" w:space="0" w:color="auto"/>
              <w:right w:val="single" w:sz="4" w:space="0" w:color="auto"/>
            </w:tcBorders>
            <w:shd w:val="clear" w:color="000000" w:fill="F2F2F2"/>
            <w:vAlign w:val="bottom"/>
            <w:hideMark/>
          </w:tcPr>
          <w:p w14:paraId="634E3C26"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$289</w:t>
            </w:r>
          </w:p>
        </w:tc>
        <w:tc>
          <w:tcPr>
            <w:tcW w:w="551" w:type="pct"/>
            <w:tcBorders>
              <w:top w:val="nil"/>
              <w:left w:val="nil"/>
              <w:bottom w:val="single" w:sz="4" w:space="0" w:color="auto"/>
              <w:right w:val="single" w:sz="4" w:space="0" w:color="auto"/>
            </w:tcBorders>
            <w:shd w:val="clear" w:color="000000" w:fill="F2F2F2"/>
            <w:vAlign w:val="bottom"/>
            <w:hideMark/>
          </w:tcPr>
          <w:p w14:paraId="4B66667B"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$289</w:t>
            </w:r>
          </w:p>
        </w:tc>
        <w:tc>
          <w:tcPr>
            <w:tcW w:w="551" w:type="pct"/>
            <w:tcBorders>
              <w:top w:val="nil"/>
              <w:left w:val="nil"/>
              <w:bottom w:val="single" w:sz="4" w:space="0" w:color="auto"/>
              <w:right w:val="single" w:sz="4" w:space="0" w:color="auto"/>
            </w:tcBorders>
            <w:shd w:val="clear" w:color="000000" w:fill="F2F2F2"/>
            <w:vAlign w:val="bottom"/>
            <w:hideMark/>
          </w:tcPr>
          <w:p w14:paraId="32764D02"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$193</w:t>
            </w:r>
          </w:p>
        </w:tc>
      </w:tr>
      <w:tr w:rsidR="00CF4C6E" w:rsidRPr="00D52564" w14:paraId="33AA13E9" w14:textId="77777777" w:rsidTr="00F049CB">
        <w:trPr>
          <w:trHeight w:val="315"/>
        </w:trPr>
        <w:tc>
          <w:tcPr>
            <w:tcW w:w="822" w:type="pct"/>
            <w:vMerge/>
            <w:tcBorders>
              <w:top w:val="nil"/>
              <w:left w:val="single" w:sz="4" w:space="0" w:color="auto"/>
              <w:bottom w:val="single" w:sz="4" w:space="0" w:color="auto"/>
              <w:right w:val="single" w:sz="4" w:space="0" w:color="auto"/>
            </w:tcBorders>
            <w:vAlign w:val="center"/>
            <w:hideMark/>
          </w:tcPr>
          <w:p w14:paraId="49AAE1F8"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F2F2F2"/>
            <w:vAlign w:val="bottom"/>
            <w:hideMark/>
          </w:tcPr>
          <w:p w14:paraId="3BABD29E"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Revenue</w:t>
            </w:r>
          </w:p>
        </w:tc>
        <w:tc>
          <w:tcPr>
            <w:tcW w:w="551" w:type="pct"/>
            <w:tcBorders>
              <w:top w:val="nil"/>
              <w:left w:val="nil"/>
              <w:bottom w:val="single" w:sz="4" w:space="0" w:color="auto"/>
              <w:right w:val="single" w:sz="4" w:space="0" w:color="auto"/>
            </w:tcBorders>
            <w:shd w:val="clear" w:color="000000" w:fill="F2F2F2"/>
            <w:vAlign w:val="bottom"/>
            <w:hideMark/>
          </w:tcPr>
          <w:p w14:paraId="49BBC3FA"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$392</w:t>
            </w:r>
          </w:p>
        </w:tc>
        <w:tc>
          <w:tcPr>
            <w:tcW w:w="551" w:type="pct"/>
            <w:tcBorders>
              <w:top w:val="nil"/>
              <w:left w:val="nil"/>
              <w:bottom w:val="single" w:sz="4" w:space="0" w:color="auto"/>
              <w:right w:val="single" w:sz="4" w:space="0" w:color="auto"/>
            </w:tcBorders>
            <w:shd w:val="clear" w:color="000000" w:fill="F2F2F2"/>
            <w:vAlign w:val="bottom"/>
            <w:hideMark/>
          </w:tcPr>
          <w:p w14:paraId="435A19B9"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$1,498</w:t>
            </w:r>
          </w:p>
        </w:tc>
        <w:tc>
          <w:tcPr>
            <w:tcW w:w="551" w:type="pct"/>
            <w:tcBorders>
              <w:top w:val="nil"/>
              <w:left w:val="nil"/>
              <w:bottom w:val="single" w:sz="4" w:space="0" w:color="auto"/>
              <w:right w:val="single" w:sz="4" w:space="0" w:color="auto"/>
            </w:tcBorders>
            <w:shd w:val="clear" w:color="000000" w:fill="F2F2F2"/>
            <w:vAlign w:val="bottom"/>
            <w:hideMark/>
          </w:tcPr>
          <w:p w14:paraId="7299A81E"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$1,397</w:t>
            </w:r>
          </w:p>
        </w:tc>
        <w:tc>
          <w:tcPr>
            <w:tcW w:w="551" w:type="pct"/>
            <w:tcBorders>
              <w:top w:val="nil"/>
              <w:left w:val="nil"/>
              <w:bottom w:val="single" w:sz="4" w:space="0" w:color="auto"/>
              <w:right w:val="single" w:sz="4" w:space="0" w:color="auto"/>
            </w:tcBorders>
            <w:shd w:val="clear" w:color="000000" w:fill="F2F2F2"/>
            <w:vAlign w:val="bottom"/>
            <w:hideMark/>
          </w:tcPr>
          <w:p w14:paraId="0BD385E8"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$1,408</w:t>
            </w:r>
          </w:p>
        </w:tc>
        <w:tc>
          <w:tcPr>
            <w:tcW w:w="551" w:type="pct"/>
            <w:tcBorders>
              <w:top w:val="nil"/>
              <w:left w:val="nil"/>
              <w:bottom w:val="single" w:sz="4" w:space="0" w:color="auto"/>
              <w:right w:val="single" w:sz="4" w:space="0" w:color="auto"/>
            </w:tcBorders>
            <w:shd w:val="clear" w:color="000000" w:fill="F2F2F2"/>
            <w:vAlign w:val="bottom"/>
            <w:hideMark/>
          </w:tcPr>
          <w:p w14:paraId="4CC4C443"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$1,429</w:t>
            </w:r>
          </w:p>
        </w:tc>
      </w:tr>
      <w:tr w:rsidR="00CF4C6E" w:rsidRPr="00D52564" w14:paraId="7DB99EE0" w14:textId="77777777" w:rsidTr="00F049CB">
        <w:trPr>
          <w:trHeight w:val="315"/>
        </w:trPr>
        <w:tc>
          <w:tcPr>
            <w:tcW w:w="822" w:type="pct"/>
            <w:vMerge/>
            <w:tcBorders>
              <w:top w:val="nil"/>
              <w:left w:val="single" w:sz="4" w:space="0" w:color="auto"/>
              <w:bottom w:val="single" w:sz="4" w:space="0" w:color="auto"/>
              <w:right w:val="single" w:sz="4" w:space="0" w:color="auto"/>
            </w:tcBorders>
            <w:vAlign w:val="center"/>
            <w:hideMark/>
          </w:tcPr>
          <w:p w14:paraId="1ECA95C2"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FBDAD7"/>
            <w:vAlign w:val="bottom"/>
            <w:hideMark/>
          </w:tcPr>
          <w:p w14:paraId="5CDFEB39"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Net Profit Margin = Net Income / Revenue * 100</w:t>
            </w:r>
          </w:p>
        </w:tc>
        <w:tc>
          <w:tcPr>
            <w:tcW w:w="551" w:type="pct"/>
            <w:tcBorders>
              <w:top w:val="nil"/>
              <w:left w:val="nil"/>
              <w:bottom w:val="single" w:sz="4" w:space="0" w:color="auto"/>
              <w:right w:val="single" w:sz="4" w:space="0" w:color="auto"/>
            </w:tcBorders>
            <w:shd w:val="clear" w:color="000000" w:fill="FBDAD7"/>
            <w:vAlign w:val="bottom"/>
            <w:hideMark/>
          </w:tcPr>
          <w:p w14:paraId="154FC8F2"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12.24%</w:t>
            </w:r>
          </w:p>
        </w:tc>
        <w:tc>
          <w:tcPr>
            <w:tcW w:w="551" w:type="pct"/>
            <w:tcBorders>
              <w:top w:val="nil"/>
              <w:left w:val="nil"/>
              <w:bottom w:val="single" w:sz="4" w:space="0" w:color="auto"/>
              <w:right w:val="single" w:sz="4" w:space="0" w:color="auto"/>
            </w:tcBorders>
            <w:shd w:val="clear" w:color="000000" w:fill="FBDAD7"/>
            <w:vAlign w:val="bottom"/>
            <w:hideMark/>
          </w:tcPr>
          <w:p w14:paraId="30DC9A39"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23.70%</w:t>
            </w:r>
          </w:p>
        </w:tc>
        <w:tc>
          <w:tcPr>
            <w:tcW w:w="551" w:type="pct"/>
            <w:tcBorders>
              <w:top w:val="nil"/>
              <w:left w:val="nil"/>
              <w:bottom w:val="single" w:sz="4" w:space="0" w:color="auto"/>
              <w:right w:val="single" w:sz="4" w:space="0" w:color="auto"/>
            </w:tcBorders>
            <w:shd w:val="clear" w:color="000000" w:fill="FBDAD7"/>
            <w:vAlign w:val="bottom"/>
            <w:hideMark/>
          </w:tcPr>
          <w:p w14:paraId="1A1539ED"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20.69%</w:t>
            </w:r>
          </w:p>
        </w:tc>
        <w:tc>
          <w:tcPr>
            <w:tcW w:w="551" w:type="pct"/>
            <w:tcBorders>
              <w:top w:val="nil"/>
              <w:left w:val="nil"/>
              <w:bottom w:val="single" w:sz="4" w:space="0" w:color="auto"/>
              <w:right w:val="single" w:sz="4" w:space="0" w:color="auto"/>
            </w:tcBorders>
            <w:shd w:val="clear" w:color="000000" w:fill="FBDAD7"/>
            <w:vAlign w:val="bottom"/>
            <w:hideMark/>
          </w:tcPr>
          <w:p w14:paraId="3B5BFBEF"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20.53%</w:t>
            </w:r>
          </w:p>
        </w:tc>
        <w:tc>
          <w:tcPr>
            <w:tcW w:w="551" w:type="pct"/>
            <w:tcBorders>
              <w:top w:val="nil"/>
              <w:left w:val="nil"/>
              <w:bottom w:val="single" w:sz="4" w:space="0" w:color="auto"/>
              <w:right w:val="single" w:sz="4" w:space="0" w:color="auto"/>
            </w:tcBorders>
            <w:shd w:val="clear" w:color="000000" w:fill="FBDAD7"/>
            <w:vAlign w:val="bottom"/>
            <w:hideMark/>
          </w:tcPr>
          <w:p w14:paraId="52DCDA90"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13.51%</w:t>
            </w:r>
          </w:p>
        </w:tc>
      </w:tr>
      <w:tr w:rsidR="00CF4C6E" w:rsidRPr="00D52564" w14:paraId="053C0E6F" w14:textId="77777777" w:rsidTr="00F049CB">
        <w:trPr>
          <w:trHeight w:val="315"/>
        </w:trPr>
        <w:tc>
          <w:tcPr>
            <w:tcW w:w="5000" w:type="pct"/>
            <w:gridSpan w:val="7"/>
            <w:tcBorders>
              <w:top w:val="single" w:sz="4" w:space="0" w:color="auto"/>
              <w:left w:val="single" w:sz="4" w:space="0" w:color="auto"/>
              <w:bottom w:val="single" w:sz="4" w:space="0" w:color="auto"/>
              <w:right w:val="single" w:sz="4" w:space="0" w:color="auto"/>
            </w:tcBorders>
            <w:shd w:val="clear" w:color="000000" w:fill="FFC599"/>
            <w:noWrap/>
            <w:vAlign w:val="bottom"/>
            <w:hideMark/>
          </w:tcPr>
          <w:p w14:paraId="5510EC0A" w14:textId="77777777" w:rsidR="00CF4C6E" w:rsidRPr="00D52564" w:rsidRDefault="00CF4C6E" w:rsidP="00D52564">
            <w:pPr>
              <w:spacing w:before="240" w:after="240"/>
              <w:rPr>
                <w:rFonts w:ascii="Arial" w:hAnsi="Arial"/>
                <w:b/>
                <w:bCs/>
                <w:color w:val="000000"/>
                <w:lang w:val="en-GB"/>
              </w:rPr>
            </w:pPr>
            <w:r w:rsidRPr="00D52564">
              <w:rPr>
                <w:rFonts w:ascii="Arial" w:hAnsi="Arial"/>
                <w:b/>
                <w:bCs/>
                <w:color w:val="000000"/>
                <w:lang w:val="en-GB"/>
              </w:rPr>
              <w:t> </w:t>
            </w:r>
          </w:p>
        </w:tc>
      </w:tr>
      <w:tr w:rsidR="00CF4C6E" w:rsidRPr="00D52564" w14:paraId="5F4D3F6E" w14:textId="77777777" w:rsidTr="00F049CB">
        <w:trPr>
          <w:trHeight w:val="315"/>
        </w:trPr>
        <w:tc>
          <w:tcPr>
            <w:tcW w:w="822" w:type="pct"/>
            <w:vMerge w:val="restart"/>
            <w:tcBorders>
              <w:top w:val="nil"/>
              <w:left w:val="single" w:sz="4" w:space="0" w:color="auto"/>
              <w:bottom w:val="single" w:sz="4" w:space="0" w:color="auto"/>
              <w:right w:val="single" w:sz="4" w:space="0" w:color="auto"/>
            </w:tcBorders>
            <w:shd w:val="clear" w:color="000000" w:fill="7AD694"/>
            <w:noWrap/>
            <w:vAlign w:val="bottom"/>
            <w:hideMark/>
          </w:tcPr>
          <w:p w14:paraId="6C0260C8" w14:textId="77777777" w:rsidR="00CF4C6E" w:rsidRPr="00D52564" w:rsidRDefault="00CF4C6E" w:rsidP="00D52564">
            <w:pPr>
              <w:spacing w:before="240" w:after="240"/>
              <w:rPr>
                <w:rFonts w:ascii="Arial" w:hAnsi="Arial"/>
                <w:b/>
                <w:bCs/>
                <w:color w:val="000000"/>
                <w:lang w:val="en-GB"/>
              </w:rPr>
            </w:pPr>
            <w:r w:rsidRPr="00D52564">
              <w:rPr>
                <w:rFonts w:ascii="Arial" w:hAnsi="Arial"/>
                <w:b/>
                <w:bCs/>
                <w:color w:val="000000"/>
                <w:lang w:val="en-GB"/>
              </w:rPr>
              <w:t>Liquidity</w:t>
            </w:r>
          </w:p>
        </w:tc>
        <w:tc>
          <w:tcPr>
            <w:tcW w:w="1424" w:type="pct"/>
            <w:tcBorders>
              <w:top w:val="nil"/>
              <w:left w:val="nil"/>
              <w:bottom w:val="single" w:sz="4" w:space="0" w:color="auto"/>
              <w:right w:val="single" w:sz="4" w:space="0" w:color="auto"/>
            </w:tcBorders>
            <w:shd w:val="clear" w:color="000000" w:fill="D1F1DA"/>
            <w:vAlign w:val="bottom"/>
            <w:hideMark/>
          </w:tcPr>
          <w:p w14:paraId="3247DC28"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Current Ratio</w:t>
            </w:r>
          </w:p>
        </w:tc>
        <w:tc>
          <w:tcPr>
            <w:tcW w:w="551" w:type="pct"/>
            <w:tcBorders>
              <w:top w:val="nil"/>
              <w:left w:val="nil"/>
              <w:bottom w:val="single" w:sz="4" w:space="0" w:color="auto"/>
              <w:right w:val="single" w:sz="4" w:space="0" w:color="auto"/>
            </w:tcBorders>
            <w:shd w:val="clear" w:color="000000" w:fill="D1F1DA"/>
            <w:vAlign w:val="bottom"/>
            <w:hideMark/>
          </w:tcPr>
          <w:p w14:paraId="09D5BBFB"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2021</w:t>
            </w:r>
          </w:p>
        </w:tc>
        <w:tc>
          <w:tcPr>
            <w:tcW w:w="551" w:type="pct"/>
            <w:tcBorders>
              <w:top w:val="nil"/>
              <w:left w:val="nil"/>
              <w:bottom w:val="single" w:sz="4" w:space="0" w:color="auto"/>
              <w:right w:val="single" w:sz="4" w:space="0" w:color="auto"/>
            </w:tcBorders>
            <w:shd w:val="clear" w:color="000000" w:fill="D1F1DA"/>
            <w:vAlign w:val="bottom"/>
            <w:hideMark/>
          </w:tcPr>
          <w:p w14:paraId="679950AA"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2022</w:t>
            </w:r>
          </w:p>
        </w:tc>
        <w:tc>
          <w:tcPr>
            <w:tcW w:w="551" w:type="pct"/>
            <w:tcBorders>
              <w:top w:val="nil"/>
              <w:left w:val="nil"/>
              <w:bottom w:val="single" w:sz="4" w:space="0" w:color="auto"/>
              <w:right w:val="single" w:sz="4" w:space="0" w:color="auto"/>
            </w:tcBorders>
            <w:shd w:val="clear" w:color="000000" w:fill="D1F1DA"/>
            <w:vAlign w:val="bottom"/>
            <w:hideMark/>
          </w:tcPr>
          <w:p w14:paraId="7FB88AB5"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2023</w:t>
            </w:r>
          </w:p>
        </w:tc>
        <w:tc>
          <w:tcPr>
            <w:tcW w:w="551" w:type="pct"/>
            <w:tcBorders>
              <w:top w:val="nil"/>
              <w:left w:val="nil"/>
              <w:bottom w:val="single" w:sz="4" w:space="0" w:color="auto"/>
              <w:right w:val="single" w:sz="4" w:space="0" w:color="auto"/>
            </w:tcBorders>
            <w:shd w:val="clear" w:color="000000" w:fill="D1F1DA"/>
            <w:vAlign w:val="bottom"/>
            <w:hideMark/>
          </w:tcPr>
          <w:p w14:paraId="65AE32BE"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2024</w:t>
            </w:r>
          </w:p>
        </w:tc>
        <w:tc>
          <w:tcPr>
            <w:tcW w:w="551" w:type="pct"/>
            <w:tcBorders>
              <w:top w:val="nil"/>
              <w:left w:val="nil"/>
              <w:bottom w:val="single" w:sz="4" w:space="0" w:color="auto"/>
              <w:right w:val="single" w:sz="4" w:space="0" w:color="auto"/>
            </w:tcBorders>
            <w:shd w:val="clear" w:color="000000" w:fill="D1F1DA"/>
            <w:vAlign w:val="bottom"/>
            <w:hideMark/>
          </w:tcPr>
          <w:p w14:paraId="66DD9FED"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2025</w:t>
            </w:r>
          </w:p>
        </w:tc>
      </w:tr>
      <w:tr w:rsidR="00CF4C6E" w:rsidRPr="00D52564" w14:paraId="30785314" w14:textId="77777777" w:rsidTr="00F049CB">
        <w:trPr>
          <w:trHeight w:val="315"/>
        </w:trPr>
        <w:tc>
          <w:tcPr>
            <w:tcW w:w="822" w:type="pct"/>
            <w:vMerge/>
            <w:tcBorders>
              <w:top w:val="nil"/>
              <w:left w:val="single" w:sz="4" w:space="0" w:color="auto"/>
              <w:bottom w:val="single" w:sz="4" w:space="0" w:color="auto"/>
              <w:right w:val="single" w:sz="4" w:space="0" w:color="auto"/>
            </w:tcBorders>
            <w:vAlign w:val="center"/>
            <w:hideMark/>
          </w:tcPr>
          <w:p w14:paraId="3187543A"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F2F2F2"/>
            <w:vAlign w:val="bottom"/>
            <w:hideMark/>
          </w:tcPr>
          <w:p w14:paraId="2FB6F2D0"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Current Assets</w:t>
            </w:r>
          </w:p>
        </w:tc>
        <w:tc>
          <w:tcPr>
            <w:tcW w:w="551" w:type="pct"/>
            <w:tcBorders>
              <w:top w:val="nil"/>
              <w:left w:val="nil"/>
              <w:bottom w:val="single" w:sz="4" w:space="0" w:color="auto"/>
              <w:right w:val="single" w:sz="4" w:space="0" w:color="auto"/>
            </w:tcBorders>
            <w:shd w:val="clear" w:color="000000" w:fill="F2F2F2"/>
            <w:vAlign w:val="bottom"/>
            <w:hideMark/>
          </w:tcPr>
          <w:p w14:paraId="188DE2D1"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$720</w:t>
            </w:r>
          </w:p>
        </w:tc>
        <w:tc>
          <w:tcPr>
            <w:tcW w:w="551" w:type="pct"/>
            <w:tcBorders>
              <w:top w:val="nil"/>
              <w:left w:val="nil"/>
              <w:bottom w:val="single" w:sz="4" w:space="0" w:color="auto"/>
              <w:right w:val="single" w:sz="4" w:space="0" w:color="auto"/>
            </w:tcBorders>
            <w:shd w:val="clear" w:color="000000" w:fill="F2F2F2"/>
            <w:vAlign w:val="bottom"/>
            <w:hideMark/>
          </w:tcPr>
          <w:p w14:paraId="164329D2"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$545</w:t>
            </w:r>
          </w:p>
        </w:tc>
        <w:tc>
          <w:tcPr>
            <w:tcW w:w="551" w:type="pct"/>
            <w:tcBorders>
              <w:top w:val="nil"/>
              <w:left w:val="nil"/>
              <w:bottom w:val="single" w:sz="4" w:space="0" w:color="auto"/>
              <w:right w:val="single" w:sz="4" w:space="0" w:color="auto"/>
            </w:tcBorders>
            <w:shd w:val="clear" w:color="000000" w:fill="F2F2F2"/>
            <w:noWrap/>
            <w:vAlign w:val="bottom"/>
            <w:hideMark/>
          </w:tcPr>
          <w:p w14:paraId="29A8121D"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$373</w:t>
            </w:r>
          </w:p>
        </w:tc>
        <w:tc>
          <w:tcPr>
            <w:tcW w:w="551" w:type="pct"/>
            <w:tcBorders>
              <w:top w:val="nil"/>
              <w:left w:val="nil"/>
              <w:bottom w:val="single" w:sz="4" w:space="0" w:color="auto"/>
              <w:right w:val="single" w:sz="4" w:space="0" w:color="auto"/>
            </w:tcBorders>
            <w:shd w:val="clear" w:color="000000" w:fill="F2F2F2"/>
            <w:noWrap/>
            <w:vAlign w:val="bottom"/>
            <w:hideMark/>
          </w:tcPr>
          <w:p w14:paraId="2FCBBE8C"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$467</w:t>
            </w:r>
          </w:p>
        </w:tc>
        <w:tc>
          <w:tcPr>
            <w:tcW w:w="551" w:type="pct"/>
            <w:tcBorders>
              <w:top w:val="nil"/>
              <w:left w:val="nil"/>
              <w:bottom w:val="single" w:sz="4" w:space="0" w:color="auto"/>
              <w:right w:val="single" w:sz="4" w:space="0" w:color="auto"/>
            </w:tcBorders>
            <w:shd w:val="clear" w:color="000000" w:fill="F2F2F2"/>
            <w:vAlign w:val="bottom"/>
            <w:hideMark/>
          </w:tcPr>
          <w:p w14:paraId="3659DCCC"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$435</w:t>
            </w:r>
          </w:p>
        </w:tc>
      </w:tr>
      <w:tr w:rsidR="00CF4C6E" w:rsidRPr="00D52564" w14:paraId="44D3C364" w14:textId="77777777" w:rsidTr="00F049CB">
        <w:trPr>
          <w:trHeight w:val="315"/>
        </w:trPr>
        <w:tc>
          <w:tcPr>
            <w:tcW w:w="822" w:type="pct"/>
            <w:vMerge/>
            <w:tcBorders>
              <w:top w:val="nil"/>
              <w:left w:val="single" w:sz="4" w:space="0" w:color="auto"/>
              <w:bottom w:val="single" w:sz="4" w:space="0" w:color="auto"/>
              <w:right w:val="single" w:sz="4" w:space="0" w:color="auto"/>
            </w:tcBorders>
            <w:vAlign w:val="center"/>
            <w:hideMark/>
          </w:tcPr>
          <w:p w14:paraId="1317FF5C"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F2F2F2"/>
            <w:vAlign w:val="bottom"/>
            <w:hideMark/>
          </w:tcPr>
          <w:p w14:paraId="1AAC1EC7"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Current Liabilities</w:t>
            </w:r>
          </w:p>
        </w:tc>
        <w:tc>
          <w:tcPr>
            <w:tcW w:w="551" w:type="pct"/>
            <w:tcBorders>
              <w:top w:val="nil"/>
              <w:left w:val="nil"/>
              <w:bottom w:val="single" w:sz="4" w:space="0" w:color="auto"/>
              <w:right w:val="single" w:sz="4" w:space="0" w:color="auto"/>
            </w:tcBorders>
            <w:shd w:val="clear" w:color="000000" w:fill="F2F2F2"/>
            <w:vAlign w:val="bottom"/>
            <w:hideMark/>
          </w:tcPr>
          <w:p w14:paraId="58256E2A"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$397</w:t>
            </w:r>
          </w:p>
        </w:tc>
        <w:tc>
          <w:tcPr>
            <w:tcW w:w="551" w:type="pct"/>
            <w:tcBorders>
              <w:top w:val="nil"/>
              <w:left w:val="nil"/>
              <w:bottom w:val="single" w:sz="4" w:space="0" w:color="auto"/>
              <w:right w:val="single" w:sz="4" w:space="0" w:color="auto"/>
            </w:tcBorders>
            <w:shd w:val="clear" w:color="000000" w:fill="F2F2F2"/>
            <w:vAlign w:val="bottom"/>
            <w:hideMark/>
          </w:tcPr>
          <w:p w14:paraId="2F00321A"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$406</w:t>
            </w:r>
          </w:p>
        </w:tc>
        <w:tc>
          <w:tcPr>
            <w:tcW w:w="551" w:type="pct"/>
            <w:tcBorders>
              <w:top w:val="nil"/>
              <w:left w:val="nil"/>
              <w:bottom w:val="single" w:sz="4" w:space="0" w:color="auto"/>
              <w:right w:val="single" w:sz="4" w:space="0" w:color="auto"/>
            </w:tcBorders>
            <w:shd w:val="clear" w:color="000000" w:fill="F2F2F2"/>
            <w:vAlign w:val="bottom"/>
            <w:hideMark/>
          </w:tcPr>
          <w:p w14:paraId="358ED80D"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$459</w:t>
            </w:r>
          </w:p>
        </w:tc>
        <w:tc>
          <w:tcPr>
            <w:tcW w:w="551" w:type="pct"/>
            <w:tcBorders>
              <w:top w:val="nil"/>
              <w:left w:val="nil"/>
              <w:bottom w:val="single" w:sz="4" w:space="0" w:color="auto"/>
              <w:right w:val="single" w:sz="4" w:space="0" w:color="auto"/>
            </w:tcBorders>
            <w:shd w:val="clear" w:color="000000" w:fill="F2F2F2"/>
            <w:vAlign w:val="bottom"/>
            <w:hideMark/>
          </w:tcPr>
          <w:p w14:paraId="440344F0"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$466</w:t>
            </w:r>
          </w:p>
        </w:tc>
        <w:tc>
          <w:tcPr>
            <w:tcW w:w="551" w:type="pct"/>
            <w:tcBorders>
              <w:top w:val="nil"/>
              <w:left w:val="nil"/>
              <w:bottom w:val="single" w:sz="4" w:space="0" w:color="auto"/>
              <w:right w:val="single" w:sz="4" w:space="0" w:color="auto"/>
            </w:tcBorders>
            <w:shd w:val="clear" w:color="000000" w:fill="F2F2F2"/>
            <w:vAlign w:val="bottom"/>
            <w:hideMark/>
          </w:tcPr>
          <w:p w14:paraId="4C787956"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$507</w:t>
            </w:r>
          </w:p>
        </w:tc>
      </w:tr>
      <w:tr w:rsidR="00CF4C6E" w:rsidRPr="00D52564" w14:paraId="4C30AE4C" w14:textId="77777777" w:rsidTr="00F049CB">
        <w:trPr>
          <w:trHeight w:val="315"/>
        </w:trPr>
        <w:tc>
          <w:tcPr>
            <w:tcW w:w="822" w:type="pct"/>
            <w:vMerge/>
            <w:tcBorders>
              <w:top w:val="nil"/>
              <w:left w:val="single" w:sz="4" w:space="0" w:color="auto"/>
              <w:bottom w:val="single" w:sz="4" w:space="0" w:color="auto"/>
              <w:right w:val="single" w:sz="4" w:space="0" w:color="auto"/>
            </w:tcBorders>
            <w:vAlign w:val="center"/>
            <w:hideMark/>
          </w:tcPr>
          <w:p w14:paraId="0AFBA36E"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D1F1DA"/>
            <w:vAlign w:val="bottom"/>
            <w:hideMark/>
          </w:tcPr>
          <w:p w14:paraId="72B96D1A"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Current Ratio = Current Assets / Current Liabilities</w:t>
            </w:r>
          </w:p>
        </w:tc>
        <w:tc>
          <w:tcPr>
            <w:tcW w:w="551" w:type="pct"/>
            <w:tcBorders>
              <w:top w:val="nil"/>
              <w:left w:val="nil"/>
              <w:bottom w:val="single" w:sz="4" w:space="0" w:color="auto"/>
              <w:right w:val="single" w:sz="4" w:space="0" w:color="auto"/>
            </w:tcBorders>
            <w:shd w:val="clear" w:color="000000" w:fill="D1F1DA"/>
            <w:vAlign w:val="bottom"/>
            <w:hideMark/>
          </w:tcPr>
          <w:p w14:paraId="4E9B7CD9"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1.81</w:t>
            </w:r>
          </w:p>
        </w:tc>
        <w:tc>
          <w:tcPr>
            <w:tcW w:w="551" w:type="pct"/>
            <w:tcBorders>
              <w:top w:val="nil"/>
              <w:left w:val="nil"/>
              <w:bottom w:val="single" w:sz="4" w:space="0" w:color="auto"/>
              <w:right w:val="single" w:sz="4" w:space="0" w:color="auto"/>
            </w:tcBorders>
            <w:shd w:val="clear" w:color="000000" w:fill="D1F1DA"/>
            <w:vAlign w:val="bottom"/>
            <w:hideMark/>
          </w:tcPr>
          <w:p w14:paraId="3E117B28"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1.34</w:t>
            </w:r>
          </w:p>
        </w:tc>
        <w:tc>
          <w:tcPr>
            <w:tcW w:w="551" w:type="pct"/>
            <w:tcBorders>
              <w:top w:val="nil"/>
              <w:left w:val="nil"/>
              <w:bottom w:val="single" w:sz="4" w:space="0" w:color="auto"/>
              <w:right w:val="single" w:sz="4" w:space="0" w:color="auto"/>
            </w:tcBorders>
            <w:shd w:val="clear" w:color="000000" w:fill="D1F1DA"/>
            <w:vAlign w:val="bottom"/>
            <w:hideMark/>
          </w:tcPr>
          <w:p w14:paraId="3FAE7DB4"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0.81</w:t>
            </w:r>
          </w:p>
        </w:tc>
        <w:tc>
          <w:tcPr>
            <w:tcW w:w="551" w:type="pct"/>
            <w:tcBorders>
              <w:top w:val="nil"/>
              <w:left w:val="nil"/>
              <w:bottom w:val="single" w:sz="4" w:space="0" w:color="auto"/>
              <w:right w:val="single" w:sz="4" w:space="0" w:color="auto"/>
            </w:tcBorders>
            <w:shd w:val="clear" w:color="000000" w:fill="D1F1DA"/>
            <w:vAlign w:val="bottom"/>
            <w:hideMark/>
          </w:tcPr>
          <w:p w14:paraId="241949DE"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1.00</w:t>
            </w:r>
          </w:p>
        </w:tc>
        <w:tc>
          <w:tcPr>
            <w:tcW w:w="551" w:type="pct"/>
            <w:tcBorders>
              <w:top w:val="nil"/>
              <w:left w:val="nil"/>
              <w:bottom w:val="single" w:sz="4" w:space="0" w:color="auto"/>
              <w:right w:val="single" w:sz="4" w:space="0" w:color="auto"/>
            </w:tcBorders>
            <w:shd w:val="clear" w:color="000000" w:fill="D1F1DA"/>
            <w:vAlign w:val="bottom"/>
            <w:hideMark/>
          </w:tcPr>
          <w:p w14:paraId="79339D91"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0.86</w:t>
            </w:r>
          </w:p>
        </w:tc>
      </w:tr>
      <w:tr w:rsidR="00CF4C6E" w:rsidRPr="00D52564" w14:paraId="236634E5" w14:textId="77777777" w:rsidTr="00F049CB">
        <w:trPr>
          <w:trHeight w:val="315"/>
        </w:trPr>
        <w:tc>
          <w:tcPr>
            <w:tcW w:w="5000" w:type="pct"/>
            <w:gridSpan w:val="7"/>
            <w:tcBorders>
              <w:top w:val="single" w:sz="4" w:space="0" w:color="auto"/>
              <w:left w:val="single" w:sz="4" w:space="0" w:color="auto"/>
              <w:bottom w:val="single" w:sz="4" w:space="0" w:color="auto"/>
              <w:right w:val="single" w:sz="4" w:space="0" w:color="auto"/>
            </w:tcBorders>
            <w:shd w:val="clear" w:color="000000" w:fill="FFC599"/>
            <w:noWrap/>
            <w:vAlign w:val="bottom"/>
            <w:hideMark/>
          </w:tcPr>
          <w:p w14:paraId="029B85BC" w14:textId="77777777" w:rsidR="00CF4C6E" w:rsidRPr="00D52564" w:rsidRDefault="00CF4C6E" w:rsidP="00D52564">
            <w:pPr>
              <w:spacing w:before="240" w:after="240"/>
              <w:rPr>
                <w:rFonts w:ascii="Arial" w:hAnsi="Arial"/>
                <w:b/>
                <w:bCs/>
                <w:color w:val="000000"/>
                <w:lang w:val="en-GB"/>
              </w:rPr>
            </w:pPr>
            <w:r w:rsidRPr="00D52564">
              <w:rPr>
                <w:rFonts w:ascii="Arial" w:hAnsi="Arial"/>
                <w:b/>
                <w:bCs/>
                <w:color w:val="000000"/>
                <w:lang w:val="en-GB"/>
              </w:rPr>
              <w:lastRenderedPageBreak/>
              <w:t> </w:t>
            </w:r>
          </w:p>
        </w:tc>
      </w:tr>
      <w:tr w:rsidR="00CF4C6E" w:rsidRPr="00D52564" w14:paraId="2F244F3F" w14:textId="77777777" w:rsidTr="00F049CB">
        <w:trPr>
          <w:trHeight w:val="315"/>
        </w:trPr>
        <w:tc>
          <w:tcPr>
            <w:tcW w:w="822" w:type="pct"/>
            <w:vMerge w:val="restart"/>
            <w:tcBorders>
              <w:top w:val="nil"/>
              <w:left w:val="single" w:sz="4" w:space="0" w:color="auto"/>
              <w:bottom w:val="single" w:sz="4" w:space="0" w:color="auto"/>
              <w:right w:val="single" w:sz="4" w:space="0" w:color="auto"/>
            </w:tcBorders>
            <w:shd w:val="clear" w:color="000000" w:fill="FDD868"/>
            <w:noWrap/>
            <w:vAlign w:val="bottom"/>
            <w:hideMark/>
          </w:tcPr>
          <w:p w14:paraId="2308067E" w14:textId="77777777" w:rsidR="00CF4C6E" w:rsidRPr="00D52564" w:rsidRDefault="00CF4C6E" w:rsidP="00D52564">
            <w:pPr>
              <w:spacing w:before="240" w:after="240"/>
              <w:rPr>
                <w:rFonts w:ascii="Arial" w:hAnsi="Arial"/>
                <w:b/>
                <w:bCs/>
                <w:color w:val="000000"/>
                <w:lang w:val="en-GB"/>
              </w:rPr>
            </w:pPr>
            <w:r w:rsidRPr="00D52564">
              <w:rPr>
                <w:rFonts w:ascii="Arial" w:hAnsi="Arial"/>
                <w:b/>
                <w:bCs/>
                <w:color w:val="000000"/>
                <w:lang w:val="en-GB"/>
              </w:rPr>
              <w:t>Gearing</w:t>
            </w:r>
          </w:p>
        </w:tc>
        <w:tc>
          <w:tcPr>
            <w:tcW w:w="1424" w:type="pct"/>
            <w:tcBorders>
              <w:top w:val="nil"/>
              <w:left w:val="nil"/>
              <w:bottom w:val="single" w:sz="4" w:space="0" w:color="auto"/>
              <w:right w:val="single" w:sz="4" w:space="0" w:color="auto"/>
            </w:tcBorders>
            <w:shd w:val="clear" w:color="000000" w:fill="FEF2CD"/>
            <w:vAlign w:val="bottom"/>
            <w:hideMark/>
          </w:tcPr>
          <w:p w14:paraId="05EDDD54"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Debt to Equity Ratio</w:t>
            </w:r>
          </w:p>
        </w:tc>
        <w:tc>
          <w:tcPr>
            <w:tcW w:w="551" w:type="pct"/>
            <w:tcBorders>
              <w:top w:val="nil"/>
              <w:left w:val="nil"/>
              <w:bottom w:val="single" w:sz="4" w:space="0" w:color="auto"/>
              <w:right w:val="single" w:sz="4" w:space="0" w:color="auto"/>
            </w:tcBorders>
            <w:shd w:val="clear" w:color="000000" w:fill="FEF2CD"/>
            <w:vAlign w:val="bottom"/>
            <w:hideMark/>
          </w:tcPr>
          <w:p w14:paraId="115092EB"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2021</w:t>
            </w:r>
          </w:p>
        </w:tc>
        <w:tc>
          <w:tcPr>
            <w:tcW w:w="551" w:type="pct"/>
            <w:tcBorders>
              <w:top w:val="nil"/>
              <w:left w:val="nil"/>
              <w:bottom w:val="single" w:sz="4" w:space="0" w:color="auto"/>
              <w:right w:val="single" w:sz="4" w:space="0" w:color="auto"/>
            </w:tcBorders>
            <w:shd w:val="clear" w:color="000000" w:fill="FEF2CD"/>
            <w:vAlign w:val="bottom"/>
            <w:hideMark/>
          </w:tcPr>
          <w:p w14:paraId="5B210C13"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2022</w:t>
            </w:r>
          </w:p>
        </w:tc>
        <w:tc>
          <w:tcPr>
            <w:tcW w:w="551" w:type="pct"/>
            <w:tcBorders>
              <w:top w:val="nil"/>
              <w:left w:val="nil"/>
              <w:bottom w:val="single" w:sz="4" w:space="0" w:color="auto"/>
              <w:right w:val="single" w:sz="4" w:space="0" w:color="auto"/>
            </w:tcBorders>
            <w:shd w:val="clear" w:color="000000" w:fill="FEF2CD"/>
            <w:vAlign w:val="bottom"/>
            <w:hideMark/>
          </w:tcPr>
          <w:p w14:paraId="1DD9126A"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2023</w:t>
            </w:r>
          </w:p>
        </w:tc>
        <w:tc>
          <w:tcPr>
            <w:tcW w:w="551" w:type="pct"/>
            <w:tcBorders>
              <w:top w:val="nil"/>
              <w:left w:val="nil"/>
              <w:bottom w:val="single" w:sz="4" w:space="0" w:color="auto"/>
              <w:right w:val="single" w:sz="4" w:space="0" w:color="auto"/>
            </w:tcBorders>
            <w:shd w:val="clear" w:color="000000" w:fill="FEF2CD"/>
            <w:vAlign w:val="bottom"/>
            <w:hideMark/>
          </w:tcPr>
          <w:p w14:paraId="2BA43A5C"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2024</w:t>
            </w:r>
          </w:p>
        </w:tc>
        <w:tc>
          <w:tcPr>
            <w:tcW w:w="551" w:type="pct"/>
            <w:tcBorders>
              <w:top w:val="nil"/>
              <w:left w:val="nil"/>
              <w:bottom w:val="single" w:sz="4" w:space="0" w:color="auto"/>
              <w:right w:val="single" w:sz="4" w:space="0" w:color="auto"/>
            </w:tcBorders>
            <w:shd w:val="clear" w:color="000000" w:fill="FEF2CD"/>
            <w:vAlign w:val="bottom"/>
            <w:hideMark/>
          </w:tcPr>
          <w:p w14:paraId="565FAAB2"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2025</w:t>
            </w:r>
          </w:p>
        </w:tc>
      </w:tr>
      <w:tr w:rsidR="00CF4C6E" w:rsidRPr="00D52564" w14:paraId="158AFF83" w14:textId="77777777" w:rsidTr="00F049CB">
        <w:trPr>
          <w:trHeight w:val="315"/>
        </w:trPr>
        <w:tc>
          <w:tcPr>
            <w:tcW w:w="822" w:type="pct"/>
            <w:vMerge/>
            <w:tcBorders>
              <w:top w:val="nil"/>
              <w:left w:val="single" w:sz="4" w:space="0" w:color="auto"/>
              <w:bottom w:val="single" w:sz="4" w:space="0" w:color="auto"/>
              <w:right w:val="single" w:sz="4" w:space="0" w:color="auto"/>
            </w:tcBorders>
            <w:vAlign w:val="center"/>
            <w:hideMark/>
          </w:tcPr>
          <w:p w14:paraId="1F0102E6"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F2F2F2"/>
            <w:vAlign w:val="bottom"/>
            <w:hideMark/>
          </w:tcPr>
          <w:p w14:paraId="04D8F153"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Total Debt</w:t>
            </w:r>
          </w:p>
        </w:tc>
        <w:tc>
          <w:tcPr>
            <w:tcW w:w="551" w:type="pct"/>
            <w:tcBorders>
              <w:top w:val="nil"/>
              <w:left w:val="nil"/>
              <w:bottom w:val="single" w:sz="4" w:space="0" w:color="auto"/>
              <w:right w:val="single" w:sz="4" w:space="0" w:color="auto"/>
            </w:tcBorders>
            <w:shd w:val="clear" w:color="FFFFFF" w:fill="F2F2F2"/>
            <w:noWrap/>
            <w:vAlign w:val="bottom"/>
            <w:hideMark/>
          </w:tcPr>
          <w:p w14:paraId="11AEA05F"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$2,084</w:t>
            </w:r>
          </w:p>
        </w:tc>
        <w:tc>
          <w:tcPr>
            <w:tcW w:w="551" w:type="pct"/>
            <w:tcBorders>
              <w:top w:val="nil"/>
              <w:left w:val="nil"/>
              <w:bottom w:val="single" w:sz="4" w:space="0" w:color="auto"/>
              <w:right w:val="single" w:sz="4" w:space="0" w:color="auto"/>
            </w:tcBorders>
            <w:shd w:val="clear" w:color="000000" w:fill="F2F2F2"/>
            <w:vAlign w:val="bottom"/>
            <w:hideMark/>
          </w:tcPr>
          <w:p w14:paraId="734B1E39"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$2,077</w:t>
            </w:r>
          </w:p>
        </w:tc>
        <w:tc>
          <w:tcPr>
            <w:tcW w:w="551" w:type="pct"/>
            <w:tcBorders>
              <w:top w:val="nil"/>
              <w:left w:val="nil"/>
              <w:bottom w:val="single" w:sz="4" w:space="0" w:color="auto"/>
              <w:right w:val="single" w:sz="4" w:space="0" w:color="auto"/>
            </w:tcBorders>
            <w:shd w:val="clear" w:color="000000" w:fill="F2F2F2"/>
            <w:vAlign w:val="bottom"/>
            <w:hideMark/>
          </w:tcPr>
          <w:p w14:paraId="23D35603"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$2,201</w:t>
            </w:r>
          </w:p>
        </w:tc>
        <w:tc>
          <w:tcPr>
            <w:tcW w:w="551" w:type="pct"/>
            <w:tcBorders>
              <w:top w:val="nil"/>
              <w:left w:val="nil"/>
              <w:bottom w:val="single" w:sz="4" w:space="0" w:color="auto"/>
              <w:right w:val="single" w:sz="4" w:space="0" w:color="auto"/>
            </w:tcBorders>
            <w:shd w:val="clear" w:color="000000" w:fill="F2F2F2"/>
            <w:vAlign w:val="bottom"/>
            <w:hideMark/>
          </w:tcPr>
          <w:p w14:paraId="7D977ABE"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$2,463</w:t>
            </w:r>
          </w:p>
        </w:tc>
        <w:tc>
          <w:tcPr>
            <w:tcW w:w="551" w:type="pct"/>
            <w:tcBorders>
              <w:top w:val="nil"/>
              <w:left w:val="nil"/>
              <w:bottom w:val="single" w:sz="4" w:space="0" w:color="auto"/>
              <w:right w:val="single" w:sz="4" w:space="0" w:color="auto"/>
            </w:tcBorders>
            <w:shd w:val="clear" w:color="000000" w:fill="F2F2F2"/>
            <w:vAlign w:val="bottom"/>
            <w:hideMark/>
          </w:tcPr>
          <w:p w14:paraId="374CBA11"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$2,560</w:t>
            </w:r>
          </w:p>
        </w:tc>
      </w:tr>
      <w:tr w:rsidR="00CF4C6E" w:rsidRPr="00D52564" w14:paraId="7561E2B8" w14:textId="77777777" w:rsidTr="00F049CB">
        <w:trPr>
          <w:trHeight w:val="315"/>
        </w:trPr>
        <w:tc>
          <w:tcPr>
            <w:tcW w:w="822" w:type="pct"/>
            <w:vMerge/>
            <w:tcBorders>
              <w:top w:val="nil"/>
              <w:left w:val="single" w:sz="4" w:space="0" w:color="auto"/>
              <w:bottom w:val="single" w:sz="4" w:space="0" w:color="auto"/>
              <w:right w:val="single" w:sz="4" w:space="0" w:color="auto"/>
            </w:tcBorders>
            <w:vAlign w:val="center"/>
            <w:hideMark/>
          </w:tcPr>
          <w:p w14:paraId="1078F632"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F2F2F2"/>
            <w:noWrap/>
            <w:vAlign w:val="bottom"/>
            <w:hideMark/>
          </w:tcPr>
          <w:p w14:paraId="0B899916"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Total Equity</w:t>
            </w:r>
          </w:p>
        </w:tc>
        <w:tc>
          <w:tcPr>
            <w:tcW w:w="551" w:type="pct"/>
            <w:tcBorders>
              <w:top w:val="nil"/>
              <w:left w:val="nil"/>
              <w:bottom w:val="single" w:sz="4" w:space="0" w:color="auto"/>
              <w:right w:val="single" w:sz="4" w:space="0" w:color="auto"/>
            </w:tcBorders>
            <w:shd w:val="clear" w:color="000000" w:fill="F2F2F2"/>
            <w:vAlign w:val="bottom"/>
            <w:hideMark/>
          </w:tcPr>
          <w:p w14:paraId="38C287F5"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$1,089</w:t>
            </w:r>
          </w:p>
        </w:tc>
        <w:tc>
          <w:tcPr>
            <w:tcW w:w="551" w:type="pct"/>
            <w:tcBorders>
              <w:top w:val="nil"/>
              <w:left w:val="nil"/>
              <w:bottom w:val="single" w:sz="4" w:space="0" w:color="auto"/>
              <w:right w:val="single" w:sz="4" w:space="0" w:color="auto"/>
            </w:tcBorders>
            <w:shd w:val="clear" w:color="000000" w:fill="F2F2F2"/>
            <w:vAlign w:val="bottom"/>
            <w:hideMark/>
          </w:tcPr>
          <w:p w14:paraId="19E686DE"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$962</w:t>
            </w:r>
          </w:p>
        </w:tc>
        <w:tc>
          <w:tcPr>
            <w:tcW w:w="551" w:type="pct"/>
            <w:tcBorders>
              <w:top w:val="nil"/>
              <w:left w:val="nil"/>
              <w:bottom w:val="single" w:sz="4" w:space="0" w:color="auto"/>
              <w:right w:val="single" w:sz="4" w:space="0" w:color="auto"/>
            </w:tcBorders>
            <w:shd w:val="clear" w:color="000000" w:fill="F2F2F2"/>
            <w:vAlign w:val="bottom"/>
            <w:hideMark/>
          </w:tcPr>
          <w:p w14:paraId="3BD0A35A"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$746</w:t>
            </w:r>
          </w:p>
        </w:tc>
        <w:tc>
          <w:tcPr>
            <w:tcW w:w="551" w:type="pct"/>
            <w:tcBorders>
              <w:top w:val="nil"/>
              <w:left w:val="nil"/>
              <w:bottom w:val="single" w:sz="4" w:space="0" w:color="auto"/>
              <w:right w:val="single" w:sz="4" w:space="0" w:color="auto"/>
            </w:tcBorders>
            <w:shd w:val="clear" w:color="000000" w:fill="F2F2F2"/>
            <w:vAlign w:val="bottom"/>
            <w:hideMark/>
          </w:tcPr>
          <w:p w14:paraId="4E179015"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$650</w:t>
            </w:r>
          </w:p>
        </w:tc>
        <w:tc>
          <w:tcPr>
            <w:tcW w:w="551" w:type="pct"/>
            <w:tcBorders>
              <w:top w:val="nil"/>
              <w:left w:val="nil"/>
              <w:bottom w:val="single" w:sz="4" w:space="0" w:color="auto"/>
              <w:right w:val="single" w:sz="4" w:space="0" w:color="auto"/>
            </w:tcBorders>
            <w:shd w:val="clear" w:color="000000" w:fill="F2F2F2"/>
            <w:vAlign w:val="bottom"/>
            <w:hideMark/>
          </w:tcPr>
          <w:p w14:paraId="78FF4E0B"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$468</w:t>
            </w:r>
          </w:p>
        </w:tc>
      </w:tr>
      <w:tr w:rsidR="00CF4C6E" w:rsidRPr="00D52564" w14:paraId="24865C69" w14:textId="77777777" w:rsidTr="00F049CB">
        <w:trPr>
          <w:trHeight w:val="315"/>
        </w:trPr>
        <w:tc>
          <w:tcPr>
            <w:tcW w:w="822" w:type="pct"/>
            <w:vMerge/>
            <w:tcBorders>
              <w:top w:val="nil"/>
              <w:left w:val="single" w:sz="4" w:space="0" w:color="auto"/>
              <w:bottom w:val="single" w:sz="4" w:space="0" w:color="auto"/>
              <w:right w:val="single" w:sz="4" w:space="0" w:color="auto"/>
            </w:tcBorders>
            <w:vAlign w:val="center"/>
            <w:hideMark/>
          </w:tcPr>
          <w:p w14:paraId="4743AE3F"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FEF2CD"/>
            <w:vAlign w:val="bottom"/>
            <w:hideMark/>
          </w:tcPr>
          <w:p w14:paraId="0A80750A"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Debt to Equity Ratio = Total Debt / Total Equity</w:t>
            </w:r>
          </w:p>
        </w:tc>
        <w:tc>
          <w:tcPr>
            <w:tcW w:w="551" w:type="pct"/>
            <w:tcBorders>
              <w:top w:val="nil"/>
              <w:left w:val="nil"/>
              <w:bottom w:val="single" w:sz="4" w:space="0" w:color="auto"/>
              <w:right w:val="single" w:sz="4" w:space="0" w:color="auto"/>
            </w:tcBorders>
            <w:shd w:val="clear" w:color="000000" w:fill="FEF2CD"/>
            <w:vAlign w:val="bottom"/>
            <w:hideMark/>
          </w:tcPr>
          <w:p w14:paraId="7D16C56A"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1.91</w:t>
            </w:r>
          </w:p>
        </w:tc>
        <w:tc>
          <w:tcPr>
            <w:tcW w:w="551" w:type="pct"/>
            <w:tcBorders>
              <w:top w:val="nil"/>
              <w:left w:val="nil"/>
              <w:bottom w:val="single" w:sz="4" w:space="0" w:color="auto"/>
              <w:right w:val="single" w:sz="4" w:space="0" w:color="auto"/>
            </w:tcBorders>
            <w:shd w:val="clear" w:color="000000" w:fill="FEF2CD"/>
            <w:vAlign w:val="bottom"/>
            <w:hideMark/>
          </w:tcPr>
          <w:p w14:paraId="6DA069F8"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2.16</w:t>
            </w:r>
          </w:p>
        </w:tc>
        <w:tc>
          <w:tcPr>
            <w:tcW w:w="551" w:type="pct"/>
            <w:tcBorders>
              <w:top w:val="nil"/>
              <w:left w:val="nil"/>
              <w:bottom w:val="single" w:sz="4" w:space="0" w:color="auto"/>
              <w:right w:val="single" w:sz="4" w:space="0" w:color="auto"/>
            </w:tcBorders>
            <w:shd w:val="clear" w:color="000000" w:fill="FEF2CD"/>
            <w:vAlign w:val="bottom"/>
            <w:hideMark/>
          </w:tcPr>
          <w:p w14:paraId="3E0E2FAD"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2.95</w:t>
            </w:r>
          </w:p>
        </w:tc>
        <w:tc>
          <w:tcPr>
            <w:tcW w:w="551" w:type="pct"/>
            <w:tcBorders>
              <w:top w:val="nil"/>
              <w:left w:val="nil"/>
              <w:bottom w:val="single" w:sz="4" w:space="0" w:color="auto"/>
              <w:right w:val="single" w:sz="4" w:space="0" w:color="auto"/>
            </w:tcBorders>
            <w:shd w:val="clear" w:color="000000" w:fill="FEF2CD"/>
            <w:vAlign w:val="bottom"/>
            <w:hideMark/>
          </w:tcPr>
          <w:p w14:paraId="4147DEEF"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3.79</w:t>
            </w:r>
          </w:p>
        </w:tc>
        <w:tc>
          <w:tcPr>
            <w:tcW w:w="551" w:type="pct"/>
            <w:tcBorders>
              <w:top w:val="nil"/>
              <w:left w:val="nil"/>
              <w:bottom w:val="single" w:sz="4" w:space="0" w:color="auto"/>
              <w:right w:val="single" w:sz="4" w:space="0" w:color="auto"/>
            </w:tcBorders>
            <w:shd w:val="clear" w:color="000000" w:fill="FEF2CD"/>
            <w:vAlign w:val="bottom"/>
            <w:hideMark/>
          </w:tcPr>
          <w:p w14:paraId="7D403D8E"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5.47</w:t>
            </w:r>
          </w:p>
        </w:tc>
      </w:tr>
      <w:tr w:rsidR="00CF4C6E" w:rsidRPr="00D52564" w14:paraId="32909B16" w14:textId="77777777" w:rsidTr="00F049CB">
        <w:trPr>
          <w:trHeight w:val="315"/>
        </w:trPr>
        <w:tc>
          <w:tcPr>
            <w:tcW w:w="5000" w:type="pct"/>
            <w:gridSpan w:val="7"/>
            <w:tcBorders>
              <w:top w:val="single" w:sz="4" w:space="0" w:color="auto"/>
              <w:left w:val="single" w:sz="4" w:space="0" w:color="auto"/>
              <w:bottom w:val="single" w:sz="4" w:space="0" w:color="auto"/>
              <w:right w:val="single" w:sz="4" w:space="0" w:color="000000"/>
            </w:tcBorders>
            <w:shd w:val="clear" w:color="000000" w:fill="FFC599"/>
            <w:noWrap/>
            <w:vAlign w:val="bottom"/>
            <w:hideMark/>
          </w:tcPr>
          <w:p w14:paraId="5193EA4E" w14:textId="77777777" w:rsidR="00CF4C6E" w:rsidRPr="00D52564" w:rsidRDefault="00CF4C6E" w:rsidP="00D52564">
            <w:pPr>
              <w:spacing w:before="240" w:after="240"/>
              <w:rPr>
                <w:rFonts w:ascii="Arial" w:hAnsi="Arial"/>
                <w:b/>
                <w:bCs/>
                <w:color w:val="000000"/>
                <w:lang w:val="en-GB"/>
              </w:rPr>
            </w:pPr>
            <w:r w:rsidRPr="00D52564">
              <w:rPr>
                <w:rFonts w:ascii="Arial" w:hAnsi="Arial"/>
                <w:b/>
                <w:bCs/>
                <w:color w:val="000000"/>
                <w:lang w:val="en-GB"/>
              </w:rPr>
              <w:t> </w:t>
            </w:r>
          </w:p>
        </w:tc>
      </w:tr>
      <w:tr w:rsidR="00CF4C6E" w:rsidRPr="00D52564" w14:paraId="5A01AE10" w14:textId="77777777" w:rsidTr="00F049CB">
        <w:trPr>
          <w:trHeight w:val="315"/>
        </w:trPr>
        <w:tc>
          <w:tcPr>
            <w:tcW w:w="822" w:type="pct"/>
            <w:vMerge w:val="restart"/>
            <w:tcBorders>
              <w:top w:val="nil"/>
              <w:left w:val="single" w:sz="4" w:space="0" w:color="auto"/>
              <w:bottom w:val="single" w:sz="4" w:space="0" w:color="000000"/>
              <w:right w:val="single" w:sz="4" w:space="0" w:color="auto"/>
            </w:tcBorders>
            <w:shd w:val="clear" w:color="000000" w:fill="8ED7DD"/>
            <w:noWrap/>
            <w:vAlign w:val="bottom"/>
            <w:hideMark/>
          </w:tcPr>
          <w:p w14:paraId="709A7248" w14:textId="77777777" w:rsidR="00CF4C6E" w:rsidRPr="00D52564" w:rsidRDefault="00CF4C6E" w:rsidP="00D52564">
            <w:pPr>
              <w:spacing w:before="240" w:after="240"/>
              <w:rPr>
                <w:rFonts w:ascii="Arial" w:hAnsi="Arial"/>
                <w:b/>
                <w:bCs/>
                <w:color w:val="000000"/>
                <w:lang w:val="en-GB"/>
              </w:rPr>
            </w:pPr>
            <w:r w:rsidRPr="00D52564">
              <w:rPr>
                <w:rFonts w:ascii="Arial" w:hAnsi="Arial"/>
                <w:b/>
                <w:bCs/>
                <w:color w:val="000000"/>
                <w:lang w:val="en-GB"/>
              </w:rPr>
              <w:t>Efficiency</w:t>
            </w:r>
          </w:p>
        </w:tc>
        <w:tc>
          <w:tcPr>
            <w:tcW w:w="1424" w:type="pct"/>
            <w:tcBorders>
              <w:top w:val="nil"/>
              <w:left w:val="nil"/>
              <w:bottom w:val="single" w:sz="4" w:space="0" w:color="auto"/>
              <w:right w:val="single" w:sz="4" w:space="0" w:color="auto"/>
            </w:tcBorders>
            <w:shd w:val="clear" w:color="000000" w:fill="DAF1F3"/>
            <w:vAlign w:val="bottom"/>
            <w:hideMark/>
          </w:tcPr>
          <w:p w14:paraId="701F2572"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Asset Turnover Ratio</w:t>
            </w:r>
          </w:p>
        </w:tc>
        <w:tc>
          <w:tcPr>
            <w:tcW w:w="551" w:type="pct"/>
            <w:tcBorders>
              <w:top w:val="nil"/>
              <w:left w:val="nil"/>
              <w:bottom w:val="single" w:sz="4" w:space="0" w:color="auto"/>
              <w:right w:val="single" w:sz="4" w:space="0" w:color="auto"/>
            </w:tcBorders>
            <w:shd w:val="clear" w:color="000000" w:fill="DAF1F3"/>
            <w:vAlign w:val="bottom"/>
            <w:hideMark/>
          </w:tcPr>
          <w:p w14:paraId="75EC78D4"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2021</w:t>
            </w:r>
          </w:p>
        </w:tc>
        <w:tc>
          <w:tcPr>
            <w:tcW w:w="551" w:type="pct"/>
            <w:tcBorders>
              <w:top w:val="nil"/>
              <w:left w:val="nil"/>
              <w:bottom w:val="single" w:sz="4" w:space="0" w:color="auto"/>
              <w:right w:val="single" w:sz="4" w:space="0" w:color="auto"/>
            </w:tcBorders>
            <w:shd w:val="clear" w:color="000000" w:fill="DAF1F3"/>
            <w:vAlign w:val="bottom"/>
            <w:hideMark/>
          </w:tcPr>
          <w:p w14:paraId="0BE444F2"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2022</w:t>
            </w:r>
          </w:p>
        </w:tc>
        <w:tc>
          <w:tcPr>
            <w:tcW w:w="551" w:type="pct"/>
            <w:tcBorders>
              <w:top w:val="nil"/>
              <w:left w:val="nil"/>
              <w:bottom w:val="single" w:sz="4" w:space="0" w:color="auto"/>
              <w:right w:val="single" w:sz="4" w:space="0" w:color="auto"/>
            </w:tcBorders>
            <w:shd w:val="clear" w:color="000000" w:fill="DAF1F3"/>
            <w:vAlign w:val="bottom"/>
            <w:hideMark/>
          </w:tcPr>
          <w:p w14:paraId="4F35A8FE"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2023</w:t>
            </w:r>
          </w:p>
        </w:tc>
        <w:tc>
          <w:tcPr>
            <w:tcW w:w="551" w:type="pct"/>
            <w:tcBorders>
              <w:top w:val="nil"/>
              <w:left w:val="nil"/>
              <w:bottom w:val="single" w:sz="4" w:space="0" w:color="auto"/>
              <w:right w:val="single" w:sz="4" w:space="0" w:color="auto"/>
            </w:tcBorders>
            <w:shd w:val="clear" w:color="000000" w:fill="DAF1F3"/>
            <w:vAlign w:val="bottom"/>
            <w:hideMark/>
          </w:tcPr>
          <w:p w14:paraId="58A0F123"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2024</w:t>
            </w:r>
          </w:p>
        </w:tc>
        <w:tc>
          <w:tcPr>
            <w:tcW w:w="551" w:type="pct"/>
            <w:tcBorders>
              <w:top w:val="nil"/>
              <w:left w:val="nil"/>
              <w:bottom w:val="single" w:sz="4" w:space="0" w:color="auto"/>
              <w:right w:val="single" w:sz="4" w:space="0" w:color="auto"/>
            </w:tcBorders>
            <w:shd w:val="clear" w:color="000000" w:fill="DAF1F3"/>
            <w:vAlign w:val="bottom"/>
            <w:hideMark/>
          </w:tcPr>
          <w:p w14:paraId="314FB5E4"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2025</w:t>
            </w:r>
          </w:p>
        </w:tc>
      </w:tr>
      <w:tr w:rsidR="00CF4C6E" w:rsidRPr="00D52564" w14:paraId="01B57206" w14:textId="77777777" w:rsidTr="00F049CB">
        <w:trPr>
          <w:trHeight w:val="315"/>
        </w:trPr>
        <w:tc>
          <w:tcPr>
            <w:tcW w:w="822" w:type="pct"/>
            <w:vMerge/>
            <w:tcBorders>
              <w:top w:val="nil"/>
              <w:left w:val="single" w:sz="4" w:space="0" w:color="auto"/>
              <w:bottom w:val="single" w:sz="4" w:space="0" w:color="000000"/>
              <w:right w:val="single" w:sz="4" w:space="0" w:color="auto"/>
            </w:tcBorders>
            <w:vAlign w:val="center"/>
            <w:hideMark/>
          </w:tcPr>
          <w:p w14:paraId="0D7F8B89"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F2F2F2"/>
            <w:vAlign w:val="bottom"/>
            <w:hideMark/>
          </w:tcPr>
          <w:p w14:paraId="7118B393"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 xml:space="preserve">Net Sales </w:t>
            </w:r>
          </w:p>
        </w:tc>
        <w:tc>
          <w:tcPr>
            <w:tcW w:w="551" w:type="pct"/>
            <w:tcBorders>
              <w:top w:val="nil"/>
              <w:left w:val="nil"/>
              <w:bottom w:val="single" w:sz="4" w:space="0" w:color="auto"/>
              <w:right w:val="single" w:sz="4" w:space="0" w:color="auto"/>
            </w:tcBorders>
            <w:shd w:val="clear" w:color="000000" w:fill="F2F2F2"/>
            <w:vAlign w:val="bottom"/>
            <w:hideMark/>
          </w:tcPr>
          <w:p w14:paraId="5BAE0011"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$392</w:t>
            </w:r>
          </w:p>
        </w:tc>
        <w:tc>
          <w:tcPr>
            <w:tcW w:w="551" w:type="pct"/>
            <w:tcBorders>
              <w:top w:val="nil"/>
              <w:left w:val="nil"/>
              <w:bottom w:val="single" w:sz="4" w:space="0" w:color="auto"/>
              <w:right w:val="single" w:sz="4" w:space="0" w:color="auto"/>
            </w:tcBorders>
            <w:shd w:val="clear" w:color="000000" w:fill="F2F2F2"/>
            <w:vAlign w:val="bottom"/>
            <w:hideMark/>
          </w:tcPr>
          <w:p w14:paraId="3D457B25"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$1,498</w:t>
            </w:r>
          </w:p>
        </w:tc>
        <w:tc>
          <w:tcPr>
            <w:tcW w:w="551" w:type="pct"/>
            <w:tcBorders>
              <w:top w:val="nil"/>
              <w:left w:val="nil"/>
              <w:bottom w:val="single" w:sz="4" w:space="0" w:color="auto"/>
              <w:right w:val="single" w:sz="4" w:space="0" w:color="auto"/>
            </w:tcBorders>
            <w:shd w:val="clear" w:color="000000" w:fill="F2F2F2"/>
            <w:vAlign w:val="bottom"/>
            <w:hideMark/>
          </w:tcPr>
          <w:p w14:paraId="2D9214A8"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$1,397</w:t>
            </w:r>
          </w:p>
        </w:tc>
        <w:tc>
          <w:tcPr>
            <w:tcW w:w="551" w:type="pct"/>
            <w:tcBorders>
              <w:top w:val="nil"/>
              <w:left w:val="nil"/>
              <w:bottom w:val="single" w:sz="4" w:space="0" w:color="auto"/>
              <w:right w:val="single" w:sz="4" w:space="0" w:color="auto"/>
            </w:tcBorders>
            <w:shd w:val="clear" w:color="000000" w:fill="F2F2F2"/>
            <w:vAlign w:val="bottom"/>
            <w:hideMark/>
          </w:tcPr>
          <w:p w14:paraId="582F3F2E"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$1,408</w:t>
            </w:r>
          </w:p>
        </w:tc>
        <w:tc>
          <w:tcPr>
            <w:tcW w:w="551" w:type="pct"/>
            <w:tcBorders>
              <w:top w:val="nil"/>
              <w:left w:val="nil"/>
              <w:bottom w:val="single" w:sz="4" w:space="0" w:color="auto"/>
              <w:right w:val="single" w:sz="4" w:space="0" w:color="auto"/>
            </w:tcBorders>
            <w:shd w:val="clear" w:color="000000" w:fill="F2F2F2"/>
            <w:vAlign w:val="bottom"/>
            <w:hideMark/>
          </w:tcPr>
          <w:p w14:paraId="2797B2DC"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$1,429</w:t>
            </w:r>
          </w:p>
        </w:tc>
      </w:tr>
      <w:tr w:rsidR="00CF4C6E" w:rsidRPr="00D52564" w14:paraId="38DAACB2" w14:textId="77777777" w:rsidTr="00F049CB">
        <w:trPr>
          <w:trHeight w:val="315"/>
        </w:trPr>
        <w:tc>
          <w:tcPr>
            <w:tcW w:w="822" w:type="pct"/>
            <w:vMerge/>
            <w:tcBorders>
              <w:top w:val="nil"/>
              <w:left w:val="single" w:sz="4" w:space="0" w:color="auto"/>
              <w:bottom w:val="single" w:sz="4" w:space="0" w:color="000000"/>
              <w:right w:val="single" w:sz="4" w:space="0" w:color="auto"/>
            </w:tcBorders>
            <w:vAlign w:val="center"/>
            <w:hideMark/>
          </w:tcPr>
          <w:p w14:paraId="28E40A53"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F2F2F2"/>
            <w:noWrap/>
            <w:vAlign w:val="bottom"/>
            <w:hideMark/>
          </w:tcPr>
          <w:p w14:paraId="4F6CEA32"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Average Total Assets</w:t>
            </w:r>
          </w:p>
        </w:tc>
        <w:tc>
          <w:tcPr>
            <w:tcW w:w="551" w:type="pct"/>
            <w:tcBorders>
              <w:top w:val="nil"/>
              <w:left w:val="nil"/>
              <w:bottom w:val="single" w:sz="4" w:space="0" w:color="auto"/>
              <w:right w:val="single" w:sz="4" w:space="0" w:color="auto"/>
            </w:tcBorders>
            <w:shd w:val="clear" w:color="000000" w:fill="F2F2F2"/>
            <w:noWrap/>
            <w:vAlign w:val="bottom"/>
            <w:hideMark/>
          </w:tcPr>
          <w:p w14:paraId="20615B0E"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$4,457</w:t>
            </w:r>
          </w:p>
        </w:tc>
        <w:tc>
          <w:tcPr>
            <w:tcW w:w="551" w:type="pct"/>
            <w:tcBorders>
              <w:top w:val="nil"/>
              <w:left w:val="nil"/>
              <w:bottom w:val="single" w:sz="4" w:space="0" w:color="auto"/>
              <w:right w:val="single" w:sz="4" w:space="0" w:color="auto"/>
            </w:tcBorders>
            <w:shd w:val="clear" w:color="000000" w:fill="F2F2F2"/>
            <w:noWrap/>
            <w:vAlign w:val="bottom"/>
            <w:hideMark/>
          </w:tcPr>
          <w:p w14:paraId="51EEE839"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$4,196</w:t>
            </w:r>
          </w:p>
        </w:tc>
        <w:tc>
          <w:tcPr>
            <w:tcW w:w="551" w:type="pct"/>
            <w:tcBorders>
              <w:top w:val="nil"/>
              <w:left w:val="nil"/>
              <w:bottom w:val="single" w:sz="4" w:space="0" w:color="auto"/>
              <w:right w:val="single" w:sz="4" w:space="0" w:color="auto"/>
            </w:tcBorders>
            <w:shd w:val="clear" w:color="000000" w:fill="F2F2F2"/>
            <w:noWrap/>
            <w:vAlign w:val="bottom"/>
            <w:hideMark/>
          </w:tcPr>
          <w:p w14:paraId="554FBF21"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$4,078</w:t>
            </w:r>
          </w:p>
        </w:tc>
        <w:tc>
          <w:tcPr>
            <w:tcW w:w="551" w:type="pct"/>
            <w:tcBorders>
              <w:top w:val="nil"/>
              <w:left w:val="nil"/>
              <w:bottom w:val="single" w:sz="4" w:space="0" w:color="auto"/>
              <w:right w:val="single" w:sz="4" w:space="0" w:color="auto"/>
            </w:tcBorders>
            <w:shd w:val="clear" w:color="000000" w:fill="F2F2F2"/>
            <w:noWrap/>
            <w:vAlign w:val="bottom"/>
            <w:hideMark/>
          </w:tcPr>
          <w:p w14:paraId="6F642875"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$4,128</w:t>
            </w:r>
          </w:p>
        </w:tc>
        <w:tc>
          <w:tcPr>
            <w:tcW w:w="551" w:type="pct"/>
            <w:tcBorders>
              <w:top w:val="nil"/>
              <w:left w:val="nil"/>
              <w:bottom w:val="single" w:sz="4" w:space="0" w:color="auto"/>
              <w:right w:val="single" w:sz="4" w:space="0" w:color="auto"/>
            </w:tcBorders>
            <w:shd w:val="clear" w:color="000000" w:fill="F2F2F2"/>
            <w:noWrap/>
            <w:vAlign w:val="bottom"/>
            <w:hideMark/>
          </w:tcPr>
          <w:p w14:paraId="7070F7AD"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$4,203</w:t>
            </w:r>
          </w:p>
        </w:tc>
      </w:tr>
      <w:tr w:rsidR="00CF4C6E" w:rsidRPr="00D52564" w14:paraId="5E6DC0FD" w14:textId="77777777" w:rsidTr="00F049CB">
        <w:trPr>
          <w:trHeight w:val="315"/>
        </w:trPr>
        <w:tc>
          <w:tcPr>
            <w:tcW w:w="822" w:type="pct"/>
            <w:vMerge/>
            <w:tcBorders>
              <w:top w:val="nil"/>
              <w:left w:val="single" w:sz="4" w:space="0" w:color="auto"/>
              <w:bottom w:val="single" w:sz="4" w:space="0" w:color="000000"/>
              <w:right w:val="single" w:sz="4" w:space="0" w:color="auto"/>
            </w:tcBorders>
            <w:vAlign w:val="center"/>
            <w:hideMark/>
          </w:tcPr>
          <w:p w14:paraId="38200474"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DAF1F3"/>
            <w:vAlign w:val="bottom"/>
            <w:hideMark/>
          </w:tcPr>
          <w:p w14:paraId="3F579D2C"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Asset Turnover Ratio = Net Sales / Average Total Assets</w:t>
            </w:r>
          </w:p>
        </w:tc>
        <w:tc>
          <w:tcPr>
            <w:tcW w:w="551" w:type="pct"/>
            <w:tcBorders>
              <w:top w:val="nil"/>
              <w:left w:val="nil"/>
              <w:bottom w:val="single" w:sz="4" w:space="0" w:color="auto"/>
              <w:right w:val="single" w:sz="4" w:space="0" w:color="auto"/>
            </w:tcBorders>
            <w:shd w:val="clear" w:color="000000" w:fill="DAF1F3"/>
            <w:noWrap/>
            <w:vAlign w:val="bottom"/>
            <w:hideMark/>
          </w:tcPr>
          <w:p w14:paraId="1F358252"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0.09</w:t>
            </w:r>
          </w:p>
        </w:tc>
        <w:tc>
          <w:tcPr>
            <w:tcW w:w="551" w:type="pct"/>
            <w:tcBorders>
              <w:top w:val="nil"/>
              <w:left w:val="nil"/>
              <w:bottom w:val="single" w:sz="4" w:space="0" w:color="auto"/>
              <w:right w:val="single" w:sz="4" w:space="0" w:color="auto"/>
            </w:tcBorders>
            <w:shd w:val="clear" w:color="000000" w:fill="DAF1F3"/>
            <w:noWrap/>
            <w:vAlign w:val="bottom"/>
            <w:hideMark/>
          </w:tcPr>
          <w:p w14:paraId="62D53564"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0.36</w:t>
            </w:r>
          </w:p>
        </w:tc>
        <w:tc>
          <w:tcPr>
            <w:tcW w:w="551" w:type="pct"/>
            <w:tcBorders>
              <w:top w:val="nil"/>
              <w:left w:val="nil"/>
              <w:bottom w:val="single" w:sz="4" w:space="0" w:color="auto"/>
              <w:right w:val="single" w:sz="4" w:space="0" w:color="auto"/>
            </w:tcBorders>
            <w:shd w:val="clear" w:color="000000" w:fill="DAF1F3"/>
            <w:noWrap/>
            <w:vAlign w:val="bottom"/>
            <w:hideMark/>
          </w:tcPr>
          <w:p w14:paraId="286E209C"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0.34</w:t>
            </w:r>
          </w:p>
        </w:tc>
        <w:tc>
          <w:tcPr>
            <w:tcW w:w="551" w:type="pct"/>
            <w:tcBorders>
              <w:top w:val="nil"/>
              <w:left w:val="nil"/>
              <w:bottom w:val="single" w:sz="4" w:space="0" w:color="auto"/>
              <w:right w:val="single" w:sz="4" w:space="0" w:color="auto"/>
            </w:tcBorders>
            <w:shd w:val="clear" w:color="000000" w:fill="DAF1F3"/>
            <w:noWrap/>
            <w:vAlign w:val="bottom"/>
            <w:hideMark/>
          </w:tcPr>
          <w:p w14:paraId="23E5CE00"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0.34</w:t>
            </w:r>
          </w:p>
        </w:tc>
        <w:tc>
          <w:tcPr>
            <w:tcW w:w="551" w:type="pct"/>
            <w:tcBorders>
              <w:top w:val="nil"/>
              <w:left w:val="nil"/>
              <w:bottom w:val="single" w:sz="4" w:space="0" w:color="auto"/>
              <w:right w:val="single" w:sz="4" w:space="0" w:color="auto"/>
            </w:tcBorders>
            <w:shd w:val="clear" w:color="000000" w:fill="DAF1F3"/>
            <w:noWrap/>
            <w:vAlign w:val="bottom"/>
            <w:hideMark/>
          </w:tcPr>
          <w:p w14:paraId="421C9ADC"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0.34</w:t>
            </w:r>
          </w:p>
        </w:tc>
      </w:tr>
      <w:tr w:rsidR="00CF4C6E" w:rsidRPr="00D52564" w14:paraId="70D9EA06" w14:textId="77777777" w:rsidTr="00F049CB">
        <w:trPr>
          <w:trHeight w:val="315"/>
        </w:trPr>
        <w:tc>
          <w:tcPr>
            <w:tcW w:w="5000" w:type="pct"/>
            <w:gridSpan w:val="7"/>
            <w:tcBorders>
              <w:top w:val="single" w:sz="4" w:space="0" w:color="auto"/>
              <w:left w:val="single" w:sz="4" w:space="0" w:color="auto"/>
              <w:bottom w:val="single" w:sz="4" w:space="0" w:color="auto"/>
              <w:right w:val="single" w:sz="4" w:space="0" w:color="000000"/>
            </w:tcBorders>
            <w:shd w:val="clear" w:color="000000" w:fill="FFC599"/>
            <w:noWrap/>
            <w:vAlign w:val="bottom"/>
            <w:hideMark/>
          </w:tcPr>
          <w:p w14:paraId="3391864C" w14:textId="77777777" w:rsidR="00CF4C6E" w:rsidRPr="00D52564" w:rsidRDefault="00CF4C6E" w:rsidP="00D52564">
            <w:pPr>
              <w:spacing w:before="240" w:after="240"/>
              <w:rPr>
                <w:rFonts w:ascii="Arial" w:hAnsi="Arial"/>
                <w:b/>
                <w:bCs/>
                <w:color w:val="000000"/>
                <w:lang w:val="en-GB"/>
              </w:rPr>
            </w:pPr>
            <w:r w:rsidRPr="00D52564">
              <w:rPr>
                <w:rFonts w:ascii="Arial" w:hAnsi="Arial"/>
                <w:b/>
                <w:bCs/>
                <w:color w:val="000000"/>
                <w:lang w:val="en-GB"/>
              </w:rPr>
              <w:t> </w:t>
            </w:r>
          </w:p>
        </w:tc>
      </w:tr>
      <w:tr w:rsidR="00CF4C6E" w:rsidRPr="00D52564" w14:paraId="08EA750F" w14:textId="77777777" w:rsidTr="00F049CB">
        <w:trPr>
          <w:trHeight w:val="312"/>
        </w:trPr>
        <w:tc>
          <w:tcPr>
            <w:tcW w:w="822" w:type="pct"/>
            <w:vMerge w:val="restart"/>
            <w:tcBorders>
              <w:top w:val="nil"/>
              <w:left w:val="single" w:sz="4" w:space="0" w:color="auto"/>
              <w:bottom w:val="single" w:sz="4" w:space="0" w:color="000000"/>
              <w:right w:val="single" w:sz="4" w:space="0" w:color="auto"/>
            </w:tcBorders>
            <w:shd w:val="clear" w:color="000000" w:fill="BFBFBF"/>
            <w:noWrap/>
            <w:vAlign w:val="bottom"/>
            <w:hideMark/>
          </w:tcPr>
          <w:p w14:paraId="72F3CEE7" w14:textId="77777777" w:rsidR="00CF4C6E" w:rsidRPr="00D52564" w:rsidRDefault="00CF4C6E" w:rsidP="00D52564">
            <w:pPr>
              <w:spacing w:before="240" w:after="240"/>
              <w:rPr>
                <w:rFonts w:ascii="Arial" w:hAnsi="Arial"/>
                <w:b/>
                <w:bCs/>
                <w:color w:val="000000"/>
                <w:lang w:val="en-GB"/>
              </w:rPr>
            </w:pPr>
            <w:r w:rsidRPr="00D52564">
              <w:rPr>
                <w:rFonts w:ascii="Arial" w:hAnsi="Arial"/>
                <w:b/>
                <w:bCs/>
                <w:color w:val="000000"/>
                <w:lang w:val="en-GB"/>
              </w:rPr>
              <w:t>Investment</w:t>
            </w:r>
          </w:p>
        </w:tc>
        <w:tc>
          <w:tcPr>
            <w:tcW w:w="1424" w:type="pct"/>
            <w:tcBorders>
              <w:top w:val="nil"/>
              <w:left w:val="nil"/>
              <w:bottom w:val="single" w:sz="4" w:space="0" w:color="auto"/>
              <w:right w:val="single" w:sz="4" w:space="0" w:color="auto"/>
            </w:tcBorders>
            <w:shd w:val="clear" w:color="000000" w:fill="D9D9D9"/>
            <w:vAlign w:val="bottom"/>
            <w:hideMark/>
          </w:tcPr>
          <w:p w14:paraId="0E557553"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Return on Equity</w:t>
            </w:r>
          </w:p>
        </w:tc>
        <w:tc>
          <w:tcPr>
            <w:tcW w:w="551" w:type="pct"/>
            <w:tcBorders>
              <w:top w:val="nil"/>
              <w:left w:val="nil"/>
              <w:bottom w:val="single" w:sz="4" w:space="0" w:color="auto"/>
              <w:right w:val="single" w:sz="4" w:space="0" w:color="auto"/>
            </w:tcBorders>
            <w:shd w:val="clear" w:color="000000" w:fill="D9D9D9"/>
            <w:vAlign w:val="bottom"/>
            <w:hideMark/>
          </w:tcPr>
          <w:p w14:paraId="7F8298F0"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2021</w:t>
            </w:r>
          </w:p>
        </w:tc>
        <w:tc>
          <w:tcPr>
            <w:tcW w:w="551" w:type="pct"/>
            <w:tcBorders>
              <w:top w:val="nil"/>
              <w:left w:val="nil"/>
              <w:bottom w:val="single" w:sz="4" w:space="0" w:color="auto"/>
              <w:right w:val="single" w:sz="4" w:space="0" w:color="auto"/>
            </w:tcBorders>
            <w:shd w:val="clear" w:color="000000" w:fill="D9D9D9"/>
            <w:vAlign w:val="bottom"/>
            <w:hideMark/>
          </w:tcPr>
          <w:p w14:paraId="50321A56"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2022</w:t>
            </w:r>
          </w:p>
        </w:tc>
        <w:tc>
          <w:tcPr>
            <w:tcW w:w="551" w:type="pct"/>
            <w:tcBorders>
              <w:top w:val="nil"/>
              <w:left w:val="nil"/>
              <w:bottom w:val="single" w:sz="4" w:space="0" w:color="auto"/>
              <w:right w:val="single" w:sz="4" w:space="0" w:color="auto"/>
            </w:tcBorders>
            <w:shd w:val="clear" w:color="000000" w:fill="D9D9D9"/>
            <w:vAlign w:val="bottom"/>
            <w:hideMark/>
          </w:tcPr>
          <w:p w14:paraId="2D29257E"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2023</w:t>
            </w:r>
          </w:p>
        </w:tc>
        <w:tc>
          <w:tcPr>
            <w:tcW w:w="551" w:type="pct"/>
            <w:tcBorders>
              <w:top w:val="nil"/>
              <w:left w:val="nil"/>
              <w:bottom w:val="single" w:sz="4" w:space="0" w:color="auto"/>
              <w:right w:val="single" w:sz="4" w:space="0" w:color="auto"/>
            </w:tcBorders>
            <w:shd w:val="clear" w:color="000000" w:fill="D9D9D9"/>
            <w:vAlign w:val="bottom"/>
            <w:hideMark/>
          </w:tcPr>
          <w:p w14:paraId="1E901ADB"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2024</w:t>
            </w:r>
          </w:p>
        </w:tc>
        <w:tc>
          <w:tcPr>
            <w:tcW w:w="551" w:type="pct"/>
            <w:tcBorders>
              <w:top w:val="nil"/>
              <w:left w:val="nil"/>
              <w:bottom w:val="single" w:sz="4" w:space="0" w:color="auto"/>
              <w:right w:val="single" w:sz="4" w:space="0" w:color="auto"/>
            </w:tcBorders>
            <w:shd w:val="clear" w:color="000000" w:fill="D9D9D9"/>
            <w:vAlign w:val="bottom"/>
            <w:hideMark/>
          </w:tcPr>
          <w:p w14:paraId="1963135C"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2025</w:t>
            </w:r>
          </w:p>
        </w:tc>
      </w:tr>
      <w:tr w:rsidR="00CF4C6E" w:rsidRPr="00D52564" w14:paraId="2DCD37C7" w14:textId="77777777" w:rsidTr="00F049CB">
        <w:trPr>
          <w:trHeight w:val="312"/>
        </w:trPr>
        <w:tc>
          <w:tcPr>
            <w:tcW w:w="822" w:type="pct"/>
            <w:vMerge/>
            <w:tcBorders>
              <w:top w:val="nil"/>
              <w:left w:val="single" w:sz="4" w:space="0" w:color="auto"/>
              <w:bottom w:val="single" w:sz="4" w:space="0" w:color="000000"/>
              <w:right w:val="single" w:sz="4" w:space="0" w:color="auto"/>
            </w:tcBorders>
            <w:vAlign w:val="center"/>
            <w:hideMark/>
          </w:tcPr>
          <w:p w14:paraId="2599829D"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F2F2F2"/>
            <w:vAlign w:val="bottom"/>
            <w:hideMark/>
          </w:tcPr>
          <w:p w14:paraId="0D34836D"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Net Income</w:t>
            </w:r>
          </w:p>
        </w:tc>
        <w:tc>
          <w:tcPr>
            <w:tcW w:w="551" w:type="pct"/>
            <w:tcBorders>
              <w:top w:val="nil"/>
              <w:left w:val="nil"/>
              <w:bottom w:val="single" w:sz="4" w:space="0" w:color="auto"/>
              <w:right w:val="single" w:sz="4" w:space="0" w:color="auto"/>
            </w:tcBorders>
            <w:shd w:val="clear" w:color="000000" w:fill="F2F2F2"/>
            <w:vAlign w:val="bottom"/>
            <w:hideMark/>
          </w:tcPr>
          <w:p w14:paraId="32A29D87"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$48</w:t>
            </w:r>
          </w:p>
        </w:tc>
        <w:tc>
          <w:tcPr>
            <w:tcW w:w="551" w:type="pct"/>
            <w:tcBorders>
              <w:top w:val="nil"/>
              <w:left w:val="nil"/>
              <w:bottom w:val="single" w:sz="4" w:space="0" w:color="auto"/>
              <w:right w:val="single" w:sz="4" w:space="0" w:color="auto"/>
            </w:tcBorders>
            <w:shd w:val="clear" w:color="000000" w:fill="F2F2F2"/>
            <w:vAlign w:val="bottom"/>
            <w:hideMark/>
          </w:tcPr>
          <w:p w14:paraId="23820EF9"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$355</w:t>
            </w:r>
          </w:p>
        </w:tc>
        <w:tc>
          <w:tcPr>
            <w:tcW w:w="551" w:type="pct"/>
            <w:tcBorders>
              <w:top w:val="nil"/>
              <w:left w:val="nil"/>
              <w:bottom w:val="single" w:sz="4" w:space="0" w:color="auto"/>
              <w:right w:val="single" w:sz="4" w:space="0" w:color="auto"/>
            </w:tcBorders>
            <w:shd w:val="clear" w:color="000000" w:fill="F2F2F2"/>
            <w:vAlign w:val="bottom"/>
            <w:hideMark/>
          </w:tcPr>
          <w:p w14:paraId="4F853282"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$289</w:t>
            </w:r>
          </w:p>
        </w:tc>
        <w:tc>
          <w:tcPr>
            <w:tcW w:w="551" w:type="pct"/>
            <w:tcBorders>
              <w:top w:val="nil"/>
              <w:left w:val="nil"/>
              <w:bottom w:val="single" w:sz="4" w:space="0" w:color="auto"/>
              <w:right w:val="single" w:sz="4" w:space="0" w:color="auto"/>
            </w:tcBorders>
            <w:shd w:val="clear" w:color="000000" w:fill="F2F2F2"/>
            <w:vAlign w:val="bottom"/>
            <w:hideMark/>
          </w:tcPr>
          <w:p w14:paraId="43EF8D14"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$289</w:t>
            </w:r>
          </w:p>
        </w:tc>
        <w:tc>
          <w:tcPr>
            <w:tcW w:w="551" w:type="pct"/>
            <w:tcBorders>
              <w:top w:val="nil"/>
              <w:left w:val="nil"/>
              <w:bottom w:val="single" w:sz="4" w:space="0" w:color="auto"/>
              <w:right w:val="single" w:sz="4" w:space="0" w:color="auto"/>
            </w:tcBorders>
            <w:shd w:val="clear" w:color="000000" w:fill="F2F2F2"/>
            <w:vAlign w:val="bottom"/>
            <w:hideMark/>
          </w:tcPr>
          <w:p w14:paraId="580408AA"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$193</w:t>
            </w:r>
          </w:p>
        </w:tc>
      </w:tr>
      <w:tr w:rsidR="00CF4C6E" w:rsidRPr="00D52564" w14:paraId="4B158FF5" w14:textId="77777777" w:rsidTr="00F049CB">
        <w:trPr>
          <w:trHeight w:val="312"/>
        </w:trPr>
        <w:tc>
          <w:tcPr>
            <w:tcW w:w="822" w:type="pct"/>
            <w:vMerge/>
            <w:tcBorders>
              <w:top w:val="nil"/>
              <w:left w:val="single" w:sz="4" w:space="0" w:color="auto"/>
              <w:bottom w:val="single" w:sz="4" w:space="0" w:color="000000"/>
              <w:right w:val="single" w:sz="4" w:space="0" w:color="auto"/>
            </w:tcBorders>
            <w:vAlign w:val="center"/>
            <w:hideMark/>
          </w:tcPr>
          <w:p w14:paraId="34E194DA"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F2F2F2"/>
            <w:vAlign w:val="bottom"/>
            <w:hideMark/>
          </w:tcPr>
          <w:p w14:paraId="4D183494"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Equity</w:t>
            </w:r>
          </w:p>
        </w:tc>
        <w:tc>
          <w:tcPr>
            <w:tcW w:w="551" w:type="pct"/>
            <w:tcBorders>
              <w:top w:val="nil"/>
              <w:left w:val="nil"/>
              <w:bottom w:val="single" w:sz="4" w:space="0" w:color="auto"/>
              <w:right w:val="single" w:sz="4" w:space="0" w:color="auto"/>
            </w:tcBorders>
            <w:shd w:val="clear" w:color="000000" w:fill="F2F2F2"/>
            <w:vAlign w:val="bottom"/>
            <w:hideMark/>
          </w:tcPr>
          <w:p w14:paraId="34A5F340"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$1,089</w:t>
            </w:r>
          </w:p>
        </w:tc>
        <w:tc>
          <w:tcPr>
            <w:tcW w:w="551" w:type="pct"/>
            <w:tcBorders>
              <w:top w:val="nil"/>
              <w:left w:val="nil"/>
              <w:bottom w:val="single" w:sz="4" w:space="0" w:color="auto"/>
              <w:right w:val="single" w:sz="4" w:space="0" w:color="auto"/>
            </w:tcBorders>
            <w:shd w:val="clear" w:color="000000" w:fill="F2F2F2"/>
            <w:vAlign w:val="bottom"/>
            <w:hideMark/>
          </w:tcPr>
          <w:p w14:paraId="5D719DCA"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$962</w:t>
            </w:r>
          </w:p>
        </w:tc>
        <w:tc>
          <w:tcPr>
            <w:tcW w:w="551" w:type="pct"/>
            <w:tcBorders>
              <w:top w:val="nil"/>
              <w:left w:val="nil"/>
              <w:bottom w:val="single" w:sz="4" w:space="0" w:color="auto"/>
              <w:right w:val="single" w:sz="4" w:space="0" w:color="auto"/>
            </w:tcBorders>
            <w:shd w:val="clear" w:color="000000" w:fill="F2F2F2"/>
            <w:vAlign w:val="bottom"/>
            <w:hideMark/>
          </w:tcPr>
          <w:p w14:paraId="6ABF296B"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$746</w:t>
            </w:r>
          </w:p>
        </w:tc>
        <w:tc>
          <w:tcPr>
            <w:tcW w:w="551" w:type="pct"/>
            <w:tcBorders>
              <w:top w:val="nil"/>
              <w:left w:val="nil"/>
              <w:bottom w:val="single" w:sz="4" w:space="0" w:color="auto"/>
              <w:right w:val="single" w:sz="4" w:space="0" w:color="auto"/>
            </w:tcBorders>
            <w:shd w:val="clear" w:color="000000" w:fill="F2F2F2"/>
            <w:vAlign w:val="bottom"/>
            <w:hideMark/>
          </w:tcPr>
          <w:p w14:paraId="42A4E24F"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$650</w:t>
            </w:r>
          </w:p>
        </w:tc>
        <w:tc>
          <w:tcPr>
            <w:tcW w:w="551" w:type="pct"/>
            <w:tcBorders>
              <w:top w:val="nil"/>
              <w:left w:val="nil"/>
              <w:bottom w:val="single" w:sz="4" w:space="0" w:color="auto"/>
              <w:right w:val="single" w:sz="4" w:space="0" w:color="auto"/>
            </w:tcBorders>
            <w:shd w:val="clear" w:color="000000" w:fill="F2F2F2"/>
            <w:vAlign w:val="bottom"/>
            <w:hideMark/>
          </w:tcPr>
          <w:p w14:paraId="4A8AD4E1"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$468</w:t>
            </w:r>
          </w:p>
        </w:tc>
      </w:tr>
      <w:tr w:rsidR="00CF4C6E" w:rsidRPr="00D52564" w14:paraId="260F63AB" w14:textId="77777777" w:rsidTr="00F049CB">
        <w:trPr>
          <w:trHeight w:val="312"/>
        </w:trPr>
        <w:tc>
          <w:tcPr>
            <w:tcW w:w="822" w:type="pct"/>
            <w:vMerge/>
            <w:tcBorders>
              <w:top w:val="nil"/>
              <w:left w:val="single" w:sz="4" w:space="0" w:color="auto"/>
              <w:bottom w:val="single" w:sz="4" w:space="0" w:color="000000"/>
              <w:right w:val="single" w:sz="4" w:space="0" w:color="auto"/>
            </w:tcBorders>
            <w:vAlign w:val="center"/>
            <w:hideMark/>
          </w:tcPr>
          <w:p w14:paraId="15408A24"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D9D9D9"/>
            <w:vAlign w:val="bottom"/>
            <w:hideMark/>
          </w:tcPr>
          <w:p w14:paraId="68003C46"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Return on Equity = Net Income / Equity * 100</w:t>
            </w:r>
          </w:p>
        </w:tc>
        <w:tc>
          <w:tcPr>
            <w:tcW w:w="551" w:type="pct"/>
            <w:tcBorders>
              <w:top w:val="nil"/>
              <w:left w:val="nil"/>
              <w:bottom w:val="single" w:sz="4" w:space="0" w:color="auto"/>
              <w:right w:val="single" w:sz="4" w:space="0" w:color="auto"/>
            </w:tcBorders>
            <w:shd w:val="clear" w:color="000000" w:fill="D9D9D9"/>
            <w:vAlign w:val="bottom"/>
            <w:hideMark/>
          </w:tcPr>
          <w:p w14:paraId="6C154848"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4.41%</w:t>
            </w:r>
          </w:p>
        </w:tc>
        <w:tc>
          <w:tcPr>
            <w:tcW w:w="551" w:type="pct"/>
            <w:tcBorders>
              <w:top w:val="nil"/>
              <w:left w:val="nil"/>
              <w:bottom w:val="single" w:sz="4" w:space="0" w:color="auto"/>
              <w:right w:val="single" w:sz="4" w:space="0" w:color="auto"/>
            </w:tcBorders>
            <w:shd w:val="clear" w:color="000000" w:fill="D9D9D9"/>
            <w:vAlign w:val="bottom"/>
            <w:hideMark/>
          </w:tcPr>
          <w:p w14:paraId="0782DFDB"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36.90%</w:t>
            </w:r>
          </w:p>
        </w:tc>
        <w:tc>
          <w:tcPr>
            <w:tcW w:w="551" w:type="pct"/>
            <w:tcBorders>
              <w:top w:val="nil"/>
              <w:left w:val="nil"/>
              <w:bottom w:val="single" w:sz="4" w:space="0" w:color="auto"/>
              <w:right w:val="single" w:sz="4" w:space="0" w:color="auto"/>
            </w:tcBorders>
            <w:shd w:val="clear" w:color="000000" w:fill="D9D9D9"/>
            <w:vAlign w:val="bottom"/>
            <w:hideMark/>
          </w:tcPr>
          <w:p w14:paraId="42D2850A"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38.74%</w:t>
            </w:r>
          </w:p>
        </w:tc>
        <w:tc>
          <w:tcPr>
            <w:tcW w:w="551" w:type="pct"/>
            <w:tcBorders>
              <w:top w:val="nil"/>
              <w:left w:val="nil"/>
              <w:bottom w:val="single" w:sz="4" w:space="0" w:color="auto"/>
              <w:right w:val="single" w:sz="4" w:space="0" w:color="auto"/>
            </w:tcBorders>
            <w:shd w:val="clear" w:color="000000" w:fill="D9D9D9"/>
            <w:vAlign w:val="bottom"/>
            <w:hideMark/>
          </w:tcPr>
          <w:p w14:paraId="2146981E"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44.46%</w:t>
            </w:r>
          </w:p>
        </w:tc>
        <w:tc>
          <w:tcPr>
            <w:tcW w:w="551" w:type="pct"/>
            <w:tcBorders>
              <w:top w:val="nil"/>
              <w:left w:val="nil"/>
              <w:bottom w:val="single" w:sz="4" w:space="0" w:color="auto"/>
              <w:right w:val="single" w:sz="4" w:space="0" w:color="auto"/>
            </w:tcBorders>
            <w:shd w:val="clear" w:color="000000" w:fill="D9D9D9"/>
            <w:vAlign w:val="bottom"/>
            <w:hideMark/>
          </w:tcPr>
          <w:p w14:paraId="2C467551"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41.24%</w:t>
            </w:r>
          </w:p>
        </w:tc>
      </w:tr>
      <w:tr w:rsidR="00CF4C6E" w:rsidRPr="00D52564" w14:paraId="454E0D14" w14:textId="77777777" w:rsidTr="00F049CB">
        <w:trPr>
          <w:trHeight w:val="312"/>
        </w:trPr>
        <w:tc>
          <w:tcPr>
            <w:tcW w:w="5000" w:type="pct"/>
            <w:gridSpan w:val="7"/>
            <w:tcBorders>
              <w:top w:val="single" w:sz="4" w:space="0" w:color="auto"/>
              <w:left w:val="single" w:sz="4" w:space="0" w:color="auto"/>
              <w:bottom w:val="single" w:sz="4" w:space="0" w:color="auto"/>
              <w:right w:val="single" w:sz="4" w:space="0" w:color="000000"/>
            </w:tcBorders>
            <w:shd w:val="clear" w:color="000000" w:fill="FFC599"/>
            <w:vAlign w:val="bottom"/>
            <w:hideMark/>
          </w:tcPr>
          <w:p w14:paraId="376F5649"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 </w:t>
            </w:r>
          </w:p>
        </w:tc>
      </w:tr>
      <w:tr w:rsidR="00CF4C6E" w:rsidRPr="00D52564" w14:paraId="6604338B" w14:textId="77777777" w:rsidTr="00F049CB">
        <w:trPr>
          <w:trHeight w:val="312"/>
        </w:trPr>
        <w:tc>
          <w:tcPr>
            <w:tcW w:w="822" w:type="pct"/>
            <w:vMerge w:val="restart"/>
            <w:tcBorders>
              <w:top w:val="nil"/>
              <w:left w:val="single" w:sz="4" w:space="0" w:color="auto"/>
              <w:bottom w:val="single" w:sz="4" w:space="0" w:color="000000"/>
              <w:right w:val="single" w:sz="4" w:space="0" w:color="auto"/>
            </w:tcBorders>
            <w:shd w:val="clear" w:color="000000" w:fill="8CB5F9"/>
            <w:noWrap/>
            <w:vAlign w:val="bottom"/>
            <w:hideMark/>
          </w:tcPr>
          <w:p w14:paraId="5E589AF2" w14:textId="77777777" w:rsidR="00CF4C6E" w:rsidRPr="00D52564" w:rsidRDefault="00CF4C6E" w:rsidP="00D52564">
            <w:pPr>
              <w:spacing w:before="240" w:after="240"/>
              <w:rPr>
                <w:rFonts w:ascii="Arial" w:hAnsi="Arial"/>
                <w:b/>
                <w:bCs/>
                <w:color w:val="000000"/>
                <w:lang w:val="en-GB"/>
              </w:rPr>
            </w:pPr>
            <w:r w:rsidRPr="00D52564">
              <w:rPr>
                <w:rFonts w:ascii="Arial" w:hAnsi="Arial"/>
                <w:b/>
                <w:bCs/>
                <w:color w:val="000000"/>
                <w:lang w:val="en-GB"/>
              </w:rPr>
              <w:t>Cash Flow</w:t>
            </w:r>
          </w:p>
        </w:tc>
        <w:tc>
          <w:tcPr>
            <w:tcW w:w="1424" w:type="pct"/>
            <w:tcBorders>
              <w:top w:val="nil"/>
              <w:left w:val="nil"/>
              <w:bottom w:val="single" w:sz="4" w:space="0" w:color="auto"/>
              <w:right w:val="single" w:sz="4" w:space="0" w:color="auto"/>
            </w:tcBorders>
            <w:shd w:val="clear" w:color="000000" w:fill="D9E7FD"/>
            <w:vAlign w:val="bottom"/>
            <w:hideMark/>
          </w:tcPr>
          <w:p w14:paraId="083D1839"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Operating Cash Flow to Sales Ratio</w:t>
            </w:r>
          </w:p>
        </w:tc>
        <w:tc>
          <w:tcPr>
            <w:tcW w:w="551" w:type="pct"/>
            <w:tcBorders>
              <w:top w:val="nil"/>
              <w:left w:val="nil"/>
              <w:bottom w:val="single" w:sz="4" w:space="0" w:color="auto"/>
              <w:right w:val="single" w:sz="4" w:space="0" w:color="auto"/>
            </w:tcBorders>
            <w:shd w:val="clear" w:color="000000" w:fill="D9E7FD"/>
            <w:vAlign w:val="bottom"/>
            <w:hideMark/>
          </w:tcPr>
          <w:p w14:paraId="2AD7022C"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2021</w:t>
            </w:r>
          </w:p>
        </w:tc>
        <w:tc>
          <w:tcPr>
            <w:tcW w:w="551" w:type="pct"/>
            <w:tcBorders>
              <w:top w:val="nil"/>
              <w:left w:val="nil"/>
              <w:bottom w:val="single" w:sz="4" w:space="0" w:color="auto"/>
              <w:right w:val="single" w:sz="4" w:space="0" w:color="auto"/>
            </w:tcBorders>
            <w:shd w:val="clear" w:color="000000" w:fill="D9E7FD"/>
            <w:vAlign w:val="bottom"/>
            <w:hideMark/>
          </w:tcPr>
          <w:p w14:paraId="157B260F"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2022</w:t>
            </w:r>
          </w:p>
        </w:tc>
        <w:tc>
          <w:tcPr>
            <w:tcW w:w="551" w:type="pct"/>
            <w:tcBorders>
              <w:top w:val="nil"/>
              <w:left w:val="nil"/>
              <w:bottom w:val="single" w:sz="4" w:space="0" w:color="auto"/>
              <w:right w:val="single" w:sz="4" w:space="0" w:color="auto"/>
            </w:tcBorders>
            <w:shd w:val="clear" w:color="000000" w:fill="D9E7FD"/>
            <w:vAlign w:val="bottom"/>
            <w:hideMark/>
          </w:tcPr>
          <w:p w14:paraId="306FB949"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2023</w:t>
            </w:r>
          </w:p>
        </w:tc>
        <w:tc>
          <w:tcPr>
            <w:tcW w:w="551" w:type="pct"/>
            <w:tcBorders>
              <w:top w:val="nil"/>
              <w:left w:val="nil"/>
              <w:bottom w:val="single" w:sz="4" w:space="0" w:color="auto"/>
              <w:right w:val="single" w:sz="4" w:space="0" w:color="auto"/>
            </w:tcBorders>
            <w:shd w:val="clear" w:color="000000" w:fill="D9E7FD"/>
            <w:vAlign w:val="bottom"/>
            <w:hideMark/>
          </w:tcPr>
          <w:p w14:paraId="4923E2F6"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2024</w:t>
            </w:r>
          </w:p>
        </w:tc>
        <w:tc>
          <w:tcPr>
            <w:tcW w:w="551" w:type="pct"/>
            <w:tcBorders>
              <w:top w:val="nil"/>
              <w:left w:val="nil"/>
              <w:bottom w:val="single" w:sz="4" w:space="0" w:color="auto"/>
              <w:right w:val="single" w:sz="4" w:space="0" w:color="auto"/>
            </w:tcBorders>
            <w:shd w:val="clear" w:color="000000" w:fill="D9E7FD"/>
            <w:vAlign w:val="bottom"/>
            <w:hideMark/>
          </w:tcPr>
          <w:p w14:paraId="00C6CF1D"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2025</w:t>
            </w:r>
          </w:p>
        </w:tc>
      </w:tr>
      <w:tr w:rsidR="00CF4C6E" w:rsidRPr="00D52564" w14:paraId="70CD6DDF" w14:textId="77777777" w:rsidTr="00F049CB">
        <w:trPr>
          <w:trHeight w:val="312"/>
        </w:trPr>
        <w:tc>
          <w:tcPr>
            <w:tcW w:w="822" w:type="pct"/>
            <w:vMerge/>
            <w:tcBorders>
              <w:top w:val="nil"/>
              <w:left w:val="single" w:sz="4" w:space="0" w:color="auto"/>
              <w:bottom w:val="single" w:sz="4" w:space="0" w:color="000000"/>
              <w:right w:val="single" w:sz="4" w:space="0" w:color="auto"/>
            </w:tcBorders>
            <w:vAlign w:val="center"/>
            <w:hideMark/>
          </w:tcPr>
          <w:p w14:paraId="4A3A5B8D"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F2F2F2"/>
            <w:vAlign w:val="bottom"/>
            <w:hideMark/>
          </w:tcPr>
          <w:p w14:paraId="3BD6FF6C"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Operating Cash Flow</w:t>
            </w:r>
          </w:p>
        </w:tc>
        <w:tc>
          <w:tcPr>
            <w:tcW w:w="551" w:type="pct"/>
            <w:tcBorders>
              <w:top w:val="nil"/>
              <w:left w:val="nil"/>
              <w:bottom w:val="single" w:sz="4" w:space="0" w:color="auto"/>
              <w:right w:val="single" w:sz="4" w:space="0" w:color="auto"/>
            </w:tcBorders>
            <w:shd w:val="clear" w:color="000000" w:fill="F2F2F2"/>
            <w:vAlign w:val="bottom"/>
            <w:hideMark/>
          </w:tcPr>
          <w:p w14:paraId="4211ABD9"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$426</w:t>
            </w:r>
          </w:p>
        </w:tc>
        <w:tc>
          <w:tcPr>
            <w:tcW w:w="551" w:type="pct"/>
            <w:tcBorders>
              <w:top w:val="nil"/>
              <w:left w:val="nil"/>
              <w:bottom w:val="single" w:sz="4" w:space="0" w:color="auto"/>
              <w:right w:val="single" w:sz="4" w:space="0" w:color="auto"/>
            </w:tcBorders>
            <w:shd w:val="clear" w:color="000000" w:fill="F2F2F2"/>
            <w:vAlign w:val="bottom"/>
            <w:hideMark/>
          </w:tcPr>
          <w:p w14:paraId="3AFA86F6"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$399</w:t>
            </w:r>
          </w:p>
        </w:tc>
        <w:tc>
          <w:tcPr>
            <w:tcW w:w="551" w:type="pct"/>
            <w:tcBorders>
              <w:top w:val="nil"/>
              <w:left w:val="nil"/>
              <w:bottom w:val="single" w:sz="4" w:space="0" w:color="auto"/>
              <w:right w:val="single" w:sz="4" w:space="0" w:color="auto"/>
            </w:tcBorders>
            <w:shd w:val="clear" w:color="000000" w:fill="F2F2F2"/>
            <w:noWrap/>
            <w:vAlign w:val="bottom"/>
            <w:hideMark/>
          </w:tcPr>
          <w:p w14:paraId="3818711F"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$376</w:t>
            </w:r>
          </w:p>
        </w:tc>
        <w:tc>
          <w:tcPr>
            <w:tcW w:w="551" w:type="pct"/>
            <w:tcBorders>
              <w:top w:val="nil"/>
              <w:left w:val="nil"/>
              <w:bottom w:val="single" w:sz="4" w:space="0" w:color="auto"/>
              <w:right w:val="single" w:sz="4" w:space="0" w:color="auto"/>
            </w:tcBorders>
            <w:shd w:val="clear" w:color="000000" w:fill="F2F2F2"/>
            <w:noWrap/>
            <w:vAlign w:val="bottom"/>
            <w:hideMark/>
          </w:tcPr>
          <w:p w14:paraId="1CB87F5E"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$290</w:t>
            </w:r>
          </w:p>
        </w:tc>
        <w:tc>
          <w:tcPr>
            <w:tcW w:w="551" w:type="pct"/>
            <w:tcBorders>
              <w:top w:val="nil"/>
              <w:left w:val="nil"/>
              <w:bottom w:val="single" w:sz="4" w:space="0" w:color="auto"/>
              <w:right w:val="single" w:sz="4" w:space="0" w:color="auto"/>
            </w:tcBorders>
            <w:shd w:val="clear" w:color="000000" w:fill="F2F2F2"/>
            <w:vAlign w:val="bottom"/>
            <w:hideMark/>
          </w:tcPr>
          <w:p w14:paraId="6CFAE91A"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$367</w:t>
            </w:r>
          </w:p>
        </w:tc>
      </w:tr>
      <w:tr w:rsidR="00CF4C6E" w:rsidRPr="00D52564" w14:paraId="620E7045" w14:textId="77777777" w:rsidTr="00F049CB">
        <w:trPr>
          <w:trHeight w:val="312"/>
        </w:trPr>
        <w:tc>
          <w:tcPr>
            <w:tcW w:w="822" w:type="pct"/>
            <w:vMerge/>
            <w:tcBorders>
              <w:top w:val="nil"/>
              <w:left w:val="single" w:sz="4" w:space="0" w:color="auto"/>
              <w:bottom w:val="single" w:sz="4" w:space="0" w:color="000000"/>
              <w:right w:val="single" w:sz="4" w:space="0" w:color="auto"/>
            </w:tcBorders>
            <w:vAlign w:val="center"/>
            <w:hideMark/>
          </w:tcPr>
          <w:p w14:paraId="13FD05B7"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F2F2F2"/>
            <w:vAlign w:val="bottom"/>
            <w:hideMark/>
          </w:tcPr>
          <w:p w14:paraId="6CD10123"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Net Revenue</w:t>
            </w:r>
          </w:p>
        </w:tc>
        <w:tc>
          <w:tcPr>
            <w:tcW w:w="551" w:type="pct"/>
            <w:tcBorders>
              <w:top w:val="nil"/>
              <w:left w:val="nil"/>
              <w:bottom w:val="single" w:sz="4" w:space="0" w:color="auto"/>
              <w:right w:val="single" w:sz="4" w:space="0" w:color="auto"/>
            </w:tcBorders>
            <w:shd w:val="clear" w:color="000000" w:fill="F2F2F2"/>
            <w:vAlign w:val="bottom"/>
            <w:hideMark/>
          </w:tcPr>
          <w:p w14:paraId="29259CBE"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$392</w:t>
            </w:r>
          </w:p>
        </w:tc>
        <w:tc>
          <w:tcPr>
            <w:tcW w:w="551" w:type="pct"/>
            <w:tcBorders>
              <w:top w:val="nil"/>
              <w:left w:val="nil"/>
              <w:bottom w:val="single" w:sz="4" w:space="0" w:color="auto"/>
              <w:right w:val="single" w:sz="4" w:space="0" w:color="auto"/>
            </w:tcBorders>
            <w:shd w:val="clear" w:color="000000" w:fill="F2F2F2"/>
            <w:vAlign w:val="bottom"/>
            <w:hideMark/>
          </w:tcPr>
          <w:p w14:paraId="22FAF6C6"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$1,498</w:t>
            </w:r>
          </w:p>
        </w:tc>
        <w:tc>
          <w:tcPr>
            <w:tcW w:w="551" w:type="pct"/>
            <w:tcBorders>
              <w:top w:val="nil"/>
              <w:left w:val="nil"/>
              <w:bottom w:val="single" w:sz="4" w:space="0" w:color="auto"/>
              <w:right w:val="single" w:sz="4" w:space="0" w:color="auto"/>
            </w:tcBorders>
            <w:shd w:val="clear" w:color="000000" w:fill="F2F2F2"/>
            <w:vAlign w:val="bottom"/>
            <w:hideMark/>
          </w:tcPr>
          <w:p w14:paraId="10D9C3ED"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$1,397</w:t>
            </w:r>
          </w:p>
        </w:tc>
        <w:tc>
          <w:tcPr>
            <w:tcW w:w="551" w:type="pct"/>
            <w:tcBorders>
              <w:top w:val="nil"/>
              <w:left w:val="nil"/>
              <w:bottom w:val="single" w:sz="4" w:space="0" w:color="auto"/>
              <w:right w:val="single" w:sz="4" w:space="0" w:color="auto"/>
            </w:tcBorders>
            <w:shd w:val="clear" w:color="000000" w:fill="F2F2F2"/>
            <w:vAlign w:val="bottom"/>
            <w:hideMark/>
          </w:tcPr>
          <w:p w14:paraId="0D3E2535"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$1,408</w:t>
            </w:r>
          </w:p>
        </w:tc>
        <w:tc>
          <w:tcPr>
            <w:tcW w:w="551" w:type="pct"/>
            <w:tcBorders>
              <w:top w:val="nil"/>
              <w:left w:val="nil"/>
              <w:bottom w:val="single" w:sz="4" w:space="0" w:color="auto"/>
              <w:right w:val="single" w:sz="4" w:space="0" w:color="auto"/>
            </w:tcBorders>
            <w:shd w:val="clear" w:color="000000" w:fill="F2F2F2"/>
            <w:vAlign w:val="bottom"/>
            <w:hideMark/>
          </w:tcPr>
          <w:p w14:paraId="24260805"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$1,429</w:t>
            </w:r>
          </w:p>
        </w:tc>
      </w:tr>
      <w:tr w:rsidR="00CF4C6E" w:rsidRPr="00D52564" w14:paraId="2DCAADDB" w14:textId="77777777" w:rsidTr="00F049CB">
        <w:trPr>
          <w:trHeight w:val="540"/>
        </w:trPr>
        <w:tc>
          <w:tcPr>
            <w:tcW w:w="822" w:type="pct"/>
            <w:vMerge/>
            <w:tcBorders>
              <w:top w:val="nil"/>
              <w:left w:val="single" w:sz="4" w:space="0" w:color="auto"/>
              <w:bottom w:val="single" w:sz="4" w:space="0" w:color="000000"/>
              <w:right w:val="single" w:sz="4" w:space="0" w:color="auto"/>
            </w:tcBorders>
            <w:vAlign w:val="center"/>
            <w:hideMark/>
          </w:tcPr>
          <w:p w14:paraId="5EF5F9B5" w14:textId="77777777" w:rsidR="00CF4C6E" w:rsidRPr="00D52564" w:rsidRDefault="00CF4C6E" w:rsidP="00D52564">
            <w:pPr>
              <w:spacing w:before="240" w:after="240"/>
              <w:rPr>
                <w:rFonts w:ascii="Arial" w:hAnsi="Arial"/>
                <w:b/>
                <w:bCs/>
                <w:color w:val="000000"/>
                <w:lang w:val="en-GB"/>
              </w:rPr>
            </w:pPr>
          </w:p>
        </w:tc>
        <w:tc>
          <w:tcPr>
            <w:tcW w:w="1424" w:type="pct"/>
            <w:tcBorders>
              <w:top w:val="nil"/>
              <w:left w:val="nil"/>
              <w:bottom w:val="single" w:sz="4" w:space="0" w:color="auto"/>
              <w:right w:val="single" w:sz="4" w:space="0" w:color="auto"/>
            </w:tcBorders>
            <w:shd w:val="clear" w:color="000000" w:fill="D9E7FD"/>
            <w:vAlign w:val="bottom"/>
            <w:hideMark/>
          </w:tcPr>
          <w:p w14:paraId="1D796B26"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Operating Cash Flow to Sales Ratio = Operating Cash Flow / Net Revenue</w:t>
            </w:r>
          </w:p>
        </w:tc>
        <w:tc>
          <w:tcPr>
            <w:tcW w:w="551" w:type="pct"/>
            <w:tcBorders>
              <w:top w:val="nil"/>
              <w:left w:val="nil"/>
              <w:bottom w:val="single" w:sz="4" w:space="0" w:color="auto"/>
              <w:right w:val="single" w:sz="4" w:space="0" w:color="auto"/>
            </w:tcBorders>
            <w:shd w:val="clear" w:color="000000" w:fill="D9E7FD"/>
            <w:vAlign w:val="bottom"/>
            <w:hideMark/>
          </w:tcPr>
          <w:p w14:paraId="561054D7"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1.09</w:t>
            </w:r>
          </w:p>
        </w:tc>
        <w:tc>
          <w:tcPr>
            <w:tcW w:w="551" w:type="pct"/>
            <w:tcBorders>
              <w:top w:val="nil"/>
              <w:left w:val="nil"/>
              <w:bottom w:val="single" w:sz="4" w:space="0" w:color="auto"/>
              <w:right w:val="single" w:sz="4" w:space="0" w:color="auto"/>
            </w:tcBorders>
            <w:shd w:val="clear" w:color="000000" w:fill="D9E7FD"/>
            <w:vAlign w:val="bottom"/>
            <w:hideMark/>
          </w:tcPr>
          <w:p w14:paraId="4B93933F"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0.27</w:t>
            </w:r>
          </w:p>
        </w:tc>
        <w:tc>
          <w:tcPr>
            <w:tcW w:w="551" w:type="pct"/>
            <w:tcBorders>
              <w:top w:val="nil"/>
              <w:left w:val="nil"/>
              <w:bottom w:val="single" w:sz="4" w:space="0" w:color="auto"/>
              <w:right w:val="single" w:sz="4" w:space="0" w:color="auto"/>
            </w:tcBorders>
            <w:shd w:val="clear" w:color="000000" w:fill="D9E7FD"/>
            <w:vAlign w:val="bottom"/>
            <w:hideMark/>
          </w:tcPr>
          <w:p w14:paraId="7784BB3D"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0.27</w:t>
            </w:r>
          </w:p>
        </w:tc>
        <w:tc>
          <w:tcPr>
            <w:tcW w:w="551" w:type="pct"/>
            <w:tcBorders>
              <w:top w:val="nil"/>
              <w:left w:val="nil"/>
              <w:bottom w:val="single" w:sz="4" w:space="0" w:color="auto"/>
              <w:right w:val="single" w:sz="4" w:space="0" w:color="auto"/>
            </w:tcBorders>
            <w:shd w:val="clear" w:color="000000" w:fill="D9E7FD"/>
            <w:vAlign w:val="bottom"/>
            <w:hideMark/>
          </w:tcPr>
          <w:p w14:paraId="3A100DD2"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0.21</w:t>
            </w:r>
          </w:p>
        </w:tc>
        <w:tc>
          <w:tcPr>
            <w:tcW w:w="551" w:type="pct"/>
            <w:tcBorders>
              <w:top w:val="nil"/>
              <w:left w:val="nil"/>
              <w:bottom w:val="single" w:sz="4" w:space="0" w:color="auto"/>
              <w:right w:val="single" w:sz="4" w:space="0" w:color="auto"/>
            </w:tcBorders>
            <w:shd w:val="clear" w:color="000000" w:fill="D9E7FD"/>
            <w:vAlign w:val="bottom"/>
            <w:hideMark/>
          </w:tcPr>
          <w:p w14:paraId="14EEF21B"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0.26</w:t>
            </w:r>
          </w:p>
        </w:tc>
      </w:tr>
    </w:tbl>
    <w:p w14:paraId="1CE3BFB0" w14:textId="2C5915A8" w:rsidR="00CF4C6E" w:rsidRPr="00D52564" w:rsidRDefault="00CF4C6E" w:rsidP="00F049CB">
      <w:pPr>
        <w:spacing w:before="240" w:after="240"/>
        <w:jc w:val="center"/>
        <w:rPr>
          <w:rFonts w:ascii="Arial" w:hAnsi="Arial"/>
          <w:b/>
          <w:bCs/>
          <w:lang w:val="en-GB"/>
        </w:rPr>
      </w:pPr>
      <w:r w:rsidRPr="00D52564">
        <w:rPr>
          <w:rFonts w:ascii="Arial" w:hAnsi="Arial"/>
          <w:b/>
          <w:bCs/>
          <w:lang w:val="en-GB"/>
        </w:rPr>
        <w:t>Table 1.1: Ratio Calculations</w:t>
      </w:r>
    </w:p>
    <w:p w14:paraId="16407685" w14:textId="214BD758" w:rsidR="00AA027D" w:rsidRPr="00F049CB" w:rsidRDefault="00CF4C6E" w:rsidP="00F049CB">
      <w:pPr>
        <w:spacing w:before="240" w:after="240"/>
        <w:jc w:val="center"/>
        <w:rPr>
          <w:rFonts w:ascii="Arial" w:hAnsi="Arial"/>
          <w:lang w:val="en-GB"/>
        </w:rPr>
      </w:pPr>
      <w:r w:rsidRPr="00D52564">
        <w:rPr>
          <w:rFonts w:ascii="Arial" w:hAnsi="Arial"/>
          <w:lang w:val="en-GB"/>
        </w:rPr>
        <w:t>(Source: Excel Output)</w:t>
      </w:r>
      <w:bookmarkStart w:id="147" w:name="_pxpcdmvcxwms" w:colFirst="0" w:colLast="0"/>
      <w:bookmarkEnd w:id="147"/>
    </w:p>
    <w:p w14:paraId="0000002B" w14:textId="69724BB9" w:rsidR="003F35A2" w:rsidRPr="00D52564" w:rsidRDefault="00346555" w:rsidP="00D52564">
      <w:pPr>
        <w:pStyle w:val="Heading2"/>
        <w:spacing w:before="240" w:after="240"/>
        <w:rPr>
          <w:rFonts w:ascii="Arial" w:hAnsi="Arial"/>
          <w:sz w:val="24"/>
          <w:lang w:val="en-GB"/>
        </w:rPr>
      </w:pPr>
      <w:bookmarkStart w:id="148" w:name="_Toc236179794"/>
      <w:bookmarkStart w:id="149" w:name="_Toc236250042"/>
      <w:bookmarkStart w:id="150" w:name="_Toc237532230"/>
      <w:r w:rsidRPr="00D52564">
        <w:rPr>
          <w:rFonts w:ascii="Arial" w:hAnsi="Arial"/>
          <w:sz w:val="24"/>
          <w:lang w:val="en-GB"/>
        </w:rPr>
        <w:t>Appendix 2: Investment Appraisal Calculations</w:t>
      </w:r>
      <w:bookmarkStart w:id="151" w:name="_oczjayglg05s" w:colFirst="0" w:colLast="0"/>
      <w:bookmarkEnd w:id="148"/>
      <w:bookmarkEnd w:id="149"/>
      <w:bookmarkEnd w:id="150"/>
      <w:bookmarkEnd w:id="151"/>
    </w:p>
    <w:tbl>
      <w:tblPr>
        <w:tblW w:w="5000" w:type="pct"/>
        <w:jc w:val="center"/>
        <w:tblLook w:val="04A0" w:firstRow="1" w:lastRow="0" w:firstColumn="1" w:lastColumn="0" w:noHBand="0" w:noVBand="1"/>
      </w:tblPr>
      <w:tblGrid>
        <w:gridCol w:w="4383"/>
        <w:gridCol w:w="1658"/>
        <w:gridCol w:w="1658"/>
        <w:gridCol w:w="1656"/>
      </w:tblGrid>
      <w:tr w:rsidR="00AA027D" w:rsidRPr="00D52564" w14:paraId="344E54D5" w14:textId="77777777" w:rsidTr="00F049CB">
        <w:trPr>
          <w:trHeight w:val="315"/>
          <w:jc w:val="center"/>
        </w:trPr>
        <w:tc>
          <w:tcPr>
            <w:tcW w:w="2343" w:type="pct"/>
            <w:tcBorders>
              <w:top w:val="single" w:sz="4" w:space="0" w:color="000000"/>
              <w:left w:val="single" w:sz="4" w:space="0" w:color="000000"/>
              <w:bottom w:val="nil"/>
              <w:right w:val="single" w:sz="4" w:space="0" w:color="000000"/>
            </w:tcBorders>
            <w:shd w:val="clear" w:color="EA9999" w:fill="EA9999"/>
            <w:noWrap/>
            <w:vAlign w:val="bottom"/>
            <w:hideMark/>
          </w:tcPr>
          <w:p w14:paraId="45D8EE38"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Item</w:t>
            </w:r>
          </w:p>
        </w:tc>
        <w:tc>
          <w:tcPr>
            <w:tcW w:w="886" w:type="pct"/>
            <w:tcBorders>
              <w:top w:val="single" w:sz="4" w:space="0" w:color="000000"/>
              <w:left w:val="nil"/>
              <w:bottom w:val="nil"/>
              <w:right w:val="nil"/>
            </w:tcBorders>
            <w:shd w:val="clear" w:color="EA9999" w:fill="EA9999"/>
            <w:noWrap/>
            <w:vAlign w:val="bottom"/>
            <w:hideMark/>
          </w:tcPr>
          <w:p w14:paraId="2E37A6FF"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Project A</w:t>
            </w:r>
          </w:p>
        </w:tc>
        <w:tc>
          <w:tcPr>
            <w:tcW w:w="886" w:type="pct"/>
            <w:tcBorders>
              <w:top w:val="single" w:sz="4" w:space="0" w:color="auto"/>
              <w:left w:val="single" w:sz="4" w:space="0" w:color="auto"/>
              <w:bottom w:val="nil"/>
              <w:right w:val="single" w:sz="4" w:space="0" w:color="auto"/>
            </w:tcBorders>
            <w:shd w:val="clear" w:color="EA9999" w:fill="EA9999"/>
            <w:noWrap/>
            <w:vAlign w:val="bottom"/>
            <w:hideMark/>
          </w:tcPr>
          <w:p w14:paraId="280E5782"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Project B</w:t>
            </w:r>
          </w:p>
        </w:tc>
        <w:tc>
          <w:tcPr>
            <w:tcW w:w="885" w:type="pct"/>
            <w:tcBorders>
              <w:top w:val="nil"/>
              <w:left w:val="nil"/>
              <w:bottom w:val="nil"/>
              <w:right w:val="nil"/>
            </w:tcBorders>
            <w:shd w:val="clear" w:color="EA9999" w:fill="EA9999"/>
            <w:noWrap/>
            <w:vAlign w:val="bottom"/>
            <w:hideMark/>
          </w:tcPr>
          <w:p w14:paraId="493FEC05"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Project C</w:t>
            </w:r>
          </w:p>
        </w:tc>
      </w:tr>
      <w:tr w:rsidR="00AA027D" w:rsidRPr="00D52564" w14:paraId="1493C191" w14:textId="77777777" w:rsidTr="00F049CB">
        <w:trPr>
          <w:trHeight w:val="315"/>
          <w:jc w:val="center"/>
        </w:trPr>
        <w:tc>
          <w:tcPr>
            <w:tcW w:w="2343" w:type="pct"/>
            <w:tcBorders>
              <w:top w:val="single" w:sz="4" w:space="0" w:color="auto"/>
              <w:left w:val="single" w:sz="4" w:space="0" w:color="auto"/>
              <w:bottom w:val="single" w:sz="4" w:space="0" w:color="auto"/>
              <w:right w:val="single" w:sz="4" w:space="0" w:color="auto"/>
            </w:tcBorders>
            <w:shd w:val="clear" w:color="EFEFEF" w:fill="EFEFEF"/>
            <w:noWrap/>
            <w:vAlign w:val="bottom"/>
            <w:hideMark/>
          </w:tcPr>
          <w:p w14:paraId="3C194120"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lastRenderedPageBreak/>
              <w:t>Initial investment</w:t>
            </w:r>
          </w:p>
        </w:tc>
        <w:tc>
          <w:tcPr>
            <w:tcW w:w="886" w:type="pct"/>
            <w:tcBorders>
              <w:top w:val="single" w:sz="4" w:space="0" w:color="auto"/>
              <w:left w:val="nil"/>
              <w:bottom w:val="single" w:sz="4" w:space="0" w:color="auto"/>
              <w:right w:val="single" w:sz="4" w:space="0" w:color="auto"/>
            </w:tcBorders>
            <w:shd w:val="clear" w:color="EFEFEF" w:fill="EFEFEF"/>
            <w:noWrap/>
            <w:vAlign w:val="bottom"/>
            <w:hideMark/>
          </w:tcPr>
          <w:p w14:paraId="2FE448FC"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£5,00,00,000</w:t>
            </w:r>
          </w:p>
        </w:tc>
        <w:tc>
          <w:tcPr>
            <w:tcW w:w="886" w:type="pct"/>
            <w:tcBorders>
              <w:top w:val="single" w:sz="4" w:space="0" w:color="auto"/>
              <w:left w:val="nil"/>
              <w:bottom w:val="single" w:sz="4" w:space="0" w:color="auto"/>
              <w:right w:val="single" w:sz="4" w:space="0" w:color="auto"/>
            </w:tcBorders>
            <w:shd w:val="clear" w:color="EFEFEF" w:fill="EFEFEF"/>
            <w:noWrap/>
            <w:vAlign w:val="bottom"/>
            <w:hideMark/>
          </w:tcPr>
          <w:p w14:paraId="63D0B5A6"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£5,00,00,000</w:t>
            </w:r>
          </w:p>
        </w:tc>
        <w:tc>
          <w:tcPr>
            <w:tcW w:w="885" w:type="pct"/>
            <w:tcBorders>
              <w:top w:val="single" w:sz="4" w:space="0" w:color="auto"/>
              <w:left w:val="nil"/>
              <w:bottom w:val="single" w:sz="4" w:space="0" w:color="auto"/>
              <w:right w:val="single" w:sz="4" w:space="0" w:color="auto"/>
            </w:tcBorders>
            <w:shd w:val="clear" w:color="EFEFEF" w:fill="EFEFEF"/>
            <w:noWrap/>
            <w:vAlign w:val="bottom"/>
            <w:hideMark/>
          </w:tcPr>
          <w:p w14:paraId="58D593CB"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£5,00,00,000</w:t>
            </w:r>
          </w:p>
        </w:tc>
      </w:tr>
      <w:tr w:rsidR="00AA027D" w:rsidRPr="00D52564" w14:paraId="709E11BF" w14:textId="77777777" w:rsidTr="00F049CB">
        <w:trPr>
          <w:trHeight w:val="315"/>
          <w:jc w:val="center"/>
        </w:trPr>
        <w:tc>
          <w:tcPr>
            <w:tcW w:w="2343" w:type="pct"/>
            <w:tcBorders>
              <w:top w:val="nil"/>
              <w:left w:val="single" w:sz="4" w:space="0" w:color="auto"/>
              <w:bottom w:val="single" w:sz="4" w:space="0" w:color="auto"/>
              <w:right w:val="single" w:sz="4" w:space="0" w:color="auto"/>
            </w:tcBorders>
            <w:shd w:val="clear" w:color="EFEFEF" w:fill="EFEFEF"/>
            <w:noWrap/>
            <w:vAlign w:val="bottom"/>
            <w:hideMark/>
          </w:tcPr>
          <w:p w14:paraId="0375A3F5"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Project Lifetime (Years)</w:t>
            </w:r>
          </w:p>
        </w:tc>
        <w:tc>
          <w:tcPr>
            <w:tcW w:w="886" w:type="pct"/>
            <w:tcBorders>
              <w:top w:val="nil"/>
              <w:left w:val="nil"/>
              <w:bottom w:val="single" w:sz="4" w:space="0" w:color="auto"/>
              <w:right w:val="single" w:sz="4" w:space="0" w:color="auto"/>
            </w:tcBorders>
            <w:shd w:val="clear" w:color="EFEFEF" w:fill="EFEFEF"/>
            <w:noWrap/>
            <w:vAlign w:val="bottom"/>
            <w:hideMark/>
          </w:tcPr>
          <w:p w14:paraId="531F9E08"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w:t>
            </w:r>
          </w:p>
        </w:tc>
        <w:tc>
          <w:tcPr>
            <w:tcW w:w="886" w:type="pct"/>
            <w:tcBorders>
              <w:top w:val="nil"/>
              <w:left w:val="nil"/>
              <w:bottom w:val="single" w:sz="4" w:space="0" w:color="auto"/>
              <w:right w:val="single" w:sz="4" w:space="0" w:color="auto"/>
            </w:tcBorders>
            <w:shd w:val="clear" w:color="EFEFEF" w:fill="EFEFEF"/>
            <w:noWrap/>
            <w:vAlign w:val="bottom"/>
            <w:hideMark/>
          </w:tcPr>
          <w:p w14:paraId="7EFE834D"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w:t>
            </w:r>
          </w:p>
        </w:tc>
        <w:tc>
          <w:tcPr>
            <w:tcW w:w="885" w:type="pct"/>
            <w:tcBorders>
              <w:top w:val="nil"/>
              <w:left w:val="nil"/>
              <w:bottom w:val="single" w:sz="4" w:space="0" w:color="auto"/>
              <w:right w:val="single" w:sz="4" w:space="0" w:color="auto"/>
            </w:tcBorders>
            <w:shd w:val="clear" w:color="EFEFEF" w:fill="EFEFEF"/>
            <w:noWrap/>
            <w:vAlign w:val="bottom"/>
            <w:hideMark/>
          </w:tcPr>
          <w:p w14:paraId="05001E7B"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w:t>
            </w:r>
          </w:p>
        </w:tc>
      </w:tr>
      <w:tr w:rsidR="00AA027D" w:rsidRPr="00D52564" w14:paraId="4A88FD27" w14:textId="77777777" w:rsidTr="00F049CB">
        <w:trPr>
          <w:trHeight w:val="315"/>
          <w:jc w:val="center"/>
        </w:trPr>
        <w:tc>
          <w:tcPr>
            <w:tcW w:w="2343" w:type="pct"/>
            <w:tcBorders>
              <w:top w:val="nil"/>
              <w:left w:val="single" w:sz="4" w:space="0" w:color="auto"/>
              <w:bottom w:val="single" w:sz="4" w:space="0" w:color="auto"/>
              <w:right w:val="single" w:sz="4" w:space="0" w:color="auto"/>
            </w:tcBorders>
            <w:shd w:val="clear" w:color="EFEFEF" w:fill="EFEFEF"/>
            <w:noWrap/>
            <w:vAlign w:val="bottom"/>
            <w:hideMark/>
          </w:tcPr>
          <w:p w14:paraId="7B1BCE02"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Discount rate</w:t>
            </w:r>
          </w:p>
        </w:tc>
        <w:tc>
          <w:tcPr>
            <w:tcW w:w="886" w:type="pct"/>
            <w:tcBorders>
              <w:top w:val="nil"/>
              <w:left w:val="nil"/>
              <w:bottom w:val="single" w:sz="4" w:space="0" w:color="auto"/>
              <w:right w:val="single" w:sz="4" w:space="0" w:color="auto"/>
            </w:tcBorders>
            <w:shd w:val="clear" w:color="EFEFEF" w:fill="EFEFEF"/>
            <w:noWrap/>
            <w:vAlign w:val="bottom"/>
            <w:hideMark/>
          </w:tcPr>
          <w:p w14:paraId="74BB2C38"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8%</w:t>
            </w:r>
          </w:p>
        </w:tc>
        <w:tc>
          <w:tcPr>
            <w:tcW w:w="886" w:type="pct"/>
            <w:tcBorders>
              <w:top w:val="nil"/>
              <w:left w:val="nil"/>
              <w:bottom w:val="single" w:sz="4" w:space="0" w:color="auto"/>
              <w:right w:val="single" w:sz="4" w:space="0" w:color="auto"/>
            </w:tcBorders>
            <w:shd w:val="clear" w:color="EFEFEF" w:fill="EFEFEF"/>
            <w:noWrap/>
            <w:vAlign w:val="bottom"/>
            <w:hideMark/>
          </w:tcPr>
          <w:p w14:paraId="4B9C462C"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8%</w:t>
            </w:r>
          </w:p>
        </w:tc>
        <w:tc>
          <w:tcPr>
            <w:tcW w:w="885" w:type="pct"/>
            <w:tcBorders>
              <w:top w:val="nil"/>
              <w:left w:val="nil"/>
              <w:bottom w:val="single" w:sz="4" w:space="0" w:color="auto"/>
              <w:right w:val="single" w:sz="4" w:space="0" w:color="auto"/>
            </w:tcBorders>
            <w:shd w:val="clear" w:color="EFEFEF" w:fill="EFEFEF"/>
            <w:noWrap/>
            <w:vAlign w:val="bottom"/>
            <w:hideMark/>
          </w:tcPr>
          <w:p w14:paraId="453CDA21"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8%</w:t>
            </w:r>
          </w:p>
        </w:tc>
      </w:tr>
      <w:tr w:rsidR="00AA027D" w:rsidRPr="00D52564" w14:paraId="237BA350" w14:textId="77777777" w:rsidTr="00F049CB">
        <w:trPr>
          <w:trHeight w:val="315"/>
          <w:jc w:val="center"/>
        </w:trPr>
        <w:tc>
          <w:tcPr>
            <w:tcW w:w="5000" w:type="pct"/>
            <w:gridSpan w:val="4"/>
            <w:tcBorders>
              <w:top w:val="single" w:sz="4" w:space="0" w:color="auto"/>
              <w:left w:val="single" w:sz="4" w:space="0" w:color="auto"/>
              <w:bottom w:val="single" w:sz="4" w:space="0" w:color="auto"/>
              <w:right w:val="single" w:sz="4" w:space="0" w:color="000000"/>
            </w:tcBorders>
            <w:shd w:val="clear" w:color="FFD966" w:fill="FFD966"/>
            <w:noWrap/>
            <w:vAlign w:val="bottom"/>
            <w:hideMark/>
          </w:tcPr>
          <w:p w14:paraId="0464A0DB"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Cashflow</w:t>
            </w:r>
          </w:p>
        </w:tc>
      </w:tr>
      <w:tr w:rsidR="00AA027D" w:rsidRPr="00D52564" w14:paraId="77F4577C" w14:textId="77777777" w:rsidTr="00F049CB">
        <w:trPr>
          <w:trHeight w:val="315"/>
          <w:jc w:val="center"/>
        </w:trPr>
        <w:tc>
          <w:tcPr>
            <w:tcW w:w="2343" w:type="pct"/>
            <w:tcBorders>
              <w:top w:val="nil"/>
              <w:left w:val="single" w:sz="4" w:space="0" w:color="auto"/>
              <w:bottom w:val="single" w:sz="4" w:space="0" w:color="auto"/>
              <w:right w:val="single" w:sz="4" w:space="0" w:color="auto"/>
            </w:tcBorders>
            <w:shd w:val="clear" w:color="EFEFEF" w:fill="EFEFEF"/>
            <w:noWrap/>
            <w:vAlign w:val="bottom"/>
            <w:hideMark/>
          </w:tcPr>
          <w:p w14:paraId="5934FEEA"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Year 1</w:t>
            </w:r>
          </w:p>
        </w:tc>
        <w:tc>
          <w:tcPr>
            <w:tcW w:w="886" w:type="pct"/>
            <w:tcBorders>
              <w:top w:val="nil"/>
              <w:left w:val="nil"/>
              <w:bottom w:val="single" w:sz="4" w:space="0" w:color="auto"/>
              <w:right w:val="single" w:sz="4" w:space="0" w:color="auto"/>
            </w:tcBorders>
            <w:shd w:val="clear" w:color="EFEFEF" w:fill="EFEFEF"/>
            <w:noWrap/>
            <w:vAlign w:val="bottom"/>
            <w:hideMark/>
          </w:tcPr>
          <w:p w14:paraId="61244274"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£1,00,00,000</w:t>
            </w:r>
          </w:p>
        </w:tc>
        <w:tc>
          <w:tcPr>
            <w:tcW w:w="886" w:type="pct"/>
            <w:tcBorders>
              <w:top w:val="nil"/>
              <w:left w:val="nil"/>
              <w:bottom w:val="single" w:sz="4" w:space="0" w:color="auto"/>
              <w:right w:val="single" w:sz="4" w:space="0" w:color="auto"/>
            </w:tcBorders>
            <w:shd w:val="clear" w:color="EFEFEF" w:fill="EFEFEF"/>
            <w:noWrap/>
            <w:vAlign w:val="bottom"/>
            <w:hideMark/>
          </w:tcPr>
          <w:p w14:paraId="4716481D"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£1,10,00,000</w:t>
            </w:r>
          </w:p>
        </w:tc>
        <w:tc>
          <w:tcPr>
            <w:tcW w:w="885" w:type="pct"/>
            <w:tcBorders>
              <w:top w:val="nil"/>
              <w:left w:val="nil"/>
              <w:bottom w:val="single" w:sz="4" w:space="0" w:color="auto"/>
              <w:right w:val="single" w:sz="4" w:space="0" w:color="auto"/>
            </w:tcBorders>
            <w:shd w:val="clear" w:color="EFEFEF" w:fill="EFEFEF"/>
            <w:noWrap/>
            <w:vAlign w:val="bottom"/>
            <w:hideMark/>
          </w:tcPr>
          <w:p w14:paraId="3CD9508F"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w:t>
            </w:r>
          </w:p>
        </w:tc>
      </w:tr>
      <w:tr w:rsidR="00AA027D" w:rsidRPr="00D52564" w14:paraId="239B91AF" w14:textId="77777777" w:rsidTr="00F049CB">
        <w:trPr>
          <w:trHeight w:val="315"/>
          <w:jc w:val="center"/>
        </w:trPr>
        <w:tc>
          <w:tcPr>
            <w:tcW w:w="2343" w:type="pct"/>
            <w:tcBorders>
              <w:top w:val="nil"/>
              <w:left w:val="single" w:sz="4" w:space="0" w:color="auto"/>
              <w:bottom w:val="single" w:sz="4" w:space="0" w:color="auto"/>
              <w:right w:val="single" w:sz="4" w:space="0" w:color="auto"/>
            </w:tcBorders>
            <w:shd w:val="clear" w:color="EFEFEF" w:fill="EFEFEF"/>
            <w:noWrap/>
            <w:vAlign w:val="bottom"/>
            <w:hideMark/>
          </w:tcPr>
          <w:p w14:paraId="73CD3292"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Year 2</w:t>
            </w:r>
          </w:p>
        </w:tc>
        <w:tc>
          <w:tcPr>
            <w:tcW w:w="886" w:type="pct"/>
            <w:tcBorders>
              <w:top w:val="nil"/>
              <w:left w:val="nil"/>
              <w:bottom w:val="single" w:sz="4" w:space="0" w:color="auto"/>
              <w:right w:val="single" w:sz="4" w:space="0" w:color="auto"/>
            </w:tcBorders>
            <w:shd w:val="clear" w:color="EFEFEF" w:fill="EFEFEF"/>
            <w:noWrap/>
            <w:vAlign w:val="bottom"/>
            <w:hideMark/>
          </w:tcPr>
          <w:p w14:paraId="2219F511"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£1,20,00,000</w:t>
            </w:r>
          </w:p>
        </w:tc>
        <w:tc>
          <w:tcPr>
            <w:tcW w:w="886" w:type="pct"/>
            <w:tcBorders>
              <w:top w:val="nil"/>
              <w:left w:val="nil"/>
              <w:bottom w:val="single" w:sz="4" w:space="0" w:color="auto"/>
              <w:right w:val="single" w:sz="4" w:space="0" w:color="auto"/>
            </w:tcBorders>
            <w:shd w:val="clear" w:color="EFEFEF" w:fill="EFEFEF"/>
            <w:noWrap/>
            <w:vAlign w:val="bottom"/>
            <w:hideMark/>
          </w:tcPr>
          <w:p w14:paraId="58DB418D"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£1,10,00,000</w:t>
            </w:r>
          </w:p>
        </w:tc>
        <w:tc>
          <w:tcPr>
            <w:tcW w:w="885" w:type="pct"/>
            <w:tcBorders>
              <w:top w:val="nil"/>
              <w:left w:val="nil"/>
              <w:bottom w:val="single" w:sz="4" w:space="0" w:color="auto"/>
              <w:right w:val="single" w:sz="4" w:space="0" w:color="auto"/>
            </w:tcBorders>
            <w:shd w:val="clear" w:color="EFEFEF" w:fill="EFEFEF"/>
            <w:noWrap/>
            <w:vAlign w:val="bottom"/>
            <w:hideMark/>
          </w:tcPr>
          <w:p w14:paraId="6E6E96C9"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£1,00,00,000</w:t>
            </w:r>
          </w:p>
        </w:tc>
      </w:tr>
      <w:tr w:rsidR="00AA027D" w:rsidRPr="00D52564" w14:paraId="6ABCF68D" w14:textId="77777777" w:rsidTr="00F049CB">
        <w:trPr>
          <w:trHeight w:val="315"/>
          <w:jc w:val="center"/>
        </w:trPr>
        <w:tc>
          <w:tcPr>
            <w:tcW w:w="2343" w:type="pct"/>
            <w:tcBorders>
              <w:top w:val="nil"/>
              <w:left w:val="single" w:sz="4" w:space="0" w:color="auto"/>
              <w:bottom w:val="single" w:sz="4" w:space="0" w:color="auto"/>
              <w:right w:val="single" w:sz="4" w:space="0" w:color="auto"/>
            </w:tcBorders>
            <w:shd w:val="clear" w:color="EFEFEF" w:fill="EFEFEF"/>
            <w:noWrap/>
            <w:vAlign w:val="bottom"/>
            <w:hideMark/>
          </w:tcPr>
          <w:p w14:paraId="2230B95F"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Year 3</w:t>
            </w:r>
          </w:p>
        </w:tc>
        <w:tc>
          <w:tcPr>
            <w:tcW w:w="886" w:type="pct"/>
            <w:tcBorders>
              <w:top w:val="nil"/>
              <w:left w:val="nil"/>
              <w:bottom w:val="single" w:sz="4" w:space="0" w:color="auto"/>
              <w:right w:val="single" w:sz="4" w:space="0" w:color="auto"/>
            </w:tcBorders>
            <w:shd w:val="clear" w:color="EFEFEF" w:fill="EFEFEF"/>
            <w:noWrap/>
            <w:vAlign w:val="bottom"/>
            <w:hideMark/>
          </w:tcPr>
          <w:p w14:paraId="42444056"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£1,40,00,000</w:t>
            </w:r>
          </w:p>
        </w:tc>
        <w:tc>
          <w:tcPr>
            <w:tcW w:w="886" w:type="pct"/>
            <w:tcBorders>
              <w:top w:val="nil"/>
              <w:left w:val="nil"/>
              <w:bottom w:val="single" w:sz="4" w:space="0" w:color="auto"/>
              <w:right w:val="single" w:sz="4" w:space="0" w:color="auto"/>
            </w:tcBorders>
            <w:shd w:val="clear" w:color="EFEFEF" w:fill="EFEFEF"/>
            <w:noWrap/>
            <w:vAlign w:val="bottom"/>
            <w:hideMark/>
          </w:tcPr>
          <w:p w14:paraId="4F650061"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£1,10,00,000</w:t>
            </w:r>
          </w:p>
        </w:tc>
        <w:tc>
          <w:tcPr>
            <w:tcW w:w="885" w:type="pct"/>
            <w:tcBorders>
              <w:top w:val="nil"/>
              <w:left w:val="nil"/>
              <w:bottom w:val="single" w:sz="4" w:space="0" w:color="auto"/>
              <w:right w:val="single" w:sz="4" w:space="0" w:color="auto"/>
            </w:tcBorders>
            <w:shd w:val="clear" w:color="EFEFEF" w:fill="EFEFEF"/>
            <w:noWrap/>
            <w:vAlign w:val="bottom"/>
            <w:hideMark/>
          </w:tcPr>
          <w:p w14:paraId="70CC5A9C"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£2,00,00,000</w:t>
            </w:r>
          </w:p>
        </w:tc>
      </w:tr>
      <w:tr w:rsidR="00AA027D" w:rsidRPr="00D52564" w14:paraId="5C24FB1D" w14:textId="77777777" w:rsidTr="00F049CB">
        <w:trPr>
          <w:trHeight w:val="315"/>
          <w:jc w:val="center"/>
        </w:trPr>
        <w:tc>
          <w:tcPr>
            <w:tcW w:w="2343" w:type="pct"/>
            <w:tcBorders>
              <w:top w:val="nil"/>
              <w:left w:val="single" w:sz="4" w:space="0" w:color="auto"/>
              <w:bottom w:val="single" w:sz="4" w:space="0" w:color="auto"/>
              <w:right w:val="single" w:sz="4" w:space="0" w:color="auto"/>
            </w:tcBorders>
            <w:shd w:val="clear" w:color="EFEFEF" w:fill="EFEFEF"/>
            <w:noWrap/>
            <w:vAlign w:val="bottom"/>
            <w:hideMark/>
          </w:tcPr>
          <w:p w14:paraId="6E4B5E01"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Year 4</w:t>
            </w:r>
          </w:p>
        </w:tc>
        <w:tc>
          <w:tcPr>
            <w:tcW w:w="886" w:type="pct"/>
            <w:tcBorders>
              <w:top w:val="nil"/>
              <w:left w:val="nil"/>
              <w:bottom w:val="single" w:sz="4" w:space="0" w:color="auto"/>
              <w:right w:val="single" w:sz="4" w:space="0" w:color="auto"/>
            </w:tcBorders>
            <w:shd w:val="clear" w:color="EFEFEF" w:fill="EFEFEF"/>
            <w:noWrap/>
            <w:vAlign w:val="bottom"/>
            <w:hideMark/>
          </w:tcPr>
          <w:p w14:paraId="5C6243F3"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£1,00,00,000</w:t>
            </w:r>
          </w:p>
        </w:tc>
        <w:tc>
          <w:tcPr>
            <w:tcW w:w="886" w:type="pct"/>
            <w:tcBorders>
              <w:top w:val="nil"/>
              <w:left w:val="nil"/>
              <w:bottom w:val="single" w:sz="4" w:space="0" w:color="auto"/>
              <w:right w:val="single" w:sz="4" w:space="0" w:color="auto"/>
            </w:tcBorders>
            <w:shd w:val="clear" w:color="EFEFEF" w:fill="EFEFEF"/>
            <w:noWrap/>
            <w:vAlign w:val="bottom"/>
            <w:hideMark/>
          </w:tcPr>
          <w:p w14:paraId="40D59738"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£1,10,00,000</w:t>
            </w:r>
          </w:p>
        </w:tc>
        <w:tc>
          <w:tcPr>
            <w:tcW w:w="885" w:type="pct"/>
            <w:tcBorders>
              <w:top w:val="nil"/>
              <w:left w:val="nil"/>
              <w:bottom w:val="single" w:sz="4" w:space="0" w:color="auto"/>
              <w:right w:val="single" w:sz="4" w:space="0" w:color="auto"/>
            </w:tcBorders>
            <w:shd w:val="clear" w:color="EFEFEF" w:fill="EFEFEF"/>
            <w:noWrap/>
            <w:vAlign w:val="bottom"/>
            <w:hideMark/>
          </w:tcPr>
          <w:p w14:paraId="5D17264B"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£2,50,00,000</w:t>
            </w:r>
          </w:p>
        </w:tc>
      </w:tr>
      <w:tr w:rsidR="00AA027D" w:rsidRPr="00D52564" w14:paraId="342508DE" w14:textId="77777777" w:rsidTr="00F049CB">
        <w:trPr>
          <w:trHeight w:val="315"/>
          <w:jc w:val="center"/>
        </w:trPr>
        <w:tc>
          <w:tcPr>
            <w:tcW w:w="2343" w:type="pct"/>
            <w:tcBorders>
              <w:top w:val="nil"/>
              <w:left w:val="single" w:sz="4" w:space="0" w:color="auto"/>
              <w:bottom w:val="single" w:sz="4" w:space="0" w:color="auto"/>
              <w:right w:val="single" w:sz="4" w:space="0" w:color="auto"/>
            </w:tcBorders>
            <w:shd w:val="clear" w:color="EFEFEF" w:fill="EFEFEF"/>
            <w:noWrap/>
            <w:vAlign w:val="bottom"/>
            <w:hideMark/>
          </w:tcPr>
          <w:p w14:paraId="11C268A5"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Year 5</w:t>
            </w:r>
          </w:p>
        </w:tc>
        <w:tc>
          <w:tcPr>
            <w:tcW w:w="886" w:type="pct"/>
            <w:tcBorders>
              <w:top w:val="nil"/>
              <w:left w:val="nil"/>
              <w:bottom w:val="single" w:sz="4" w:space="0" w:color="auto"/>
              <w:right w:val="single" w:sz="4" w:space="0" w:color="auto"/>
            </w:tcBorders>
            <w:shd w:val="clear" w:color="EFEFEF" w:fill="EFEFEF"/>
            <w:noWrap/>
            <w:vAlign w:val="bottom"/>
            <w:hideMark/>
          </w:tcPr>
          <w:p w14:paraId="6A354500"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£80,00,000</w:t>
            </w:r>
          </w:p>
        </w:tc>
        <w:tc>
          <w:tcPr>
            <w:tcW w:w="886" w:type="pct"/>
            <w:tcBorders>
              <w:top w:val="nil"/>
              <w:left w:val="nil"/>
              <w:bottom w:val="single" w:sz="4" w:space="0" w:color="auto"/>
              <w:right w:val="single" w:sz="4" w:space="0" w:color="auto"/>
            </w:tcBorders>
            <w:shd w:val="clear" w:color="EFEFEF" w:fill="EFEFEF"/>
            <w:noWrap/>
            <w:vAlign w:val="bottom"/>
            <w:hideMark/>
          </w:tcPr>
          <w:p w14:paraId="18A500A5"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£1,10,00,000</w:t>
            </w:r>
          </w:p>
        </w:tc>
        <w:tc>
          <w:tcPr>
            <w:tcW w:w="885" w:type="pct"/>
            <w:tcBorders>
              <w:top w:val="nil"/>
              <w:left w:val="nil"/>
              <w:bottom w:val="single" w:sz="4" w:space="0" w:color="auto"/>
              <w:right w:val="single" w:sz="4" w:space="0" w:color="auto"/>
            </w:tcBorders>
            <w:shd w:val="clear" w:color="EFEFEF" w:fill="EFEFEF"/>
            <w:noWrap/>
            <w:vAlign w:val="bottom"/>
            <w:hideMark/>
          </w:tcPr>
          <w:p w14:paraId="0D168626"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w:t>
            </w:r>
          </w:p>
        </w:tc>
      </w:tr>
      <w:tr w:rsidR="00AA027D" w:rsidRPr="00D52564" w14:paraId="71415AAA" w14:textId="77777777" w:rsidTr="00F049CB">
        <w:trPr>
          <w:trHeight w:val="315"/>
          <w:jc w:val="center"/>
        </w:trPr>
        <w:tc>
          <w:tcPr>
            <w:tcW w:w="2343" w:type="pct"/>
            <w:tcBorders>
              <w:top w:val="nil"/>
              <w:left w:val="single" w:sz="4" w:space="0" w:color="auto"/>
              <w:bottom w:val="single" w:sz="4" w:space="0" w:color="auto"/>
              <w:right w:val="single" w:sz="4" w:space="0" w:color="auto"/>
            </w:tcBorders>
            <w:shd w:val="clear" w:color="EFEFEF" w:fill="EFEFEF"/>
            <w:noWrap/>
            <w:vAlign w:val="bottom"/>
            <w:hideMark/>
          </w:tcPr>
          <w:p w14:paraId="0BD1F4CF"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Total Cash Flow</w:t>
            </w:r>
          </w:p>
        </w:tc>
        <w:tc>
          <w:tcPr>
            <w:tcW w:w="886" w:type="pct"/>
            <w:tcBorders>
              <w:top w:val="nil"/>
              <w:left w:val="nil"/>
              <w:bottom w:val="single" w:sz="4" w:space="0" w:color="auto"/>
              <w:right w:val="single" w:sz="4" w:space="0" w:color="auto"/>
            </w:tcBorders>
            <w:shd w:val="clear" w:color="EFEFEF" w:fill="EFEFEF"/>
            <w:noWrap/>
            <w:vAlign w:val="bottom"/>
            <w:hideMark/>
          </w:tcPr>
          <w:p w14:paraId="10A9599B"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£5,40,00,000</w:t>
            </w:r>
          </w:p>
        </w:tc>
        <w:tc>
          <w:tcPr>
            <w:tcW w:w="886" w:type="pct"/>
            <w:tcBorders>
              <w:top w:val="nil"/>
              <w:left w:val="nil"/>
              <w:bottom w:val="single" w:sz="4" w:space="0" w:color="auto"/>
              <w:right w:val="single" w:sz="4" w:space="0" w:color="auto"/>
            </w:tcBorders>
            <w:shd w:val="clear" w:color="EFEFEF" w:fill="EFEFEF"/>
            <w:noWrap/>
            <w:vAlign w:val="bottom"/>
            <w:hideMark/>
          </w:tcPr>
          <w:p w14:paraId="4BDF4FD2"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£5,50,00,000</w:t>
            </w:r>
          </w:p>
        </w:tc>
        <w:tc>
          <w:tcPr>
            <w:tcW w:w="885" w:type="pct"/>
            <w:tcBorders>
              <w:top w:val="nil"/>
              <w:left w:val="nil"/>
              <w:bottom w:val="single" w:sz="4" w:space="0" w:color="auto"/>
              <w:right w:val="single" w:sz="4" w:space="0" w:color="auto"/>
            </w:tcBorders>
            <w:shd w:val="clear" w:color="EFEFEF" w:fill="EFEFEF"/>
            <w:noWrap/>
            <w:vAlign w:val="bottom"/>
            <w:hideMark/>
          </w:tcPr>
          <w:p w14:paraId="51061430"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£6,50,00,000</w:t>
            </w:r>
          </w:p>
        </w:tc>
      </w:tr>
    </w:tbl>
    <w:p w14:paraId="24547302" w14:textId="6DFEFA81" w:rsidR="00AA027D" w:rsidRPr="00D52564" w:rsidRDefault="00CF4C6E" w:rsidP="00F049CB">
      <w:pPr>
        <w:spacing w:before="240" w:after="240"/>
        <w:jc w:val="center"/>
        <w:rPr>
          <w:rFonts w:ascii="Arial" w:hAnsi="Arial"/>
          <w:b/>
          <w:bCs/>
          <w:lang w:val="en-GB"/>
        </w:rPr>
      </w:pPr>
      <w:r w:rsidRPr="00D52564">
        <w:rPr>
          <w:rFonts w:ascii="Arial" w:hAnsi="Arial"/>
          <w:b/>
          <w:bCs/>
          <w:lang w:val="en-GB"/>
        </w:rPr>
        <w:t>Table 2.1: Details of Investment Projects</w:t>
      </w:r>
    </w:p>
    <w:p w14:paraId="6064F4A2" w14:textId="6C3D316F" w:rsidR="00CF4C6E" w:rsidRPr="00D52564" w:rsidRDefault="00CF4C6E" w:rsidP="00F049CB">
      <w:pPr>
        <w:spacing w:before="240" w:after="240"/>
        <w:jc w:val="center"/>
        <w:rPr>
          <w:rFonts w:ascii="Arial" w:hAnsi="Arial"/>
          <w:lang w:val="en-GB"/>
        </w:rPr>
      </w:pPr>
      <w:r w:rsidRPr="00D52564">
        <w:rPr>
          <w:rFonts w:ascii="Arial" w:hAnsi="Arial"/>
          <w:lang w:val="en-GB"/>
        </w:rPr>
        <w:t>(Source: Excel Output)</w:t>
      </w:r>
    </w:p>
    <w:tbl>
      <w:tblPr>
        <w:tblW w:w="5000" w:type="pct"/>
        <w:jc w:val="center"/>
        <w:tblLook w:val="04A0" w:firstRow="1" w:lastRow="0" w:firstColumn="1" w:lastColumn="0" w:noHBand="0" w:noVBand="1"/>
      </w:tblPr>
      <w:tblGrid>
        <w:gridCol w:w="652"/>
        <w:gridCol w:w="1847"/>
        <w:gridCol w:w="2250"/>
        <w:gridCol w:w="2228"/>
        <w:gridCol w:w="2373"/>
      </w:tblGrid>
      <w:tr w:rsidR="00AA027D" w:rsidRPr="00D52564" w14:paraId="5F589D87" w14:textId="77777777" w:rsidTr="00F049CB">
        <w:trPr>
          <w:trHeight w:val="315"/>
          <w:jc w:val="center"/>
        </w:trPr>
        <w:tc>
          <w:tcPr>
            <w:tcW w:w="5000" w:type="pct"/>
            <w:gridSpan w:val="5"/>
            <w:tcBorders>
              <w:top w:val="single" w:sz="4" w:space="0" w:color="000000"/>
              <w:left w:val="single" w:sz="4" w:space="0" w:color="000000"/>
              <w:bottom w:val="single" w:sz="4" w:space="0" w:color="000000"/>
              <w:right w:val="single" w:sz="4" w:space="0" w:color="000000"/>
            </w:tcBorders>
            <w:shd w:val="clear" w:color="EA9999" w:fill="FEA767"/>
            <w:noWrap/>
            <w:vAlign w:val="bottom"/>
            <w:hideMark/>
          </w:tcPr>
          <w:p w14:paraId="21C36078"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Project A</w:t>
            </w:r>
          </w:p>
        </w:tc>
      </w:tr>
      <w:tr w:rsidR="00AA027D" w:rsidRPr="00D52564" w14:paraId="66B67ED0" w14:textId="77777777" w:rsidTr="00F049CB">
        <w:trPr>
          <w:trHeight w:val="315"/>
          <w:jc w:val="center"/>
        </w:trPr>
        <w:tc>
          <w:tcPr>
            <w:tcW w:w="349" w:type="pct"/>
            <w:tcBorders>
              <w:top w:val="nil"/>
              <w:left w:val="single" w:sz="4" w:space="0" w:color="000000"/>
              <w:bottom w:val="single" w:sz="4" w:space="0" w:color="000000"/>
              <w:right w:val="single" w:sz="4" w:space="0" w:color="000000"/>
            </w:tcBorders>
            <w:shd w:val="clear" w:color="FFD966" w:fill="FFD966"/>
            <w:noWrap/>
            <w:vAlign w:val="bottom"/>
            <w:hideMark/>
          </w:tcPr>
          <w:p w14:paraId="65A03E40"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Year</w:t>
            </w:r>
          </w:p>
        </w:tc>
        <w:tc>
          <w:tcPr>
            <w:tcW w:w="988" w:type="pct"/>
            <w:tcBorders>
              <w:top w:val="nil"/>
              <w:left w:val="nil"/>
              <w:bottom w:val="single" w:sz="4" w:space="0" w:color="000000"/>
              <w:right w:val="single" w:sz="4" w:space="0" w:color="000000"/>
            </w:tcBorders>
            <w:shd w:val="clear" w:color="FFD966" w:fill="FFD966"/>
            <w:noWrap/>
            <w:vAlign w:val="bottom"/>
            <w:hideMark/>
          </w:tcPr>
          <w:p w14:paraId="4F8100E7"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Annual Cashflow</w:t>
            </w:r>
          </w:p>
        </w:tc>
        <w:tc>
          <w:tcPr>
            <w:tcW w:w="1203" w:type="pct"/>
            <w:tcBorders>
              <w:top w:val="nil"/>
              <w:left w:val="nil"/>
              <w:bottom w:val="single" w:sz="4" w:space="0" w:color="000000"/>
              <w:right w:val="single" w:sz="4" w:space="0" w:color="000000"/>
            </w:tcBorders>
            <w:shd w:val="clear" w:color="FFD966" w:fill="FFD966"/>
            <w:noWrap/>
            <w:vAlign w:val="bottom"/>
            <w:hideMark/>
          </w:tcPr>
          <w:p w14:paraId="230C8E16"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Cumulative Cashflow</w:t>
            </w:r>
          </w:p>
        </w:tc>
        <w:tc>
          <w:tcPr>
            <w:tcW w:w="1191" w:type="pct"/>
            <w:tcBorders>
              <w:top w:val="nil"/>
              <w:left w:val="nil"/>
              <w:bottom w:val="single" w:sz="4" w:space="0" w:color="000000"/>
              <w:right w:val="single" w:sz="4" w:space="0" w:color="000000"/>
            </w:tcBorders>
            <w:shd w:val="clear" w:color="FFD966" w:fill="FFD966"/>
            <w:noWrap/>
            <w:vAlign w:val="bottom"/>
            <w:hideMark/>
          </w:tcPr>
          <w:p w14:paraId="33B3B89C"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Discount Factor (8%)</w:t>
            </w:r>
          </w:p>
        </w:tc>
        <w:tc>
          <w:tcPr>
            <w:tcW w:w="1269" w:type="pct"/>
            <w:tcBorders>
              <w:top w:val="nil"/>
              <w:left w:val="nil"/>
              <w:bottom w:val="single" w:sz="4" w:space="0" w:color="000000"/>
              <w:right w:val="single" w:sz="4" w:space="0" w:color="000000"/>
            </w:tcBorders>
            <w:shd w:val="clear" w:color="FFD966" w:fill="FFD966"/>
            <w:noWrap/>
            <w:vAlign w:val="bottom"/>
            <w:hideMark/>
          </w:tcPr>
          <w:p w14:paraId="10BE119D"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Discounted Cash Flow</w:t>
            </w:r>
          </w:p>
        </w:tc>
      </w:tr>
      <w:tr w:rsidR="00AA027D" w:rsidRPr="00D52564" w14:paraId="57730082" w14:textId="77777777" w:rsidTr="00F049CB">
        <w:trPr>
          <w:trHeight w:val="315"/>
          <w:jc w:val="center"/>
        </w:trPr>
        <w:tc>
          <w:tcPr>
            <w:tcW w:w="349" w:type="pct"/>
            <w:tcBorders>
              <w:top w:val="nil"/>
              <w:left w:val="single" w:sz="4" w:space="0" w:color="000000"/>
              <w:bottom w:val="single" w:sz="4" w:space="0" w:color="000000"/>
              <w:right w:val="single" w:sz="4" w:space="0" w:color="000000"/>
            </w:tcBorders>
            <w:shd w:val="clear" w:color="EFEFEF" w:fill="EFEFEF"/>
            <w:noWrap/>
            <w:vAlign w:val="bottom"/>
            <w:hideMark/>
          </w:tcPr>
          <w:p w14:paraId="022BD60C"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lastRenderedPageBreak/>
              <w:t>0</w:t>
            </w:r>
          </w:p>
        </w:tc>
        <w:tc>
          <w:tcPr>
            <w:tcW w:w="988" w:type="pct"/>
            <w:tcBorders>
              <w:top w:val="nil"/>
              <w:left w:val="nil"/>
              <w:bottom w:val="single" w:sz="4" w:space="0" w:color="000000"/>
              <w:right w:val="single" w:sz="4" w:space="0" w:color="000000"/>
            </w:tcBorders>
            <w:shd w:val="clear" w:color="EFEFEF" w:fill="EFEFEF"/>
            <w:noWrap/>
            <w:vAlign w:val="bottom"/>
            <w:hideMark/>
          </w:tcPr>
          <w:p w14:paraId="66BF2DB9"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-£5,00,00,000</w:t>
            </w:r>
          </w:p>
        </w:tc>
        <w:tc>
          <w:tcPr>
            <w:tcW w:w="1203" w:type="pct"/>
            <w:tcBorders>
              <w:top w:val="nil"/>
              <w:left w:val="nil"/>
              <w:bottom w:val="single" w:sz="4" w:space="0" w:color="000000"/>
              <w:right w:val="single" w:sz="4" w:space="0" w:color="000000"/>
            </w:tcBorders>
            <w:shd w:val="clear" w:color="EFEFEF" w:fill="EFEFEF"/>
            <w:noWrap/>
            <w:vAlign w:val="bottom"/>
            <w:hideMark/>
          </w:tcPr>
          <w:p w14:paraId="4F4A0839"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-£5,00,00,000</w:t>
            </w:r>
          </w:p>
        </w:tc>
        <w:tc>
          <w:tcPr>
            <w:tcW w:w="1191" w:type="pct"/>
            <w:tcBorders>
              <w:top w:val="nil"/>
              <w:left w:val="nil"/>
              <w:bottom w:val="single" w:sz="4" w:space="0" w:color="000000"/>
              <w:right w:val="single" w:sz="4" w:space="0" w:color="000000"/>
            </w:tcBorders>
            <w:shd w:val="clear" w:color="EFEFEF" w:fill="EFEFEF"/>
            <w:noWrap/>
            <w:vAlign w:val="bottom"/>
            <w:hideMark/>
          </w:tcPr>
          <w:p w14:paraId="662A4068"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w:t>
            </w:r>
          </w:p>
        </w:tc>
        <w:tc>
          <w:tcPr>
            <w:tcW w:w="1269" w:type="pct"/>
            <w:tcBorders>
              <w:top w:val="nil"/>
              <w:left w:val="nil"/>
              <w:bottom w:val="single" w:sz="4" w:space="0" w:color="000000"/>
              <w:right w:val="single" w:sz="4" w:space="0" w:color="000000"/>
            </w:tcBorders>
            <w:shd w:val="clear" w:color="EFEFEF" w:fill="EFEFEF"/>
            <w:noWrap/>
            <w:vAlign w:val="bottom"/>
            <w:hideMark/>
          </w:tcPr>
          <w:p w14:paraId="7DF5BD7B"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-£5,00,00,000</w:t>
            </w:r>
          </w:p>
        </w:tc>
      </w:tr>
      <w:tr w:rsidR="00AA027D" w:rsidRPr="00D52564" w14:paraId="541C809C" w14:textId="77777777" w:rsidTr="00F049CB">
        <w:trPr>
          <w:trHeight w:val="315"/>
          <w:jc w:val="center"/>
        </w:trPr>
        <w:tc>
          <w:tcPr>
            <w:tcW w:w="349" w:type="pct"/>
            <w:tcBorders>
              <w:top w:val="nil"/>
              <w:left w:val="single" w:sz="4" w:space="0" w:color="000000"/>
              <w:bottom w:val="single" w:sz="4" w:space="0" w:color="000000"/>
              <w:right w:val="single" w:sz="4" w:space="0" w:color="000000"/>
            </w:tcBorders>
            <w:shd w:val="clear" w:color="EFEFEF" w:fill="EFEFEF"/>
            <w:noWrap/>
            <w:vAlign w:val="bottom"/>
            <w:hideMark/>
          </w:tcPr>
          <w:p w14:paraId="71E7598F"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w:t>
            </w:r>
          </w:p>
        </w:tc>
        <w:tc>
          <w:tcPr>
            <w:tcW w:w="988" w:type="pct"/>
            <w:tcBorders>
              <w:top w:val="nil"/>
              <w:left w:val="nil"/>
              <w:bottom w:val="single" w:sz="4" w:space="0" w:color="000000"/>
              <w:right w:val="single" w:sz="4" w:space="0" w:color="000000"/>
            </w:tcBorders>
            <w:shd w:val="clear" w:color="EFEFEF" w:fill="EFEFEF"/>
            <w:noWrap/>
            <w:vAlign w:val="bottom"/>
            <w:hideMark/>
          </w:tcPr>
          <w:p w14:paraId="5363B716"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£1,00,00,000</w:t>
            </w:r>
          </w:p>
        </w:tc>
        <w:tc>
          <w:tcPr>
            <w:tcW w:w="1203" w:type="pct"/>
            <w:tcBorders>
              <w:top w:val="nil"/>
              <w:left w:val="nil"/>
              <w:bottom w:val="single" w:sz="4" w:space="0" w:color="000000"/>
              <w:right w:val="single" w:sz="4" w:space="0" w:color="000000"/>
            </w:tcBorders>
            <w:shd w:val="clear" w:color="EFEFEF" w:fill="EFEFEF"/>
            <w:noWrap/>
            <w:vAlign w:val="bottom"/>
            <w:hideMark/>
          </w:tcPr>
          <w:p w14:paraId="3373B5D0"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-£4,00,00,000</w:t>
            </w:r>
          </w:p>
        </w:tc>
        <w:tc>
          <w:tcPr>
            <w:tcW w:w="1191" w:type="pct"/>
            <w:tcBorders>
              <w:top w:val="nil"/>
              <w:left w:val="nil"/>
              <w:bottom w:val="single" w:sz="4" w:space="0" w:color="000000"/>
              <w:right w:val="single" w:sz="4" w:space="0" w:color="000000"/>
            </w:tcBorders>
            <w:shd w:val="clear" w:color="EFEFEF" w:fill="EFEFEF"/>
            <w:noWrap/>
            <w:vAlign w:val="bottom"/>
            <w:hideMark/>
          </w:tcPr>
          <w:p w14:paraId="7912B8D6"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0.926</w:t>
            </w:r>
          </w:p>
        </w:tc>
        <w:tc>
          <w:tcPr>
            <w:tcW w:w="1269" w:type="pct"/>
            <w:tcBorders>
              <w:top w:val="nil"/>
              <w:left w:val="nil"/>
              <w:bottom w:val="single" w:sz="4" w:space="0" w:color="000000"/>
              <w:right w:val="single" w:sz="4" w:space="0" w:color="000000"/>
            </w:tcBorders>
            <w:shd w:val="clear" w:color="EFEFEF" w:fill="EFEFEF"/>
            <w:noWrap/>
            <w:vAlign w:val="bottom"/>
            <w:hideMark/>
          </w:tcPr>
          <w:p w14:paraId="5E49E67F"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£92,60,000</w:t>
            </w:r>
          </w:p>
        </w:tc>
      </w:tr>
      <w:tr w:rsidR="00AA027D" w:rsidRPr="00D52564" w14:paraId="7B028DBA" w14:textId="77777777" w:rsidTr="00F049CB">
        <w:trPr>
          <w:trHeight w:val="315"/>
          <w:jc w:val="center"/>
        </w:trPr>
        <w:tc>
          <w:tcPr>
            <w:tcW w:w="349" w:type="pct"/>
            <w:tcBorders>
              <w:top w:val="nil"/>
              <w:left w:val="single" w:sz="4" w:space="0" w:color="000000"/>
              <w:bottom w:val="single" w:sz="4" w:space="0" w:color="000000"/>
              <w:right w:val="single" w:sz="4" w:space="0" w:color="000000"/>
            </w:tcBorders>
            <w:shd w:val="clear" w:color="EFEFEF" w:fill="EFEFEF"/>
            <w:noWrap/>
            <w:vAlign w:val="bottom"/>
            <w:hideMark/>
          </w:tcPr>
          <w:p w14:paraId="647EBEC8"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2</w:t>
            </w:r>
          </w:p>
        </w:tc>
        <w:tc>
          <w:tcPr>
            <w:tcW w:w="988" w:type="pct"/>
            <w:tcBorders>
              <w:top w:val="nil"/>
              <w:left w:val="nil"/>
              <w:bottom w:val="single" w:sz="4" w:space="0" w:color="000000"/>
              <w:right w:val="single" w:sz="4" w:space="0" w:color="000000"/>
            </w:tcBorders>
            <w:shd w:val="clear" w:color="EFEFEF" w:fill="EFEFEF"/>
            <w:noWrap/>
            <w:vAlign w:val="bottom"/>
            <w:hideMark/>
          </w:tcPr>
          <w:p w14:paraId="6D69DDE3"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£1,20,00,000</w:t>
            </w:r>
          </w:p>
        </w:tc>
        <w:tc>
          <w:tcPr>
            <w:tcW w:w="1203" w:type="pct"/>
            <w:tcBorders>
              <w:top w:val="nil"/>
              <w:left w:val="nil"/>
              <w:bottom w:val="single" w:sz="4" w:space="0" w:color="000000"/>
              <w:right w:val="single" w:sz="4" w:space="0" w:color="000000"/>
            </w:tcBorders>
            <w:shd w:val="clear" w:color="EFEFEF" w:fill="EFEFEF"/>
            <w:noWrap/>
            <w:vAlign w:val="bottom"/>
            <w:hideMark/>
          </w:tcPr>
          <w:p w14:paraId="11724880"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-£2,80,00,000</w:t>
            </w:r>
          </w:p>
        </w:tc>
        <w:tc>
          <w:tcPr>
            <w:tcW w:w="1191" w:type="pct"/>
            <w:tcBorders>
              <w:top w:val="nil"/>
              <w:left w:val="nil"/>
              <w:bottom w:val="single" w:sz="4" w:space="0" w:color="000000"/>
              <w:right w:val="single" w:sz="4" w:space="0" w:color="000000"/>
            </w:tcBorders>
            <w:shd w:val="clear" w:color="EFEFEF" w:fill="EFEFEF"/>
            <w:noWrap/>
            <w:vAlign w:val="bottom"/>
            <w:hideMark/>
          </w:tcPr>
          <w:p w14:paraId="685413DD"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0.857</w:t>
            </w:r>
          </w:p>
        </w:tc>
        <w:tc>
          <w:tcPr>
            <w:tcW w:w="1269" w:type="pct"/>
            <w:tcBorders>
              <w:top w:val="nil"/>
              <w:left w:val="nil"/>
              <w:bottom w:val="single" w:sz="4" w:space="0" w:color="000000"/>
              <w:right w:val="single" w:sz="4" w:space="0" w:color="000000"/>
            </w:tcBorders>
            <w:shd w:val="clear" w:color="EFEFEF" w:fill="EFEFEF"/>
            <w:noWrap/>
            <w:vAlign w:val="bottom"/>
            <w:hideMark/>
          </w:tcPr>
          <w:p w14:paraId="7C8AFC6B"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£1,02,84,000</w:t>
            </w:r>
          </w:p>
        </w:tc>
      </w:tr>
      <w:tr w:rsidR="00AA027D" w:rsidRPr="00D52564" w14:paraId="10279265" w14:textId="77777777" w:rsidTr="00F049CB">
        <w:trPr>
          <w:trHeight w:val="315"/>
          <w:jc w:val="center"/>
        </w:trPr>
        <w:tc>
          <w:tcPr>
            <w:tcW w:w="349" w:type="pct"/>
            <w:tcBorders>
              <w:top w:val="nil"/>
              <w:left w:val="single" w:sz="4" w:space="0" w:color="000000"/>
              <w:bottom w:val="single" w:sz="4" w:space="0" w:color="000000"/>
              <w:right w:val="single" w:sz="4" w:space="0" w:color="000000"/>
            </w:tcBorders>
            <w:shd w:val="clear" w:color="EFEFEF" w:fill="EFEFEF"/>
            <w:noWrap/>
            <w:vAlign w:val="bottom"/>
            <w:hideMark/>
          </w:tcPr>
          <w:p w14:paraId="2C041853"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3</w:t>
            </w:r>
          </w:p>
        </w:tc>
        <w:tc>
          <w:tcPr>
            <w:tcW w:w="988" w:type="pct"/>
            <w:tcBorders>
              <w:top w:val="nil"/>
              <w:left w:val="nil"/>
              <w:bottom w:val="single" w:sz="4" w:space="0" w:color="000000"/>
              <w:right w:val="single" w:sz="4" w:space="0" w:color="000000"/>
            </w:tcBorders>
            <w:shd w:val="clear" w:color="EFEFEF" w:fill="EFEFEF"/>
            <w:noWrap/>
            <w:vAlign w:val="bottom"/>
            <w:hideMark/>
          </w:tcPr>
          <w:p w14:paraId="3425F674"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£1,40,00,000</w:t>
            </w:r>
          </w:p>
        </w:tc>
        <w:tc>
          <w:tcPr>
            <w:tcW w:w="1203" w:type="pct"/>
            <w:tcBorders>
              <w:top w:val="nil"/>
              <w:left w:val="nil"/>
              <w:bottom w:val="single" w:sz="4" w:space="0" w:color="000000"/>
              <w:right w:val="single" w:sz="4" w:space="0" w:color="000000"/>
            </w:tcBorders>
            <w:shd w:val="clear" w:color="EFEFEF" w:fill="EFEFEF"/>
            <w:noWrap/>
            <w:vAlign w:val="bottom"/>
            <w:hideMark/>
          </w:tcPr>
          <w:p w14:paraId="2F6C92DD"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-£1,40,00,000</w:t>
            </w:r>
          </w:p>
        </w:tc>
        <w:tc>
          <w:tcPr>
            <w:tcW w:w="1191" w:type="pct"/>
            <w:tcBorders>
              <w:top w:val="nil"/>
              <w:left w:val="nil"/>
              <w:bottom w:val="single" w:sz="4" w:space="0" w:color="000000"/>
              <w:right w:val="single" w:sz="4" w:space="0" w:color="000000"/>
            </w:tcBorders>
            <w:shd w:val="clear" w:color="EFEFEF" w:fill="EFEFEF"/>
            <w:noWrap/>
            <w:vAlign w:val="bottom"/>
            <w:hideMark/>
          </w:tcPr>
          <w:p w14:paraId="734AF023"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0.794</w:t>
            </w:r>
          </w:p>
        </w:tc>
        <w:tc>
          <w:tcPr>
            <w:tcW w:w="1269" w:type="pct"/>
            <w:tcBorders>
              <w:top w:val="nil"/>
              <w:left w:val="nil"/>
              <w:bottom w:val="single" w:sz="4" w:space="0" w:color="000000"/>
              <w:right w:val="single" w:sz="4" w:space="0" w:color="000000"/>
            </w:tcBorders>
            <w:shd w:val="clear" w:color="EFEFEF" w:fill="EFEFEF"/>
            <w:noWrap/>
            <w:vAlign w:val="bottom"/>
            <w:hideMark/>
          </w:tcPr>
          <w:p w14:paraId="1CEB7656"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£1,11,16,000</w:t>
            </w:r>
          </w:p>
        </w:tc>
      </w:tr>
      <w:tr w:rsidR="00AA027D" w:rsidRPr="00D52564" w14:paraId="76342B60" w14:textId="77777777" w:rsidTr="00F049CB">
        <w:trPr>
          <w:trHeight w:val="315"/>
          <w:jc w:val="center"/>
        </w:trPr>
        <w:tc>
          <w:tcPr>
            <w:tcW w:w="349" w:type="pct"/>
            <w:tcBorders>
              <w:top w:val="nil"/>
              <w:left w:val="single" w:sz="4" w:space="0" w:color="000000"/>
              <w:bottom w:val="nil"/>
              <w:right w:val="single" w:sz="4" w:space="0" w:color="000000"/>
            </w:tcBorders>
            <w:shd w:val="clear" w:color="EFEFEF" w:fill="EFEFEF"/>
            <w:noWrap/>
            <w:vAlign w:val="bottom"/>
            <w:hideMark/>
          </w:tcPr>
          <w:p w14:paraId="5927D54D"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4</w:t>
            </w:r>
          </w:p>
        </w:tc>
        <w:tc>
          <w:tcPr>
            <w:tcW w:w="988" w:type="pct"/>
            <w:tcBorders>
              <w:top w:val="nil"/>
              <w:left w:val="nil"/>
              <w:bottom w:val="nil"/>
              <w:right w:val="single" w:sz="4" w:space="0" w:color="000000"/>
            </w:tcBorders>
            <w:shd w:val="clear" w:color="EFEFEF" w:fill="EFEFEF"/>
            <w:noWrap/>
            <w:vAlign w:val="bottom"/>
            <w:hideMark/>
          </w:tcPr>
          <w:p w14:paraId="682ED60B"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£1,00,00,000</w:t>
            </w:r>
          </w:p>
        </w:tc>
        <w:tc>
          <w:tcPr>
            <w:tcW w:w="1203" w:type="pct"/>
            <w:tcBorders>
              <w:top w:val="nil"/>
              <w:left w:val="nil"/>
              <w:bottom w:val="single" w:sz="4" w:space="0" w:color="000000"/>
              <w:right w:val="single" w:sz="4" w:space="0" w:color="000000"/>
            </w:tcBorders>
            <w:shd w:val="clear" w:color="EFEFEF" w:fill="EFEFEF"/>
            <w:noWrap/>
            <w:vAlign w:val="bottom"/>
            <w:hideMark/>
          </w:tcPr>
          <w:p w14:paraId="67D6537D"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-£40,00,000</w:t>
            </w:r>
          </w:p>
        </w:tc>
        <w:tc>
          <w:tcPr>
            <w:tcW w:w="1191" w:type="pct"/>
            <w:tcBorders>
              <w:top w:val="nil"/>
              <w:left w:val="nil"/>
              <w:bottom w:val="nil"/>
              <w:right w:val="single" w:sz="4" w:space="0" w:color="000000"/>
            </w:tcBorders>
            <w:shd w:val="clear" w:color="EFEFEF" w:fill="EFEFEF"/>
            <w:noWrap/>
            <w:vAlign w:val="bottom"/>
            <w:hideMark/>
          </w:tcPr>
          <w:p w14:paraId="244DC70A"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0.735</w:t>
            </w:r>
          </w:p>
        </w:tc>
        <w:tc>
          <w:tcPr>
            <w:tcW w:w="1269" w:type="pct"/>
            <w:tcBorders>
              <w:top w:val="nil"/>
              <w:left w:val="nil"/>
              <w:bottom w:val="single" w:sz="4" w:space="0" w:color="000000"/>
              <w:right w:val="single" w:sz="4" w:space="0" w:color="000000"/>
            </w:tcBorders>
            <w:shd w:val="clear" w:color="EFEFEF" w:fill="EFEFEF"/>
            <w:noWrap/>
            <w:vAlign w:val="bottom"/>
            <w:hideMark/>
          </w:tcPr>
          <w:p w14:paraId="56D9A24C"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£73,50,000</w:t>
            </w:r>
          </w:p>
        </w:tc>
      </w:tr>
      <w:tr w:rsidR="00AA027D" w:rsidRPr="00D52564" w14:paraId="1CD51F37" w14:textId="77777777" w:rsidTr="00F049CB">
        <w:trPr>
          <w:trHeight w:val="315"/>
          <w:jc w:val="center"/>
        </w:trPr>
        <w:tc>
          <w:tcPr>
            <w:tcW w:w="349" w:type="pct"/>
            <w:tcBorders>
              <w:top w:val="single" w:sz="4" w:space="0" w:color="000000"/>
              <w:left w:val="single" w:sz="4" w:space="0" w:color="000000"/>
              <w:bottom w:val="nil"/>
              <w:right w:val="single" w:sz="4" w:space="0" w:color="000000"/>
            </w:tcBorders>
            <w:shd w:val="clear" w:color="EFEFEF" w:fill="EFEFEF"/>
            <w:noWrap/>
            <w:vAlign w:val="bottom"/>
            <w:hideMark/>
          </w:tcPr>
          <w:p w14:paraId="4A71060C"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w:t>
            </w:r>
          </w:p>
        </w:tc>
        <w:tc>
          <w:tcPr>
            <w:tcW w:w="988" w:type="pct"/>
            <w:tcBorders>
              <w:top w:val="single" w:sz="4" w:space="0" w:color="000000"/>
              <w:left w:val="nil"/>
              <w:bottom w:val="nil"/>
              <w:right w:val="single" w:sz="4" w:space="0" w:color="000000"/>
            </w:tcBorders>
            <w:shd w:val="clear" w:color="EFEFEF" w:fill="EFEFEF"/>
            <w:noWrap/>
            <w:vAlign w:val="bottom"/>
            <w:hideMark/>
          </w:tcPr>
          <w:p w14:paraId="6D01E415"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£80,00,000</w:t>
            </w:r>
          </w:p>
        </w:tc>
        <w:tc>
          <w:tcPr>
            <w:tcW w:w="1203" w:type="pct"/>
            <w:tcBorders>
              <w:top w:val="nil"/>
              <w:left w:val="nil"/>
              <w:bottom w:val="nil"/>
              <w:right w:val="single" w:sz="4" w:space="0" w:color="000000"/>
            </w:tcBorders>
            <w:shd w:val="clear" w:color="EFEFEF" w:fill="EFEFEF"/>
            <w:noWrap/>
            <w:vAlign w:val="bottom"/>
            <w:hideMark/>
          </w:tcPr>
          <w:p w14:paraId="7C97DEC7"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£40,00,000</w:t>
            </w:r>
          </w:p>
        </w:tc>
        <w:tc>
          <w:tcPr>
            <w:tcW w:w="1191" w:type="pct"/>
            <w:tcBorders>
              <w:top w:val="single" w:sz="4" w:space="0" w:color="000000"/>
              <w:left w:val="nil"/>
              <w:bottom w:val="nil"/>
              <w:right w:val="single" w:sz="4" w:space="0" w:color="000000"/>
            </w:tcBorders>
            <w:shd w:val="clear" w:color="EFEFEF" w:fill="EFEFEF"/>
            <w:noWrap/>
            <w:vAlign w:val="bottom"/>
            <w:hideMark/>
          </w:tcPr>
          <w:p w14:paraId="694A80E3"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0.681</w:t>
            </w:r>
          </w:p>
        </w:tc>
        <w:tc>
          <w:tcPr>
            <w:tcW w:w="1269" w:type="pct"/>
            <w:tcBorders>
              <w:top w:val="nil"/>
              <w:left w:val="nil"/>
              <w:bottom w:val="single" w:sz="4" w:space="0" w:color="000000"/>
              <w:right w:val="single" w:sz="4" w:space="0" w:color="000000"/>
            </w:tcBorders>
            <w:shd w:val="clear" w:color="EFEFEF" w:fill="EFEFEF"/>
            <w:noWrap/>
            <w:vAlign w:val="bottom"/>
            <w:hideMark/>
          </w:tcPr>
          <w:p w14:paraId="6A3F6366"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£54,48,000</w:t>
            </w:r>
          </w:p>
        </w:tc>
      </w:tr>
      <w:tr w:rsidR="00AA027D" w:rsidRPr="00D52564" w14:paraId="607AE378" w14:textId="77777777" w:rsidTr="00F049CB">
        <w:trPr>
          <w:trHeight w:val="315"/>
          <w:jc w:val="center"/>
        </w:trPr>
        <w:tc>
          <w:tcPr>
            <w:tcW w:w="3731" w:type="pct"/>
            <w:gridSpan w:val="4"/>
            <w:tcBorders>
              <w:top w:val="single" w:sz="4" w:space="0" w:color="auto"/>
              <w:left w:val="single" w:sz="4" w:space="0" w:color="auto"/>
              <w:bottom w:val="single" w:sz="4" w:space="0" w:color="auto"/>
              <w:right w:val="single" w:sz="4" w:space="0" w:color="auto"/>
            </w:tcBorders>
            <w:shd w:val="clear" w:color="DD7E6B" w:fill="FFC599"/>
            <w:noWrap/>
            <w:vAlign w:val="bottom"/>
            <w:hideMark/>
          </w:tcPr>
          <w:p w14:paraId="371B4EAF"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NPV</w:t>
            </w:r>
          </w:p>
        </w:tc>
        <w:tc>
          <w:tcPr>
            <w:tcW w:w="1269" w:type="pct"/>
            <w:tcBorders>
              <w:top w:val="nil"/>
              <w:left w:val="nil"/>
              <w:bottom w:val="single" w:sz="4" w:space="0" w:color="auto"/>
              <w:right w:val="single" w:sz="4" w:space="0" w:color="auto"/>
            </w:tcBorders>
            <w:shd w:val="clear" w:color="DD7E6B" w:fill="FFC599"/>
            <w:noWrap/>
            <w:vAlign w:val="bottom"/>
            <w:hideMark/>
          </w:tcPr>
          <w:p w14:paraId="2DA650EA"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-£65,42,000</w:t>
            </w:r>
          </w:p>
        </w:tc>
      </w:tr>
      <w:tr w:rsidR="00AA027D" w:rsidRPr="00D52564" w14:paraId="3466EA94" w14:textId="77777777" w:rsidTr="00F049CB">
        <w:trPr>
          <w:trHeight w:val="315"/>
          <w:jc w:val="center"/>
        </w:trPr>
        <w:tc>
          <w:tcPr>
            <w:tcW w:w="3731" w:type="pct"/>
            <w:gridSpan w:val="4"/>
            <w:vMerge w:val="restart"/>
            <w:tcBorders>
              <w:top w:val="single" w:sz="4" w:space="0" w:color="auto"/>
              <w:left w:val="single" w:sz="4" w:space="0" w:color="auto"/>
              <w:bottom w:val="single" w:sz="4" w:space="0" w:color="auto"/>
              <w:right w:val="single" w:sz="4" w:space="0" w:color="auto"/>
            </w:tcBorders>
            <w:shd w:val="clear" w:color="DD7E6B" w:fill="FFC599"/>
            <w:noWrap/>
            <w:vAlign w:val="bottom"/>
            <w:hideMark/>
          </w:tcPr>
          <w:p w14:paraId="657550DA"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Payback Period</w:t>
            </w:r>
          </w:p>
        </w:tc>
        <w:tc>
          <w:tcPr>
            <w:tcW w:w="1269" w:type="pct"/>
            <w:tcBorders>
              <w:top w:val="nil"/>
              <w:left w:val="nil"/>
              <w:bottom w:val="single" w:sz="4" w:space="0" w:color="auto"/>
              <w:right w:val="single" w:sz="4" w:space="0" w:color="auto"/>
            </w:tcBorders>
            <w:shd w:val="clear" w:color="DD7E6B" w:fill="FFC599"/>
            <w:noWrap/>
            <w:vAlign w:val="bottom"/>
            <w:hideMark/>
          </w:tcPr>
          <w:p w14:paraId="60ABA85D"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4.5</w:t>
            </w:r>
          </w:p>
        </w:tc>
      </w:tr>
      <w:tr w:rsidR="00AA027D" w:rsidRPr="00D52564" w14:paraId="4118A765" w14:textId="77777777" w:rsidTr="00F049CB">
        <w:trPr>
          <w:trHeight w:val="315"/>
          <w:jc w:val="center"/>
        </w:trPr>
        <w:tc>
          <w:tcPr>
            <w:tcW w:w="3731" w:type="pct"/>
            <w:gridSpan w:val="4"/>
            <w:vMerge/>
            <w:tcBorders>
              <w:top w:val="single" w:sz="4" w:space="0" w:color="auto"/>
              <w:left w:val="single" w:sz="4" w:space="0" w:color="auto"/>
              <w:bottom w:val="single" w:sz="4" w:space="0" w:color="auto"/>
              <w:right w:val="single" w:sz="4" w:space="0" w:color="auto"/>
            </w:tcBorders>
            <w:vAlign w:val="center"/>
            <w:hideMark/>
          </w:tcPr>
          <w:p w14:paraId="6B41EDBB" w14:textId="77777777" w:rsidR="00AA027D" w:rsidRPr="00D52564" w:rsidRDefault="00AA027D" w:rsidP="00D52564">
            <w:pPr>
              <w:spacing w:before="240" w:after="240"/>
              <w:rPr>
                <w:rFonts w:ascii="Arial" w:hAnsi="Arial"/>
                <w:b/>
                <w:bCs/>
                <w:color w:val="000000"/>
                <w:szCs w:val="20"/>
                <w:lang w:val="en-GB"/>
              </w:rPr>
            </w:pPr>
          </w:p>
        </w:tc>
        <w:tc>
          <w:tcPr>
            <w:tcW w:w="1269" w:type="pct"/>
            <w:tcBorders>
              <w:top w:val="nil"/>
              <w:left w:val="nil"/>
              <w:bottom w:val="single" w:sz="4" w:space="0" w:color="auto"/>
              <w:right w:val="single" w:sz="4" w:space="0" w:color="auto"/>
            </w:tcBorders>
            <w:shd w:val="clear" w:color="DD7E6B" w:fill="FFC599"/>
            <w:noWrap/>
            <w:vAlign w:val="bottom"/>
            <w:hideMark/>
          </w:tcPr>
          <w:p w14:paraId="5B4A0117" w14:textId="386E6036"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4 Years 6 Months</w:t>
            </w:r>
          </w:p>
        </w:tc>
      </w:tr>
      <w:tr w:rsidR="00AA027D" w:rsidRPr="00D52564" w14:paraId="5CE614B5" w14:textId="77777777" w:rsidTr="00F049CB">
        <w:trPr>
          <w:trHeight w:val="315"/>
          <w:jc w:val="center"/>
        </w:trPr>
        <w:tc>
          <w:tcPr>
            <w:tcW w:w="3731" w:type="pct"/>
            <w:gridSpan w:val="4"/>
            <w:tcBorders>
              <w:top w:val="single" w:sz="4" w:space="0" w:color="auto"/>
              <w:left w:val="single" w:sz="4" w:space="0" w:color="auto"/>
              <w:bottom w:val="single" w:sz="4" w:space="0" w:color="auto"/>
              <w:right w:val="single" w:sz="4" w:space="0" w:color="auto"/>
            </w:tcBorders>
            <w:shd w:val="clear" w:color="DD7E6B" w:fill="FFC599"/>
            <w:noWrap/>
            <w:vAlign w:val="bottom"/>
            <w:hideMark/>
          </w:tcPr>
          <w:p w14:paraId="69DAB7F0"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IRR</w:t>
            </w:r>
          </w:p>
        </w:tc>
        <w:tc>
          <w:tcPr>
            <w:tcW w:w="1269" w:type="pct"/>
            <w:tcBorders>
              <w:top w:val="nil"/>
              <w:left w:val="nil"/>
              <w:bottom w:val="single" w:sz="4" w:space="0" w:color="auto"/>
              <w:right w:val="single" w:sz="4" w:space="0" w:color="auto"/>
            </w:tcBorders>
            <w:shd w:val="clear" w:color="DD7E6B" w:fill="FFC599"/>
            <w:noWrap/>
            <w:vAlign w:val="bottom"/>
            <w:hideMark/>
          </w:tcPr>
          <w:p w14:paraId="06CF61C2"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2.72%</w:t>
            </w:r>
          </w:p>
        </w:tc>
      </w:tr>
    </w:tbl>
    <w:p w14:paraId="07D37233" w14:textId="3E007BA8" w:rsidR="00CF4C6E" w:rsidRPr="00D52564" w:rsidRDefault="00CF4C6E" w:rsidP="00F049CB">
      <w:pPr>
        <w:spacing w:before="240" w:after="240"/>
        <w:jc w:val="center"/>
        <w:rPr>
          <w:rFonts w:ascii="Arial" w:hAnsi="Arial"/>
          <w:b/>
          <w:bCs/>
          <w:lang w:val="en-GB"/>
        </w:rPr>
      </w:pPr>
      <w:r w:rsidRPr="00D52564">
        <w:rPr>
          <w:rFonts w:ascii="Arial" w:hAnsi="Arial"/>
          <w:b/>
          <w:bCs/>
          <w:lang w:val="en-GB"/>
        </w:rPr>
        <w:t>Table 2.2: NPV, IRR and Payback Period of Project A</w:t>
      </w:r>
    </w:p>
    <w:p w14:paraId="363EB532" w14:textId="6CB9726A" w:rsidR="00AA027D" w:rsidRPr="00D52564" w:rsidRDefault="00CF4C6E" w:rsidP="00F049CB">
      <w:pPr>
        <w:spacing w:before="240" w:after="240"/>
        <w:jc w:val="center"/>
        <w:rPr>
          <w:rFonts w:ascii="Arial" w:hAnsi="Arial"/>
          <w:lang w:val="en-GB"/>
        </w:rPr>
      </w:pPr>
      <w:r w:rsidRPr="00D52564">
        <w:rPr>
          <w:rFonts w:ascii="Arial" w:hAnsi="Arial"/>
          <w:lang w:val="en-GB"/>
        </w:rPr>
        <w:t>(Source: Excel Output)</w:t>
      </w:r>
    </w:p>
    <w:tbl>
      <w:tblPr>
        <w:tblW w:w="5000" w:type="pct"/>
        <w:jc w:val="center"/>
        <w:tblLook w:val="04A0" w:firstRow="1" w:lastRow="0" w:firstColumn="1" w:lastColumn="0" w:noHBand="0" w:noVBand="1"/>
      </w:tblPr>
      <w:tblGrid>
        <w:gridCol w:w="636"/>
        <w:gridCol w:w="1788"/>
        <w:gridCol w:w="2176"/>
        <w:gridCol w:w="2154"/>
        <w:gridCol w:w="2596"/>
      </w:tblGrid>
      <w:tr w:rsidR="00AA027D" w:rsidRPr="00D52564" w14:paraId="3A324367" w14:textId="77777777" w:rsidTr="00F049CB">
        <w:trPr>
          <w:trHeight w:val="315"/>
          <w:jc w:val="center"/>
        </w:trPr>
        <w:tc>
          <w:tcPr>
            <w:tcW w:w="5000" w:type="pct"/>
            <w:gridSpan w:val="5"/>
            <w:tcBorders>
              <w:top w:val="single" w:sz="4" w:space="0" w:color="000000"/>
              <w:left w:val="single" w:sz="4" w:space="0" w:color="000000"/>
              <w:bottom w:val="single" w:sz="4" w:space="0" w:color="000000"/>
              <w:right w:val="single" w:sz="4" w:space="0" w:color="000000"/>
            </w:tcBorders>
            <w:shd w:val="clear" w:color="EA9999" w:fill="FEA767"/>
            <w:noWrap/>
            <w:vAlign w:val="bottom"/>
            <w:hideMark/>
          </w:tcPr>
          <w:p w14:paraId="2BFD9462"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Project B</w:t>
            </w:r>
          </w:p>
        </w:tc>
      </w:tr>
      <w:tr w:rsidR="00AA027D" w:rsidRPr="00D52564" w14:paraId="710DA75D" w14:textId="77777777" w:rsidTr="00F049CB">
        <w:trPr>
          <w:trHeight w:val="315"/>
          <w:jc w:val="center"/>
        </w:trPr>
        <w:tc>
          <w:tcPr>
            <w:tcW w:w="340" w:type="pct"/>
            <w:tcBorders>
              <w:top w:val="nil"/>
              <w:left w:val="single" w:sz="4" w:space="0" w:color="000000"/>
              <w:bottom w:val="single" w:sz="4" w:space="0" w:color="000000"/>
              <w:right w:val="single" w:sz="4" w:space="0" w:color="000000"/>
            </w:tcBorders>
            <w:shd w:val="clear" w:color="FFD966" w:fill="FFD966"/>
            <w:noWrap/>
            <w:vAlign w:val="bottom"/>
            <w:hideMark/>
          </w:tcPr>
          <w:p w14:paraId="35508B0E"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Year</w:t>
            </w:r>
          </w:p>
        </w:tc>
        <w:tc>
          <w:tcPr>
            <w:tcW w:w="956" w:type="pct"/>
            <w:tcBorders>
              <w:top w:val="nil"/>
              <w:left w:val="nil"/>
              <w:bottom w:val="single" w:sz="4" w:space="0" w:color="000000"/>
              <w:right w:val="single" w:sz="4" w:space="0" w:color="000000"/>
            </w:tcBorders>
            <w:shd w:val="clear" w:color="FFD966" w:fill="FFD966"/>
            <w:noWrap/>
            <w:vAlign w:val="bottom"/>
            <w:hideMark/>
          </w:tcPr>
          <w:p w14:paraId="6DF35A3F"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Annual Cashflow</w:t>
            </w:r>
          </w:p>
        </w:tc>
        <w:tc>
          <w:tcPr>
            <w:tcW w:w="1164" w:type="pct"/>
            <w:tcBorders>
              <w:top w:val="nil"/>
              <w:left w:val="nil"/>
              <w:bottom w:val="single" w:sz="4" w:space="0" w:color="000000"/>
              <w:right w:val="single" w:sz="4" w:space="0" w:color="000000"/>
            </w:tcBorders>
            <w:shd w:val="clear" w:color="FFD966" w:fill="FFD966"/>
            <w:noWrap/>
            <w:vAlign w:val="bottom"/>
            <w:hideMark/>
          </w:tcPr>
          <w:p w14:paraId="2BDA0BA3"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Cumulative Cashflow</w:t>
            </w:r>
          </w:p>
        </w:tc>
        <w:tc>
          <w:tcPr>
            <w:tcW w:w="1152" w:type="pct"/>
            <w:tcBorders>
              <w:top w:val="nil"/>
              <w:left w:val="nil"/>
              <w:bottom w:val="single" w:sz="4" w:space="0" w:color="000000"/>
              <w:right w:val="single" w:sz="4" w:space="0" w:color="000000"/>
            </w:tcBorders>
            <w:shd w:val="clear" w:color="FFD966" w:fill="FFD966"/>
            <w:noWrap/>
            <w:vAlign w:val="bottom"/>
            <w:hideMark/>
          </w:tcPr>
          <w:p w14:paraId="66FD43A7"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Discount Factor (8%)</w:t>
            </w:r>
          </w:p>
        </w:tc>
        <w:tc>
          <w:tcPr>
            <w:tcW w:w="1388" w:type="pct"/>
            <w:tcBorders>
              <w:top w:val="nil"/>
              <w:left w:val="nil"/>
              <w:bottom w:val="single" w:sz="4" w:space="0" w:color="000000"/>
              <w:right w:val="single" w:sz="4" w:space="0" w:color="000000"/>
            </w:tcBorders>
            <w:shd w:val="clear" w:color="FFD966" w:fill="FFD966"/>
            <w:noWrap/>
            <w:vAlign w:val="bottom"/>
            <w:hideMark/>
          </w:tcPr>
          <w:p w14:paraId="1D195CE6"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Discounted Cash Flow</w:t>
            </w:r>
          </w:p>
        </w:tc>
      </w:tr>
      <w:tr w:rsidR="00AA027D" w:rsidRPr="00D52564" w14:paraId="67B0E9B2" w14:textId="77777777" w:rsidTr="00F049CB">
        <w:trPr>
          <w:trHeight w:val="315"/>
          <w:jc w:val="center"/>
        </w:trPr>
        <w:tc>
          <w:tcPr>
            <w:tcW w:w="340" w:type="pct"/>
            <w:tcBorders>
              <w:top w:val="nil"/>
              <w:left w:val="single" w:sz="4" w:space="0" w:color="000000"/>
              <w:bottom w:val="single" w:sz="4" w:space="0" w:color="000000"/>
              <w:right w:val="single" w:sz="4" w:space="0" w:color="000000"/>
            </w:tcBorders>
            <w:shd w:val="clear" w:color="EFEFEF" w:fill="EFEFEF"/>
            <w:noWrap/>
            <w:vAlign w:val="bottom"/>
            <w:hideMark/>
          </w:tcPr>
          <w:p w14:paraId="33DA8363"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lastRenderedPageBreak/>
              <w:t>0</w:t>
            </w:r>
          </w:p>
        </w:tc>
        <w:tc>
          <w:tcPr>
            <w:tcW w:w="956" w:type="pct"/>
            <w:tcBorders>
              <w:top w:val="nil"/>
              <w:left w:val="nil"/>
              <w:bottom w:val="single" w:sz="4" w:space="0" w:color="000000"/>
              <w:right w:val="single" w:sz="4" w:space="0" w:color="000000"/>
            </w:tcBorders>
            <w:shd w:val="clear" w:color="EFEFEF" w:fill="EFEFEF"/>
            <w:noWrap/>
            <w:vAlign w:val="bottom"/>
            <w:hideMark/>
          </w:tcPr>
          <w:p w14:paraId="60EF3651"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-£5,00,00,000</w:t>
            </w:r>
          </w:p>
        </w:tc>
        <w:tc>
          <w:tcPr>
            <w:tcW w:w="1164" w:type="pct"/>
            <w:tcBorders>
              <w:top w:val="nil"/>
              <w:left w:val="nil"/>
              <w:bottom w:val="single" w:sz="4" w:space="0" w:color="000000"/>
              <w:right w:val="single" w:sz="4" w:space="0" w:color="000000"/>
            </w:tcBorders>
            <w:shd w:val="clear" w:color="EFEFEF" w:fill="EFEFEF"/>
            <w:noWrap/>
            <w:vAlign w:val="bottom"/>
            <w:hideMark/>
          </w:tcPr>
          <w:p w14:paraId="5403BAF5"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-£5,00,00,000</w:t>
            </w:r>
          </w:p>
        </w:tc>
        <w:tc>
          <w:tcPr>
            <w:tcW w:w="1152" w:type="pct"/>
            <w:tcBorders>
              <w:top w:val="nil"/>
              <w:left w:val="nil"/>
              <w:bottom w:val="single" w:sz="4" w:space="0" w:color="000000"/>
              <w:right w:val="single" w:sz="4" w:space="0" w:color="000000"/>
            </w:tcBorders>
            <w:shd w:val="clear" w:color="EFEFEF" w:fill="EFEFEF"/>
            <w:noWrap/>
            <w:vAlign w:val="bottom"/>
            <w:hideMark/>
          </w:tcPr>
          <w:p w14:paraId="2E283AAC"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w:t>
            </w:r>
          </w:p>
        </w:tc>
        <w:tc>
          <w:tcPr>
            <w:tcW w:w="1388" w:type="pct"/>
            <w:tcBorders>
              <w:top w:val="nil"/>
              <w:left w:val="nil"/>
              <w:bottom w:val="single" w:sz="4" w:space="0" w:color="000000"/>
              <w:right w:val="single" w:sz="4" w:space="0" w:color="000000"/>
            </w:tcBorders>
            <w:shd w:val="clear" w:color="EFEFEF" w:fill="EFEFEF"/>
            <w:noWrap/>
            <w:vAlign w:val="bottom"/>
            <w:hideMark/>
          </w:tcPr>
          <w:p w14:paraId="585FA104"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-£5,00,00,000</w:t>
            </w:r>
          </w:p>
        </w:tc>
      </w:tr>
      <w:tr w:rsidR="00AA027D" w:rsidRPr="00D52564" w14:paraId="5B2C61FA" w14:textId="77777777" w:rsidTr="00F049CB">
        <w:trPr>
          <w:trHeight w:val="315"/>
          <w:jc w:val="center"/>
        </w:trPr>
        <w:tc>
          <w:tcPr>
            <w:tcW w:w="340" w:type="pct"/>
            <w:tcBorders>
              <w:top w:val="nil"/>
              <w:left w:val="single" w:sz="4" w:space="0" w:color="000000"/>
              <w:bottom w:val="single" w:sz="4" w:space="0" w:color="000000"/>
              <w:right w:val="single" w:sz="4" w:space="0" w:color="000000"/>
            </w:tcBorders>
            <w:shd w:val="clear" w:color="EFEFEF" w:fill="EFEFEF"/>
            <w:noWrap/>
            <w:vAlign w:val="bottom"/>
            <w:hideMark/>
          </w:tcPr>
          <w:p w14:paraId="09024A4D"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w:t>
            </w:r>
          </w:p>
        </w:tc>
        <w:tc>
          <w:tcPr>
            <w:tcW w:w="956" w:type="pct"/>
            <w:tcBorders>
              <w:top w:val="nil"/>
              <w:left w:val="nil"/>
              <w:bottom w:val="single" w:sz="4" w:space="0" w:color="000000"/>
              <w:right w:val="single" w:sz="4" w:space="0" w:color="000000"/>
            </w:tcBorders>
            <w:shd w:val="clear" w:color="EFEFEF" w:fill="EFEFEF"/>
            <w:noWrap/>
            <w:vAlign w:val="bottom"/>
            <w:hideMark/>
          </w:tcPr>
          <w:p w14:paraId="37E93062"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£1,10,00,000</w:t>
            </w:r>
          </w:p>
        </w:tc>
        <w:tc>
          <w:tcPr>
            <w:tcW w:w="1164" w:type="pct"/>
            <w:tcBorders>
              <w:top w:val="nil"/>
              <w:left w:val="nil"/>
              <w:bottom w:val="single" w:sz="4" w:space="0" w:color="000000"/>
              <w:right w:val="single" w:sz="4" w:space="0" w:color="000000"/>
            </w:tcBorders>
            <w:shd w:val="clear" w:color="EFEFEF" w:fill="EFEFEF"/>
            <w:noWrap/>
            <w:vAlign w:val="bottom"/>
            <w:hideMark/>
          </w:tcPr>
          <w:p w14:paraId="07F1F33A"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-£3,90,00,000</w:t>
            </w:r>
          </w:p>
        </w:tc>
        <w:tc>
          <w:tcPr>
            <w:tcW w:w="1152" w:type="pct"/>
            <w:tcBorders>
              <w:top w:val="nil"/>
              <w:left w:val="nil"/>
              <w:bottom w:val="single" w:sz="4" w:space="0" w:color="000000"/>
              <w:right w:val="single" w:sz="4" w:space="0" w:color="000000"/>
            </w:tcBorders>
            <w:shd w:val="clear" w:color="EFEFEF" w:fill="EFEFEF"/>
            <w:noWrap/>
            <w:vAlign w:val="bottom"/>
            <w:hideMark/>
          </w:tcPr>
          <w:p w14:paraId="680CA074"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0.926</w:t>
            </w:r>
          </w:p>
        </w:tc>
        <w:tc>
          <w:tcPr>
            <w:tcW w:w="1388" w:type="pct"/>
            <w:tcBorders>
              <w:top w:val="nil"/>
              <w:left w:val="nil"/>
              <w:bottom w:val="single" w:sz="4" w:space="0" w:color="000000"/>
              <w:right w:val="single" w:sz="4" w:space="0" w:color="000000"/>
            </w:tcBorders>
            <w:shd w:val="clear" w:color="EFEFEF" w:fill="EFEFEF"/>
            <w:noWrap/>
            <w:vAlign w:val="bottom"/>
            <w:hideMark/>
          </w:tcPr>
          <w:p w14:paraId="47747EAC"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£1,01,86,000</w:t>
            </w:r>
          </w:p>
        </w:tc>
      </w:tr>
      <w:tr w:rsidR="00AA027D" w:rsidRPr="00D52564" w14:paraId="10B7ED65" w14:textId="77777777" w:rsidTr="00F049CB">
        <w:trPr>
          <w:trHeight w:val="315"/>
          <w:jc w:val="center"/>
        </w:trPr>
        <w:tc>
          <w:tcPr>
            <w:tcW w:w="340" w:type="pct"/>
            <w:tcBorders>
              <w:top w:val="nil"/>
              <w:left w:val="single" w:sz="4" w:space="0" w:color="000000"/>
              <w:bottom w:val="single" w:sz="4" w:space="0" w:color="000000"/>
              <w:right w:val="single" w:sz="4" w:space="0" w:color="000000"/>
            </w:tcBorders>
            <w:shd w:val="clear" w:color="EFEFEF" w:fill="EFEFEF"/>
            <w:noWrap/>
            <w:vAlign w:val="bottom"/>
            <w:hideMark/>
          </w:tcPr>
          <w:p w14:paraId="50B79753"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2</w:t>
            </w:r>
          </w:p>
        </w:tc>
        <w:tc>
          <w:tcPr>
            <w:tcW w:w="956" w:type="pct"/>
            <w:tcBorders>
              <w:top w:val="nil"/>
              <w:left w:val="nil"/>
              <w:bottom w:val="single" w:sz="4" w:space="0" w:color="000000"/>
              <w:right w:val="single" w:sz="4" w:space="0" w:color="000000"/>
            </w:tcBorders>
            <w:shd w:val="clear" w:color="EFEFEF" w:fill="EFEFEF"/>
            <w:noWrap/>
            <w:vAlign w:val="bottom"/>
            <w:hideMark/>
          </w:tcPr>
          <w:p w14:paraId="2E352D62"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£1,10,00,000</w:t>
            </w:r>
          </w:p>
        </w:tc>
        <w:tc>
          <w:tcPr>
            <w:tcW w:w="1164" w:type="pct"/>
            <w:tcBorders>
              <w:top w:val="nil"/>
              <w:left w:val="nil"/>
              <w:bottom w:val="single" w:sz="4" w:space="0" w:color="000000"/>
              <w:right w:val="single" w:sz="4" w:space="0" w:color="000000"/>
            </w:tcBorders>
            <w:shd w:val="clear" w:color="EFEFEF" w:fill="EFEFEF"/>
            <w:noWrap/>
            <w:vAlign w:val="bottom"/>
            <w:hideMark/>
          </w:tcPr>
          <w:p w14:paraId="491AE776"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-£2,80,00,000</w:t>
            </w:r>
          </w:p>
        </w:tc>
        <w:tc>
          <w:tcPr>
            <w:tcW w:w="1152" w:type="pct"/>
            <w:tcBorders>
              <w:top w:val="nil"/>
              <w:left w:val="nil"/>
              <w:bottom w:val="single" w:sz="4" w:space="0" w:color="000000"/>
              <w:right w:val="single" w:sz="4" w:space="0" w:color="000000"/>
            </w:tcBorders>
            <w:shd w:val="clear" w:color="EFEFEF" w:fill="EFEFEF"/>
            <w:noWrap/>
            <w:vAlign w:val="bottom"/>
            <w:hideMark/>
          </w:tcPr>
          <w:p w14:paraId="282E720F"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0.857</w:t>
            </w:r>
          </w:p>
        </w:tc>
        <w:tc>
          <w:tcPr>
            <w:tcW w:w="1388" w:type="pct"/>
            <w:tcBorders>
              <w:top w:val="nil"/>
              <w:left w:val="nil"/>
              <w:bottom w:val="single" w:sz="4" w:space="0" w:color="000000"/>
              <w:right w:val="single" w:sz="4" w:space="0" w:color="000000"/>
            </w:tcBorders>
            <w:shd w:val="clear" w:color="EFEFEF" w:fill="EFEFEF"/>
            <w:noWrap/>
            <w:vAlign w:val="bottom"/>
            <w:hideMark/>
          </w:tcPr>
          <w:p w14:paraId="18DA7B46"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£94,27,000</w:t>
            </w:r>
          </w:p>
        </w:tc>
      </w:tr>
      <w:tr w:rsidR="00AA027D" w:rsidRPr="00D52564" w14:paraId="751FD1E7" w14:textId="77777777" w:rsidTr="00F049CB">
        <w:trPr>
          <w:trHeight w:val="315"/>
          <w:jc w:val="center"/>
        </w:trPr>
        <w:tc>
          <w:tcPr>
            <w:tcW w:w="340" w:type="pct"/>
            <w:tcBorders>
              <w:top w:val="nil"/>
              <w:left w:val="single" w:sz="4" w:space="0" w:color="000000"/>
              <w:bottom w:val="single" w:sz="4" w:space="0" w:color="000000"/>
              <w:right w:val="single" w:sz="4" w:space="0" w:color="000000"/>
            </w:tcBorders>
            <w:shd w:val="clear" w:color="EFEFEF" w:fill="EFEFEF"/>
            <w:noWrap/>
            <w:vAlign w:val="bottom"/>
            <w:hideMark/>
          </w:tcPr>
          <w:p w14:paraId="7B1B01AC"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3</w:t>
            </w:r>
          </w:p>
        </w:tc>
        <w:tc>
          <w:tcPr>
            <w:tcW w:w="956" w:type="pct"/>
            <w:tcBorders>
              <w:top w:val="nil"/>
              <w:left w:val="nil"/>
              <w:bottom w:val="single" w:sz="4" w:space="0" w:color="000000"/>
              <w:right w:val="single" w:sz="4" w:space="0" w:color="000000"/>
            </w:tcBorders>
            <w:shd w:val="clear" w:color="EFEFEF" w:fill="EFEFEF"/>
            <w:noWrap/>
            <w:vAlign w:val="bottom"/>
            <w:hideMark/>
          </w:tcPr>
          <w:p w14:paraId="561C1659"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£1,10,00,000</w:t>
            </w:r>
          </w:p>
        </w:tc>
        <w:tc>
          <w:tcPr>
            <w:tcW w:w="1164" w:type="pct"/>
            <w:tcBorders>
              <w:top w:val="nil"/>
              <w:left w:val="nil"/>
              <w:bottom w:val="single" w:sz="4" w:space="0" w:color="000000"/>
              <w:right w:val="single" w:sz="4" w:space="0" w:color="000000"/>
            </w:tcBorders>
            <w:shd w:val="clear" w:color="EFEFEF" w:fill="EFEFEF"/>
            <w:noWrap/>
            <w:vAlign w:val="bottom"/>
            <w:hideMark/>
          </w:tcPr>
          <w:p w14:paraId="0E923FB5"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-£1,70,00,000</w:t>
            </w:r>
          </w:p>
        </w:tc>
        <w:tc>
          <w:tcPr>
            <w:tcW w:w="1152" w:type="pct"/>
            <w:tcBorders>
              <w:top w:val="nil"/>
              <w:left w:val="nil"/>
              <w:bottom w:val="single" w:sz="4" w:space="0" w:color="000000"/>
              <w:right w:val="single" w:sz="4" w:space="0" w:color="000000"/>
            </w:tcBorders>
            <w:shd w:val="clear" w:color="EFEFEF" w:fill="EFEFEF"/>
            <w:noWrap/>
            <w:vAlign w:val="bottom"/>
            <w:hideMark/>
          </w:tcPr>
          <w:p w14:paraId="1BA2C166"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0.794</w:t>
            </w:r>
          </w:p>
        </w:tc>
        <w:tc>
          <w:tcPr>
            <w:tcW w:w="1388" w:type="pct"/>
            <w:tcBorders>
              <w:top w:val="nil"/>
              <w:left w:val="nil"/>
              <w:bottom w:val="single" w:sz="4" w:space="0" w:color="000000"/>
              <w:right w:val="single" w:sz="4" w:space="0" w:color="000000"/>
            </w:tcBorders>
            <w:shd w:val="clear" w:color="EFEFEF" w:fill="EFEFEF"/>
            <w:noWrap/>
            <w:vAlign w:val="bottom"/>
            <w:hideMark/>
          </w:tcPr>
          <w:p w14:paraId="4DE213D6"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£87,34,000</w:t>
            </w:r>
          </w:p>
        </w:tc>
      </w:tr>
      <w:tr w:rsidR="00AA027D" w:rsidRPr="00D52564" w14:paraId="4D599EA5" w14:textId="77777777" w:rsidTr="00F049CB">
        <w:trPr>
          <w:trHeight w:val="315"/>
          <w:jc w:val="center"/>
        </w:trPr>
        <w:tc>
          <w:tcPr>
            <w:tcW w:w="340" w:type="pct"/>
            <w:tcBorders>
              <w:top w:val="nil"/>
              <w:left w:val="single" w:sz="4" w:space="0" w:color="000000"/>
              <w:bottom w:val="nil"/>
              <w:right w:val="single" w:sz="4" w:space="0" w:color="000000"/>
            </w:tcBorders>
            <w:shd w:val="clear" w:color="EFEFEF" w:fill="EFEFEF"/>
            <w:noWrap/>
            <w:vAlign w:val="bottom"/>
            <w:hideMark/>
          </w:tcPr>
          <w:p w14:paraId="60C490F7"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4</w:t>
            </w:r>
          </w:p>
        </w:tc>
        <w:tc>
          <w:tcPr>
            <w:tcW w:w="956" w:type="pct"/>
            <w:tcBorders>
              <w:top w:val="nil"/>
              <w:left w:val="nil"/>
              <w:bottom w:val="single" w:sz="4" w:space="0" w:color="000000"/>
              <w:right w:val="single" w:sz="4" w:space="0" w:color="000000"/>
            </w:tcBorders>
            <w:shd w:val="clear" w:color="EFEFEF" w:fill="EFEFEF"/>
            <w:noWrap/>
            <w:vAlign w:val="bottom"/>
            <w:hideMark/>
          </w:tcPr>
          <w:p w14:paraId="6FFA2BEB"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£1,10,00,000</w:t>
            </w:r>
          </w:p>
        </w:tc>
        <w:tc>
          <w:tcPr>
            <w:tcW w:w="1164" w:type="pct"/>
            <w:tcBorders>
              <w:top w:val="nil"/>
              <w:left w:val="nil"/>
              <w:bottom w:val="single" w:sz="4" w:space="0" w:color="000000"/>
              <w:right w:val="single" w:sz="4" w:space="0" w:color="000000"/>
            </w:tcBorders>
            <w:shd w:val="clear" w:color="EFEFEF" w:fill="EFEFEF"/>
            <w:noWrap/>
            <w:vAlign w:val="bottom"/>
            <w:hideMark/>
          </w:tcPr>
          <w:p w14:paraId="6B73CE8E"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-£60,00,000</w:t>
            </w:r>
          </w:p>
        </w:tc>
        <w:tc>
          <w:tcPr>
            <w:tcW w:w="1152" w:type="pct"/>
            <w:tcBorders>
              <w:top w:val="nil"/>
              <w:left w:val="nil"/>
              <w:bottom w:val="nil"/>
              <w:right w:val="single" w:sz="4" w:space="0" w:color="000000"/>
            </w:tcBorders>
            <w:shd w:val="clear" w:color="EFEFEF" w:fill="EFEFEF"/>
            <w:noWrap/>
            <w:vAlign w:val="bottom"/>
            <w:hideMark/>
          </w:tcPr>
          <w:p w14:paraId="54C804E9"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0.735</w:t>
            </w:r>
          </w:p>
        </w:tc>
        <w:tc>
          <w:tcPr>
            <w:tcW w:w="1388" w:type="pct"/>
            <w:tcBorders>
              <w:top w:val="nil"/>
              <w:left w:val="nil"/>
              <w:bottom w:val="single" w:sz="4" w:space="0" w:color="000000"/>
              <w:right w:val="single" w:sz="4" w:space="0" w:color="000000"/>
            </w:tcBorders>
            <w:shd w:val="clear" w:color="EFEFEF" w:fill="EFEFEF"/>
            <w:noWrap/>
            <w:vAlign w:val="bottom"/>
            <w:hideMark/>
          </w:tcPr>
          <w:p w14:paraId="18714B12"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£80,85,000</w:t>
            </w:r>
          </w:p>
        </w:tc>
      </w:tr>
      <w:tr w:rsidR="00AA027D" w:rsidRPr="00D52564" w14:paraId="5B4B74CF" w14:textId="77777777" w:rsidTr="00F049CB">
        <w:trPr>
          <w:trHeight w:val="315"/>
          <w:jc w:val="center"/>
        </w:trPr>
        <w:tc>
          <w:tcPr>
            <w:tcW w:w="340" w:type="pct"/>
            <w:tcBorders>
              <w:top w:val="single" w:sz="4" w:space="0" w:color="000000"/>
              <w:left w:val="single" w:sz="4" w:space="0" w:color="000000"/>
              <w:bottom w:val="nil"/>
              <w:right w:val="single" w:sz="4" w:space="0" w:color="000000"/>
            </w:tcBorders>
            <w:shd w:val="clear" w:color="EFEFEF" w:fill="EFEFEF"/>
            <w:noWrap/>
            <w:vAlign w:val="bottom"/>
            <w:hideMark/>
          </w:tcPr>
          <w:p w14:paraId="0228071F"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w:t>
            </w:r>
          </w:p>
        </w:tc>
        <w:tc>
          <w:tcPr>
            <w:tcW w:w="956" w:type="pct"/>
            <w:tcBorders>
              <w:top w:val="nil"/>
              <w:left w:val="nil"/>
              <w:bottom w:val="single" w:sz="4" w:space="0" w:color="000000"/>
              <w:right w:val="single" w:sz="4" w:space="0" w:color="000000"/>
            </w:tcBorders>
            <w:shd w:val="clear" w:color="EFEFEF" w:fill="EFEFEF"/>
            <w:noWrap/>
            <w:vAlign w:val="bottom"/>
            <w:hideMark/>
          </w:tcPr>
          <w:p w14:paraId="54A5E84F"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£1,10,00,000</w:t>
            </w:r>
          </w:p>
        </w:tc>
        <w:tc>
          <w:tcPr>
            <w:tcW w:w="1164" w:type="pct"/>
            <w:tcBorders>
              <w:top w:val="nil"/>
              <w:left w:val="nil"/>
              <w:bottom w:val="nil"/>
              <w:right w:val="single" w:sz="4" w:space="0" w:color="000000"/>
            </w:tcBorders>
            <w:shd w:val="clear" w:color="EFEFEF" w:fill="EFEFEF"/>
            <w:noWrap/>
            <w:vAlign w:val="bottom"/>
            <w:hideMark/>
          </w:tcPr>
          <w:p w14:paraId="7BCDF371"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w:t>
            </w:r>
          </w:p>
        </w:tc>
        <w:tc>
          <w:tcPr>
            <w:tcW w:w="1152" w:type="pct"/>
            <w:tcBorders>
              <w:top w:val="single" w:sz="4" w:space="0" w:color="000000"/>
              <w:left w:val="nil"/>
              <w:bottom w:val="nil"/>
              <w:right w:val="single" w:sz="4" w:space="0" w:color="000000"/>
            </w:tcBorders>
            <w:shd w:val="clear" w:color="EFEFEF" w:fill="EFEFEF"/>
            <w:noWrap/>
            <w:vAlign w:val="bottom"/>
            <w:hideMark/>
          </w:tcPr>
          <w:p w14:paraId="2701379B"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0.681</w:t>
            </w:r>
          </w:p>
        </w:tc>
        <w:tc>
          <w:tcPr>
            <w:tcW w:w="1388" w:type="pct"/>
            <w:tcBorders>
              <w:top w:val="nil"/>
              <w:left w:val="nil"/>
              <w:bottom w:val="single" w:sz="4" w:space="0" w:color="000000"/>
              <w:right w:val="single" w:sz="4" w:space="0" w:color="000000"/>
            </w:tcBorders>
            <w:shd w:val="clear" w:color="EFEFEF" w:fill="EFEFEF"/>
            <w:noWrap/>
            <w:vAlign w:val="bottom"/>
            <w:hideMark/>
          </w:tcPr>
          <w:p w14:paraId="74BEEB07"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£74,91,000</w:t>
            </w:r>
          </w:p>
        </w:tc>
      </w:tr>
      <w:tr w:rsidR="00AA027D" w:rsidRPr="00D52564" w14:paraId="5C527704" w14:textId="77777777" w:rsidTr="00F049CB">
        <w:trPr>
          <w:trHeight w:val="315"/>
          <w:jc w:val="center"/>
        </w:trPr>
        <w:tc>
          <w:tcPr>
            <w:tcW w:w="3612" w:type="pct"/>
            <w:gridSpan w:val="4"/>
            <w:tcBorders>
              <w:top w:val="single" w:sz="4" w:space="0" w:color="auto"/>
              <w:left w:val="single" w:sz="4" w:space="0" w:color="auto"/>
              <w:bottom w:val="single" w:sz="4" w:space="0" w:color="auto"/>
              <w:right w:val="single" w:sz="4" w:space="0" w:color="auto"/>
            </w:tcBorders>
            <w:shd w:val="clear" w:color="DD7E6B" w:fill="FFC599"/>
            <w:noWrap/>
            <w:vAlign w:val="bottom"/>
            <w:hideMark/>
          </w:tcPr>
          <w:p w14:paraId="78CD2068"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NPV</w:t>
            </w:r>
          </w:p>
        </w:tc>
        <w:tc>
          <w:tcPr>
            <w:tcW w:w="1388" w:type="pct"/>
            <w:tcBorders>
              <w:top w:val="nil"/>
              <w:left w:val="nil"/>
              <w:bottom w:val="single" w:sz="4" w:space="0" w:color="auto"/>
              <w:right w:val="single" w:sz="4" w:space="0" w:color="auto"/>
            </w:tcBorders>
            <w:shd w:val="clear" w:color="DD7E6B" w:fill="FFC599"/>
            <w:noWrap/>
            <w:vAlign w:val="bottom"/>
            <w:hideMark/>
          </w:tcPr>
          <w:p w14:paraId="7061359B"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-£60,77,000</w:t>
            </w:r>
          </w:p>
        </w:tc>
      </w:tr>
      <w:tr w:rsidR="00AA027D" w:rsidRPr="00D52564" w14:paraId="2DA49AE3" w14:textId="77777777" w:rsidTr="00F049CB">
        <w:trPr>
          <w:trHeight w:val="315"/>
          <w:jc w:val="center"/>
        </w:trPr>
        <w:tc>
          <w:tcPr>
            <w:tcW w:w="3612" w:type="pct"/>
            <w:gridSpan w:val="4"/>
            <w:vMerge w:val="restart"/>
            <w:tcBorders>
              <w:top w:val="single" w:sz="4" w:space="0" w:color="auto"/>
              <w:left w:val="single" w:sz="4" w:space="0" w:color="auto"/>
              <w:bottom w:val="single" w:sz="4" w:space="0" w:color="auto"/>
              <w:right w:val="single" w:sz="4" w:space="0" w:color="auto"/>
            </w:tcBorders>
            <w:shd w:val="clear" w:color="DD7E6B" w:fill="FFC599"/>
            <w:noWrap/>
            <w:vAlign w:val="bottom"/>
            <w:hideMark/>
          </w:tcPr>
          <w:p w14:paraId="62ACAA18"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Payback Period</w:t>
            </w:r>
          </w:p>
        </w:tc>
        <w:tc>
          <w:tcPr>
            <w:tcW w:w="1388" w:type="pct"/>
            <w:tcBorders>
              <w:top w:val="nil"/>
              <w:left w:val="nil"/>
              <w:bottom w:val="single" w:sz="4" w:space="0" w:color="auto"/>
              <w:right w:val="single" w:sz="4" w:space="0" w:color="auto"/>
            </w:tcBorders>
            <w:shd w:val="clear" w:color="DD7E6B" w:fill="FFC599"/>
            <w:noWrap/>
            <w:vAlign w:val="bottom"/>
            <w:hideMark/>
          </w:tcPr>
          <w:p w14:paraId="15064C2A"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4.55</w:t>
            </w:r>
          </w:p>
        </w:tc>
      </w:tr>
      <w:tr w:rsidR="00AA027D" w:rsidRPr="00D52564" w14:paraId="32D3C1AE" w14:textId="77777777" w:rsidTr="00F049CB">
        <w:trPr>
          <w:trHeight w:val="315"/>
          <w:jc w:val="center"/>
        </w:trPr>
        <w:tc>
          <w:tcPr>
            <w:tcW w:w="3612" w:type="pct"/>
            <w:gridSpan w:val="4"/>
            <w:vMerge/>
            <w:tcBorders>
              <w:top w:val="single" w:sz="4" w:space="0" w:color="auto"/>
              <w:left w:val="single" w:sz="4" w:space="0" w:color="auto"/>
              <w:bottom w:val="single" w:sz="4" w:space="0" w:color="auto"/>
              <w:right w:val="single" w:sz="4" w:space="0" w:color="auto"/>
            </w:tcBorders>
            <w:vAlign w:val="center"/>
            <w:hideMark/>
          </w:tcPr>
          <w:p w14:paraId="1ED6AFB6" w14:textId="77777777" w:rsidR="00AA027D" w:rsidRPr="00D52564" w:rsidRDefault="00AA027D" w:rsidP="00D52564">
            <w:pPr>
              <w:spacing w:before="240" w:after="240"/>
              <w:rPr>
                <w:rFonts w:ascii="Arial" w:hAnsi="Arial"/>
                <w:b/>
                <w:bCs/>
                <w:color w:val="000000"/>
                <w:szCs w:val="20"/>
                <w:lang w:val="en-GB"/>
              </w:rPr>
            </w:pPr>
          </w:p>
        </w:tc>
        <w:tc>
          <w:tcPr>
            <w:tcW w:w="1388" w:type="pct"/>
            <w:tcBorders>
              <w:top w:val="nil"/>
              <w:left w:val="nil"/>
              <w:bottom w:val="single" w:sz="4" w:space="0" w:color="auto"/>
              <w:right w:val="single" w:sz="4" w:space="0" w:color="auto"/>
            </w:tcBorders>
            <w:shd w:val="clear" w:color="DD7E6B" w:fill="FFC599"/>
            <w:noWrap/>
            <w:vAlign w:val="bottom"/>
            <w:hideMark/>
          </w:tcPr>
          <w:p w14:paraId="2D1FAA44"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4 Years 6 Months 17 Days</w:t>
            </w:r>
          </w:p>
        </w:tc>
      </w:tr>
      <w:tr w:rsidR="00AA027D" w:rsidRPr="00D52564" w14:paraId="087464EB" w14:textId="77777777" w:rsidTr="00F049CB">
        <w:trPr>
          <w:trHeight w:val="315"/>
          <w:jc w:val="center"/>
        </w:trPr>
        <w:tc>
          <w:tcPr>
            <w:tcW w:w="3612" w:type="pct"/>
            <w:gridSpan w:val="4"/>
            <w:tcBorders>
              <w:top w:val="single" w:sz="4" w:space="0" w:color="auto"/>
              <w:left w:val="single" w:sz="4" w:space="0" w:color="auto"/>
              <w:bottom w:val="single" w:sz="4" w:space="0" w:color="auto"/>
              <w:right w:val="single" w:sz="4" w:space="0" w:color="auto"/>
            </w:tcBorders>
            <w:shd w:val="clear" w:color="DD7E6B" w:fill="FFC599"/>
            <w:noWrap/>
            <w:vAlign w:val="bottom"/>
            <w:hideMark/>
          </w:tcPr>
          <w:p w14:paraId="00B9F4ED"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IRR</w:t>
            </w:r>
          </w:p>
        </w:tc>
        <w:tc>
          <w:tcPr>
            <w:tcW w:w="1388" w:type="pct"/>
            <w:tcBorders>
              <w:top w:val="nil"/>
              <w:left w:val="nil"/>
              <w:bottom w:val="single" w:sz="4" w:space="0" w:color="auto"/>
              <w:right w:val="single" w:sz="4" w:space="0" w:color="auto"/>
            </w:tcBorders>
            <w:shd w:val="clear" w:color="DD7E6B" w:fill="FFC599"/>
            <w:noWrap/>
            <w:vAlign w:val="bottom"/>
            <w:hideMark/>
          </w:tcPr>
          <w:p w14:paraId="78F5CADC"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3.26%</w:t>
            </w:r>
          </w:p>
        </w:tc>
      </w:tr>
    </w:tbl>
    <w:p w14:paraId="6E276C3F" w14:textId="2FA68C1E" w:rsidR="00CF4C6E" w:rsidRPr="00D52564" w:rsidRDefault="00CF4C6E" w:rsidP="00F049CB">
      <w:pPr>
        <w:spacing w:before="240" w:after="240"/>
        <w:jc w:val="center"/>
        <w:rPr>
          <w:rFonts w:ascii="Arial" w:hAnsi="Arial"/>
          <w:b/>
          <w:bCs/>
          <w:lang w:val="en-GB"/>
        </w:rPr>
      </w:pPr>
      <w:r w:rsidRPr="00D52564">
        <w:rPr>
          <w:rFonts w:ascii="Arial" w:hAnsi="Arial"/>
          <w:b/>
          <w:bCs/>
          <w:lang w:val="en-GB"/>
        </w:rPr>
        <w:t>Table 2.3: NPV, IRR and Payback Period of Project B</w:t>
      </w:r>
    </w:p>
    <w:p w14:paraId="792605E1" w14:textId="6E4DCCB7" w:rsidR="00AA027D" w:rsidRPr="00D52564" w:rsidRDefault="00CF4C6E" w:rsidP="00F049CB">
      <w:pPr>
        <w:spacing w:before="240" w:after="240"/>
        <w:jc w:val="center"/>
        <w:rPr>
          <w:rFonts w:ascii="Arial" w:hAnsi="Arial"/>
          <w:lang w:val="en-GB"/>
        </w:rPr>
      </w:pPr>
      <w:r w:rsidRPr="00D52564">
        <w:rPr>
          <w:rFonts w:ascii="Arial" w:hAnsi="Arial"/>
          <w:lang w:val="en-GB"/>
        </w:rPr>
        <w:t>(Source: Excel Output)</w:t>
      </w:r>
    </w:p>
    <w:tbl>
      <w:tblPr>
        <w:tblW w:w="5000" w:type="pct"/>
        <w:jc w:val="center"/>
        <w:tblLook w:val="04A0" w:firstRow="1" w:lastRow="0" w:firstColumn="1" w:lastColumn="0" w:noHBand="0" w:noVBand="1"/>
      </w:tblPr>
      <w:tblGrid>
        <w:gridCol w:w="642"/>
        <w:gridCol w:w="1808"/>
        <w:gridCol w:w="2202"/>
        <w:gridCol w:w="2180"/>
        <w:gridCol w:w="2518"/>
      </w:tblGrid>
      <w:tr w:rsidR="00AA027D" w:rsidRPr="00D52564" w14:paraId="5FC8C252" w14:textId="77777777" w:rsidTr="00F049CB">
        <w:trPr>
          <w:trHeight w:val="315"/>
          <w:jc w:val="center"/>
        </w:trPr>
        <w:tc>
          <w:tcPr>
            <w:tcW w:w="5000" w:type="pct"/>
            <w:gridSpan w:val="5"/>
            <w:tcBorders>
              <w:top w:val="single" w:sz="4" w:space="0" w:color="000000"/>
              <w:left w:val="single" w:sz="4" w:space="0" w:color="000000"/>
              <w:bottom w:val="single" w:sz="4" w:space="0" w:color="000000"/>
              <w:right w:val="single" w:sz="4" w:space="0" w:color="000000"/>
            </w:tcBorders>
            <w:shd w:val="clear" w:color="EA9999" w:fill="FEA767"/>
            <w:noWrap/>
            <w:vAlign w:val="bottom"/>
            <w:hideMark/>
          </w:tcPr>
          <w:p w14:paraId="1DDA6E5E"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Project C</w:t>
            </w:r>
          </w:p>
        </w:tc>
      </w:tr>
      <w:tr w:rsidR="00AA027D" w:rsidRPr="00D52564" w14:paraId="7F2DA44C" w14:textId="77777777" w:rsidTr="00F049CB">
        <w:trPr>
          <w:trHeight w:val="315"/>
          <w:jc w:val="center"/>
        </w:trPr>
        <w:tc>
          <w:tcPr>
            <w:tcW w:w="343" w:type="pct"/>
            <w:tcBorders>
              <w:top w:val="nil"/>
              <w:left w:val="single" w:sz="4" w:space="0" w:color="000000"/>
              <w:bottom w:val="single" w:sz="4" w:space="0" w:color="000000"/>
              <w:right w:val="single" w:sz="4" w:space="0" w:color="000000"/>
            </w:tcBorders>
            <w:shd w:val="clear" w:color="FFD966" w:fill="FFD966"/>
            <w:noWrap/>
            <w:vAlign w:val="bottom"/>
            <w:hideMark/>
          </w:tcPr>
          <w:p w14:paraId="33D3AA24"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lastRenderedPageBreak/>
              <w:t>Year</w:t>
            </w:r>
          </w:p>
        </w:tc>
        <w:tc>
          <w:tcPr>
            <w:tcW w:w="967" w:type="pct"/>
            <w:tcBorders>
              <w:top w:val="nil"/>
              <w:left w:val="nil"/>
              <w:bottom w:val="single" w:sz="4" w:space="0" w:color="000000"/>
              <w:right w:val="single" w:sz="4" w:space="0" w:color="000000"/>
            </w:tcBorders>
            <w:shd w:val="clear" w:color="FFD966" w:fill="FFD966"/>
            <w:noWrap/>
            <w:vAlign w:val="bottom"/>
            <w:hideMark/>
          </w:tcPr>
          <w:p w14:paraId="5A330590"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Annual Cashflow</w:t>
            </w:r>
          </w:p>
        </w:tc>
        <w:tc>
          <w:tcPr>
            <w:tcW w:w="1178" w:type="pct"/>
            <w:tcBorders>
              <w:top w:val="nil"/>
              <w:left w:val="nil"/>
              <w:bottom w:val="single" w:sz="4" w:space="0" w:color="000000"/>
              <w:right w:val="single" w:sz="4" w:space="0" w:color="000000"/>
            </w:tcBorders>
            <w:shd w:val="clear" w:color="FFD966" w:fill="FFD966"/>
            <w:noWrap/>
            <w:vAlign w:val="bottom"/>
            <w:hideMark/>
          </w:tcPr>
          <w:p w14:paraId="72694106"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Cumulative Cashflow</w:t>
            </w:r>
          </w:p>
        </w:tc>
        <w:tc>
          <w:tcPr>
            <w:tcW w:w="1166" w:type="pct"/>
            <w:tcBorders>
              <w:top w:val="nil"/>
              <w:left w:val="nil"/>
              <w:bottom w:val="single" w:sz="4" w:space="0" w:color="000000"/>
              <w:right w:val="single" w:sz="4" w:space="0" w:color="000000"/>
            </w:tcBorders>
            <w:shd w:val="clear" w:color="FFD966" w:fill="FFD966"/>
            <w:noWrap/>
            <w:vAlign w:val="bottom"/>
            <w:hideMark/>
          </w:tcPr>
          <w:p w14:paraId="4AF0699B"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Discount Factor (8%)</w:t>
            </w:r>
          </w:p>
        </w:tc>
        <w:tc>
          <w:tcPr>
            <w:tcW w:w="1347" w:type="pct"/>
            <w:tcBorders>
              <w:top w:val="nil"/>
              <w:left w:val="nil"/>
              <w:bottom w:val="single" w:sz="4" w:space="0" w:color="000000"/>
              <w:right w:val="single" w:sz="4" w:space="0" w:color="000000"/>
            </w:tcBorders>
            <w:shd w:val="clear" w:color="FFD966" w:fill="FFD966"/>
            <w:noWrap/>
            <w:vAlign w:val="bottom"/>
            <w:hideMark/>
          </w:tcPr>
          <w:p w14:paraId="041044D7"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Discounted Cash Flow</w:t>
            </w:r>
          </w:p>
        </w:tc>
      </w:tr>
      <w:tr w:rsidR="00AA027D" w:rsidRPr="00D52564" w14:paraId="1E15CEE6" w14:textId="77777777" w:rsidTr="00F049CB">
        <w:trPr>
          <w:trHeight w:val="315"/>
          <w:jc w:val="center"/>
        </w:trPr>
        <w:tc>
          <w:tcPr>
            <w:tcW w:w="343" w:type="pct"/>
            <w:tcBorders>
              <w:top w:val="nil"/>
              <w:left w:val="single" w:sz="4" w:space="0" w:color="000000"/>
              <w:bottom w:val="single" w:sz="4" w:space="0" w:color="000000"/>
              <w:right w:val="single" w:sz="4" w:space="0" w:color="000000"/>
            </w:tcBorders>
            <w:shd w:val="clear" w:color="EFEFEF" w:fill="EFEFEF"/>
            <w:noWrap/>
            <w:vAlign w:val="bottom"/>
            <w:hideMark/>
          </w:tcPr>
          <w:p w14:paraId="150500A8"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w:t>
            </w:r>
          </w:p>
        </w:tc>
        <w:tc>
          <w:tcPr>
            <w:tcW w:w="967" w:type="pct"/>
            <w:tcBorders>
              <w:top w:val="nil"/>
              <w:left w:val="nil"/>
              <w:bottom w:val="single" w:sz="4" w:space="0" w:color="000000"/>
              <w:right w:val="single" w:sz="4" w:space="0" w:color="000000"/>
            </w:tcBorders>
            <w:shd w:val="clear" w:color="EFEFEF" w:fill="EFEFEF"/>
            <w:noWrap/>
            <w:vAlign w:val="bottom"/>
            <w:hideMark/>
          </w:tcPr>
          <w:p w14:paraId="7BF6E90C"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-£5,00,00,000</w:t>
            </w:r>
          </w:p>
        </w:tc>
        <w:tc>
          <w:tcPr>
            <w:tcW w:w="1178" w:type="pct"/>
            <w:tcBorders>
              <w:top w:val="nil"/>
              <w:left w:val="nil"/>
              <w:bottom w:val="single" w:sz="4" w:space="0" w:color="000000"/>
              <w:right w:val="single" w:sz="4" w:space="0" w:color="000000"/>
            </w:tcBorders>
            <w:shd w:val="clear" w:color="EFEFEF" w:fill="EFEFEF"/>
            <w:noWrap/>
            <w:vAlign w:val="bottom"/>
            <w:hideMark/>
          </w:tcPr>
          <w:p w14:paraId="4A575E28"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-£5,00,00,000</w:t>
            </w:r>
          </w:p>
        </w:tc>
        <w:tc>
          <w:tcPr>
            <w:tcW w:w="1166" w:type="pct"/>
            <w:tcBorders>
              <w:top w:val="nil"/>
              <w:left w:val="nil"/>
              <w:bottom w:val="single" w:sz="4" w:space="0" w:color="000000"/>
              <w:right w:val="single" w:sz="4" w:space="0" w:color="000000"/>
            </w:tcBorders>
            <w:shd w:val="clear" w:color="EFEFEF" w:fill="EFEFEF"/>
            <w:noWrap/>
            <w:vAlign w:val="bottom"/>
            <w:hideMark/>
          </w:tcPr>
          <w:p w14:paraId="14C3F47C"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w:t>
            </w:r>
          </w:p>
        </w:tc>
        <w:tc>
          <w:tcPr>
            <w:tcW w:w="1347" w:type="pct"/>
            <w:tcBorders>
              <w:top w:val="nil"/>
              <w:left w:val="nil"/>
              <w:bottom w:val="single" w:sz="4" w:space="0" w:color="000000"/>
              <w:right w:val="single" w:sz="4" w:space="0" w:color="000000"/>
            </w:tcBorders>
            <w:shd w:val="clear" w:color="EFEFEF" w:fill="EFEFEF"/>
            <w:noWrap/>
            <w:vAlign w:val="bottom"/>
            <w:hideMark/>
          </w:tcPr>
          <w:p w14:paraId="3C86E541"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-£5,00,00,000</w:t>
            </w:r>
          </w:p>
        </w:tc>
      </w:tr>
      <w:tr w:rsidR="00AA027D" w:rsidRPr="00D52564" w14:paraId="3C0E68DC" w14:textId="77777777" w:rsidTr="00F049CB">
        <w:trPr>
          <w:trHeight w:val="315"/>
          <w:jc w:val="center"/>
        </w:trPr>
        <w:tc>
          <w:tcPr>
            <w:tcW w:w="343" w:type="pct"/>
            <w:tcBorders>
              <w:top w:val="nil"/>
              <w:left w:val="single" w:sz="4" w:space="0" w:color="000000"/>
              <w:bottom w:val="single" w:sz="4" w:space="0" w:color="000000"/>
              <w:right w:val="single" w:sz="4" w:space="0" w:color="000000"/>
            </w:tcBorders>
            <w:shd w:val="clear" w:color="EFEFEF" w:fill="EFEFEF"/>
            <w:noWrap/>
            <w:vAlign w:val="bottom"/>
            <w:hideMark/>
          </w:tcPr>
          <w:p w14:paraId="45AF10B1"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w:t>
            </w:r>
          </w:p>
        </w:tc>
        <w:tc>
          <w:tcPr>
            <w:tcW w:w="967" w:type="pct"/>
            <w:tcBorders>
              <w:top w:val="nil"/>
              <w:left w:val="nil"/>
              <w:bottom w:val="single" w:sz="4" w:space="0" w:color="000000"/>
              <w:right w:val="single" w:sz="4" w:space="0" w:color="000000"/>
            </w:tcBorders>
            <w:shd w:val="clear" w:color="EFEFEF" w:fill="EFEFEF"/>
            <w:noWrap/>
            <w:vAlign w:val="bottom"/>
            <w:hideMark/>
          </w:tcPr>
          <w:p w14:paraId="6820268C"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w:t>
            </w:r>
          </w:p>
        </w:tc>
        <w:tc>
          <w:tcPr>
            <w:tcW w:w="1178" w:type="pct"/>
            <w:tcBorders>
              <w:top w:val="nil"/>
              <w:left w:val="nil"/>
              <w:bottom w:val="single" w:sz="4" w:space="0" w:color="000000"/>
              <w:right w:val="single" w:sz="4" w:space="0" w:color="000000"/>
            </w:tcBorders>
            <w:shd w:val="clear" w:color="EFEFEF" w:fill="EFEFEF"/>
            <w:noWrap/>
            <w:vAlign w:val="bottom"/>
            <w:hideMark/>
          </w:tcPr>
          <w:p w14:paraId="3473B74E"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-£4,50,00,000</w:t>
            </w:r>
          </w:p>
        </w:tc>
        <w:tc>
          <w:tcPr>
            <w:tcW w:w="1166" w:type="pct"/>
            <w:tcBorders>
              <w:top w:val="nil"/>
              <w:left w:val="nil"/>
              <w:bottom w:val="single" w:sz="4" w:space="0" w:color="000000"/>
              <w:right w:val="single" w:sz="4" w:space="0" w:color="000000"/>
            </w:tcBorders>
            <w:shd w:val="clear" w:color="EFEFEF" w:fill="EFEFEF"/>
            <w:noWrap/>
            <w:vAlign w:val="bottom"/>
            <w:hideMark/>
          </w:tcPr>
          <w:p w14:paraId="564BFB22"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0.926</w:t>
            </w:r>
          </w:p>
        </w:tc>
        <w:tc>
          <w:tcPr>
            <w:tcW w:w="1347" w:type="pct"/>
            <w:tcBorders>
              <w:top w:val="nil"/>
              <w:left w:val="nil"/>
              <w:bottom w:val="single" w:sz="4" w:space="0" w:color="000000"/>
              <w:right w:val="single" w:sz="4" w:space="0" w:color="000000"/>
            </w:tcBorders>
            <w:shd w:val="clear" w:color="EFEFEF" w:fill="EFEFEF"/>
            <w:noWrap/>
            <w:vAlign w:val="bottom"/>
            <w:hideMark/>
          </w:tcPr>
          <w:p w14:paraId="3BEE325A"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£46,30,000</w:t>
            </w:r>
          </w:p>
        </w:tc>
      </w:tr>
      <w:tr w:rsidR="00AA027D" w:rsidRPr="00D52564" w14:paraId="573CB4F7" w14:textId="77777777" w:rsidTr="00F049CB">
        <w:trPr>
          <w:trHeight w:val="315"/>
          <w:jc w:val="center"/>
        </w:trPr>
        <w:tc>
          <w:tcPr>
            <w:tcW w:w="343" w:type="pct"/>
            <w:tcBorders>
              <w:top w:val="nil"/>
              <w:left w:val="single" w:sz="4" w:space="0" w:color="000000"/>
              <w:bottom w:val="single" w:sz="4" w:space="0" w:color="000000"/>
              <w:right w:val="single" w:sz="4" w:space="0" w:color="000000"/>
            </w:tcBorders>
            <w:shd w:val="clear" w:color="EFEFEF" w:fill="EFEFEF"/>
            <w:noWrap/>
            <w:vAlign w:val="bottom"/>
            <w:hideMark/>
          </w:tcPr>
          <w:p w14:paraId="0FD98250"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2</w:t>
            </w:r>
          </w:p>
        </w:tc>
        <w:tc>
          <w:tcPr>
            <w:tcW w:w="967" w:type="pct"/>
            <w:tcBorders>
              <w:top w:val="nil"/>
              <w:left w:val="nil"/>
              <w:bottom w:val="single" w:sz="4" w:space="0" w:color="000000"/>
              <w:right w:val="single" w:sz="4" w:space="0" w:color="000000"/>
            </w:tcBorders>
            <w:shd w:val="clear" w:color="EFEFEF" w:fill="EFEFEF"/>
            <w:noWrap/>
            <w:vAlign w:val="bottom"/>
            <w:hideMark/>
          </w:tcPr>
          <w:p w14:paraId="2668E7FE"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£1,00,00,000</w:t>
            </w:r>
          </w:p>
        </w:tc>
        <w:tc>
          <w:tcPr>
            <w:tcW w:w="1178" w:type="pct"/>
            <w:tcBorders>
              <w:top w:val="nil"/>
              <w:left w:val="nil"/>
              <w:bottom w:val="single" w:sz="4" w:space="0" w:color="000000"/>
              <w:right w:val="single" w:sz="4" w:space="0" w:color="000000"/>
            </w:tcBorders>
            <w:shd w:val="clear" w:color="EFEFEF" w:fill="EFEFEF"/>
            <w:noWrap/>
            <w:vAlign w:val="bottom"/>
            <w:hideMark/>
          </w:tcPr>
          <w:p w14:paraId="2198C634"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-£3,50,00,000</w:t>
            </w:r>
          </w:p>
        </w:tc>
        <w:tc>
          <w:tcPr>
            <w:tcW w:w="1166" w:type="pct"/>
            <w:tcBorders>
              <w:top w:val="nil"/>
              <w:left w:val="nil"/>
              <w:bottom w:val="single" w:sz="4" w:space="0" w:color="000000"/>
              <w:right w:val="single" w:sz="4" w:space="0" w:color="000000"/>
            </w:tcBorders>
            <w:shd w:val="clear" w:color="EFEFEF" w:fill="EFEFEF"/>
            <w:noWrap/>
            <w:vAlign w:val="bottom"/>
            <w:hideMark/>
          </w:tcPr>
          <w:p w14:paraId="7CF884F0"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0.857</w:t>
            </w:r>
          </w:p>
        </w:tc>
        <w:tc>
          <w:tcPr>
            <w:tcW w:w="1347" w:type="pct"/>
            <w:tcBorders>
              <w:top w:val="nil"/>
              <w:left w:val="nil"/>
              <w:bottom w:val="single" w:sz="4" w:space="0" w:color="000000"/>
              <w:right w:val="single" w:sz="4" w:space="0" w:color="000000"/>
            </w:tcBorders>
            <w:shd w:val="clear" w:color="EFEFEF" w:fill="EFEFEF"/>
            <w:noWrap/>
            <w:vAlign w:val="bottom"/>
            <w:hideMark/>
          </w:tcPr>
          <w:p w14:paraId="6510F966"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£85,70,000</w:t>
            </w:r>
          </w:p>
        </w:tc>
      </w:tr>
      <w:tr w:rsidR="00AA027D" w:rsidRPr="00D52564" w14:paraId="5FBC10B5" w14:textId="77777777" w:rsidTr="00F049CB">
        <w:trPr>
          <w:trHeight w:val="315"/>
          <w:jc w:val="center"/>
        </w:trPr>
        <w:tc>
          <w:tcPr>
            <w:tcW w:w="343" w:type="pct"/>
            <w:tcBorders>
              <w:top w:val="nil"/>
              <w:left w:val="single" w:sz="4" w:space="0" w:color="000000"/>
              <w:bottom w:val="single" w:sz="4" w:space="0" w:color="000000"/>
              <w:right w:val="single" w:sz="4" w:space="0" w:color="000000"/>
            </w:tcBorders>
            <w:shd w:val="clear" w:color="EFEFEF" w:fill="EFEFEF"/>
            <w:noWrap/>
            <w:vAlign w:val="bottom"/>
            <w:hideMark/>
          </w:tcPr>
          <w:p w14:paraId="4EF74BAF"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3</w:t>
            </w:r>
          </w:p>
        </w:tc>
        <w:tc>
          <w:tcPr>
            <w:tcW w:w="967" w:type="pct"/>
            <w:tcBorders>
              <w:top w:val="nil"/>
              <w:left w:val="nil"/>
              <w:bottom w:val="single" w:sz="4" w:space="0" w:color="000000"/>
              <w:right w:val="single" w:sz="4" w:space="0" w:color="000000"/>
            </w:tcBorders>
            <w:shd w:val="clear" w:color="EFEFEF" w:fill="EFEFEF"/>
            <w:noWrap/>
            <w:vAlign w:val="bottom"/>
            <w:hideMark/>
          </w:tcPr>
          <w:p w14:paraId="001F5E42"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£2,00,00,000</w:t>
            </w:r>
          </w:p>
        </w:tc>
        <w:tc>
          <w:tcPr>
            <w:tcW w:w="1178" w:type="pct"/>
            <w:tcBorders>
              <w:top w:val="nil"/>
              <w:left w:val="nil"/>
              <w:bottom w:val="single" w:sz="4" w:space="0" w:color="000000"/>
              <w:right w:val="single" w:sz="4" w:space="0" w:color="000000"/>
            </w:tcBorders>
            <w:shd w:val="clear" w:color="EFEFEF" w:fill="EFEFEF"/>
            <w:noWrap/>
            <w:vAlign w:val="bottom"/>
            <w:hideMark/>
          </w:tcPr>
          <w:p w14:paraId="4E6FA9BF"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-£1,50,00,000</w:t>
            </w:r>
          </w:p>
        </w:tc>
        <w:tc>
          <w:tcPr>
            <w:tcW w:w="1166" w:type="pct"/>
            <w:tcBorders>
              <w:top w:val="nil"/>
              <w:left w:val="nil"/>
              <w:bottom w:val="single" w:sz="4" w:space="0" w:color="000000"/>
              <w:right w:val="single" w:sz="4" w:space="0" w:color="000000"/>
            </w:tcBorders>
            <w:shd w:val="clear" w:color="EFEFEF" w:fill="EFEFEF"/>
            <w:noWrap/>
            <w:vAlign w:val="bottom"/>
            <w:hideMark/>
          </w:tcPr>
          <w:p w14:paraId="2CCFDED4"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0.794</w:t>
            </w:r>
          </w:p>
        </w:tc>
        <w:tc>
          <w:tcPr>
            <w:tcW w:w="1347" w:type="pct"/>
            <w:tcBorders>
              <w:top w:val="nil"/>
              <w:left w:val="nil"/>
              <w:bottom w:val="single" w:sz="4" w:space="0" w:color="000000"/>
              <w:right w:val="single" w:sz="4" w:space="0" w:color="000000"/>
            </w:tcBorders>
            <w:shd w:val="clear" w:color="EFEFEF" w:fill="EFEFEF"/>
            <w:noWrap/>
            <w:vAlign w:val="bottom"/>
            <w:hideMark/>
          </w:tcPr>
          <w:p w14:paraId="3DA43618"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£1,58,80,000</w:t>
            </w:r>
          </w:p>
        </w:tc>
      </w:tr>
      <w:tr w:rsidR="00AA027D" w:rsidRPr="00D52564" w14:paraId="57196D85" w14:textId="77777777" w:rsidTr="00F049CB">
        <w:trPr>
          <w:trHeight w:val="315"/>
          <w:jc w:val="center"/>
        </w:trPr>
        <w:tc>
          <w:tcPr>
            <w:tcW w:w="343" w:type="pct"/>
            <w:tcBorders>
              <w:top w:val="nil"/>
              <w:left w:val="single" w:sz="4" w:space="0" w:color="000000"/>
              <w:bottom w:val="nil"/>
              <w:right w:val="single" w:sz="4" w:space="0" w:color="000000"/>
            </w:tcBorders>
            <w:shd w:val="clear" w:color="EFEFEF" w:fill="EFEFEF"/>
            <w:noWrap/>
            <w:vAlign w:val="bottom"/>
            <w:hideMark/>
          </w:tcPr>
          <w:p w14:paraId="4CD9CF5D"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4</w:t>
            </w:r>
          </w:p>
        </w:tc>
        <w:tc>
          <w:tcPr>
            <w:tcW w:w="967" w:type="pct"/>
            <w:tcBorders>
              <w:top w:val="nil"/>
              <w:left w:val="nil"/>
              <w:bottom w:val="single" w:sz="4" w:space="0" w:color="000000"/>
              <w:right w:val="single" w:sz="4" w:space="0" w:color="000000"/>
            </w:tcBorders>
            <w:shd w:val="clear" w:color="EFEFEF" w:fill="EFEFEF"/>
            <w:noWrap/>
            <w:vAlign w:val="bottom"/>
            <w:hideMark/>
          </w:tcPr>
          <w:p w14:paraId="5AF4F3EE"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£2,50,00,000</w:t>
            </w:r>
          </w:p>
        </w:tc>
        <w:tc>
          <w:tcPr>
            <w:tcW w:w="1178" w:type="pct"/>
            <w:tcBorders>
              <w:top w:val="nil"/>
              <w:left w:val="nil"/>
              <w:bottom w:val="single" w:sz="4" w:space="0" w:color="000000"/>
              <w:right w:val="single" w:sz="4" w:space="0" w:color="000000"/>
            </w:tcBorders>
            <w:shd w:val="clear" w:color="EFEFEF" w:fill="EFEFEF"/>
            <w:noWrap/>
            <w:vAlign w:val="bottom"/>
            <w:hideMark/>
          </w:tcPr>
          <w:p w14:paraId="023EE6CE"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£1,00,00,000</w:t>
            </w:r>
          </w:p>
        </w:tc>
        <w:tc>
          <w:tcPr>
            <w:tcW w:w="1166" w:type="pct"/>
            <w:tcBorders>
              <w:top w:val="nil"/>
              <w:left w:val="nil"/>
              <w:bottom w:val="nil"/>
              <w:right w:val="single" w:sz="4" w:space="0" w:color="000000"/>
            </w:tcBorders>
            <w:shd w:val="clear" w:color="EFEFEF" w:fill="EFEFEF"/>
            <w:noWrap/>
            <w:vAlign w:val="bottom"/>
            <w:hideMark/>
          </w:tcPr>
          <w:p w14:paraId="42290B2F"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0.735</w:t>
            </w:r>
          </w:p>
        </w:tc>
        <w:tc>
          <w:tcPr>
            <w:tcW w:w="1347" w:type="pct"/>
            <w:tcBorders>
              <w:top w:val="nil"/>
              <w:left w:val="nil"/>
              <w:bottom w:val="single" w:sz="4" w:space="0" w:color="000000"/>
              <w:right w:val="single" w:sz="4" w:space="0" w:color="000000"/>
            </w:tcBorders>
            <w:shd w:val="clear" w:color="EFEFEF" w:fill="EFEFEF"/>
            <w:noWrap/>
            <w:vAlign w:val="bottom"/>
            <w:hideMark/>
          </w:tcPr>
          <w:p w14:paraId="3B9ED335"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£1,83,75,000</w:t>
            </w:r>
          </w:p>
        </w:tc>
      </w:tr>
      <w:tr w:rsidR="00AA027D" w:rsidRPr="00D52564" w14:paraId="6C88E33D" w14:textId="77777777" w:rsidTr="00F049CB">
        <w:trPr>
          <w:trHeight w:val="315"/>
          <w:jc w:val="center"/>
        </w:trPr>
        <w:tc>
          <w:tcPr>
            <w:tcW w:w="343" w:type="pct"/>
            <w:tcBorders>
              <w:top w:val="single" w:sz="4" w:space="0" w:color="000000"/>
              <w:left w:val="single" w:sz="4" w:space="0" w:color="000000"/>
              <w:bottom w:val="nil"/>
              <w:right w:val="single" w:sz="4" w:space="0" w:color="000000"/>
            </w:tcBorders>
            <w:shd w:val="clear" w:color="EFEFEF" w:fill="EFEFEF"/>
            <w:noWrap/>
            <w:vAlign w:val="bottom"/>
            <w:hideMark/>
          </w:tcPr>
          <w:p w14:paraId="058B7C49"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w:t>
            </w:r>
          </w:p>
        </w:tc>
        <w:tc>
          <w:tcPr>
            <w:tcW w:w="967" w:type="pct"/>
            <w:tcBorders>
              <w:top w:val="nil"/>
              <w:left w:val="nil"/>
              <w:bottom w:val="single" w:sz="4" w:space="0" w:color="000000"/>
              <w:right w:val="single" w:sz="4" w:space="0" w:color="000000"/>
            </w:tcBorders>
            <w:shd w:val="clear" w:color="EFEFEF" w:fill="EFEFEF"/>
            <w:noWrap/>
            <w:vAlign w:val="bottom"/>
            <w:hideMark/>
          </w:tcPr>
          <w:p w14:paraId="532B9E63"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£50,00,000</w:t>
            </w:r>
          </w:p>
        </w:tc>
        <w:tc>
          <w:tcPr>
            <w:tcW w:w="1178" w:type="pct"/>
            <w:tcBorders>
              <w:top w:val="nil"/>
              <w:left w:val="nil"/>
              <w:bottom w:val="nil"/>
              <w:right w:val="single" w:sz="4" w:space="0" w:color="000000"/>
            </w:tcBorders>
            <w:shd w:val="clear" w:color="EFEFEF" w:fill="EFEFEF"/>
            <w:noWrap/>
            <w:vAlign w:val="bottom"/>
            <w:hideMark/>
          </w:tcPr>
          <w:p w14:paraId="4B6819B3"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£1,50,00,000</w:t>
            </w:r>
          </w:p>
        </w:tc>
        <w:tc>
          <w:tcPr>
            <w:tcW w:w="1166" w:type="pct"/>
            <w:tcBorders>
              <w:top w:val="single" w:sz="4" w:space="0" w:color="000000"/>
              <w:left w:val="nil"/>
              <w:bottom w:val="nil"/>
              <w:right w:val="single" w:sz="4" w:space="0" w:color="000000"/>
            </w:tcBorders>
            <w:shd w:val="clear" w:color="EFEFEF" w:fill="EFEFEF"/>
            <w:noWrap/>
            <w:vAlign w:val="bottom"/>
            <w:hideMark/>
          </w:tcPr>
          <w:p w14:paraId="73AECAC8"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0.681</w:t>
            </w:r>
          </w:p>
        </w:tc>
        <w:tc>
          <w:tcPr>
            <w:tcW w:w="1347" w:type="pct"/>
            <w:tcBorders>
              <w:top w:val="nil"/>
              <w:left w:val="nil"/>
              <w:bottom w:val="single" w:sz="4" w:space="0" w:color="000000"/>
              <w:right w:val="single" w:sz="4" w:space="0" w:color="000000"/>
            </w:tcBorders>
            <w:shd w:val="clear" w:color="EFEFEF" w:fill="EFEFEF"/>
            <w:noWrap/>
            <w:vAlign w:val="bottom"/>
            <w:hideMark/>
          </w:tcPr>
          <w:p w14:paraId="13A643EF" w14:textId="77777777" w:rsidR="00AA027D" w:rsidRPr="00D52564" w:rsidRDefault="00AA027D" w:rsidP="00D52564">
            <w:pPr>
              <w:spacing w:before="240" w:after="240"/>
              <w:rPr>
                <w:rFonts w:ascii="Arial" w:hAnsi="Arial"/>
                <w:color w:val="000000"/>
                <w:szCs w:val="20"/>
                <w:lang w:val="en-GB"/>
              </w:rPr>
            </w:pPr>
            <w:r w:rsidRPr="00D52564">
              <w:rPr>
                <w:rFonts w:ascii="Arial" w:hAnsi="Arial"/>
                <w:color w:val="000000"/>
                <w:szCs w:val="20"/>
                <w:lang w:val="en-GB"/>
              </w:rPr>
              <w:t>£34,05,000</w:t>
            </w:r>
          </w:p>
        </w:tc>
      </w:tr>
      <w:tr w:rsidR="00AA027D" w:rsidRPr="00D52564" w14:paraId="1A3DE19A" w14:textId="77777777" w:rsidTr="00F049CB">
        <w:trPr>
          <w:trHeight w:val="315"/>
          <w:jc w:val="center"/>
        </w:trPr>
        <w:tc>
          <w:tcPr>
            <w:tcW w:w="3653" w:type="pct"/>
            <w:gridSpan w:val="4"/>
            <w:tcBorders>
              <w:top w:val="single" w:sz="4" w:space="0" w:color="auto"/>
              <w:left w:val="single" w:sz="4" w:space="0" w:color="auto"/>
              <w:bottom w:val="single" w:sz="4" w:space="0" w:color="auto"/>
              <w:right w:val="single" w:sz="4" w:space="0" w:color="auto"/>
            </w:tcBorders>
            <w:shd w:val="clear" w:color="DD7E6B" w:fill="FFC599"/>
            <w:noWrap/>
            <w:vAlign w:val="bottom"/>
            <w:hideMark/>
          </w:tcPr>
          <w:p w14:paraId="5A829CEF"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NPV</w:t>
            </w:r>
          </w:p>
        </w:tc>
        <w:tc>
          <w:tcPr>
            <w:tcW w:w="1347" w:type="pct"/>
            <w:tcBorders>
              <w:top w:val="nil"/>
              <w:left w:val="nil"/>
              <w:bottom w:val="single" w:sz="4" w:space="0" w:color="auto"/>
              <w:right w:val="single" w:sz="4" w:space="0" w:color="auto"/>
            </w:tcBorders>
            <w:shd w:val="clear" w:color="DD7E6B" w:fill="FFC599"/>
            <w:noWrap/>
            <w:vAlign w:val="bottom"/>
            <w:hideMark/>
          </w:tcPr>
          <w:p w14:paraId="5FCB6DBD"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£8,60,000</w:t>
            </w:r>
          </w:p>
        </w:tc>
      </w:tr>
      <w:tr w:rsidR="00AA027D" w:rsidRPr="00D52564" w14:paraId="38F79323" w14:textId="77777777" w:rsidTr="00F049CB">
        <w:trPr>
          <w:trHeight w:val="315"/>
          <w:jc w:val="center"/>
        </w:trPr>
        <w:tc>
          <w:tcPr>
            <w:tcW w:w="3653" w:type="pct"/>
            <w:gridSpan w:val="4"/>
            <w:vMerge w:val="restart"/>
            <w:tcBorders>
              <w:top w:val="single" w:sz="4" w:space="0" w:color="auto"/>
              <w:left w:val="single" w:sz="4" w:space="0" w:color="auto"/>
              <w:bottom w:val="single" w:sz="4" w:space="0" w:color="auto"/>
              <w:right w:val="single" w:sz="4" w:space="0" w:color="auto"/>
            </w:tcBorders>
            <w:shd w:val="clear" w:color="DD7E6B" w:fill="FFC599"/>
            <w:noWrap/>
            <w:vAlign w:val="bottom"/>
            <w:hideMark/>
          </w:tcPr>
          <w:p w14:paraId="530480AC"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Payback Period</w:t>
            </w:r>
          </w:p>
        </w:tc>
        <w:tc>
          <w:tcPr>
            <w:tcW w:w="1347" w:type="pct"/>
            <w:tcBorders>
              <w:top w:val="nil"/>
              <w:left w:val="nil"/>
              <w:bottom w:val="single" w:sz="4" w:space="0" w:color="auto"/>
              <w:right w:val="single" w:sz="4" w:space="0" w:color="auto"/>
            </w:tcBorders>
            <w:shd w:val="clear" w:color="DD7E6B" w:fill="FFC599"/>
            <w:noWrap/>
            <w:vAlign w:val="bottom"/>
            <w:hideMark/>
          </w:tcPr>
          <w:p w14:paraId="6EC93B5F"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3.60</w:t>
            </w:r>
          </w:p>
        </w:tc>
      </w:tr>
      <w:tr w:rsidR="00AA027D" w:rsidRPr="00D52564" w14:paraId="417F358F" w14:textId="77777777" w:rsidTr="00F049CB">
        <w:trPr>
          <w:trHeight w:val="315"/>
          <w:jc w:val="center"/>
        </w:trPr>
        <w:tc>
          <w:tcPr>
            <w:tcW w:w="3653" w:type="pct"/>
            <w:gridSpan w:val="4"/>
            <w:vMerge/>
            <w:tcBorders>
              <w:top w:val="single" w:sz="4" w:space="0" w:color="auto"/>
              <w:left w:val="single" w:sz="4" w:space="0" w:color="auto"/>
              <w:bottom w:val="single" w:sz="4" w:space="0" w:color="auto"/>
              <w:right w:val="single" w:sz="4" w:space="0" w:color="auto"/>
            </w:tcBorders>
            <w:vAlign w:val="center"/>
            <w:hideMark/>
          </w:tcPr>
          <w:p w14:paraId="0CD487A6" w14:textId="77777777" w:rsidR="00AA027D" w:rsidRPr="00D52564" w:rsidRDefault="00AA027D" w:rsidP="00D52564">
            <w:pPr>
              <w:spacing w:before="240" w:after="240"/>
              <w:rPr>
                <w:rFonts w:ascii="Arial" w:hAnsi="Arial"/>
                <w:b/>
                <w:bCs/>
                <w:color w:val="000000"/>
                <w:szCs w:val="20"/>
                <w:lang w:val="en-GB"/>
              </w:rPr>
            </w:pPr>
          </w:p>
        </w:tc>
        <w:tc>
          <w:tcPr>
            <w:tcW w:w="1347" w:type="pct"/>
            <w:tcBorders>
              <w:top w:val="nil"/>
              <w:left w:val="nil"/>
              <w:bottom w:val="single" w:sz="4" w:space="0" w:color="auto"/>
              <w:right w:val="single" w:sz="4" w:space="0" w:color="auto"/>
            </w:tcBorders>
            <w:shd w:val="clear" w:color="DD7E6B" w:fill="FFC599"/>
            <w:noWrap/>
            <w:vAlign w:val="bottom"/>
            <w:hideMark/>
          </w:tcPr>
          <w:p w14:paraId="5064AE4A"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3 Years 7 Months 6 Days</w:t>
            </w:r>
          </w:p>
        </w:tc>
      </w:tr>
      <w:tr w:rsidR="00AA027D" w:rsidRPr="00D52564" w14:paraId="176A8D5D" w14:textId="77777777" w:rsidTr="00F049CB">
        <w:trPr>
          <w:trHeight w:val="315"/>
          <w:jc w:val="center"/>
        </w:trPr>
        <w:tc>
          <w:tcPr>
            <w:tcW w:w="3653" w:type="pct"/>
            <w:gridSpan w:val="4"/>
            <w:tcBorders>
              <w:top w:val="single" w:sz="4" w:space="0" w:color="auto"/>
              <w:left w:val="single" w:sz="4" w:space="0" w:color="auto"/>
              <w:bottom w:val="single" w:sz="4" w:space="0" w:color="auto"/>
              <w:right w:val="single" w:sz="4" w:space="0" w:color="auto"/>
            </w:tcBorders>
            <w:shd w:val="clear" w:color="DD7E6B" w:fill="FFC599"/>
            <w:noWrap/>
            <w:vAlign w:val="bottom"/>
            <w:hideMark/>
          </w:tcPr>
          <w:p w14:paraId="48367F46"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IRR</w:t>
            </w:r>
          </w:p>
        </w:tc>
        <w:tc>
          <w:tcPr>
            <w:tcW w:w="1347" w:type="pct"/>
            <w:tcBorders>
              <w:top w:val="nil"/>
              <w:left w:val="nil"/>
              <w:bottom w:val="single" w:sz="4" w:space="0" w:color="auto"/>
              <w:right w:val="single" w:sz="4" w:space="0" w:color="auto"/>
            </w:tcBorders>
            <w:shd w:val="clear" w:color="DD7E6B" w:fill="FFC599"/>
            <w:noWrap/>
            <w:vAlign w:val="bottom"/>
            <w:hideMark/>
          </w:tcPr>
          <w:p w14:paraId="6DBD6F7A" w14:textId="77777777" w:rsidR="00AA027D" w:rsidRPr="00D52564" w:rsidRDefault="00AA027D" w:rsidP="00D52564">
            <w:pPr>
              <w:spacing w:before="240" w:after="240"/>
              <w:rPr>
                <w:rFonts w:ascii="Arial" w:hAnsi="Arial"/>
                <w:b/>
                <w:bCs/>
                <w:color w:val="000000"/>
                <w:szCs w:val="20"/>
                <w:lang w:val="en-GB"/>
              </w:rPr>
            </w:pPr>
            <w:r w:rsidRPr="00D52564">
              <w:rPr>
                <w:rFonts w:ascii="Arial" w:hAnsi="Arial"/>
                <w:b/>
                <w:bCs/>
                <w:color w:val="000000"/>
                <w:szCs w:val="20"/>
                <w:lang w:val="en-GB"/>
              </w:rPr>
              <w:t>8.59%</w:t>
            </w:r>
          </w:p>
        </w:tc>
      </w:tr>
    </w:tbl>
    <w:p w14:paraId="235A2860" w14:textId="051F4D8B" w:rsidR="00CF4C6E" w:rsidRPr="00D52564" w:rsidRDefault="00CF4C6E" w:rsidP="00F049CB">
      <w:pPr>
        <w:spacing w:before="240" w:after="240"/>
        <w:jc w:val="center"/>
        <w:rPr>
          <w:rFonts w:ascii="Arial" w:hAnsi="Arial"/>
          <w:b/>
          <w:bCs/>
          <w:lang w:val="en-GB"/>
        </w:rPr>
      </w:pPr>
      <w:r w:rsidRPr="00D52564">
        <w:rPr>
          <w:rFonts w:ascii="Arial" w:hAnsi="Arial"/>
          <w:b/>
          <w:bCs/>
          <w:lang w:val="en-GB"/>
        </w:rPr>
        <w:t>Table 2.4: NPV, IRR and Payback Period of Project C</w:t>
      </w:r>
    </w:p>
    <w:p w14:paraId="0000002C" w14:textId="1CEE8B2A" w:rsidR="003F35A2" w:rsidRPr="00D52564" w:rsidRDefault="00CF4C6E" w:rsidP="00F049CB">
      <w:pPr>
        <w:spacing w:before="240" w:after="240"/>
        <w:jc w:val="center"/>
        <w:rPr>
          <w:rFonts w:ascii="Arial" w:hAnsi="Arial"/>
          <w:lang w:val="en-GB"/>
        </w:rPr>
      </w:pPr>
      <w:r w:rsidRPr="00D52564">
        <w:rPr>
          <w:rFonts w:ascii="Arial" w:hAnsi="Arial"/>
          <w:lang w:val="en-GB"/>
        </w:rPr>
        <w:t>(Source: Excel Output)</w:t>
      </w:r>
    </w:p>
    <w:tbl>
      <w:tblPr>
        <w:tblW w:w="5000" w:type="pct"/>
        <w:jc w:val="center"/>
        <w:tblLook w:val="04A0" w:firstRow="1" w:lastRow="0" w:firstColumn="1" w:lastColumn="0" w:noHBand="0" w:noVBand="1"/>
      </w:tblPr>
      <w:tblGrid>
        <w:gridCol w:w="3574"/>
        <w:gridCol w:w="1927"/>
        <w:gridCol w:w="1927"/>
        <w:gridCol w:w="1927"/>
      </w:tblGrid>
      <w:tr w:rsidR="00CF4C6E" w:rsidRPr="00D52564" w14:paraId="4986348F" w14:textId="77777777" w:rsidTr="00F049CB">
        <w:trPr>
          <w:trHeight w:val="315"/>
          <w:jc w:val="center"/>
        </w:trPr>
        <w:tc>
          <w:tcPr>
            <w:tcW w:w="5000" w:type="pct"/>
            <w:gridSpan w:val="4"/>
            <w:tcBorders>
              <w:top w:val="single" w:sz="4" w:space="0" w:color="000000"/>
              <w:left w:val="single" w:sz="4" w:space="0" w:color="000000"/>
              <w:bottom w:val="single" w:sz="4" w:space="0" w:color="000000"/>
              <w:right w:val="nil"/>
            </w:tcBorders>
            <w:shd w:val="clear" w:color="EA9999" w:fill="FEA767"/>
            <w:noWrap/>
            <w:vAlign w:val="bottom"/>
            <w:hideMark/>
          </w:tcPr>
          <w:p w14:paraId="54E0A77C"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lastRenderedPageBreak/>
              <w:t>Accounting Rate of Return (ARR)</w:t>
            </w:r>
          </w:p>
        </w:tc>
      </w:tr>
      <w:tr w:rsidR="00CF4C6E" w:rsidRPr="00D52564" w14:paraId="5303AAD9" w14:textId="77777777" w:rsidTr="00F049CB">
        <w:trPr>
          <w:trHeight w:val="315"/>
          <w:jc w:val="center"/>
        </w:trPr>
        <w:tc>
          <w:tcPr>
            <w:tcW w:w="1910" w:type="pct"/>
            <w:tcBorders>
              <w:top w:val="nil"/>
              <w:left w:val="single" w:sz="4" w:space="0" w:color="auto"/>
              <w:bottom w:val="single" w:sz="4" w:space="0" w:color="auto"/>
              <w:right w:val="single" w:sz="4" w:space="0" w:color="auto"/>
            </w:tcBorders>
            <w:shd w:val="clear" w:color="000000" w:fill="FDD868"/>
            <w:noWrap/>
            <w:vAlign w:val="bottom"/>
            <w:hideMark/>
          </w:tcPr>
          <w:p w14:paraId="3C9B3D19"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Particulars</w:t>
            </w:r>
          </w:p>
        </w:tc>
        <w:tc>
          <w:tcPr>
            <w:tcW w:w="1030" w:type="pct"/>
            <w:tcBorders>
              <w:top w:val="nil"/>
              <w:left w:val="nil"/>
              <w:bottom w:val="single" w:sz="4" w:space="0" w:color="auto"/>
              <w:right w:val="single" w:sz="4" w:space="0" w:color="auto"/>
            </w:tcBorders>
            <w:shd w:val="clear" w:color="000000" w:fill="FDD868"/>
            <w:noWrap/>
            <w:vAlign w:val="bottom"/>
            <w:hideMark/>
          </w:tcPr>
          <w:p w14:paraId="2A83B82F"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Project A</w:t>
            </w:r>
          </w:p>
        </w:tc>
        <w:tc>
          <w:tcPr>
            <w:tcW w:w="1030" w:type="pct"/>
            <w:tcBorders>
              <w:top w:val="nil"/>
              <w:left w:val="nil"/>
              <w:bottom w:val="single" w:sz="4" w:space="0" w:color="auto"/>
              <w:right w:val="single" w:sz="4" w:space="0" w:color="auto"/>
            </w:tcBorders>
            <w:shd w:val="clear" w:color="000000" w:fill="FDD868"/>
            <w:noWrap/>
            <w:vAlign w:val="bottom"/>
            <w:hideMark/>
          </w:tcPr>
          <w:p w14:paraId="1A3D9D39"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Project B</w:t>
            </w:r>
          </w:p>
        </w:tc>
        <w:tc>
          <w:tcPr>
            <w:tcW w:w="1030" w:type="pct"/>
            <w:tcBorders>
              <w:top w:val="nil"/>
              <w:left w:val="nil"/>
              <w:bottom w:val="single" w:sz="4" w:space="0" w:color="auto"/>
              <w:right w:val="single" w:sz="4" w:space="0" w:color="auto"/>
            </w:tcBorders>
            <w:shd w:val="clear" w:color="000000" w:fill="FDD868"/>
            <w:noWrap/>
            <w:vAlign w:val="bottom"/>
            <w:hideMark/>
          </w:tcPr>
          <w:p w14:paraId="48C54562"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Project C</w:t>
            </w:r>
          </w:p>
        </w:tc>
      </w:tr>
      <w:tr w:rsidR="00CF4C6E" w:rsidRPr="00D52564" w14:paraId="766907FF" w14:textId="77777777" w:rsidTr="00F049CB">
        <w:trPr>
          <w:trHeight w:val="315"/>
          <w:jc w:val="center"/>
        </w:trPr>
        <w:tc>
          <w:tcPr>
            <w:tcW w:w="1910" w:type="pct"/>
            <w:tcBorders>
              <w:top w:val="nil"/>
              <w:left w:val="single" w:sz="4" w:space="0" w:color="auto"/>
              <w:bottom w:val="single" w:sz="4" w:space="0" w:color="auto"/>
              <w:right w:val="single" w:sz="4" w:space="0" w:color="auto"/>
            </w:tcBorders>
            <w:shd w:val="clear" w:color="000000" w:fill="F2F2F2"/>
            <w:noWrap/>
            <w:vAlign w:val="bottom"/>
            <w:hideMark/>
          </w:tcPr>
          <w:p w14:paraId="4EBE3666"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Total Cash Flow</w:t>
            </w:r>
          </w:p>
        </w:tc>
        <w:tc>
          <w:tcPr>
            <w:tcW w:w="1030" w:type="pct"/>
            <w:tcBorders>
              <w:top w:val="nil"/>
              <w:left w:val="nil"/>
              <w:bottom w:val="single" w:sz="4" w:space="0" w:color="auto"/>
              <w:right w:val="single" w:sz="4" w:space="0" w:color="auto"/>
            </w:tcBorders>
            <w:shd w:val="clear" w:color="000000" w:fill="F2F2F2"/>
            <w:noWrap/>
            <w:vAlign w:val="bottom"/>
            <w:hideMark/>
          </w:tcPr>
          <w:p w14:paraId="7239D2A6"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£5,40,00,000</w:t>
            </w:r>
          </w:p>
        </w:tc>
        <w:tc>
          <w:tcPr>
            <w:tcW w:w="1030" w:type="pct"/>
            <w:tcBorders>
              <w:top w:val="nil"/>
              <w:left w:val="nil"/>
              <w:bottom w:val="single" w:sz="4" w:space="0" w:color="auto"/>
              <w:right w:val="single" w:sz="4" w:space="0" w:color="auto"/>
            </w:tcBorders>
            <w:shd w:val="clear" w:color="000000" w:fill="F2F2F2"/>
            <w:noWrap/>
            <w:vAlign w:val="bottom"/>
            <w:hideMark/>
          </w:tcPr>
          <w:p w14:paraId="2F532437"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£5,50,00,000</w:t>
            </w:r>
          </w:p>
        </w:tc>
        <w:tc>
          <w:tcPr>
            <w:tcW w:w="1030" w:type="pct"/>
            <w:tcBorders>
              <w:top w:val="nil"/>
              <w:left w:val="nil"/>
              <w:bottom w:val="single" w:sz="4" w:space="0" w:color="auto"/>
              <w:right w:val="single" w:sz="4" w:space="0" w:color="auto"/>
            </w:tcBorders>
            <w:shd w:val="clear" w:color="000000" w:fill="F2F2F2"/>
            <w:noWrap/>
            <w:vAlign w:val="bottom"/>
            <w:hideMark/>
          </w:tcPr>
          <w:p w14:paraId="23A119D7"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£6,50,00,000</w:t>
            </w:r>
          </w:p>
        </w:tc>
      </w:tr>
      <w:tr w:rsidR="00CF4C6E" w:rsidRPr="00D52564" w14:paraId="561D1AF6" w14:textId="77777777" w:rsidTr="00F049CB">
        <w:trPr>
          <w:trHeight w:val="315"/>
          <w:jc w:val="center"/>
        </w:trPr>
        <w:tc>
          <w:tcPr>
            <w:tcW w:w="1910" w:type="pct"/>
            <w:tcBorders>
              <w:top w:val="nil"/>
              <w:left w:val="single" w:sz="4" w:space="0" w:color="auto"/>
              <w:bottom w:val="single" w:sz="4" w:space="0" w:color="auto"/>
              <w:right w:val="single" w:sz="4" w:space="0" w:color="auto"/>
            </w:tcBorders>
            <w:shd w:val="clear" w:color="000000" w:fill="F2F2F2"/>
            <w:noWrap/>
            <w:vAlign w:val="bottom"/>
            <w:hideMark/>
          </w:tcPr>
          <w:p w14:paraId="3664B900"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Depriciation</w:t>
            </w:r>
          </w:p>
        </w:tc>
        <w:tc>
          <w:tcPr>
            <w:tcW w:w="1030" w:type="pct"/>
            <w:tcBorders>
              <w:top w:val="nil"/>
              <w:left w:val="nil"/>
              <w:bottom w:val="single" w:sz="4" w:space="0" w:color="auto"/>
              <w:right w:val="single" w:sz="4" w:space="0" w:color="auto"/>
            </w:tcBorders>
            <w:shd w:val="clear" w:color="000000" w:fill="F2F2F2"/>
            <w:noWrap/>
            <w:vAlign w:val="bottom"/>
            <w:hideMark/>
          </w:tcPr>
          <w:p w14:paraId="5119F61D"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£5,00,00,000</w:t>
            </w:r>
          </w:p>
        </w:tc>
        <w:tc>
          <w:tcPr>
            <w:tcW w:w="1030" w:type="pct"/>
            <w:tcBorders>
              <w:top w:val="nil"/>
              <w:left w:val="nil"/>
              <w:bottom w:val="single" w:sz="4" w:space="0" w:color="auto"/>
              <w:right w:val="single" w:sz="4" w:space="0" w:color="auto"/>
            </w:tcBorders>
            <w:shd w:val="clear" w:color="000000" w:fill="F2F2F2"/>
            <w:noWrap/>
            <w:vAlign w:val="bottom"/>
            <w:hideMark/>
          </w:tcPr>
          <w:p w14:paraId="6C038A74"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£5,00,00,000</w:t>
            </w:r>
          </w:p>
        </w:tc>
        <w:tc>
          <w:tcPr>
            <w:tcW w:w="1030" w:type="pct"/>
            <w:tcBorders>
              <w:top w:val="nil"/>
              <w:left w:val="nil"/>
              <w:bottom w:val="single" w:sz="4" w:space="0" w:color="auto"/>
              <w:right w:val="single" w:sz="4" w:space="0" w:color="auto"/>
            </w:tcBorders>
            <w:shd w:val="clear" w:color="000000" w:fill="F2F2F2"/>
            <w:noWrap/>
            <w:vAlign w:val="bottom"/>
            <w:hideMark/>
          </w:tcPr>
          <w:p w14:paraId="5EE36EC3"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£5,00,00,000</w:t>
            </w:r>
          </w:p>
        </w:tc>
      </w:tr>
      <w:tr w:rsidR="00CF4C6E" w:rsidRPr="00D52564" w14:paraId="7E588B42" w14:textId="77777777" w:rsidTr="00F049CB">
        <w:trPr>
          <w:trHeight w:val="315"/>
          <w:jc w:val="center"/>
        </w:trPr>
        <w:tc>
          <w:tcPr>
            <w:tcW w:w="1910" w:type="pct"/>
            <w:tcBorders>
              <w:top w:val="nil"/>
              <w:left w:val="single" w:sz="4" w:space="0" w:color="auto"/>
              <w:bottom w:val="single" w:sz="4" w:space="0" w:color="auto"/>
              <w:right w:val="single" w:sz="4" w:space="0" w:color="auto"/>
            </w:tcBorders>
            <w:shd w:val="clear" w:color="000000" w:fill="FFC599"/>
            <w:noWrap/>
            <w:vAlign w:val="bottom"/>
            <w:hideMark/>
          </w:tcPr>
          <w:p w14:paraId="35A02D54"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Accounting Profit</w:t>
            </w:r>
          </w:p>
        </w:tc>
        <w:tc>
          <w:tcPr>
            <w:tcW w:w="1030" w:type="pct"/>
            <w:tcBorders>
              <w:top w:val="nil"/>
              <w:left w:val="nil"/>
              <w:bottom w:val="single" w:sz="4" w:space="0" w:color="auto"/>
              <w:right w:val="single" w:sz="4" w:space="0" w:color="auto"/>
            </w:tcBorders>
            <w:shd w:val="clear" w:color="000000" w:fill="FFC599"/>
            <w:noWrap/>
            <w:vAlign w:val="bottom"/>
            <w:hideMark/>
          </w:tcPr>
          <w:p w14:paraId="5CF7C0D0"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£40,00,000</w:t>
            </w:r>
          </w:p>
        </w:tc>
        <w:tc>
          <w:tcPr>
            <w:tcW w:w="1030" w:type="pct"/>
            <w:tcBorders>
              <w:top w:val="nil"/>
              <w:left w:val="nil"/>
              <w:bottom w:val="single" w:sz="4" w:space="0" w:color="auto"/>
              <w:right w:val="single" w:sz="4" w:space="0" w:color="auto"/>
            </w:tcBorders>
            <w:shd w:val="clear" w:color="000000" w:fill="FFC599"/>
            <w:noWrap/>
            <w:vAlign w:val="bottom"/>
            <w:hideMark/>
          </w:tcPr>
          <w:p w14:paraId="27ACC87A"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£50,00,000</w:t>
            </w:r>
          </w:p>
        </w:tc>
        <w:tc>
          <w:tcPr>
            <w:tcW w:w="1030" w:type="pct"/>
            <w:tcBorders>
              <w:top w:val="nil"/>
              <w:left w:val="nil"/>
              <w:bottom w:val="single" w:sz="4" w:space="0" w:color="auto"/>
              <w:right w:val="single" w:sz="4" w:space="0" w:color="auto"/>
            </w:tcBorders>
            <w:shd w:val="clear" w:color="000000" w:fill="FFC599"/>
            <w:noWrap/>
            <w:vAlign w:val="bottom"/>
            <w:hideMark/>
          </w:tcPr>
          <w:p w14:paraId="2A93ACCA"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£1,50,00,000</w:t>
            </w:r>
          </w:p>
        </w:tc>
      </w:tr>
      <w:tr w:rsidR="00CF4C6E" w:rsidRPr="00D52564" w14:paraId="275629E8" w14:textId="77777777" w:rsidTr="00F049CB">
        <w:trPr>
          <w:trHeight w:val="315"/>
          <w:jc w:val="center"/>
        </w:trPr>
        <w:tc>
          <w:tcPr>
            <w:tcW w:w="1910" w:type="pct"/>
            <w:tcBorders>
              <w:top w:val="nil"/>
              <w:left w:val="single" w:sz="4" w:space="0" w:color="auto"/>
              <w:bottom w:val="single" w:sz="4" w:space="0" w:color="auto"/>
              <w:right w:val="single" w:sz="4" w:space="0" w:color="auto"/>
            </w:tcBorders>
            <w:shd w:val="clear" w:color="000000" w:fill="FFC599"/>
            <w:noWrap/>
            <w:vAlign w:val="bottom"/>
            <w:hideMark/>
          </w:tcPr>
          <w:p w14:paraId="25E366ED"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Annual Accounting Profit</w:t>
            </w:r>
          </w:p>
        </w:tc>
        <w:tc>
          <w:tcPr>
            <w:tcW w:w="1030" w:type="pct"/>
            <w:tcBorders>
              <w:top w:val="nil"/>
              <w:left w:val="nil"/>
              <w:bottom w:val="single" w:sz="4" w:space="0" w:color="auto"/>
              <w:right w:val="single" w:sz="4" w:space="0" w:color="auto"/>
            </w:tcBorders>
            <w:shd w:val="clear" w:color="000000" w:fill="FFC599"/>
            <w:noWrap/>
            <w:vAlign w:val="bottom"/>
            <w:hideMark/>
          </w:tcPr>
          <w:p w14:paraId="1FF066FE"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£8,00,000</w:t>
            </w:r>
          </w:p>
        </w:tc>
        <w:tc>
          <w:tcPr>
            <w:tcW w:w="1030" w:type="pct"/>
            <w:tcBorders>
              <w:top w:val="nil"/>
              <w:left w:val="nil"/>
              <w:bottom w:val="single" w:sz="4" w:space="0" w:color="auto"/>
              <w:right w:val="single" w:sz="4" w:space="0" w:color="auto"/>
            </w:tcBorders>
            <w:shd w:val="clear" w:color="000000" w:fill="FFC599"/>
            <w:noWrap/>
            <w:vAlign w:val="bottom"/>
            <w:hideMark/>
          </w:tcPr>
          <w:p w14:paraId="64ABF065"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£10,00,000</w:t>
            </w:r>
          </w:p>
        </w:tc>
        <w:tc>
          <w:tcPr>
            <w:tcW w:w="1030" w:type="pct"/>
            <w:tcBorders>
              <w:top w:val="nil"/>
              <w:left w:val="nil"/>
              <w:bottom w:val="single" w:sz="4" w:space="0" w:color="auto"/>
              <w:right w:val="single" w:sz="4" w:space="0" w:color="auto"/>
            </w:tcBorders>
            <w:shd w:val="clear" w:color="000000" w:fill="FFC599"/>
            <w:noWrap/>
            <w:vAlign w:val="bottom"/>
            <w:hideMark/>
          </w:tcPr>
          <w:p w14:paraId="33322F87"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£30,00,000</w:t>
            </w:r>
          </w:p>
        </w:tc>
      </w:tr>
      <w:tr w:rsidR="00CF4C6E" w:rsidRPr="00D52564" w14:paraId="2DCDE7B5" w14:textId="77777777" w:rsidTr="00F049CB">
        <w:trPr>
          <w:trHeight w:val="315"/>
          <w:jc w:val="center"/>
        </w:trPr>
        <w:tc>
          <w:tcPr>
            <w:tcW w:w="1910" w:type="pct"/>
            <w:tcBorders>
              <w:top w:val="nil"/>
              <w:left w:val="single" w:sz="4" w:space="0" w:color="auto"/>
              <w:bottom w:val="single" w:sz="4" w:space="0" w:color="auto"/>
              <w:right w:val="single" w:sz="4" w:space="0" w:color="auto"/>
            </w:tcBorders>
            <w:shd w:val="clear" w:color="000000" w:fill="FFC599"/>
            <w:noWrap/>
            <w:vAlign w:val="bottom"/>
            <w:hideMark/>
          </w:tcPr>
          <w:p w14:paraId="2F927748"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Accounting Rate of Return</w:t>
            </w:r>
          </w:p>
        </w:tc>
        <w:tc>
          <w:tcPr>
            <w:tcW w:w="1030" w:type="pct"/>
            <w:tcBorders>
              <w:top w:val="nil"/>
              <w:left w:val="nil"/>
              <w:bottom w:val="single" w:sz="4" w:space="0" w:color="auto"/>
              <w:right w:val="single" w:sz="4" w:space="0" w:color="auto"/>
            </w:tcBorders>
            <w:shd w:val="clear" w:color="000000" w:fill="FFC599"/>
            <w:noWrap/>
            <w:vAlign w:val="bottom"/>
            <w:hideMark/>
          </w:tcPr>
          <w:p w14:paraId="20F6E25F"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1.60%</w:t>
            </w:r>
          </w:p>
        </w:tc>
        <w:tc>
          <w:tcPr>
            <w:tcW w:w="1030" w:type="pct"/>
            <w:tcBorders>
              <w:top w:val="nil"/>
              <w:left w:val="nil"/>
              <w:bottom w:val="single" w:sz="4" w:space="0" w:color="auto"/>
              <w:right w:val="single" w:sz="4" w:space="0" w:color="auto"/>
            </w:tcBorders>
            <w:shd w:val="clear" w:color="000000" w:fill="FFC599"/>
            <w:noWrap/>
            <w:vAlign w:val="bottom"/>
            <w:hideMark/>
          </w:tcPr>
          <w:p w14:paraId="3A57087D"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2.00%</w:t>
            </w:r>
          </w:p>
        </w:tc>
        <w:tc>
          <w:tcPr>
            <w:tcW w:w="1030" w:type="pct"/>
            <w:tcBorders>
              <w:top w:val="nil"/>
              <w:left w:val="nil"/>
              <w:bottom w:val="single" w:sz="4" w:space="0" w:color="auto"/>
              <w:right w:val="single" w:sz="4" w:space="0" w:color="auto"/>
            </w:tcBorders>
            <w:shd w:val="clear" w:color="000000" w:fill="FFC599"/>
            <w:noWrap/>
            <w:vAlign w:val="bottom"/>
            <w:hideMark/>
          </w:tcPr>
          <w:p w14:paraId="37ED832B"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6.00%</w:t>
            </w:r>
          </w:p>
        </w:tc>
      </w:tr>
    </w:tbl>
    <w:p w14:paraId="2DBEFAB0" w14:textId="390966EA" w:rsidR="00CF4C6E" w:rsidRPr="00D52564" w:rsidRDefault="00CF4C6E" w:rsidP="00F049CB">
      <w:pPr>
        <w:spacing w:before="240" w:after="240"/>
        <w:jc w:val="center"/>
        <w:rPr>
          <w:rFonts w:ascii="Arial" w:hAnsi="Arial"/>
          <w:b/>
          <w:bCs/>
          <w:lang w:val="en-GB"/>
        </w:rPr>
      </w:pPr>
      <w:r w:rsidRPr="00D52564">
        <w:rPr>
          <w:rFonts w:ascii="Arial" w:hAnsi="Arial"/>
          <w:b/>
          <w:bCs/>
          <w:lang w:val="en-GB"/>
        </w:rPr>
        <w:t>Table 2.5: ARR of Projects</w:t>
      </w:r>
    </w:p>
    <w:p w14:paraId="0F67079E" w14:textId="3C473C30" w:rsidR="00AA027D" w:rsidRPr="00D52564" w:rsidRDefault="00CF4C6E" w:rsidP="00F049CB">
      <w:pPr>
        <w:spacing w:before="240" w:after="240"/>
        <w:jc w:val="center"/>
        <w:rPr>
          <w:rFonts w:ascii="Arial" w:hAnsi="Arial"/>
          <w:lang w:val="en-GB"/>
        </w:rPr>
      </w:pPr>
      <w:r w:rsidRPr="00D52564">
        <w:rPr>
          <w:rFonts w:ascii="Arial" w:hAnsi="Arial"/>
          <w:lang w:val="en-GB"/>
        </w:rPr>
        <w:t>(Source: Excel Output)</w:t>
      </w:r>
    </w:p>
    <w:tbl>
      <w:tblPr>
        <w:tblW w:w="5000" w:type="pct"/>
        <w:jc w:val="center"/>
        <w:tblLook w:val="04A0" w:firstRow="1" w:lastRow="0" w:firstColumn="1" w:lastColumn="0" w:noHBand="0" w:noVBand="1"/>
      </w:tblPr>
      <w:tblGrid>
        <w:gridCol w:w="4072"/>
        <w:gridCol w:w="1760"/>
        <w:gridCol w:w="1761"/>
        <w:gridCol w:w="1762"/>
      </w:tblGrid>
      <w:tr w:rsidR="00CF4C6E" w:rsidRPr="00D52564" w14:paraId="06C7C651" w14:textId="77777777" w:rsidTr="00F049CB">
        <w:trPr>
          <w:trHeight w:val="315"/>
          <w:jc w:val="center"/>
        </w:trPr>
        <w:tc>
          <w:tcPr>
            <w:tcW w:w="5000" w:type="pct"/>
            <w:gridSpan w:val="4"/>
            <w:tcBorders>
              <w:top w:val="single" w:sz="4" w:space="0" w:color="000000"/>
              <w:left w:val="single" w:sz="4" w:space="0" w:color="000000"/>
              <w:bottom w:val="single" w:sz="4" w:space="0" w:color="000000"/>
              <w:right w:val="nil"/>
            </w:tcBorders>
            <w:shd w:val="clear" w:color="EA9999" w:fill="FEA767"/>
            <w:noWrap/>
            <w:vAlign w:val="bottom"/>
            <w:hideMark/>
          </w:tcPr>
          <w:p w14:paraId="1A609884"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Profitability Index (PI)</w:t>
            </w:r>
          </w:p>
        </w:tc>
      </w:tr>
      <w:tr w:rsidR="00CF4C6E" w:rsidRPr="00D52564" w14:paraId="736FB643" w14:textId="77777777" w:rsidTr="00F049CB">
        <w:trPr>
          <w:trHeight w:val="315"/>
          <w:jc w:val="center"/>
        </w:trPr>
        <w:tc>
          <w:tcPr>
            <w:tcW w:w="2059" w:type="pct"/>
            <w:tcBorders>
              <w:top w:val="nil"/>
              <w:left w:val="single" w:sz="4" w:space="0" w:color="auto"/>
              <w:bottom w:val="single" w:sz="4" w:space="0" w:color="auto"/>
              <w:right w:val="single" w:sz="4" w:space="0" w:color="auto"/>
            </w:tcBorders>
            <w:shd w:val="clear" w:color="000000" w:fill="FDD868"/>
            <w:noWrap/>
            <w:vAlign w:val="bottom"/>
            <w:hideMark/>
          </w:tcPr>
          <w:p w14:paraId="390FB40B"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Particulars</w:t>
            </w:r>
          </w:p>
        </w:tc>
        <w:tc>
          <w:tcPr>
            <w:tcW w:w="980" w:type="pct"/>
            <w:tcBorders>
              <w:top w:val="nil"/>
              <w:left w:val="nil"/>
              <w:bottom w:val="single" w:sz="4" w:space="0" w:color="auto"/>
              <w:right w:val="single" w:sz="4" w:space="0" w:color="auto"/>
            </w:tcBorders>
            <w:shd w:val="clear" w:color="000000" w:fill="FDD868"/>
            <w:noWrap/>
            <w:vAlign w:val="bottom"/>
            <w:hideMark/>
          </w:tcPr>
          <w:p w14:paraId="2A7AE0B1"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Project A</w:t>
            </w:r>
          </w:p>
        </w:tc>
        <w:tc>
          <w:tcPr>
            <w:tcW w:w="980" w:type="pct"/>
            <w:tcBorders>
              <w:top w:val="nil"/>
              <w:left w:val="nil"/>
              <w:bottom w:val="single" w:sz="4" w:space="0" w:color="auto"/>
              <w:right w:val="single" w:sz="4" w:space="0" w:color="auto"/>
            </w:tcBorders>
            <w:shd w:val="clear" w:color="000000" w:fill="FDD868"/>
            <w:noWrap/>
            <w:vAlign w:val="bottom"/>
            <w:hideMark/>
          </w:tcPr>
          <w:p w14:paraId="470A9FD8"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Project B</w:t>
            </w:r>
          </w:p>
        </w:tc>
        <w:tc>
          <w:tcPr>
            <w:tcW w:w="980" w:type="pct"/>
            <w:tcBorders>
              <w:top w:val="nil"/>
              <w:left w:val="nil"/>
              <w:bottom w:val="single" w:sz="4" w:space="0" w:color="auto"/>
              <w:right w:val="single" w:sz="4" w:space="0" w:color="auto"/>
            </w:tcBorders>
            <w:shd w:val="clear" w:color="000000" w:fill="FDD868"/>
            <w:noWrap/>
            <w:vAlign w:val="bottom"/>
            <w:hideMark/>
          </w:tcPr>
          <w:p w14:paraId="7DA30E7C"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Project C</w:t>
            </w:r>
          </w:p>
        </w:tc>
      </w:tr>
      <w:tr w:rsidR="00CF4C6E" w:rsidRPr="00D52564" w14:paraId="0646E972" w14:textId="77777777" w:rsidTr="00F049CB">
        <w:trPr>
          <w:trHeight w:val="315"/>
          <w:jc w:val="center"/>
        </w:trPr>
        <w:tc>
          <w:tcPr>
            <w:tcW w:w="2059" w:type="pct"/>
            <w:tcBorders>
              <w:top w:val="nil"/>
              <w:left w:val="single" w:sz="4" w:space="0" w:color="auto"/>
              <w:bottom w:val="single" w:sz="4" w:space="0" w:color="auto"/>
              <w:right w:val="single" w:sz="4" w:space="0" w:color="auto"/>
            </w:tcBorders>
            <w:shd w:val="clear" w:color="000000" w:fill="F2F2F2"/>
            <w:noWrap/>
            <w:vAlign w:val="bottom"/>
            <w:hideMark/>
          </w:tcPr>
          <w:p w14:paraId="1FB01510"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Present Value of Future Cash Flows</w:t>
            </w:r>
          </w:p>
        </w:tc>
        <w:tc>
          <w:tcPr>
            <w:tcW w:w="980" w:type="pct"/>
            <w:tcBorders>
              <w:top w:val="nil"/>
              <w:left w:val="nil"/>
              <w:bottom w:val="single" w:sz="4" w:space="0" w:color="auto"/>
              <w:right w:val="single" w:sz="4" w:space="0" w:color="auto"/>
            </w:tcBorders>
            <w:shd w:val="clear" w:color="000000" w:fill="F2F2F2"/>
            <w:noWrap/>
            <w:vAlign w:val="bottom"/>
            <w:hideMark/>
          </w:tcPr>
          <w:p w14:paraId="4124CFDE"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£4,34,58,000</w:t>
            </w:r>
          </w:p>
        </w:tc>
        <w:tc>
          <w:tcPr>
            <w:tcW w:w="980" w:type="pct"/>
            <w:tcBorders>
              <w:top w:val="nil"/>
              <w:left w:val="nil"/>
              <w:bottom w:val="single" w:sz="4" w:space="0" w:color="auto"/>
              <w:right w:val="single" w:sz="4" w:space="0" w:color="auto"/>
            </w:tcBorders>
            <w:shd w:val="clear" w:color="000000" w:fill="F2F2F2"/>
            <w:noWrap/>
            <w:vAlign w:val="bottom"/>
            <w:hideMark/>
          </w:tcPr>
          <w:p w14:paraId="3C47554F"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£4,39,23,000</w:t>
            </w:r>
          </w:p>
        </w:tc>
        <w:tc>
          <w:tcPr>
            <w:tcW w:w="980" w:type="pct"/>
            <w:tcBorders>
              <w:top w:val="nil"/>
              <w:left w:val="nil"/>
              <w:bottom w:val="single" w:sz="4" w:space="0" w:color="auto"/>
              <w:right w:val="single" w:sz="4" w:space="0" w:color="auto"/>
            </w:tcBorders>
            <w:shd w:val="clear" w:color="000000" w:fill="F2F2F2"/>
            <w:noWrap/>
            <w:vAlign w:val="bottom"/>
            <w:hideMark/>
          </w:tcPr>
          <w:p w14:paraId="17A0937D"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£5,08,60,000</w:t>
            </w:r>
          </w:p>
        </w:tc>
      </w:tr>
      <w:tr w:rsidR="00CF4C6E" w:rsidRPr="00D52564" w14:paraId="058EEE3E" w14:textId="77777777" w:rsidTr="00F049CB">
        <w:trPr>
          <w:trHeight w:val="315"/>
          <w:jc w:val="center"/>
        </w:trPr>
        <w:tc>
          <w:tcPr>
            <w:tcW w:w="2059" w:type="pct"/>
            <w:tcBorders>
              <w:top w:val="nil"/>
              <w:left w:val="single" w:sz="4" w:space="0" w:color="auto"/>
              <w:bottom w:val="single" w:sz="4" w:space="0" w:color="auto"/>
              <w:right w:val="single" w:sz="4" w:space="0" w:color="auto"/>
            </w:tcBorders>
            <w:shd w:val="clear" w:color="000000" w:fill="F2F2F2"/>
            <w:noWrap/>
            <w:vAlign w:val="bottom"/>
            <w:hideMark/>
          </w:tcPr>
          <w:p w14:paraId="69767561"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Initial Investment</w:t>
            </w:r>
          </w:p>
        </w:tc>
        <w:tc>
          <w:tcPr>
            <w:tcW w:w="980" w:type="pct"/>
            <w:tcBorders>
              <w:top w:val="nil"/>
              <w:left w:val="nil"/>
              <w:bottom w:val="single" w:sz="4" w:space="0" w:color="auto"/>
              <w:right w:val="single" w:sz="4" w:space="0" w:color="auto"/>
            </w:tcBorders>
            <w:shd w:val="clear" w:color="000000" w:fill="F2F2F2"/>
            <w:noWrap/>
            <w:vAlign w:val="bottom"/>
            <w:hideMark/>
          </w:tcPr>
          <w:p w14:paraId="00820892"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£5,00,00,000</w:t>
            </w:r>
          </w:p>
        </w:tc>
        <w:tc>
          <w:tcPr>
            <w:tcW w:w="980" w:type="pct"/>
            <w:tcBorders>
              <w:top w:val="nil"/>
              <w:left w:val="nil"/>
              <w:bottom w:val="single" w:sz="4" w:space="0" w:color="auto"/>
              <w:right w:val="single" w:sz="4" w:space="0" w:color="auto"/>
            </w:tcBorders>
            <w:shd w:val="clear" w:color="000000" w:fill="F2F2F2"/>
            <w:noWrap/>
            <w:vAlign w:val="bottom"/>
            <w:hideMark/>
          </w:tcPr>
          <w:p w14:paraId="178F85F5"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£5,00,00,000</w:t>
            </w:r>
          </w:p>
        </w:tc>
        <w:tc>
          <w:tcPr>
            <w:tcW w:w="980" w:type="pct"/>
            <w:tcBorders>
              <w:top w:val="nil"/>
              <w:left w:val="nil"/>
              <w:bottom w:val="single" w:sz="4" w:space="0" w:color="auto"/>
              <w:right w:val="single" w:sz="4" w:space="0" w:color="auto"/>
            </w:tcBorders>
            <w:shd w:val="clear" w:color="000000" w:fill="F2F2F2"/>
            <w:noWrap/>
            <w:vAlign w:val="bottom"/>
            <w:hideMark/>
          </w:tcPr>
          <w:p w14:paraId="7812D554" w14:textId="77777777" w:rsidR="00CF4C6E" w:rsidRPr="00D52564" w:rsidRDefault="00CF4C6E" w:rsidP="00D52564">
            <w:pPr>
              <w:spacing w:before="240" w:after="240"/>
              <w:rPr>
                <w:rFonts w:ascii="Arial" w:hAnsi="Arial"/>
                <w:color w:val="000000"/>
                <w:szCs w:val="20"/>
                <w:lang w:val="en-GB"/>
              </w:rPr>
            </w:pPr>
            <w:r w:rsidRPr="00D52564">
              <w:rPr>
                <w:rFonts w:ascii="Arial" w:hAnsi="Arial"/>
                <w:color w:val="000000"/>
                <w:szCs w:val="20"/>
                <w:lang w:val="en-GB"/>
              </w:rPr>
              <w:t>£5,00,00,000</w:t>
            </w:r>
          </w:p>
        </w:tc>
      </w:tr>
      <w:tr w:rsidR="00CF4C6E" w:rsidRPr="00D52564" w14:paraId="5B1B9DBC" w14:textId="77777777" w:rsidTr="00F049CB">
        <w:trPr>
          <w:trHeight w:val="315"/>
          <w:jc w:val="center"/>
        </w:trPr>
        <w:tc>
          <w:tcPr>
            <w:tcW w:w="2059" w:type="pct"/>
            <w:tcBorders>
              <w:top w:val="nil"/>
              <w:left w:val="single" w:sz="4" w:space="0" w:color="auto"/>
              <w:bottom w:val="single" w:sz="4" w:space="0" w:color="auto"/>
              <w:right w:val="single" w:sz="4" w:space="0" w:color="auto"/>
            </w:tcBorders>
            <w:shd w:val="clear" w:color="000000" w:fill="FFC599"/>
            <w:noWrap/>
            <w:vAlign w:val="bottom"/>
            <w:hideMark/>
          </w:tcPr>
          <w:p w14:paraId="57567FFD"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Profitability Index</w:t>
            </w:r>
          </w:p>
        </w:tc>
        <w:tc>
          <w:tcPr>
            <w:tcW w:w="980" w:type="pct"/>
            <w:tcBorders>
              <w:top w:val="nil"/>
              <w:left w:val="nil"/>
              <w:bottom w:val="single" w:sz="4" w:space="0" w:color="auto"/>
              <w:right w:val="single" w:sz="4" w:space="0" w:color="auto"/>
            </w:tcBorders>
            <w:shd w:val="clear" w:color="000000" w:fill="FFC599"/>
            <w:noWrap/>
            <w:vAlign w:val="bottom"/>
            <w:hideMark/>
          </w:tcPr>
          <w:p w14:paraId="2C78E0FB"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0.87</w:t>
            </w:r>
          </w:p>
        </w:tc>
        <w:tc>
          <w:tcPr>
            <w:tcW w:w="980" w:type="pct"/>
            <w:tcBorders>
              <w:top w:val="nil"/>
              <w:left w:val="nil"/>
              <w:bottom w:val="single" w:sz="4" w:space="0" w:color="auto"/>
              <w:right w:val="single" w:sz="4" w:space="0" w:color="auto"/>
            </w:tcBorders>
            <w:shd w:val="clear" w:color="000000" w:fill="FFC599"/>
            <w:noWrap/>
            <w:vAlign w:val="bottom"/>
            <w:hideMark/>
          </w:tcPr>
          <w:p w14:paraId="345BCF62"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0.88</w:t>
            </w:r>
          </w:p>
        </w:tc>
        <w:tc>
          <w:tcPr>
            <w:tcW w:w="980" w:type="pct"/>
            <w:tcBorders>
              <w:top w:val="nil"/>
              <w:left w:val="nil"/>
              <w:bottom w:val="single" w:sz="4" w:space="0" w:color="auto"/>
              <w:right w:val="single" w:sz="4" w:space="0" w:color="auto"/>
            </w:tcBorders>
            <w:shd w:val="clear" w:color="000000" w:fill="FFC599"/>
            <w:noWrap/>
            <w:vAlign w:val="bottom"/>
            <w:hideMark/>
          </w:tcPr>
          <w:p w14:paraId="412FA00B" w14:textId="77777777" w:rsidR="00CF4C6E" w:rsidRPr="00D52564" w:rsidRDefault="00CF4C6E" w:rsidP="00D52564">
            <w:pPr>
              <w:spacing w:before="240" w:after="240"/>
              <w:rPr>
                <w:rFonts w:ascii="Arial" w:hAnsi="Arial"/>
                <w:b/>
                <w:bCs/>
                <w:color w:val="000000"/>
                <w:szCs w:val="20"/>
                <w:lang w:val="en-GB"/>
              </w:rPr>
            </w:pPr>
            <w:r w:rsidRPr="00D52564">
              <w:rPr>
                <w:rFonts w:ascii="Arial" w:hAnsi="Arial"/>
                <w:b/>
                <w:bCs/>
                <w:color w:val="000000"/>
                <w:szCs w:val="20"/>
                <w:lang w:val="en-GB"/>
              </w:rPr>
              <w:t>1.02</w:t>
            </w:r>
          </w:p>
        </w:tc>
      </w:tr>
    </w:tbl>
    <w:p w14:paraId="32E0B393" w14:textId="3A51CC81" w:rsidR="00CF4C6E" w:rsidRPr="00D52564" w:rsidRDefault="00CF4C6E" w:rsidP="00F049CB">
      <w:pPr>
        <w:spacing w:before="240" w:after="240"/>
        <w:jc w:val="center"/>
        <w:rPr>
          <w:rFonts w:ascii="Arial" w:hAnsi="Arial"/>
          <w:b/>
          <w:bCs/>
          <w:lang w:val="en-GB"/>
        </w:rPr>
      </w:pPr>
      <w:r w:rsidRPr="00D52564">
        <w:rPr>
          <w:rFonts w:ascii="Arial" w:hAnsi="Arial"/>
          <w:b/>
          <w:bCs/>
          <w:lang w:val="en-GB"/>
        </w:rPr>
        <w:t>Table 2.6: PI of Projects</w:t>
      </w:r>
    </w:p>
    <w:p w14:paraId="3F285DB5" w14:textId="2D80A685" w:rsidR="00842B0C" w:rsidRPr="00F049CB" w:rsidRDefault="00CF4C6E" w:rsidP="00F049CB">
      <w:pPr>
        <w:spacing w:before="240" w:after="240"/>
        <w:jc w:val="center"/>
        <w:rPr>
          <w:rFonts w:ascii="Arial" w:hAnsi="Arial"/>
          <w:lang w:val="en-GB"/>
        </w:rPr>
      </w:pPr>
      <w:r w:rsidRPr="00D52564">
        <w:rPr>
          <w:rFonts w:ascii="Arial" w:hAnsi="Arial"/>
          <w:lang w:val="en-GB"/>
        </w:rPr>
        <w:lastRenderedPageBreak/>
        <w:t>(Source: Excel Output)</w:t>
      </w:r>
    </w:p>
    <w:p w14:paraId="644ABE92" w14:textId="77777777" w:rsidR="00842B0C" w:rsidRPr="00D52564" w:rsidRDefault="00842B0C" w:rsidP="00D52564">
      <w:pPr>
        <w:spacing w:before="240" w:after="240"/>
        <w:rPr>
          <w:rFonts w:ascii="Arial" w:hAnsi="Arial"/>
          <w:lang w:val="en-GB"/>
        </w:rPr>
      </w:pPr>
    </w:p>
    <w:p w14:paraId="79ADD07C" w14:textId="77777777" w:rsidR="00CF4C6E" w:rsidRPr="00D52564" w:rsidRDefault="00CF4C6E" w:rsidP="00D52564">
      <w:pPr>
        <w:spacing w:before="240" w:after="240"/>
        <w:rPr>
          <w:rFonts w:ascii="Arial" w:hAnsi="Arial"/>
          <w:lang w:val="en-GB"/>
        </w:rPr>
      </w:pPr>
    </w:p>
    <w:sectPr w:rsidR="00CF4C6E" w:rsidRPr="00D52564" w:rsidSect="009C0798">
      <w:footerReference w:type="default" r:id="rId4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B1D8F7" w14:textId="77777777" w:rsidR="00B134D3" w:rsidRDefault="00B134D3">
      <w:pPr>
        <w:spacing w:before="0" w:after="0" w:line="240" w:lineRule="auto"/>
      </w:pPr>
      <w:r>
        <w:separator/>
      </w:r>
    </w:p>
  </w:endnote>
  <w:endnote w:type="continuationSeparator" w:id="0">
    <w:p w14:paraId="119B8E8B" w14:textId="77777777" w:rsidR="00B134D3" w:rsidRDefault="00B134D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44AAF1E-42D5-4EFC-B3C4-870D9EB3A65E}"/>
  </w:font>
  <w:font w:name="Vrinda">
    <w:panose1 w:val="00000400000000000000"/>
    <w:charset w:val="00"/>
    <w:family w:val="swiss"/>
    <w:pitch w:val="variable"/>
    <w:sig w:usb0="00010003" w:usb1="00000000" w:usb2="00000000" w:usb3="00000000" w:csb0="00000001" w:csb1="00000000"/>
    <w:embedRegular r:id="rId2" w:fontKey="{D55634AA-1C7E-411D-A59D-0C4C1FFCF02A}"/>
    <w:embedBold r:id="rId3" w:fontKey="{D12CCC48-03FA-4D91-A81E-4116536D24C1}"/>
  </w:font>
  <w:font w:name="Cambria">
    <w:panose1 w:val="02040503050406030204"/>
    <w:charset w:val="00"/>
    <w:family w:val="roman"/>
    <w:pitch w:val="variable"/>
    <w:sig w:usb0="E00006FF" w:usb1="420024FF" w:usb2="02000000" w:usb3="00000000" w:csb0="0000019F" w:csb1="00000000"/>
    <w:embedRegular r:id="rId4" w:fontKey="{BEAF29E6-55AC-4292-BAD0-15ED9169023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2048930"/>
      <w:docPartObj>
        <w:docPartGallery w:val="Page Numbers (Bottom of Page)"/>
        <w:docPartUnique/>
      </w:docPartObj>
    </w:sdtPr>
    <w:sdtEndPr>
      <w:rPr>
        <w:noProof/>
        <w:sz w:val="20"/>
        <w:szCs w:val="24"/>
      </w:rPr>
    </w:sdtEndPr>
    <w:sdtContent>
      <w:p w14:paraId="52667C5D" w14:textId="52935EC9" w:rsidR="00761C96" w:rsidRPr="00761C96" w:rsidRDefault="00761C96" w:rsidP="00761C96">
        <w:pPr>
          <w:pStyle w:val="Footer"/>
          <w:jc w:val="right"/>
          <w:rPr>
            <w:sz w:val="20"/>
            <w:szCs w:val="24"/>
          </w:rPr>
        </w:pPr>
        <w:r w:rsidRPr="00761C96">
          <w:rPr>
            <w:sz w:val="20"/>
            <w:szCs w:val="24"/>
          </w:rPr>
          <w:fldChar w:fldCharType="begin"/>
        </w:r>
        <w:r w:rsidRPr="00761C96">
          <w:rPr>
            <w:sz w:val="20"/>
            <w:szCs w:val="24"/>
          </w:rPr>
          <w:instrText xml:space="preserve"> PAGE   \* MERGEFORMAT </w:instrText>
        </w:r>
        <w:r w:rsidRPr="00761C96">
          <w:rPr>
            <w:sz w:val="20"/>
            <w:szCs w:val="24"/>
          </w:rPr>
          <w:fldChar w:fldCharType="separate"/>
        </w:r>
        <w:r w:rsidRPr="00761C96">
          <w:rPr>
            <w:noProof/>
            <w:sz w:val="20"/>
            <w:szCs w:val="24"/>
          </w:rPr>
          <w:t>2</w:t>
        </w:r>
        <w:r w:rsidRPr="00761C96">
          <w:rPr>
            <w:noProof/>
            <w:sz w:val="20"/>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E46E89" w14:textId="77777777" w:rsidR="00B134D3" w:rsidRDefault="00B134D3">
      <w:pPr>
        <w:spacing w:before="0" w:after="0" w:line="240" w:lineRule="auto"/>
      </w:pPr>
      <w:r>
        <w:separator/>
      </w:r>
    </w:p>
  </w:footnote>
  <w:footnote w:type="continuationSeparator" w:id="0">
    <w:p w14:paraId="29855E79" w14:textId="77777777" w:rsidR="00B134D3" w:rsidRDefault="00B134D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141B1"/>
    <w:multiLevelType w:val="hybridMultilevel"/>
    <w:tmpl w:val="3D321E34"/>
    <w:lvl w:ilvl="0" w:tplc="40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192A0B56"/>
    <w:multiLevelType w:val="hybridMultilevel"/>
    <w:tmpl w:val="EF58A824"/>
    <w:lvl w:ilvl="0" w:tplc="40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242D121E"/>
    <w:multiLevelType w:val="hybridMultilevel"/>
    <w:tmpl w:val="574217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D943CA"/>
    <w:multiLevelType w:val="hybridMultilevel"/>
    <w:tmpl w:val="53C4F2B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2981669A"/>
    <w:multiLevelType w:val="hybridMultilevel"/>
    <w:tmpl w:val="72AE0CBA"/>
    <w:lvl w:ilvl="0" w:tplc="40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2E551C8D"/>
    <w:multiLevelType w:val="hybridMultilevel"/>
    <w:tmpl w:val="764497E8"/>
    <w:lvl w:ilvl="0" w:tplc="40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3A7C7826"/>
    <w:multiLevelType w:val="hybridMultilevel"/>
    <w:tmpl w:val="ED72DEC0"/>
    <w:lvl w:ilvl="0" w:tplc="40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 w15:restartNumberingAfterBreak="0">
    <w:nsid w:val="3ACF503D"/>
    <w:multiLevelType w:val="hybridMultilevel"/>
    <w:tmpl w:val="DB1673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DF47E21"/>
    <w:multiLevelType w:val="hybridMultilevel"/>
    <w:tmpl w:val="0FB269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F596A53"/>
    <w:multiLevelType w:val="hybridMultilevel"/>
    <w:tmpl w:val="8ED291DE"/>
    <w:lvl w:ilvl="0" w:tplc="40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0" w15:restartNumberingAfterBreak="0">
    <w:nsid w:val="45242E4E"/>
    <w:multiLevelType w:val="hybridMultilevel"/>
    <w:tmpl w:val="7D34AC26"/>
    <w:lvl w:ilvl="0" w:tplc="40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1" w15:restartNumberingAfterBreak="0">
    <w:nsid w:val="4648758F"/>
    <w:multiLevelType w:val="hybridMultilevel"/>
    <w:tmpl w:val="2FC4D8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35351EA"/>
    <w:multiLevelType w:val="hybridMultilevel"/>
    <w:tmpl w:val="236682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3CA34DD"/>
    <w:multiLevelType w:val="hybridMultilevel"/>
    <w:tmpl w:val="E3A82F26"/>
    <w:lvl w:ilvl="0" w:tplc="40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4" w15:restartNumberingAfterBreak="0">
    <w:nsid w:val="54AC06AB"/>
    <w:multiLevelType w:val="hybridMultilevel"/>
    <w:tmpl w:val="94AACD26"/>
    <w:lvl w:ilvl="0" w:tplc="40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5" w15:restartNumberingAfterBreak="0">
    <w:nsid w:val="54FC085A"/>
    <w:multiLevelType w:val="hybridMultilevel"/>
    <w:tmpl w:val="A7BEB7EA"/>
    <w:lvl w:ilvl="0" w:tplc="40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6" w15:restartNumberingAfterBreak="0">
    <w:nsid w:val="5B006166"/>
    <w:multiLevelType w:val="hybridMultilevel"/>
    <w:tmpl w:val="B9CC7848"/>
    <w:lvl w:ilvl="0" w:tplc="40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7" w15:restartNumberingAfterBreak="0">
    <w:nsid w:val="5C5A406E"/>
    <w:multiLevelType w:val="hybridMultilevel"/>
    <w:tmpl w:val="DF101F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60A57338"/>
    <w:multiLevelType w:val="hybridMultilevel"/>
    <w:tmpl w:val="8C900C36"/>
    <w:lvl w:ilvl="0" w:tplc="40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9" w15:restartNumberingAfterBreak="0">
    <w:nsid w:val="6A091E72"/>
    <w:multiLevelType w:val="hybridMultilevel"/>
    <w:tmpl w:val="158E3FE2"/>
    <w:lvl w:ilvl="0" w:tplc="40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0" w15:restartNumberingAfterBreak="0">
    <w:nsid w:val="6B6123DE"/>
    <w:multiLevelType w:val="multilevel"/>
    <w:tmpl w:val="A88A35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CA25771"/>
    <w:multiLevelType w:val="hybridMultilevel"/>
    <w:tmpl w:val="BA528C9E"/>
    <w:lvl w:ilvl="0" w:tplc="40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2" w15:restartNumberingAfterBreak="0">
    <w:nsid w:val="77D45033"/>
    <w:multiLevelType w:val="hybridMultilevel"/>
    <w:tmpl w:val="B04CCF02"/>
    <w:lvl w:ilvl="0" w:tplc="40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133330061">
    <w:abstractNumId w:val="20"/>
  </w:num>
  <w:num w:numId="2" w16cid:durableId="87778481">
    <w:abstractNumId w:val="3"/>
  </w:num>
  <w:num w:numId="3" w16cid:durableId="542644136">
    <w:abstractNumId w:val="8"/>
  </w:num>
  <w:num w:numId="4" w16cid:durableId="1635595905">
    <w:abstractNumId w:val="2"/>
  </w:num>
  <w:num w:numId="5" w16cid:durableId="896891767">
    <w:abstractNumId w:val="11"/>
  </w:num>
  <w:num w:numId="6" w16cid:durableId="454906860">
    <w:abstractNumId w:val="12"/>
  </w:num>
  <w:num w:numId="7" w16cid:durableId="1187601548">
    <w:abstractNumId w:val="7"/>
  </w:num>
  <w:num w:numId="8" w16cid:durableId="868687989">
    <w:abstractNumId w:val="17"/>
  </w:num>
  <w:num w:numId="9" w16cid:durableId="411437425">
    <w:abstractNumId w:val="1"/>
  </w:num>
  <w:num w:numId="10" w16cid:durableId="297955307">
    <w:abstractNumId w:val="15"/>
  </w:num>
  <w:num w:numId="11" w16cid:durableId="1142237335">
    <w:abstractNumId w:val="21"/>
  </w:num>
  <w:num w:numId="12" w16cid:durableId="215362800">
    <w:abstractNumId w:val="5"/>
  </w:num>
  <w:num w:numId="13" w16cid:durableId="959804039">
    <w:abstractNumId w:val="13"/>
  </w:num>
  <w:num w:numId="14" w16cid:durableId="1996300097">
    <w:abstractNumId w:val="4"/>
  </w:num>
  <w:num w:numId="15" w16cid:durableId="1056855560">
    <w:abstractNumId w:val="9"/>
  </w:num>
  <w:num w:numId="16" w16cid:durableId="640116624">
    <w:abstractNumId w:val="10"/>
  </w:num>
  <w:num w:numId="17" w16cid:durableId="1844469012">
    <w:abstractNumId w:val="0"/>
  </w:num>
  <w:num w:numId="18" w16cid:durableId="951591817">
    <w:abstractNumId w:val="19"/>
  </w:num>
  <w:num w:numId="19" w16cid:durableId="511072294">
    <w:abstractNumId w:val="6"/>
  </w:num>
  <w:num w:numId="20" w16cid:durableId="1553879918">
    <w:abstractNumId w:val="16"/>
  </w:num>
  <w:num w:numId="21" w16cid:durableId="1832134376">
    <w:abstractNumId w:val="22"/>
  </w:num>
  <w:num w:numId="22" w16cid:durableId="82266018">
    <w:abstractNumId w:val="18"/>
  </w:num>
  <w:num w:numId="23" w16cid:durableId="191616303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35A2"/>
    <w:rsid w:val="00023CD4"/>
    <w:rsid w:val="0004348E"/>
    <w:rsid w:val="0004639B"/>
    <w:rsid w:val="0005200D"/>
    <w:rsid w:val="00084E49"/>
    <w:rsid w:val="000A43C5"/>
    <w:rsid w:val="000B0A3A"/>
    <w:rsid w:val="000C25B9"/>
    <w:rsid w:val="000D65C0"/>
    <w:rsid w:val="000E054E"/>
    <w:rsid w:val="00112601"/>
    <w:rsid w:val="0015717D"/>
    <w:rsid w:val="00172E45"/>
    <w:rsid w:val="00186344"/>
    <w:rsid w:val="001C433A"/>
    <w:rsid w:val="001E4541"/>
    <w:rsid w:val="001E71EE"/>
    <w:rsid w:val="002451B9"/>
    <w:rsid w:val="0028381E"/>
    <w:rsid w:val="00287627"/>
    <w:rsid w:val="00342697"/>
    <w:rsid w:val="00346555"/>
    <w:rsid w:val="00360866"/>
    <w:rsid w:val="00386546"/>
    <w:rsid w:val="00395099"/>
    <w:rsid w:val="003A0882"/>
    <w:rsid w:val="003A79A3"/>
    <w:rsid w:val="003F35A2"/>
    <w:rsid w:val="00404138"/>
    <w:rsid w:val="00404AB0"/>
    <w:rsid w:val="0040660A"/>
    <w:rsid w:val="00415F35"/>
    <w:rsid w:val="00423673"/>
    <w:rsid w:val="004241E4"/>
    <w:rsid w:val="00451679"/>
    <w:rsid w:val="00484A0F"/>
    <w:rsid w:val="00492249"/>
    <w:rsid w:val="004A60D7"/>
    <w:rsid w:val="004D68B9"/>
    <w:rsid w:val="004F372D"/>
    <w:rsid w:val="00500B2D"/>
    <w:rsid w:val="00502965"/>
    <w:rsid w:val="005448CC"/>
    <w:rsid w:val="00553107"/>
    <w:rsid w:val="00572607"/>
    <w:rsid w:val="00573032"/>
    <w:rsid w:val="005A2209"/>
    <w:rsid w:val="005B7636"/>
    <w:rsid w:val="005C0858"/>
    <w:rsid w:val="005D15A9"/>
    <w:rsid w:val="00603A02"/>
    <w:rsid w:val="00613917"/>
    <w:rsid w:val="006362BE"/>
    <w:rsid w:val="00651EE3"/>
    <w:rsid w:val="006713C8"/>
    <w:rsid w:val="00693316"/>
    <w:rsid w:val="00693649"/>
    <w:rsid w:val="006959E9"/>
    <w:rsid w:val="006B7206"/>
    <w:rsid w:val="006C1D87"/>
    <w:rsid w:val="006D7CE2"/>
    <w:rsid w:val="006F2086"/>
    <w:rsid w:val="00704D97"/>
    <w:rsid w:val="00705DCF"/>
    <w:rsid w:val="007358F9"/>
    <w:rsid w:val="00742448"/>
    <w:rsid w:val="0074276A"/>
    <w:rsid w:val="00750FBE"/>
    <w:rsid w:val="00761C96"/>
    <w:rsid w:val="007A50A3"/>
    <w:rsid w:val="007B101E"/>
    <w:rsid w:val="00802861"/>
    <w:rsid w:val="00804129"/>
    <w:rsid w:val="00842B0C"/>
    <w:rsid w:val="00851B74"/>
    <w:rsid w:val="00897DE9"/>
    <w:rsid w:val="008B7230"/>
    <w:rsid w:val="00916FB3"/>
    <w:rsid w:val="0092702B"/>
    <w:rsid w:val="009471E2"/>
    <w:rsid w:val="00974170"/>
    <w:rsid w:val="0098317A"/>
    <w:rsid w:val="009C0798"/>
    <w:rsid w:val="009F474A"/>
    <w:rsid w:val="009F69B9"/>
    <w:rsid w:val="00A21123"/>
    <w:rsid w:val="00A476DC"/>
    <w:rsid w:val="00A52F44"/>
    <w:rsid w:val="00A53BF5"/>
    <w:rsid w:val="00A61CB2"/>
    <w:rsid w:val="00A75A63"/>
    <w:rsid w:val="00A80FDE"/>
    <w:rsid w:val="00A91BC3"/>
    <w:rsid w:val="00A95F31"/>
    <w:rsid w:val="00AA027D"/>
    <w:rsid w:val="00AC71C7"/>
    <w:rsid w:val="00B02309"/>
    <w:rsid w:val="00B134D3"/>
    <w:rsid w:val="00B158E5"/>
    <w:rsid w:val="00B3302F"/>
    <w:rsid w:val="00B80888"/>
    <w:rsid w:val="00B82104"/>
    <w:rsid w:val="00B973B3"/>
    <w:rsid w:val="00BA31B7"/>
    <w:rsid w:val="00BA38DE"/>
    <w:rsid w:val="00BB6980"/>
    <w:rsid w:val="00BC5464"/>
    <w:rsid w:val="00C079DE"/>
    <w:rsid w:val="00C347F3"/>
    <w:rsid w:val="00CC7060"/>
    <w:rsid w:val="00CF4C6E"/>
    <w:rsid w:val="00D06175"/>
    <w:rsid w:val="00D12BA6"/>
    <w:rsid w:val="00D52564"/>
    <w:rsid w:val="00D6231D"/>
    <w:rsid w:val="00DE0F78"/>
    <w:rsid w:val="00E252C8"/>
    <w:rsid w:val="00E26F66"/>
    <w:rsid w:val="00E555C2"/>
    <w:rsid w:val="00E741EC"/>
    <w:rsid w:val="00E76D48"/>
    <w:rsid w:val="00E964EB"/>
    <w:rsid w:val="00EA6F6D"/>
    <w:rsid w:val="00ED68B9"/>
    <w:rsid w:val="00EE3FF3"/>
    <w:rsid w:val="00EE41C5"/>
    <w:rsid w:val="00F049CB"/>
    <w:rsid w:val="00F45BE1"/>
    <w:rsid w:val="00F507D7"/>
    <w:rsid w:val="00F76421"/>
    <w:rsid w:val="00FC407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0F8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bn-IN"/>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58E5"/>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761C96"/>
    <w:pPr>
      <w:tabs>
        <w:tab w:val="center" w:pos="4513"/>
        <w:tab w:val="right" w:pos="9026"/>
      </w:tabs>
      <w:spacing w:before="0" w:after="0" w:line="240" w:lineRule="auto"/>
    </w:pPr>
    <w:rPr>
      <w:szCs w:val="30"/>
    </w:rPr>
  </w:style>
  <w:style w:type="character" w:customStyle="1" w:styleId="HeaderChar">
    <w:name w:val="Header Char"/>
    <w:basedOn w:val="DefaultParagraphFont"/>
    <w:link w:val="Header"/>
    <w:uiPriority w:val="99"/>
    <w:rsid w:val="00761C96"/>
    <w:rPr>
      <w:szCs w:val="30"/>
    </w:rPr>
  </w:style>
  <w:style w:type="paragraph" w:styleId="Footer">
    <w:name w:val="footer"/>
    <w:basedOn w:val="Normal"/>
    <w:link w:val="FooterChar"/>
    <w:uiPriority w:val="99"/>
    <w:unhideWhenUsed/>
    <w:rsid w:val="00761C96"/>
    <w:pPr>
      <w:tabs>
        <w:tab w:val="center" w:pos="4513"/>
        <w:tab w:val="right" w:pos="9026"/>
      </w:tabs>
      <w:spacing w:before="0" w:after="0" w:line="240" w:lineRule="auto"/>
    </w:pPr>
    <w:rPr>
      <w:szCs w:val="30"/>
    </w:rPr>
  </w:style>
  <w:style w:type="character" w:customStyle="1" w:styleId="FooterChar">
    <w:name w:val="Footer Char"/>
    <w:basedOn w:val="DefaultParagraphFont"/>
    <w:link w:val="Footer"/>
    <w:uiPriority w:val="99"/>
    <w:rsid w:val="00761C96"/>
    <w:rPr>
      <w:szCs w:val="30"/>
    </w:rPr>
  </w:style>
  <w:style w:type="character" w:styleId="Hyperlink">
    <w:name w:val="Hyperlink"/>
    <w:basedOn w:val="DefaultParagraphFont"/>
    <w:uiPriority w:val="99"/>
    <w:unhideWhenUsed/>
    <w:rsid w:val="005448CC"/>
    <w:rPr>
      <w:color w:val="56C7AA" w:themeColor="hyperlink"/>
      <w:u w:val="single"/>
    </w:rPr>
  </w:style>
  <w:style w:type="character" w:styleId="UnresolvedMention">
    <w:name w:val="Unresolved Mention"/>
    <w:basedOn w:val="DefaultParagraphFont"/>
    <w:uiPriority w:val="99"/>
    <w:semiHidden/>
    <w:unhideWhenUsed/>
    <w:rsid w:val="005448CC"/>
    <w:rPr>
      <w:color w:val="605E5C"/>
      <w:shd w:val="clear" w:color="auto" w:fill="E1DFDD"/>
    </w:rPr>
  </w:style>
  <w:style w:type="table" w:styleId="TableGrid">
    <w:name w:val="Table Grid"/>
    <w:basedOn w:val="TableNormal"/>
    <w:uiPriority w:val="39"/>
    <w:rsid w:val="004D68B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5">
    <w:name w:val="Grid Table 2 Accent 5"/>
    <w:basedOn w:val="TableNormal"/>
    <w:uiPriority w:val="47"/>
    <w:rsid w:val="004D68B9"/>
    <w:pPr>
      <w:spacing w:after="0" w:line="240" w:lineRule="auto"/>
    </w:pPr>
    <w:tblPr>
      <w:tblStyleRowBandSize w:val="1"/>
      <w:tblStyleColBandSize w:val="1"/>
      <w:tblBorders>
        <w:top w:val="single" w:sz="2" w:space="0" w:color="FFB279" w:themeColor="accent5" w:themeTint="99"/>
        <w:bottom w:val="single" w:sz="2" w:space="0" w:color="FFB279" w:themeColor="accent5" w:themeTint="99"/>
        <w:insideH w:val="single" w:sz="2" w:space="0" w:color="FFB279" w:themeColor="accent5" w:themeTint="99"/>
        <w:insideV w:val="single" w:sz="2" w:space="0" w:color="FFB279" w:themeColor="accent5" w:themeTint="99"/>
      </w:tblBorders>
    </w:tblPr>
    <w:tblStylePr w:type="firstRow">
      <w:rPr>
        <w:b/>
        <w:bCs/>
      </w:rPr>
      <w:tblPr/>
      <w:tcPr>
        <w:tcBorders>
          <w:top w:val="nil"/>
          <w:bottom w:val="single" w:sz="12" w:space="0" w:color="FFB279" w:themeColor="accent5" w:themeTint="99"/>
          <w:insideH w:val="nil"/>
          <w:insideV w:val="nil"/>
        </w:tcBorders>
        <w:shd w:val="clear" w:color="auto" w:fill="FFFFFF" w:themeFill="background1"/>
      </w:tcPr>
    </w:tblStylePr>
    <w:tblStylePr w:type="lastRow">
      <w:rPr>
        <w:b/>
        <w:bCs/>
      </w:rPr>
      <w:tblPr/>
      <w:tcPr>
        <w:tcBorders>
          <w:top w:val="double" w:sz="2" w:space="0" w:color="FFB279"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5D2" w:themeFill="accent5" w:themeFillTint="33"/>
      </w:tcPr>
    </w:tblStylePr>
    <w:tblStylePr w:type="band1Horz">
      <w:tblPr/>
      <w:tcPr>
        <w:shd w:val="clear" w:color="auto" w:fill="FFE5D2" w:themeFill="accent5" w:themeFillTint="33"/>
      </w:tcPr>
    </w:tblStylePr>
  </w:style>
  <w:style w:type="table" w:styleId="GridTable4-Accent3">
    <w:name w:val="Grid Table 4 Accent 3"/>
    <w:basedOn w:val="TableNormal"/>
    <w:uiPriority w:val="49"/>
    <w:rsid w:val="00FC4075"/>
    <w:pPr>
      <w:spacing w:after="0" w:line="240" w:lineRule="auto"/>
    </w:pPr>
    <w:tblPr>
      <w:tblStyleRowBandSize w:val="1"/>
      <w:tblStyleColBandSize w:val="1"/>
      <w:tblBorders>
        <w:top w:val="single" w:sz="4" w:space="0" w:color="C9F296" w:themeColor="accent3" w:themeTint="99"/>
        <w:left w:val="single" w:sz="4" w:space="0" w:color="C9F296" w:themeColor="accent3" w:themeTint="99"/>
        <w:bottom w:val="single" w:sz="4" w:space="0" w:color="C9F296" w:themeColor="accent3" w:themeTint="99"/>
        <w:right w:val="single" w:sz="4" w:space="0" w:color="C9F296" w:themeColor="accent3" w:themeTint="99"/>
        <w:insideH w:val="single" w:sz="4" w:space="0" w:color="C9F296" w:themeColor="accent3" w:themeTint="99"/>
        <w:insideV w:val="single" w:sz="4" w:space="0" w:color="C9F296" w:themeColor="accent3" w:themeTint="99"/>
      </w:tblBorders>
    </w:tblPr>
    <w:tblStylePr w:type="firstRow">
      <w:rPr>
        <w:b/>
        <w:bCs/>
        <w:color w:val="FFFFFF" w:themeColor="background1"/>
      </w:rPr>
      <w:tblPr/>
      <w:tcPr>
        <w:tcBorders>
          <w:top w:val="single" w:sz="4" w:space="0" w:color="A7EA52" w:themeColor="accent3"/>
          <w:left w:val="single" w:sz="4" w:space="0" w:color="A7EA52" w:themeColor="accent3"/>
          <w:bottom w:val="single" w:sz="4" w:space="0" w:color="A7EA52" w:themeColor="accent3"/>
          <w:right w:val="single" w:sz="4" w:space="0" w:color="A7EA52" w:themeColor="accent3"/>
          <w:insideH w:val="nil"/>
          <w:insideV w:val="nil"/>
        </w:tcBorders>
        <w:shd w:val="clear" w:color="auto" w:fill="A7EA52" w:themeFill="accent3"/>
      </w:tcPr>
    </w:tblStylePr>
    <w:tblStylePr w:type="lastRow">
      <w:rPr>
        <w:b/>
        <w:bCs/>
      </w:rPr>
      <w:tblPr/>
      <w:tcPr>
        <w:tcBorders>
          <w:top w:val="double" w:sz="4" w:space="0" w:color="A7EA52" w:themeColor="accent3"/>
        </w:tcBorders>
      </w:tcPr>
    </w:tblStylePr>
    <w:tblStylePr w:type="firstCol">
      <w:rPr>
        <w:b/>
        <w:bCs/>
      </w:rPr>
    </w:tblStylePr>
    <w:tblStylePr w:type="lastCol">
      <w:rPr>
        <w:b/>
        <w:bCs/>
      </w:rPr>
    </w:tblStylePr>
    <w:tblStylePr w:type="band1Vert">
      <w:tblPr/>
      <w:tcPr>
        <w:shd w:val="clear" w:color="auto" w:fill="EDFADC" w:themeFill="accent3" w:themeFillTint="33"/>
      </w:tcPr>
    </w:tblStylePr>
    <w:tblStylePr w:type="band1Horz">
      <w:tblPr/>
      <w:tcPr>
        <w:shd w:val="clear" w:color="auto" w:fill="EDFADC" w:themeFill="accent3" w:themeFillTint="33"/>
      </w:tcPr>
    </w:tblStylePr>
  </w:style>
  <w:style w:type="paragraph" w:styleId="ListParagraph">
    <w:name w:val="List Paragraph"/>
    <w:basedOn w:val="Normal"/>
    <w:uiPriority w:val="34"/>
    <w:qFormat/>
    <w:rsid w:val="00FC4075"/>
    <w:pPr>
      <w:ind w:left="720"/>
      <w:contextualSpacing/>
    </w:pPr>
    <w:rPr>
      <w:szCs w:val="30"/>
    </w:rPr>
  </w:style>
  <w:style w:type="paragraph" w:styleId="TOCHeading">
    <w:name w:val="TOC Heading"/>
    <w:basedOn w:val="Heading1"/>
    <w:next w:val="Normal"/>
    <w:uiPriority w:val="39"/>
    <w:unhideWhenUsed/>
    <w:qFormat/>
    <w:rsid w:val="00EE3FF3"/>
    <w:pPr>
      <w:spacing w:before="240" w:after="0" w:line="259" w:lineRule="auto"/>
      <w:jc w:val="left"/>
      <w:outlineLvl w:val="9"/>
    </w:pPr>
    <w:rPr>
      <w:rFonts w:asciiTheme="majorHAnsi" w:eastAsiaTheme="majorEastAsia" w:hAnsiTheme="majorHAnsi" w:cstheme="majorBidi"/>
      <w:b w:val="0"/>
      <w:bCs w:val="0"/>
      <w:color w:val="31479E" w:themeColor="accent1" w:themeShade="BF"/>
      <w:sz w:val="32"/>
      <w:szCs w:val="32"/>
      <w:lang w:val="en-US" w:eastAsia="en-US" w:bidi="ar-SA"/>
    </w:rPr>
  </w:style>
  <w:style w:type="paragraph" w:styleId="TOC1">
    <w:name w:val="toc 1"/>
    <w:basedOn w:val="Normal"/>
    <w:next w:val="Normal"/>
    <w:autoRedefine/>
    <w:uiPriority w:val="39"/>
    <w:unhideWhenUsed/>
    <w:rsid w:val="00EE3FF3"/>
    <w:pPr>
      <w:spacing w:after="100"/>
    </w:pPr>
    <w:rPr>
      <w:szCs w:val="30"/>
    </w:rPr>
  </w:style>
  <w:style w:type="paragraph" w:styleId="TOC2">
    <w:name w:val="toc 2"/>
    <w:basedOn w:val="Normal"/>
    <w:next w:val="Normal"/>
    <w:autoRedefine/>
    <w:uiPriority w:val="39"/>
    <w:unhideWhenUsed/>
    <w:rsid w:val="00EE3FF3"/>
    <w:pPr>
      <w:spacing w:after="100"/>
      <w:ind w:left="240"/>
    </w:pPr>
    <w:rPr>
      <w:szCs w:val="30"/>
    </w:rPr>
  </w:style>
  <w:style w:type="paragraph" w:styleId="TOC3">
    <w:name w:val="toc 3"/>
    <w:basedOn w:val="Normal"/>
    <w:next w:val="Normal"/>
    <w:autoRedefine/>
    <w:uiPriority w:val="39"/>
    <w:unhideWhenUsed/>
    <w:rsid w:val="00EE3FF3"/>
    <w:pPr>
      <w:spacing w:after="100"/>
      <w:ind w:left="480"/>
    </w:pPr>
    <w:rPr>
      <w:szCs w:val="30"/>
    </w:rPr>
  </w:style>
  <w:style w:type="paragraph" w:styleId="NoSpacing">
    <w:name w:val="No Spacing"/>
    <w:link w:val="NoSpacingChar"/>
    <w:uiPriority w:val="1"/>
    <w:qFormat/>
    <w:rsid w:val="009C0798"/>
    <w:pPr>
      <w:spacing w:before="0" w:after="0" w:line="240" w:lineRule="auto"/>
      <w:jc w:val="left"/>
    </w:pPr>
    <w:rPr>
      <w:rFonts w:asciiTheme="minorHAnsi" w:eastAsiaTheme="minorEastAsia" w:hAnsiTheme="minorHAnsi" w:cstheme="minorBidi"/>
      <w:sz w:val="22"/>
      <w:szCs w:val="22"/>
      <w:lang w:val="en-US" w:eastAsia="en-US" w:bidi="ar-SA"/>
    </w:rPr>
  </w:style>
  <w:style w:type="character" w:customStyle="1" w:styleId="NoSpacingChar">
    <w:name w:val="No Spacing Char"/>
    <w:basedOn w:val="DefaultParagraphFont"/>
    <w:link w:val="NoSpacing"/>
    <w:uiPriority w:val="1"/>
    <w:rsid w:val="009C0798"/>
    <w:rPr>
      <w:rFonts w:asciiTheme="minorHAnsi" w:eastAsiaTheme="minorEastAsia" w:hAnsiTheme="minorHAnsi" w:cstheme="minorBidi"/>
      <w:sz w:val="22"/>
      <w:szCs w:val="22"/>
      <w:lang w:val="en-US" w:eastAsia="en-US" w:bidi="ar-SA"/>
    </w:rPr>
  </w:style>
  <w:style w:type="table" w:styleId="GridTable5Dark-Accent4">
    <w:name w:val="Grid Table 5 Dark Accent 4"/>
    <w:basedOn w:val="TableNormal"/>
    <w:uiPriority w:val="50"/>
    <w:rsid w:val="0038654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F5EE"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DCEA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DCEA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DCEA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DCEAF" w:themeFill="accent4"/>
      </w:tcPr>
    </w:tblStylePr>
    <w:tblStylePr w:type="band1Vert">
      <w:tblPr/>
      <w:tcPr>
        <w:shd w:val="clear" w:color="auto" w:fill="BEEBDE" w:themeFill="accent4" w:themeFillTint="66"/>
      </w:tcPr>
    </w:tblStylePr>
    <w:tblStylePr w:type="band1Horz">
      <w:tblPr/>
      <w:tcPr>
        <w:shd w:val="clear" w:color="auto" w:fill="BEEBDE" w:themeFill="accent4" w:themeFillTint="66"/>
      </w:tcPr>
    </w:tblStylePr>
  </w:style>
  <w:style w:type="table" w:styleId="GridTable5Dark-Accent5">
    <w:name w:val="Grid Table 5 Dark Accent 5"/>
    <w:basedOn w:val="TableNormal"/>
    <w:uiPriority w:val="50"/>
    <w:rsid w:val="00897DE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E5D2"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8021"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8021"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8021"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8021" w:themeFill="accent5"/>
      </w:tcPr>
    </w:tblStylePr>
    <w:tblStylePr w:type="band1Vert">
      <w:tblPr/>
      <w:tcPr>
        <w:shd w:val="clear" w:color="auto" w:fill="FFCCA6" w:themeFill="accent5" w:themeFillTint="66"/>
      </w:tcPr>
    </w:tblStylePr>
    <w:tblStylePr w:type="band1Horz">
      <w:tblPr/>
      <w:tcPr>
        <w:shd w:val="clear" w:color="auto" w:fill="FFCCA6" w:themeFill="accent5" w:themeFillTint="66"/>
      </w:tcPr>
    </w:tblStylePr>
  </w:style>
  <w:style w:type="table" w:styleId="GridTable4-Accent6">
    <w:name w:val="Grid Table 4 Accent 6"/>
    <w:basedOn w:val="TableNormal"/>
    <w:uiPriority w:val="49"/>
    <w:rsid w:val="00897DE9"/>
    <w:pPr>
      <w:spacing w:after="0" w:line="240" w:lineRule="auto"/>
    </w:pPr>
    <w:tblPr>
      <w:tblStyleRowBandSize w:val="1"/>
      <w:tblStyleColBandSize w:val="1"/>
      <w:tblBorders>
        <w:top w:val="single" w:sz="4" w:space="0" w:color="F68C7B" w:themeColor="accent6" w:themeTint="99"/>
        <w:left w:val="single" w:sz="4" w:space="0" w:color="F68C7B" w:themeColor="accent6" w:themeTint="99"/>
        <w:bottom w:val="single" w:sz="4" w:space="0" w:color="F68C7B" w:themeColor="accent6" w:themeTint="99"/>
        <w:right w:val="single" w:sz="4" w:space="0" w:color="F68C7B" w:themeColor="accent6" w:themeTint="99"/>
        <w:insideH w:val="single" w:sz="4" w:space="0" w:color="F68C7B" w:themeColor="accent6" w:themeTint="99"/>
        <w:insideV w:val="single" w:sz="4" w:space="0" w:color="F68C7B" w:themeColor="accent6" w:themeTint="99"/>
      </w:tblBorders>
    </w:tblPr>
    <w:tblStylePr w:type="firstRow">
      <w:rPr>
        <w:b/>
        <w:bCs/>
        <w:color w:val="FFFFFF" w:themeColor="background1"/>
      </w:rPr>
      <w:tblPr/>
      <w:tcPr>
        <w:tcBorders>
          <w:top w:val="single" w:sz="4" w:space="0" w:color="F14124" w:themeColor="accent6"/>
          <w:left w:val="single" w:sz="4" w:space="0" w:color="F14124" w:themeColor="accent6"/>
          <w:bottom w:val="single" w:sz="4" w:space="0" w:color="F14124" w:themeColor="accent6"/>
          <w:right w:val="single" w:sz="4" w:space="0" w:color="F14124" w:themeColor="accent6"/>
          <w:insideH w:val="nil"/>
          <w:insideV w:val="nil"/>
        </w:tcBorders>
        <w:shd w:val="clear" w:color="auto" w:fill="F14124" w:themeFill="accent6"/>
      </w:tcPr>
    </w:tblStylePr>
    <w:tblStylePr w:type="lastRow">
      <w:rPr>
        <w:b/>
        <w:bCs/>
      </w:rPr>
      <w:tblPr/>
      <w:tcPr>
        <w:tcBorders>
          <w:top w:val="double" w:sz="4" w:space="0" w:color="F14124" w:themeColor="accent6"/>
        </w:tcBorders>
      </w:tcPr>
    </w:tblStylePr>
    <w:tblStylePr w:type="firstCol">
      <w:rPr>
        <w:b/>
        <w:bCs/>
      </w:rPr>
    </w:tblStylePr>
    <w:tblStylePr w:type="lastCol">
      <w:rPr>
        <w:b/>
        <w:bCs/>
      </w:rPr>
    </w:tblStylePr>
    <w:tblStylePr w:type="band1Vert">
      <w:tblPr/>
      <w:tcPr>
        <w:shd w:val="clear" w:color="auto" w:fill="FCD8D3" w:themeFill="accent6" w:themeFillTint="33"/>
      </w:tcPr>
    </w:tblStylePr>
    <w:tblStylePr w:type="band1Horz">
      <w:tblPr/>
      <w:tcPr>
        <w:shd w:val="clear" w:color="auto" w:fill="FCD8D3" w:themeFill="accent6" w:themeFillTint="33"/>
      </w:tcPr>
    </w:tblStylePr>
  </w:style>
  <w:style w:type="table" w:styleId="GridTable5Dark-Accent6">
    <w:name w:val="Grid Table 5 Dark Accent 6"/>
    <w:basedOn w:val="TableNormal"/>
    <w:uiPriority w:val="50"/>
    <w:rsid w:val="00897DE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D8D3"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14124"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14124"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14124"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14124" w:themeFill="accent6"/>
      </w:tcPr>
    </w:tblStylePr>
    <w:tblStylePr w:type="band1Vert">
      <w:tblPr/>
      <w:tcPr>
        <w:shd w:val="clear" w:color="auto" w:fill="F9B2A7" w:themeFill="accent6" w:themeFillTint="66"/>
      </w:tcPr>
    </w:tblStylePr>
    <w:tblStylePr w:type="band1Horz">
      <w:tblPr/>
      <w:tcPr>
        <w:shd w:val="clear" w:color="auto" w:fill="F9B2A7"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doi.org/10.5267/j.ac.2020.1.001" TargetMode="External"/><Relationship Id="rId39" Type="http://schemas.openxmlformats.org/officeDocument/2006/relationships/hyperlink" Target="https://doi.org/10.30596/ijbe.v2i2.6644" TargetMode="External"/><Relationship Id="rId21" Type="http://schemas.openxmlformats.org/officeDocument/2006/relationships/hyperlink" Target="https://doi.org/10.15838/esc.2021.1.73.3" TargetMode="External"/><Relationship Id="rId34" Type="http://schemas.openxmlformats.org/officeDocument/2006/relationships/hyperlink" Target="https://scholar.archive.org/work/2wd2waanj5bstcpsosw6pmoohy/access/wayback/https://www.ilkogretim-online.org/fulltext/218-1662468640.pdf?1663914600" TargetMode="External"/><Relationship Id="rId42" Type="http://schemas.openxmlformats.org/officeDocument/2006/relationships/hyperlink" Target="https://d1io3yog0oux5.cloudfront.net/_24925bb85b8d9c674a4ff8a4b927b624/wyndhamhotels/news/2023-02-15_WYNDHAM_HOTELS_RESORTS_REPORTS_STRONG_FOURTH_257.pdf" TargetMode="External"/><Relationship Id="rId47"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books.google.co.in/books?hl=en&amp;lr=&amp;id=L4YVEQAAQBAJ&amp;oi=fnd&amp;pg=PR7&amp;dq=Capital+Rationing&amp;ots=rdC8V-QrUb&amp;sig=yK0JHAzTOZnOOJMIV4Q9EeYypQ8&amp;redir_esc=y" TargetMode="External"/><Relationship Id="rId11" Type="http://schemas.openxmlformats.org/officeDocument/2006/relationships/image" Target="media/image3.png"/><Relationship Id="rId24" Type="http://schemas.openxmlformats.org/officeDocument/2006/relationships/hyperlink" Target="https://doi.org/10.2991/aebmr.k.220307.028" TargetMode="External"/><Relationship Id="rId32" Type="http://schemas.openxmlformats.org/officeDocument/2006/relationships/hyperlink" Target="https://doi.org/10.1016/j.apenergy.2020.114732" TargetMode="External"/><Relationship Id="rId37" Type="http://schemas.openxmlformats.org/officeDocument/2006/relationships/hyperlink" Target="https://doi.org/10.2991/aebmr.k.220603.135" TargetMode="External"/><Relationship Id="rId40" Type="http://schemas.openxmlformats.org/officeDocument/2006/relationships/hyperlink" Target="https://doi.org/10.58567/jea02020005" TargetMode="External"/><Relationship Id="rId45" Type="http://schemas.openxmlformats.org/officeDocument/2006/relationships/hyperlink" Target="https://d1io3yog0oux5.cloudfront.net/_24925bb85b8d9c674a4ff8a4b927b624/wyndhamhotels/news/2026-02-18_WYNDHAM_HOTELS_RESORTS_REPORTS_FOURTH_QUARTER_406.pdf"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1007/978-3-319-31816-5_3969-1" TargetMode="External"/><Relationship Id="rId28" Type="http://schemas.openxmlformats.org/officeDocument/2006/relationships/hyperlink" Target="https://doi.org/10.2991/aebmr.k.220307.012" TargetMode="External"/><Relationship Id="rId36" Type="http://schemas.openxmlformats.org/officeDocument/2006/relationships/hyperlink" Target="https://doi.org/10.1016/j.bushor.2021.03.001"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abacademies.org/articles/profitability-index-and-its-impact-on-short-and-long-term-decisions-12977.html" TargetMode="External"/><Relationship Id="rId31" Type="http://schemas.openxmlformats.org/officeDocument/2006/relationships/hyperlink" Target="https://www.academia.edu/download/66208884/479_03_JCAR.pdf" TargetMode="External"/><Relationship Id="rId44" Type="http://schemas.openxmlformats.org/officeDocument/2006/relationships/hyperlink" Target="https://investor.wyndhamhotels.com/company-informat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doi.org/10.46799/jss.v2i2.107" TargetMode="External"/><Relationship Id="rId27" Type="http://schemas.openxmlformats.org/officeDocument/2006/relationships/hyperlink" Target="https://hospitality.institute/mha805/key-liquidity-ratios-hotel-financial-health/" TargetMode="External"/><Relationship Id="rId30" Type="http://schemas.openxmlformats.org/officeDocument/2006/relationships/hyperlink" Target="https://doi.org/10.2991/aebmr.k.220603.133" TargetMode="External"/><Relationship Id="rId35" Type="http://schemas.openxmlformats.org/officeDocument/2006/relationships/hyperlink" Target="https://dx.doi.org/10.2139/ssrn.3663970" TargetMode="External"/><Relationship Id="rId43" Type="http://schemas.openxmlformats.org/officeDocument/2006/relationships/hyperlink" Target="https://d1io3yog0oux5.cloudfront.net/_24925bb85b8d9c674a4ff8a4b927b624/wyndhamhotels/news/2024-02-14_WYNDHAM_HOTELS_RESORTS_REPORTS_STRONG_FOURTH_309.pdf" TargetMode="External"/><Relationship Id="rId48"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x.doi.org/10.2139/ssrn.3358503" TargetMode="External"/><Relationship Id="rId33" Type="http://schemas.openxmlformats.org/officeDocument/2006/relationships/hyperlink" Target="https://geplat.com/rtep/index.php/tourism/article/view/790" TargetMode="External"/><Relationship Id="rId38" Type="http://schemas.openxmlformats.org/officeDocument/2006/relationships/hyperlink" Target="https://hdl.handle.net/10419/302850" TargetMode="External"/><Relationship Id="rId46" Type="http://schemas.openxmlformats.org/officeDocument/2006/relationships/hyperlink" Target="https://d1io3yog0oux5.cloudfront.net/_24925bb85b8d9c674a4ff8a4b927b624/wyndhamhotels/db/2238/23619/investor_presentation/WH+Q4+2025+Investor+Presentation.pdf" TargetMode="External"/><Relationship Id="rId20" Type="http://schemas.openxmlformats.org/officeDocument/2006/relationships/hyperlink" Target="https://doi.org/10.47153/sss12.2262021" TargetMode="External"/><Relationship Id="rId41" Type="http://schemas.openxmlformats.org/officeDocument/2006/relationships/hyperlink" Target="https://doi.org/10.47750/QAS/23.189.23"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DAF2B6-B097-4F02-A99F-8DA705589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7655</Words>
  <Characters>43639</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keywords/>
  <dc:description/>
  <cp:lastModifiedBy/>
  <cp:revision>1</cp:revision>
  <dcterms:created xsi:type="dcterms:W3CDTF">2026-08-13T11:41:00Z</dcterms:created>
  <dcterms:modified xsi:type="dcterms:W3CDTF">2026-08-13T11:42:00Z</dcterms:modified>
</cp:coreProperties>
</file>