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22187D6A" w14:textId="77777777" w:rsidR="00B20A47" w:rsidRPr="00D77A75" w:rsidRDefault="00B20A47" w:rsidP="00B20A47">
            <w:pPr>
              <w:ind w:right="-957"/>
              <w:rPr>
                <w:rFonts w:ascii="Times New Roman" w:hAnsi="Times New Roman" w:cs="Times New Roman"/>
                <w:bCs/>
                <w:sz w:val="48"/>
              </w:rPr>
            </w:pPr>
            <w:r>
              <w:rPr>
                <w:rFonts w:ascii="Times New Roman" w:hAnsi="Times New Roman" w:cs="Times New Roman"/>
                <w:b/>
                <w:sz w:val="48"/>
              </w:rPr>
              <w:t xml:space="preserve">Learner’s name: </w:t>
            </w:r>
            <w:r>
              <w:rPr>
                <w:rFonts w:ascii="Times New Roman" w:hAnsi="Times New Roman" w:cs="Times New Roman"/>
                <w:bCs/>
                <w:sz w:val="48"/>
              </w:rPr>
              <w:t>Jasmine Rebekah Burgess</w:t>
            </w:r>
          </w:p>
          <w:p w14:paraId="20900E32" w14:textId="77777777" w:rsidR="00B20A47" w:rsidRDefault="00B20A47" w:rsidP="00B20A47">
            <w:pPr>
              <w:ind w:right="-957"/>
              <w:rPr>
                <w:rFonts w:ascii="Times New Roman" w:hAnsi="Times New Roman" w:cs="Times New Roman"/>
                <w:b/>
                <w:sz w:val="48"/>
              </w:rPr>
            </w:pPr>
          </w:p>
          <w:p w14:paraId="517D60F7" w14:textId="77777777" w:rsidR="00B20A47" w:rsidRDefault="00B20A47" w:rsidP="00B20A47">
            <w:pPr>
              <w:ind w:right="-957"/>
              <w:rPr>
                <w:rFonts w:ascii="Times New Roman" w:hAnsi="Times New Roman" w:cs="Times New Roman"/>
                <w:b/>
                <w:sz w:val="48"/>
              </w:rPr>
            </w:pPr>
            <w:r>
              <w:rPr>
                <w:rFonts w:ascii="Times New Roman" w:hAnsi="Times New Roman" w:cs="Times New Roman"/>
                <w:b/>
                <w:sz w:val="48"/>
              </w:rPr>
              <w:t>Email address:</w:t>
            </w:r>
          </w:p>
          <w:p w14:paraId="51FDC489" w14:textId="77777777" w:rsidR="00B20A47" w:rsidRPr="00D77A75" w:rsidRDefault="00B20A47" w:rsidP="00B20A47">
            <w:pPr>
              <w:ind w:right="-957"/>
              <w:rPr>
                <w:rFonts w:ascii="Times New Roman" w:hAnsi="Times New Roman" w:cs="Times New Roman"/>
                <w:bCs/>
                <w:sz w:val="48"/>
              </w:rPr>
            </w:pPr>
            <w:r w:rsidRPr="00D77A75">
              <w:rPr>
                <w:rFonts w:ascii="Times New Roman" w:hAnsi="Times New Roman" w:cs="Times New Roman"/>
                <w:bCs/>
                <w:sz w:val="48"/>
              </w:rPr>
              <w:t>2520833@student.uwtsd.ac.uk</w:t>
            </w:r>
          </w:p>
          <w:p w14:paraId="0F69AFB0" w14:textId="77777777" w:rsidR="00B20A47" w:rsidRDefault="00B20A47" w:rsidP="00B20A47">
            <w:pPr>
              <w:ind w:right="-957"/>
              <w:rPr>
                <w:rFonts w:ascii="Times New Roman" w:hAnsi="Times New Roman" w:cs="Times New Roman"/>
                <w:b/>
                <w:sz w:val="48"/>
              </w:rPr>
            </w:pPr>
          </w:p>
          <w:p w14:paraId="6485A656" w14:textId="77777777" w:rsidR="00B20A47" w:rsidRDefault="00B20A47" w:rsidP="00B20A47">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64B224E" w14:textId="77777777" w:rsidR="00B20A47" w:rsidRPr="00D77A75" w:rsidRDefault="00B20A47" w:rsidP="00B20A47">
            <w:pPr>
              <w:ind w:right="-957"/>
              <w:rPr>
                <w:rFonts w:ascii="Times New Roman" w:hAnsi="Times New Roman" w:cs="Times New Roman"/>
                <w:bCs/>
                <w:sz w:val="48"/>
              </w:rPr>
            </w:pPr>
            <w:r>
              <w:rPr>
                <w:rFonts w:ascii="Times New Roman" w:hAnsi="Times New Roman" w:cs="Times New Roman"/>
                <w:bCs/>
                <w:sz w:val="48"/>
              </w:rPr>
              <w:t>2520833</w:t>
            </w:r>
          </w:p>
          <w:p w14:paraId="3B700E36" w14:textId="77777777" w:rsidR="00B20A47" w:rsidRPr="005D3F07" w:rsidRDefault="00B20A47" w:rsidP="00B20A47">
            <w:pPr>
              <w:ind w:right="-957"/>
              <w:rPr>
                <w:rFonts w:ascii="Times New Roman" w:hAnsi="Times New Roman" w:cs="Times New Roman"/>
                <w:b/>
                <w:sz w:val="48"/>
              </w:rPr>
            </w:pPr>
          </w:p>
          <w:p w14:paraId="5F84129B" w14:textId="6304F9DE" w:rsidR="0085230E" w:rsidRPr="005D3F07" w:rsidRDefault="00B20A47" w:rsidP="00B20A4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D68DA91" w14:textId="77777777" w:rsidR="00D3203C" w:rsidRDefault="00D3203C" w:rsidP="00B20A47">
      <w:pPr>
        <w:rPr>
          <w:b/>
          <w:sz w:val="24"/>
          <w:szCs w:val="24"/>
        </w:rPr>
      </w:pP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CEE8E6A"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This critically reflective task explores significant learning from a Section 47 joint enquiry undertaken with the police. The enquiry concerned Child 2 and Parent 4, who had recently moved to Wales from overseas. The referral came from Child 2’s school following a disclosure that Parent 4 had used an implement as physical punishment when Child 2 struggled to swallow prescribed medication.</w:t>
            </w:r>
          </w:p>
          <w:p w14:paraId="06DA4636" w14:textId="77777777" w:rsid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The allegation required immediate consideration of statutory safeguarding duties. A strategy discussion took place between children’s services and the police, in line with the Wales Safeguarding Procedures (Social Care Wales, 2019). The purpose was to share information, consider the threshold for intervention and decide whether a joint enquiry was necessary.</w:t>
            </w:r>
          </w:p>
          <w:p w14:paraId="5FD9D6A3" w14:textId="77777777" w:rsidR="00B20A47" w:rsidRPr="00B20A47" w:rsidRDefault="00B20A47" w:rsidP="00B20A47">
            <w:pPr>
              <w:spacing w:line="360" w:lineRule="auto"/>
              <w:rPr>
                <w:rFonts w:ascii="Times New Roman" w:hAnsi="Times New Roman" w:cs="Times New Roman"/>
                <w:sz w:val="24"/>
                <w:szCs w:val="24"/>
              </w:rPr>
            </w:pPr>
          </w:p>
          <w:p w14:paraId="7EC446F3"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Following the strategy discussion, the threshold for Section 47 of the Children Act 1989 </w:t>
            </w:r>
            <w:proofErr w:type="gramStart"/>
            <w:r w:rsidRPr="00B20A47">
              <w:rPr>
                <w:rFonts w:ascii="Times New Roman" w:hAnsi="Times New Roman" w:cs="Times New Roman"/>
                <w:sz w:val="24"/>
                <w:szCs w:val="24"/>
              </w:rPr>
              <w:t>was considered to be</w:t>
            </w:r>
            <w:proofErr w:type="gramEnd"/>
            <w:r w:rsidRPr="00B20A47">
              <w:rPr>
                <w:rFonts w:ascii="Times New Roman" w:hAnsi="Times New Roman" w:cs="Times New Roman"/>
                <w:sz w:val="24"/>
                <w:szCs w:val="24"/>
              </w:rPr>
              <w:t xml:space="preserve"> met. This created a duty to make enquiries where there was reasonable cause to suspect that a child was suffering, or was likely to suffer, significant harm (Children Act 1989, s.47). Police involvement was appropriate because the allegation involved possible assault and the use of an implement. The decision also had to be understood within the Welsh legal context, as the Children (Abolition of Defence of Reasonable Chastisement) (Wales) Act 2020 removed the defence of reasonable punishment.</w:t>
            </w:r>
          </w:p>
          <w:p w14:paraId="4AE2E777" w14:textId="77777777" w:rsidR="00B20A47" w:rsidRPr="00B20A47" w:rsidRDefault="00B20A47" w:rsidP="00B20A47">
            <w:pPr>
              <w:spacing w:line="360" w:lineRule="auto"/>
              <w:rPr>
                <w:rFonts w:ascii="Times New Roman" w:hAnsi="Times New Roman" w:cs="Times New Roman"/>
                <w:sz w:val="24"/>
                <w:szCs w:val="24"/>
              </w:rPr>
            </w:pPr>
          </w:p>
          <w:p w14:paraId="2E03A89E" w14:textId="0DB0DB54"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Learning Outcome 1: Applying Analysis in Assessment to Inform Intervention</w:t>
            </w:r>
          </w:p>
          <w:p w14:paraId="43CDE659" w14:textId="54DAE66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From the outset, the assessment involved a tension between the family’s understanding of acceptable discipline and the child protection framework in Wales. Parent 4 accepted using physical punishment but described it as an act of parental responsibility linked to Child 2’s health needs. Their explanation was important because it helped me understand the context and motivation behind the behaviour. However, it did not remove the safeguarding concern. My analysis therefore had to distinguish between understanding why the incident occurred and deciding whether the child had experienced harm.</w:t>
            </w:r>
          </w:p>
          <w:p w14:paraId="3901A099"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The Children (Abolition of Defence of Reasonable Chastisement) (Wales) Act 2020 was central to my decision making. It helped me remain clear that parental intention, cultural expectations or religious beliefs could not legally justify physical punishment. This clarity was important because the family’s explanation could have drawn the assessment towards the parent’s motivation rather than the child’s experience. The legislation kept my focus on safety, wellbeing and proportionality.</w:t>
            </w:r>
          </w:p>
          <w:p w14:paraId="0E7AD9DD"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At the same time, culturally sensitive practice remained essential. Cultural context was relevant to engagement, communication and intervention planning, but not to excusing harm. This distinction shaped the way I spoke with the family. I aimed to avoid blaming language while being explicit about the law in Wales and the expectations placed on all adults caring for children. This supported a response that was both rights-based and respectful (United Nations, 1989, Articles 3 and 19; Re B (A Child) [2019]).</w:t>
            </w:r>
          </w:p>
          <w:p w14:paraId="1A04A351"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The Wales Safeguarding Procedures were instrumental in guiding me in gathering evidence, information sharing, recording and decision-making procedures throughout the Section 47 enquiry (Social Care Wales, 2019). The legislation and processes offered an objective and reasonable foundation for my conclusion that the threshold for statutory intervention and immediate safeguarding action was required. This case also demonstrated the distinctive characteristics of safeguarding practice in Wales. The Well-being of Future Generations (Wales) Act 2015, along with the Social Services and Well-being (Wales) Act 2014, encourages proactive intervention, partnership and sustainable well-being results. Therefore, my assessment had to look at the immediate safeguarding issue as well as the ways to mitigate future risks by supporting the family to understand what was expected of them as parents, children’s rights and legal safeguarding obligations in Wales. </w:t>
            </w:r>
          </w:p>
          <w:p w14:paraId="3EFA1E76"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lastRenderedPageBreak/>
              <w:t>Utilising theoretical lenses also encouraged the ability to expand beyond compliance responsibilities and establish a more comprehensive understanding of the family’s circumstances. Through the lens of Systems Theory, I came to understand Parent 4's behaviour not as an individual failing, but as being influenced by wider cultural, religious and societal systems (Bronfenbrenner, 1979; Payne, 2020). In this sense, the safeguarding concerns were not simply a reflection of the parent’s behaviour, but rather an interaction between distinct systems of belief and accepted norms, which the family carried with them from their country of origin, and those which were embedded in Welsh legislation and safeguarding procedures (Bronfenbrenner, 1979; Payne, 2020; Chand, 2008). This insight allowed me to be compassionate and perceptive yet rigorously firm about my statutory responsibilities (Social Care Wales, 2019; BASW, 2021) Whilst Systems Theory was helpful in broadening my understanding of Parent 4's behaviour, the theory also has limitations. By focusing on environmental influences, there is a risk that individual accountability can become diluted within wider explanations of behaviour. In this case, understanding the influence of cultural and societal norms was important for engagement and assessment, but it could not override the reality that harm had occurred. This highlighted the importance of maintaining a balanced approach, whereby contextual factors are explored without excusing behaviour that places children at risk. Reflecting on this tension strengthened my analytical skills because it required me to hold two perspectives simultaneously: understanding how behaviour developed whilst remaining clear about the need for safeguarding intervention.</w:t>
            </w:r>
          </w:p>
          <w:p w14:paraId="798F6C14" w14:textId="50A41E65"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Furthermore, the enquiry reinforced the importance of evidence-based assessment. It would have been easy to focus solely on the incident itself. However, professional judgement required me to consider broader factors, including previous family experiences, parenting beliefs, the child's account and the wider family context. This enabled me to move beyond a narrow investigation of what had happened and instead examine why it had occurred and what future risks remained. Consequently, I became more aware that effective assessment is not simply about gathering information but critically analysing that information to inform proportionate intervention.</w:t>
            </w:r>
          </w:p>
          <w:p w14:paraId="0E3235ED" w14:textId="77777777" w:rsid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Attachment Theory also guided my assessment, shifting the focus from the parent's objectives to the child's lived experience (Bowlby, 1969). Whatever the parent's intentions, the use of physical force by a primary carer risk disrupting the secure attachment bond that is vital for healthy emotional and psychological development (Howe, 2011). This was valuable when it came to my own ethical </w:t>
            </w:r>
            <w:r w:rsidRPr="00B20A47">
              <w:rPr>
                <w:rFonts w:ascii="Times New Roman" w:hAnsi="Times New Roman" w:cs="Times New Roman"/>
                <w:sz w:val="24"/>
                <w:szCs w:val="24"/>
              </w:rPr>
              <w:lastRenderedPageBreak/>
              <w:t>considerations about the situation. I recognised 4’s belief that they were acting in the child’s best interests, yet, Attachment Theory strengthened the fundamental principle of the 2020 Act, emphasising that the effects on a child take precedence over the adult's motives. The perspective that the safety and well-being of 2 should be prioritised over cultural reasons or parental justification was also substantiated by research findings that demonstrated the adverse developmental and emotional consequences of physical punishment on a child (Barlow et al., 2011).</w:t>
            </w:r>
          </w:p>
          <w:p w14:paraId="72BD29D1" w14:textId="77777777" w:rsidR="00B20A47" w:rsidRPr="00B20A47" w:rsidRDefault="00B20A47" w:rsidP="00B20A47">
            <w:pPr>
              <w:spacing w:line="360" w:lineRule="auto"/>
              <w:rPr>
                <w:rFonts w:ascii="Times New Roman" w:hAnsi="Times New Roman" w:cs="Times New Roman"/>
                <w:sz w:val="24"/>
                <w:szCs w:val="24"/>
              </w:rPr>
            </w:pPr>
          </w:p>
          <w:p w14:paraId="374B85E9"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Reflecting on my practice, I learned that culturally sensitive practice requires more than recognising difference. Prior to this enquiry, I may have viewed cultural awareness primarily as a means of building rapport and avoiding oppressive practice. However, this case demonstrated that effective anti-oppressive practice also requires professional challenge where a child's rights or welfare may be compromised. Understanding the family's perspective enabled me to engage respectfully, but it did not negate my responsibility to address the safeguarding concern. This learning has strengthened my confidence in balancing cultural curiosity with statutory intervention. In future practice, I would seek earlier opportunities to discuss children's rights, parenting expectations and safeguarding responsibilities with families who are unfamiliar with the Welsh legal framework. By doing so, I may be better able to prevent misunderstandings and promote protective parenting practices before concerns escalate.</w:t>
            </w:r>
          </w:p>
          <w:p w14:paraId="675D1A0D" w14:textId="65990A97" w:rsid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Word Count = 998</w:t>
            </w:r>
          </w:p>
          <w:p w14:paraId="60981BF6" w14:textId="77777777" w:rsidR="00B20A47" w:rsidRPr="00B20A47" w:rsidRDefault="00B20A47" w:rsidP="00B20A47">
            <w:pPr>
              <w:spacing w:line="360" w:lineRule="auto"/>
              <w:rPr>
                <w:rFonts w:ascii="Times New Roman" w:hAnsi="Times New Roman" w:cs="Times New Roman"/>
                <w:b/>
                <w:bCs/>
                <w:sz w:val="24"/>
                <w:szCs w:val="24"/>
              </w:rPr>
            </w:pPr>
          </w:p>
          <w:p w14:paraId="283CB350" w14:textId="3BB7C673"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Learning Outcome 2: Working Collaboratively with Others</w:t>
            </w:r>
          </w:p>
          <w:p w14:paraId="3646DA78" w14:textId="5737F9A5"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Effective safeguarding practice in Wales relies on multi-agency collaboration. In this case, collaboration began at the point of referral through a strategy discussion between children’s services and the police. This allowed agencies to share information, agree thresholds and plan a proportionate response. The allegation involved the use of an implement and possible injury, so a joint response was necessary to protect Child 2, preserve evidence and avoid fragmented decision making (Children Act 1989; Welsh Government, 2020; Social Care Wales, 2019).</w:t>
            </w:r>
          </w:p>
          <w:p w14:paraId="622AA38A"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Child 2’s wishes and feelings were central to the assessment. Child 2 said they wanted to remain living with their family and explained that medication in liquid form would be easier to take. This information affected the intervention because it identified a practical way to reduce conflict while still </w:t>
            </w:r>
            <w:r w:rsidRPr="00B20A47">
              <w:rPr>
                <w:rFonts w:ascii="Times New Roman" w:hAnsi="Times New Roman" w:cs="Times New Roman"/>
                <w:sz w:val="24"/>
                <w:szCs w:val="24"/>
              </w:rPr>
              <w:lastRenderedPageBreak/>
              <w:t>addressing risk. Listening to Child 2 therefore strengthened the assessment by linking safeguarding action to the child’s lived experience and desired outcomes (Social Services and Well-being (Wales) Act 2014; United Nations, 1989, Articles 12 and 19).</w:t>
            </w:r>
          </w:p>
          <w:p w14:paraId="18D0CE43"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During direct engagement, I became increasingly aware of the contrast between cultural norms and the legal framework in Wales. Recognising this at an early stage enabled me to prioritise clear and culturally sensitive communication to develop effective collaborative relationships, an approach which aligns with the principles of the Social Services and Well-being (Wales) Act 2014 in that it promotes collaborative working, voice and control, co-production and the maintenance of individual well-being within assessment and intervention processes.</w:t>
            </w:r>
          </w:p>
          <w:p w14:paraId="1D858DC0"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During discussion, Parent 4 explained that physical punishment was viewed as acceptable in their country of origin and connected this to beliefs about respect, obedience and parental responsibility. Child 2 also indicated that similar practices had happened before. This information changed the level of concern because the incident appeared to be part of an established family pattern rather than an isolated event. My role was therefore to communicate the seriousness of the behaviour without dismissing the family’s identity or experiences (Trevithick, 2012; </w:t>
            </w:r>
            <w:proofErr w:type="spellStart"/>
            <w:r w:rsidRPr="00B20A47">
              <w:rPr>
                <w:rFonts w:ascii="Times New Roman" w:hAnsi="Times New Roman" w:cs="Times New Roman"/>
                <w:sz w:val="24"/>
                <w:szCs w:val="24"/>
              </w:rPr>
              <w:t>Carnwell</w:t>
            </w:r>
            <w:proofErr w:type="spellEnd"/>
            <w:r w:rsidRPr="00B20A47">
              <w:rPr>
                <w:rFonts w:ascii="Times New Roman" w:hAnsi="Times New Roman" w:cs="Times New Roman"/>
                <w:sz w:val="24"/>
                <w:szCs w:val="24"/>
              </w:rPr>
              <w:t xml:space="preserve"> and Carson, 2014).</w:t>
            </w:r>
          </w:p>
          <w:p w14:paraId="279BB513" w14:textId="2B4E1B8F"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I used active listening and clear, careful language to support engagement. Where language accuracy was needed, I </w:t>
            </w:r>
            <w:r>
              <w:rPr>
                <w:rFonts w:ascii="Times New Roman" w:hAnsi="Times New Roman" w:cs="Times New Roman"/>
                <w:sz w:val="24"/>
                <w:szCs w:val="24"/>
              </w:rPr>
              <w:t xml:space="preserve">utilised a translation service, </w:t>
            </w:r>
            <w:r w:rsidRPr="00B20A47">
              <w:rPr>
                <w:rFonts w:ascii="Times New Roman" w:hAnsi="Times New Roman" w:cs="Times New Roman"/>
                <w:sz w:val="24"/>
                <w:szCs w:val="24"/>
              </w:rPr>
              <w:t>so that the family could participate meaningfully and so that information was not misunderstood. This was important because misunderstanding could have increased anxiety, weakened cooperation and affected the fairness of the assessment. It also reflected my responsibility to recognise language as part of identity, inclusion and anti-oppressive practice (Welsh Language Commissioner, 2017; Social Care Wales, 2019).</w:t>
            </w:r>
          </w:p>
          <w:p w14:paraId="1B7E67D5"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Collaboration extended beyond interaction with the family and included police, health professionals, and the school, whose recommendations and continuous input were crucial in understanding the legal elements at play, as well as ensuring we had a comprehensive picture of 2's lived experiences across various settings. We collectively identified mutual goals, whereby the school would remain diligent in monitoring and helping to improve the child's development, and wellbeing. The police remained diligent in their pursuit of any criminal offences, children's services undertook a holistic enquiry and assessment of the incident and supporting the family in achieving safer outcomes. </w:t>
            </w:r>
          </w:p>
          <w:p w14:paraId="5B620642"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 xml:space="preserve">The division of responsibilities reduced duplication and enabled each agency to contribute its specialist knowledge. The police focused on criminal investigation and immediate protection, while children's services assessed wider risks, family functioning and longer-term outcomes. Information </w:t>
            </w:r>
            <w:r w:rsidRPr="00B20A47">
              <w:rPr>
                <w:rFonts w:ascii="Times New Roman" w:hAnsi="Times New Roman" w:cs="Times New Roman"/>
                <w:sz w:val="24"/>
                <w:szCs w:val="24"/>
              </w:rPr>
              <w:lastRenderedPageBreak/>
              <w:t>provided by education and health professionals helped contextualise the incident by identifying Child 2's presentation across different settings and providing insight into medical needs that may have contributed to family stress. This collaborative approach strengthened the quality of decision making because no single agency held all the relevant information. It also ensured that the intervention was not limited to determining whether an offence had occurred, but also considered the support required to reduce future risk and promote sustainable change within the family.</w:t>
            </w:r>
          </w:p>
          <w:p w14:paraId="5A96EE70"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This case also helped me reflect on my transition from policing into social work. Reflecting further, I recognised that collaboration also serves an important safeguarding function by reducing the possibility of professional bias. Individual practitioners inevitably view situations through the lens of their own experience and professional background. Due to my previous policing career, I was naturally attuned to evidence gathering, legal thresholds and public protection concerns. However, discussions with education, health and social work colleagues encouraged me to consider aspects of the family's circumstances that may not otherwise have received the same level of attention. This reinforced the value of professional challenge within multi-agency forums. Rather than undermining confidence, respectful challenge strengthened the assessment by testing assumptions and ensuring that decisions were based upon a broad range of evidence rather than a single professional perspective.</w:t>
            </w:r>
          </w:p>
          <w:p w14:paraId="6B461E12"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My policing experience supported my understanding of evidence, risk and legal thresholds. However, social work required me to hold those issues alongside relationship-based practice, participation and longer-term family change. I learned that these perspectives are not in conflict. When used together, they support decisions that are firm, lawful and focused on outcomes.</w:t>
            </w:r>
          </w:p>
          <w:p w14:paraId="7BFC7B24"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 xml:space="preserve">My main learning from collaborative working was that effective partnership working extends beyond information sharing. Whilst exchanging information is essential for safeguarding, meaningful collaboration occurs when agencies develop a shared understanding of risk, agree common objectives and communicate consistent messages to families. This enquiry reinforced the importance of early clarity regarding professional roles and responsibilities, particularly in complex safeguarding situations involving multiple agencies. In future practice, I would seek clearer discussions at the outset regarding expected outcomes, timescales and responsibilities. This would help minimise duplication, reduce the potential for gaps in communication and ensure that families receive coordinated support from the beginning of the intervention. I would also continue to proactively </w:t>
            </w:r>
            <w:r w:rsidRPr="00B20A47">
              <w:rPr>
                <w:rFonts w:ascii="Times New Roman" w:hAnsi="Times New Roman" w:cs="Times New Roman"/>
                <w:sz w:val="24"/>
                <w:szCs w:val="24"/>
              </w:rPr>
              <w:lastRenderedPageBreak/>
              <w:t>access interpretation and language support services to promote participation and reduce barriers to engagement.</w:t>
            </w:r>
          </w:p>
          <w:p w14:paraId="200D15C8" w14:textId="77777777" w:rsid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To conclude, collaborating enabled me to achieve the right balance between legal compliance and ethical conduct, whilst assuring the family remained an integral part of a process of understanding, learning, and legal compliance with local laws in Wales (YC v United Kingdom, 2012).</w:t>
            </w:r>
          </w:p>
          <w:p w14:paraId="22843A25" w14:textId="53F0B0EC"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Word Count = 980</w:t>
            </w:r>
          </w:p>
          <w:p w14:paraId="31095D51" w14:textId="77777777" w:rsidR="00B20A47" w:rsidRPr="00B20A47" w:rsidRDefault="00B20A47" w:rsidP="00B20A47">
            <w:pPr>
              <w:spacing w:line="360" w:lineRule="auto"/>
              <w:rPr>
                <w:rFonts w:ascii="Times New Roman" w:hAnsi="Times New Roman" w:cs="Times New Roman"/>
                <w:b/>
                <w:bCs/>
                <w:sz w:val="24"/>
                <w:szCs w:val="24"/>
              </w:rPr>
            </w:pPr>
          </w:p>
          <w:p w14:paraId="4F4DC717" w14:textId="77777777"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Learning Outcome 3: Professional Judgement in Complex Situations</w:t>
            </w:r>
          </w:p>
          <w:p w14:paraId="75DB8EF3"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The case was complex because it involved migration, cultural difference, legal change, health needs and heightened emotions. Professional judgement had to be evidence based and grounded in law, ethics and social work values (BASW, 2018; Social Care Wales, 2017). The central dilemma was how to respect the family’s background while responding to behaviour that caused, or risked causing, harm to a child. This required me to avoid both cultural stereotyping and cultural relativism.</w:t>
            </w:r>
          </w:p>
          <w:p w14:paraId="0307F911"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Welsh law and case law are clear that culture, belief or tradition cannot justify harm to a child (Re B (A Child) [2019]). However, effective safeguarding is not achieved through enforcement alone. A purely punitive response may have increased fear and resistance without supporting the family to understand safer expectations. My judgement was therefore to combine clear legal boundaries with explanation, support and opportunities for the family to participate in planning.</w:t>
            </w:r>
          </w:p>
          <w:p w14:paraId="63EAAD28"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Tedam’s (2021) 4D2P Model helped me think critically about anti-oppressive safeguarding practice. I used curiosity to understand the family’s beliefs, but disruption was also necessary. This meant challenging the idea that cultural norms could justify physical punishment, while also challenging any assumption that cultural difference itself created risk. This supported a balanced assessment focused on evidence, impact and children’s rights.</w:t>
            </w:r>
          </w:p>
          <w:p w14:paraId="3D01C946" w14:textId="77777777" w:rsidR="00B20A47" w:rsidRPr="00B20A47" w:rsidRDefault="00B20A47" w:rsidP="00B20A47">
            <w:pPr>
              <w:spacing w:line="360" w:lineRule="auto"/>
              <w:rPr>
                <w:rFonts w:ascii="Times New Roman" w:hAnsi="Times New Roman" w:cs="Times New Roman"/>
                <w:sz w:val="24"/>
                <w:szCs w:val="24"/>
                <w:highlight w:val="yellow"/>
              </w:rPr>
            </w:pPr>
            <w:r w:rsidRPr="00B20A47">
              <w:rPr>
                <w:rFonts w:ascii="Times New Roman" w:hAnsi="Times New Roman" w:cs="Times New Roman"/>
                <w:sz w:val="24"/>
                <w:szCs w:val="24"/>
              </w:rPr>
              <w:t xml:space="preserve">Additionally, it became apparent that power imbalances were at play during the enquiry. I was a statutory social worker working alongside the police, with considerable range of both legal and regulatory responsibility. The family were migrants and had a limited awareness of Welsh safeguarding regulations and processes. It was crucial to recognise this imbalance to ensure transparency of information, clarity in explaining any decisions made and strengthening opportunities for participation (Tedam, 2021; Social Services and Well-being (Wales) Act 2014). Failure to </w:t>
            </w:r>
            <w:r w:rsidRPr="00B20A47">
              <w:rPr>
                <w:rFonts w:ascii="Times New Roman" w:hAnsi="Times New Roman" w:cs="Times New Roman"/>
                <w:sz w:val="24"/>
                <w:szCs w:val="24"/>
              </w:rPr>
              <w:lastRenderedPageBreak/>
              <w:t>recognise these power dynamics might have created distrust, reduced engagement and inadvertently contributed to an oppressive practice (Dominelli, 2017; BASW, 2021).</w:t>
            </w:r>
          </w:p>
          <w:p w14:paraId="089368EF" w14:textId="77777777" w:rsidR="00B20A47" w:rsidRPr="00B20A47" w:rsidRDefault="00B20A47" w:rsidP="00B20A47">
            <w:pPr>
              <w:spacing w:line="360" w:lineRule="auto"/>
              <w:rPr>
                <w:rFonts w:ascii="Times New Roman" w:hAnsi="Times New Roman" w:cs="Times New Roman"/>
                <w:sz w:val="24"/>
                <w:szCs w:val="24"/>
                <w:highlight w:val="yellow"/>
              </w:rPr>
            </w:pPr>
            <w:r w:rsidRPr="00B20A47">
              <w:rPr>
                <w:rFonts w:ascii="Times New Roman" w:hAnsi="Times New Roman" w:cs="Times New Roman"/>
                <w:sz w:val="24"/>
                <w:szCs w:val="24"/>
              </w:rPr>
              <w:t>My assessment therefore remained evidence based and focused on the specific circumstances, the impact on the child and the identified safeguarding risks rather than preconceptions relating to ethnicity, religion, or nationality (Tedam, 2021; BASW, 2021).</w:t>
            </w:r>
          </w:p>
          <w:p w14:paraId="1A2D5EE3"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Parent 4 viewed the intervention as interference in family life, highlighting the tension between parental autonomy and statutory safeguarding responsibilities. (United Nations, 1989, Article 19; Williams, 2018).</w:t>
            </w:r>
          </w:p>
          <w:p w14:paraId="599DD792"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Police powers are governed by the Police and Criminal Evidence Act 1984, which permits arrest where there are reasonable grounds to suspect an offence and arrest is necessary to protect individuals or secure evidence (s. 24 and Code G). Whilst parents have a fundamental right to bring up children in accordance with their cultural and religious traditions nevertheless this right has limitations where it is not in accordance with legislation or the safety and well-being of a child (Re B (A Child) [2019]; Social Services and well-being (Wales) Act 2014, s. 3(5)), thresholds that were clearly met in this instance in light of the open admission and possession of an implement used by 4 during the course of the enquiry (HMSO, 1984; Home Office, 2012).</w:t>
            </w:r>
          </w:p>
          <w:p w14:paraId="1763E338"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This point brought my professional identity into focus. My previous policing role meant I was alert to evidence, legal thresholds and public protection. In social work, I also needed to consider relationships, family systems and the possibility of change. Systems Theory helped me understand the wider context of Parent 4’s behaviour, while Attachment Theory reminded me that the child’s safety and emotional security had to remain central (Bronfenbrenner, 1979; Bowlby, 1969; Howe, 2011). Together, these perspectives strengthened my judgement by helping me understand context without minimising harm A significant aspect of my learning related to managing uncertainty within safeguarding practice. Although legislation and procedures provide an important framework for decision making, they do not remove the need for professional judgement. Throughout the enquiry, there were elements that required interpretation rather than straightforward application of policy. For example, whilst Parent 4 openly accepted using physical punishment, I still needed to consider the wider context, assess the likelihood of future harm and determine whether the incident reflected an isolated loss of control or a broader parenting approach that presented ongoing risk. This required continuous analysis rather than reliance upon a single source of information.</w:t>
            </w:r>
          </w:p>
          <w:p w14:paraId="6E109363"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lastRenderedPageBreak/>
              <w:t>The enquiry also increased my understanding of proportionality in safeguarding interventions. Prior to undertaking social work training, I may have viewed safeguarding concerns through a predominantly investigative lens. However, this experience demonstrated that effective intervention must balance protection with support. The purpose of intervention was not simply to respond to harm but to create conditions in which future harm became less likely. This required consideration of the family's strengths, willingness to engage and capacity for change alongside the presenting risks.</w:t>
            </w:r>
          </w:p>
          <w:p w14:paraId="0CF33813"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Looking back, I recognise that one of the most significant areas of professional growth was developing confidence in my own judgement. Newly qualified practitioners can sometimes seek certainty in legislation, policy or the opinions of more experienced professionals. Whilst these remain essential sources of guidance, this enquiry reinforced that social workers have a responsibility to analyse information independently and provide defensible professional opinions. Going forward, I intend to continue developing my ability to articulate how evidence, theory, legislation and professional values interact to inform decision making in complex safeguarding situations. This will support both effective practice and professional accountability.</w:t>
            </w:r>
          </w:p>
          <w:p w14:paraId="69BAF529"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Case law confirms that where harm is recognised or proven, criminal justice processes are an integral component of the safeguarding framework, strengthening legal standards and protection of rights (Re O (A Child) (Care Proceedings: Evidence) [2011]. The application of proportionality, a key principle of the 2014 Act, gave me reassurance that this intervention, although significant, was justified. The risk was high due to the method used and the normalisation of the harm as an ingrained cultural practice, and the response was proportionate to that risk and in keeping with the interests of safeguarding the child and supporting the family to understand their responsibilities as parents to conform to Welsh legislations, in choosing to reside in Wales.  (Welsh Government, 2014; Social Care Wales, 2019). </w:t>
            </w:r>
          </w:p>
          <w:p w14:paraId="445C11F1"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Although no care proceedings followed, the enquiry provided greater awareness of the responsibilities of social workers in litigation. My role was not only to gather information but also to analyse evidence, assess </w:t>
            </w:r>
            <w:proofErr w:type="gramStart"/>
            <w:r w:rsidRPr="00B20A47">
              <w:rPr>
                <w:rFonts w:ascii="Times New Roman" w:hAnsi="Times New Roman" w:cs="Times New Roman"/>
                <w:sz w:val="24"/>
                <w:szCs w:val="24"/>
              </w:rPr>
              <w:t>risk ,</w:t>
            </w:r>
            <w:proofErr w:type="gramEnd"/>
            <w:r w:rsidRPr="00B20A47">
              <w:rPr>
                <w:rFonts w:ascii="Times New Roman" w:hAnsi="Times New Roman" w:cs="Times New Roman"/>
                <w:sz w:val="24"/>
                <w:szCs w:val="24"/>
              </w:rPr>
              <w:t xml:space="preserve"> and offer professional guidance that can potentially be used in criminal or family court procedures in the future.  This reflects notions within Re B-S (Children) [2013] EWCA </w:t>
            </w:r>
            <w:proofErr w:type="spellStart"/>
            <w:r w:rsidRPr="00B20A47">
              <w:rPr>
                <w:rFonts w:ascii="Times New Roman" w:hAnsi="Times New Roman" w:cs="Times New Roman"/>
                <w:sz w:val="24"/>
                <w:szCs w:val="24"/>
              </w:rPr>
              <w:t>Civ</w:t>
            </w:r>
            <w:proofErr w:type="spellEnd"/>
            <w:r w:rsidRPr="00B20A47">
              <w:rPr>
                <w:rFonts w:ascii="Times New Roman" w:hAnsi="Times New Roman" w:cs="Times New Roman"/>
                <w:sz w:val="24"/>
                <w:szCs w:val="24"/>
              </w:rPr>
              <w:t xml:space="preserve"> 1146 that social workers </w:t>
            </w:r>
            <w:proofErr w:type="gramStart"/>
            <w:r w:rsidRPr="00B20A47">
              <w:rPr>
                <w:rFonts w:ascii="Times New Roman" w:hAnsi="Times New Roman" w:cs="Times New Roman"/>
                <w:sz w:val="24"/>
                <w:szCs w:val="24"/>
              </w:rPr>
              <w:t>have to</w:t>
            </w:r>
            <w:proofErr w:type="gramEnd"/>
            <w:r w:rsidRPr="00B20A47">
              <w:rPr>
                <w:rFonts w:ascii="Times New Roman" w:hAnsi="Times New Roman" w:cs="Times New Roman"/>
                <w:sz w:val="24"/>
                <w:szCs w:val="24"/>
              </w:rPr>
              <w:t xml:space="preserve"> provide sound evidence and robust analytical reasoning when submitting recommendations to the court. </w:t>
            </w:r>
          </w:p>
          <w:p w14:paraId="1B29218C" w14:textId="77777777" w:rsid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lastRenderedPageBreak/>
              <w:t xml:space="preserve">Evidence included the child’s disclosure, parental admissions, reports of harm, school information and police investigation. If proceedings had been initiated, then I would have been responsible for preparing analytical reports setting out risks, strengths, protective factors and recommendations, ensuring that the court was presented with balanced, evidence-based information </w:t>
            </w:r>
            <w:proofErr w:type="gramStart"/>
            <w:r w:rsidRPr="00B20A47">
              <w:rPr>
                <w:rFonts w:ascii="Times New Roman" w:hAnsi="Times New Roman" w:cs="Times New Roman"/>
                <w:sz w:val="24"/>
                <w:szCs w:val="24"/>
              </w:rPr>
              <w:t>in order to</w:t>
            </w:r>
            <w:proofErr w:type="gramEnd"/>
            <w:r w:rsidRPr="00B20A47">
              <w:rPr>
                <w:rFonts w:ascii="Times New Roman" w:hAnsi="Times New Roman" w:cs="Times New Roman"/>
                <w:sz w:val="24"/>
                <w:szCs w:val="24"/>
              </w:rPr>
              <w:t xml:space="preserve"> inform decisions in the best interests of the child. Moreover, Re N-S (Children) [2017] EWCA </w:t>
            </w:r>
            <w:proofErr w:type="spellStart"/>
            <w:r w:rsidRPr="00B20A47">
              <w:rPr>
                <w:rFonts w:ascii="Times New Roman" w:hAnsi="Times New Roman" w:cs="Times New Roman"/>
                <w:sz w:val="24"/>
                <w:szCs w:val="24"/>
              </w:rPr>
              <w:t>Civ</w:t>
            </w:r>
            <w:proofErr w:type="spellEnd"/>
            <w:r w:rsidRPr="00B20A47">
              <w:rPr>
                <w:rFonts w:ascii="Times New Roman" w:hAnsi="Times New Roman" w:cs="Times New Roman"/>
                <w:sz w:val="24"/>
                <w:szCs w:val="24"/>
              </w:rPr>
              <w:t xml:space="preserve"> 1121 underscores the standard that social workers will scrutinise rather than simply describe events, thus ensuring that professional judgements are transparent, evidence-based and open to interpretation within legal proceedings.</w:t>
            </w:r>
          </w:p>
          <w:p w14:paraId="6CC6B79C" w14:textId="77777777" w:rsidR="00B20A47" w:rsidRDefault="00B20A47" w:rsidP="00B20A47">
            <w:pPr>
              <w:spacing w:line="360" w:lineRule="auto"/>
              <w:rPr>
                <w:rFonts w:ascii="Times New Roman" w:hAnsi="Times New Roman" w:cs="Times New Roman"/>
                <w:sz w:val="24"/>
                <w:szCs w:val="24"/>
              </w:rPr>
            </w:pPr>
          </w:p>
          <w:p w14:paraId="0E677C51" w14:textId="7F0608C0"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Word Count = 1171</w:t>
            </w:r>
          </w:p>
          <w:p w14:paraId="13F8A6EB" w14:textId="77777777" w:rsidR="00B20A47" w:rsidRPr="00B20A47" w:rsidRDefault="00B20A47" w:rsidP="00B20A47">
            <w:pPr>
              <w:spacing w:line="360" w:lineRule="auto"/>
              <w:rPr>
                <w:rFonts w:ascii="Times New Roman" w:hAnsi="Times New Roman" w:cs="Times New Roman"/>
                <w:b/>
                <w:bCs/>
                <w:sz w:val="24"/>
                <w:szCs w:val="24"/>
              </w:rPr>
            </w:pPr>
          </w:p>
          <w:p w14:paraId="45283B8B" w14:textId="77777777" w:rsidR="00B20A47" w:rsidRPr="00B20A47" w:rsidRDefault="00B20A47" w:rsidP="00B20A47">
            <w:pPr>
              <w:spacing w:line="360" w:lineRule="auto"/>
              <w:rPr>
                <w:rFonts w:ascii="Times New Roman" w:hAnsi="Times New Roman" w:cs="Times New Roman"/>
                <w:b/>
                <w:bCs/>
                <w:sz w:val="24"/>
                <w:szCs w:val="24"/>
              </w:rPr>
            </w:pPr>
            <w:r w:rsidRPr="00B20A47">
              <w:rPr>
                <w:rFonts w:ascii="Times New Roman" w:hAnsi="Times New Roman" w:cs="Times New Roman"/>
                <w:b/>
                <w:bCs/>
                <w:sz w:val="24"/>
                <w:szCs w:val="24"/>
              </w:rPr>
              <w:t xml:space="preserve">Reflection </w:t>
            </w:r>
          </w:p>
          <w:p w14:paraId="338129D9"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Reflecting on the enquiry, I learned that professional discomfort could arise when safeguarding concerns intersect with cultural or religious beliefs. As a practitioner, there can be a temptation to avoid difficult conversations for fear that professional challenge may be perceived as culturally insensitive or discriminatory. However, this case reinforced that safeguarding practice requires the ability to tolerate discomfort and maintain focus on the child's welfare. Avoiding challenge would have prioritised professional unease above Child 2's rights, safety and wellbeing. The experience strengthened my understanding that anti-oppressive practice does not mean avoiding challenge; rather, it requires practitioners to balance respect for cultural diversity with their statutory responsibility to safeguard children (Tedam, 2021; BASW, 2021). It also highlighted the importance of professional curiosity in exploring the reasons behind parental behaviour without allowing those explanations to minimise the impact on the child (Preston-Shoot, 2019). As a result, I feel more confident in recognising that respect for diversity and safeguarding responsibilities </w:t>
            </w:r>
            <w:proofErr w:type="gramStart"/>
            <w:r w:rsidRPr="00B20A47">
              <w:rPr>
                <w:rFonts w:ascii="Times New Roman" w:hAnsi="Times New Roman" w:cs="Times New Roman"/>
                <w:sz w:val="24"/>
                <w:szCs w:val="24"/>
              </w:rPr>
              <w:t>are</w:t>
            </w:r>
            <w:proofErr w:type="gramEnd"/>
            <w:r w:rsidRPr="00B20A47">
              <w:rPr>
                <w:rFonts w:ascii="Times New Roman" w:hAnsi="Times New Roman" w:cs="Times New Roman"/>
                <w:sz w:val="24"/>
                <w:szCs w:val="24"/>
              </w:rPr>
              <w:t xml:space="preserve"> not opposing principles. Instead, both can be upheld through transparent communication, evidence-based decision making, professional curiosity and a clear commitment to children's rights. This learning has strengthened my confidence in challenging harmful practices respectfully whilst ensuring that children's welfare remains at the centre of professional decision making.</w:t>
            </w:r>
          </w:p>
          <w:p w14:paraId="7D2F4850"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 xml:space="preserve">This reflection also underscored the necessity of professional curiosity and competent decision making. Furthermore, this enquiry highlighted the importance of explicitly evidencing professional judgement. Although I was able to identify the safeguarding concern and justify intervention </w:t>
            </w:r>
            <w:r w:rsidRPr="00B20A47">
              <w:rPr>
                <w:rFonts w:ascii="Times New Roman" w:hAnsi="Times New Roman" w:cs="Times New Roman"/>
                <w:sz w:val="24"/>
                <w:szCs w:val="24"/>
              </w:rPr>
              <w:lastRenderedPageBreak/>
              <w:t>appropriately, reflection has shown me the value of clearly documenting how legislation, theory, evidence and the child's views collectively influenced decision making. This is particularly important in safeguarding cases where professional decisions may later be scrutinised within supervisory, organisational or legal contexts. Preston-Shoot (2019) argues that defensible decision making requires practitioners to demonstrate not only what decisions were made, but how and why those decisions were reached. Similarly, the BASW Code of Ethics (2021) emphasises accountability, professional integrity and the need for social workers to provide clear reasoning for their actions.</w:t>
            </w:r>
          </w:p>
          <w:p w14:paraId="19F62724" w14:textId="77777777" w:rsidR="00B20A47" w:rsidRP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t xml:space="preserve">Going forward, I will place greater emphasis on recording not only what decisions were made, but why they were made and how they were intended to promote the child's welfare. This will strengthen both accountability and analytical rigour within my practice. Reflecting on this enquiry reinforced that safeguarding work requires more than the description of events; it requires critical analysis of evidence, consideration of alternative explanations and transparent justification of professional judgement. This learning aligns with the principles established in </w:t>
            </w:r>
            <w:r w:rsidRPr="00B20A47">
              <w:rPr>
                <w:rFonts w:ascii="Times New Roman" w:hAnsi="Times New Roman" w:cs="Times New Roman"/>
                <w:i/>
                <w:iCs/>
                <w:sz w:val="24"/>
                <w:szCs w:val="24"/>
              </w:rPr>
              <w:t>Re B-S (Children) [2013]</w:t>
            </w:r>
            <w:r w:rsidRPr="00B20A47">
              <w:rPr>
                <w:rFonts w:ascii="Times New Roman" w:hAnsi="Times New Roman" w:cs="Times New Roman"/>
                <w:sz w:val="24"/>
                <w:szCs w:val="24"/>
              </w:rPr>
              <w:t>, which emphasise the need for robust analysis rather than assertion when making recommendations that affect children and families. Overall, the enquiry taught me that effective safeguarding practice depends upon the ability to critically evaluate information, justify interventions and demonstrate how decisions promote the best interests of the child.</w:t>
            </w:r>
          </w:p>
          <w:p w14:paraId="13485025"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Preston-Shoot (2019) asserts that effective safeguarding should involve practitioners to critically question assumptions, upholding analytical rigour and avoid professional reservations when faced with complex familial circumstances. Furthermore, the BASW Code of Ethics (2021) stipulates that social workers should respect human rights, challenge prejudice, and promote social justice while safeguarding individuals from harm. These principles mandate practitioners to navigate conflicts between respecting cultural diversity and fulfilling their legal and safeguarding responsibilities, rather than avoid engaging in difficult conversations.</w:t>
            </w:r>
          </w:p>
          <w:p w14:paraId="58375A88" w14:textId="77777777" w:rsidR="00B20A47" w:rsidRPr="00B20A47" w:rsidRDefault="00B20A47" w:rsidP="00B20A47">
            <w:pPr>
              <w:spacing w:line="360" w:lineRule="auto"/>
              <w:rPr>
                <w:rFonts w:ascii="Times New Roman" w:hAnsi="Times New Roman" w:cs="Times New Roman"/>
                <w:sz w:val="24"/>
                <w:szCs w:val="24"/>
              </w:rPr>
            </w:pPr>
            <w:r w:rsidRPr="00B20A47">
              <w:rPr>
                <w:rFonts w:ascii="Times New Roman" w:hAnsi="Times New Roman" w:cs="Times New Roman"/>
                <w:sz w:val="24"/>
                <w:szCs w:val="24"/>
              </w:rPr>
              <w:t>One strength of my practice was maintaining respectful engagement while being clear about the law. I did not treat culture and safeguarding as opposing positions. Instead, I tried to use relationship-based practice to support the family’s dignity while also explaining that the use of physical punishment could not continue. The impact of this approach was that the family remained engaged enough for professionals to discuss safer parenting, medication options and future expectations.</w:t>
            </w:r>
          </w:p>
          <w:p w14:paraId="5E98EAFF" w14:textId="50F6015B" w:rsidR="00B20A47" w:rsidRDefault="00B20A47" w:rsidP="00B20A47">
            <w:pPr>
              <w:spacing w:after="160" w:line="360" w:lineRule="auto"/>
              <w:rPr>
                <w:rFonts w:ascii="Times New Roman" w:hAnsi="Times New Roman" w:cs="Times New Roman"/>
                <w:sz w:val="24"/>
                <w:szCs w:val="24"/>
              </w:rPr>
            </w:pPr>
            <w:r w:rsidRPr="00B20A47">
              <w:rPr>
                <w:rFonts w:ascii="Times New Roman" w:hAnsi="Times New Roman" w:cs="Times New Roman"/>
                <w:sz w:val="24"/>
                <w:szCs w:val="24"/>
              </w:rPr>
              <w:lastRenderedPageBreak/>
              <w:t xml:space="preserve">In future practice, I would be more confident in making the rationale for decisions explicit from the outset. I would also record more clearly how evidence, legislation, theory and the child's views influenced each decision. This would strengthen transparency and make my professional judgement easier to scrutinise. Clear recording is an essential component of defensible decision-making as it demonstrates how conclusions have been reached and enables practitioners to justify their actions when reviewed through supervision, audit or legal proceedings (Preston-Shoot, 2019; Social Care Wales, 2024). Reflecting on this enquiry reinforced that safeguarding assessments require more than the collection and description of information. Rather, social workers must critically analyse evidence, weigh competing perspectives and explain how professional judgements have been formed (Re B-S (Children) [2013]; Re N-S (Children) [2017]). Overall, the enquiry taught me that complex safeguarding work requires careful analysis of why intervention was necessary, what impact it achieved and how the learning gained can inform future practice. This experience has strengthened my understanding that robust professional judgement is not only about making </w:t>
            </w:r>
            <w:r w:rsidRPr="00B20A47">
              <w:rPr>
                <w:rFonts w:ascii="Times New Roman" w:hAnsi="Times New Roman" w:cs="Times New Roman"/>
                <w:sz w:val="24"/>
                <w:szCs w:val="24"/>
              </w:rPr>
              <w:t>decisions but</w:t>
            </w:r>
            <w:r w:rsidRPr="00B20A47">
              <w:rPr>
                <w:rFonts w:ascii="Times New Roman" w:hAnsi="Times New Roman" w:cs="Times New Roman"/>
                <w:sz w:val="24"/>
                <w:szCs w:val="24"/>
              </w:rPr>
              <w:t xml:space="preserve"> also being able to evidence and justify the reasoning behind them.</w:t>
            </w:r>
          </w:p>
          <w:p w14:paraId="501A49BC" w14:textId="6471FD67" w:rsidR="00B20A47" w:rsidRDefault="00B20A47" w:rsidP="00B20A47">
            <w:pPr>
              <w:spacing w:after="160" w:line="360" w:lineRule="auto"/>
              <w:rPr>
                <w:rFonts w:ascii="Times New Roman" w:hAnsi="Times New Roman" w:cs="Times New Roman"/>
                <w:sz w:val="24"/>
                <w:szCs w:val="24"/>
              </w:rPr>
            </w:pPr>
          </w:p>
          <w:p w14:paraId="71AC666D" w14:textId="6490D93E" w:rsidR="00B20A47" w:rsidRPr="00B20A47" w:rsidRDefault="00B20A47" w:rsidP="00B20A47">
            <w:pPr>
              <w:spacing w:after="160" w:line="360" w:lineRule="auto"/>
              <w:rPr>
                <w:rFonts w:ascii="Times New Roman" w:hAnsi="Times New Roman" w:cs="Times New Roman"/>
                <w:b/>
                <w:bCs/>
                <w:sz w:val="24"/>
                <w:szCs w:val="24"/>
              </w:rPr>
            </w:pPr>
            <w:r w:rsidRPr="00B20A47">
              <w:rPr>
                <w:rFonts w:ascii="Times New Roman" w:hAnsi="Times New Roman" w:cs="Times New Roman"/>
                <w:b/>
                <w:bCs/>
                <w:sz w:val="24"/>
                <w:szCs w:val="24"/>
              </w:rPr>
              <w:t>Overall Word Count = 4161</w:t>
            </w:r>
          </w:p>
          <w:p w14:paraId="2B7C1F71" w14:textId="77777777" w:rsidR="00B20A47" w:rsidRDefault="00B20A47" w:rsidP="00B20A47">
            <w:pPr>
              <w:spacing w:line="360" w:lineRule="auto"/>
              <w:rPr>
                <w:rFonts w:cs="Times New Roman"/>
              </w:rPr>
            </w:pPr>
          </w:p>
          <w:p w14:paraId="53CEED9E" w14:textId="77777777" w:rsidR="00B20A47" w:rsidRPr="001C61F8" w:rsidRDefault="00B20A47" w:rsidP="00B20A47">
            <w:pPr>
              <w:spacing w:line="360" w:lineRule="auto"/>
              <w:rPr>
                <w:rFonts w:cs="Times New Roman"/>
              </w:rPr>
            </w:pPr>
          </w:p>
          <w:p w14:paraId="7BFAFABD" w14:textId="77777777" w:rsidR="00B20A47" w:rsidRPr="00B20A47" w:rsidRDefault="00B20A47" w:rsidP="00FF7EBB">
            <w:pPr>
              <w:jc w:val="both"/>
              <w:rPr>
                <w:iCs/>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1F261" w14:textId="77777777" w:rsidR="00FB0122" w:rsidRDefault="00FB0122">
      <w:r>
        <w:separator/>
      </w:r>
    </w:p>
  </w:endnote>
  <w:endnote w:type="continuationSeparator" w:id="0">
    <w:p w14:paraId="1C72827F" w14:textId="77777777" w:rsidR="00FB0122" w:rsidRDefault="00FB01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45E72" w14:textId="77777777" w:rsidR="00FB0122" w:rsidRDefault="00FB0122">
      <w:r>
        <w:separator/>
      </w:r>
    </w:p>
  </w:footnote>
  <w:footnote w:type="continuationSeparator" w:id="0">
    <w:p w14:paraId="5D24166D" w14:textId="77777777" w:rsidR="00FB0122" w:rsidRDefault="00FB01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DB7"/>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0A47"/>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122"/>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4439</Words>
  <Characters>26590</Characters>
  <Application>Microsoft Office Word</Application>
  <DocSecurity>0</DocSecurity>
  <Lines>664</Lines>
  <Paragraphs>193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Jasmine Burgess</cp:lastModifiedBy>
  <cp:revision>2</cp:revision>
  <cp:lastPrinted>2020-02-11T19:20:00Z</cp:lastPrinted>
  <dcterms:created xsi:type="dcterms:W3CDTF">2026-09-22T15:31:00Z</dcterms:created>
  <dcterms:modified xsi:type="dcterms:W3CDTF">2026-09-22T15:31:00Z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