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before="0" w:beforeAutospacing="0" w:after="0" w:afterAutospacing="0"/>
        <w:ind w:left="-180" w:right="-334"/>
      </w:pPr>
      <w:r>
        <w:rPr>
          <w:lang w:val="zh-CN" w:eastAsia="en-GB"/>
        </w:rPr>
        <w:drawing>
          <wp:inline distT="0" distB="0" distL="114300" distR="114300">
            <wp:extent cx="2058035" cy="856615"/>
            <wp:effectExtent l="0" t="0" r="2540" b="254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blettm\AppData\Local\Microsoft\Windows\Temporary Internet Files\Content.Outlook\R41HOZLM\UWTSD Logo.jpg"/>
                    <pic:cNvPicPr>
                      <a:picLocks noChangeAspect="1"/>
                    </pic:cNvPicPr>
                  </pic:nvPicPr>
                  <pic:blipFill>
                    <a:blip r:embed="rId8"/>
                    <a:stretch>
                      <a:fillRect/>
                    </a:stretch>
                  </pic:blipFill>
                  <pic:spPr>
                    <a:xfrm>
                      <a:off x="0" y="0"/>
                      <a:ext cx="2058035" cy="856615"/>
                    </a:xfrm>
                    <a:prstGeom prst="rect">
                      <a:avLst/>
                    </a:prstGeom>
                    <a:noFill/>
                    <a:ln w="9525">
                      <a:noFill/>
                    </a:ln>
                  </pic:spPr>
                </pic:pic>
              </a:graphicData>
            </a:graphic>
          </wp:inline>
        </w:drawing>
      </w:r>
    </w:p>
    <w:p>
      <w:pPr>
        <w:pStyle w:val="7"/>
        <w:spacing w:before="0" w:beforeAutospacing="0" w:after="0" w:afterAutospacing="0"/>
        <w:ind w:left="-180" w:right="-334"/>
      </w:pPr>
    </w:p>
    <w:p>
      <w:pPr>
        <w:pStyle w:val="7"/>
        <w:spacing w:before="0" w:beforeAutospacing="0" w:after="0" w:afterAutospacing="0"/>
        <w:ind w:left="-180" w:right="-334"/>
      </w:pPr>
    </w:p>
    <w:p>
      <w:pPr>
        <w:pStyle w:val="7"/>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pPr>
        <w:pStyle w:val="7"/>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pPr>
        <w:rPr>
          <w:rFonts w:ascii="Arial" w:hAnsi="Arial" w:cs="Arial"/>
          <w:sz w:val="28"/>
          <w:szCs w:val="28"/>
          <w:lang w:val="cy-GB"/>
        </w:rPr>
      </w:pPr>
    </w:p>
    <w:p>
      <w:pPr>
        <w:pStyle w:val="2"/>
        <w:jc w:val="center"/>
        <w:rPr>
          <w:lang w:val="cy-GB"/>
        </w:rPr>
      </w:pPr>
      <w:r>
        <w:rPr>
          <w:lang w:val="cy-GB"/>
        </w:rPr>
        <w:t>THIS SHEET MUST BE THE FIRST PAGE OF THE ASSIGNMENT YOU ARE SUBMITTING  (DO NOT SEND AS A SEPARATE FILE)</w:t>
      </w:r>
    </w:p>
    <w:p>
      <w:pPr>
        <w:pStyle w:val="2"/>
        <w:jc w:val="center"/>
        <w:rPr>
          <w:rFonts w:ascii="Trebuchet MS" w:hAnsi="Trebuchet MS"/>
        </w:rPr>
      </w:pPr>
    </w:p>
    <w:tbl>
      <w:tblPr>
        <w:tblStyle w:val="13"/>
        <w:tblW w:w="88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88"/>
        <w:gridCol w:w="423"/>
        <w:gridCol w:w="1557"/>
        <w:gridCol w:w="286"/>
        <w:gridCol w:w="1802"/>
      </w:tblGrid>
      <w:tr>
        <w:tblPrEx>
          <w:tblLayout w:type="fixed"/>
          <w:tblCellMar>
            <w:top w:w="0" w:type="dxa"/>
            <w:left w:w="108" w:type="dxa"/>
            <w:bottom w:w="0" w:type="dxa"/>
            <w:right w:w="108" w:type="dxa"/>
          </w:tblCellMar>
        </w:tblPrEx>
        <w:trPr>
          <w:trHeight w:val="614" w:hRule="atLeast"/>
        </w:trPr>
        <w:tc>
          <w:tcPr>
            <w:tcW w:w="8856" w:type="dxa"/>
            <w:gridSpan w:val="5"/>
            <w:vAlign w:val="top"/>
          </w:tcPr>
          <w:p>
            <w:pPr>
              <w:pStyle w:val="7"/>
              <w:spacing w:before="0" w:beforeAutospacing="0" w:after="0" w:afterAutospacing="0"/>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rPr>
          <w:trHeight w:val="718" w:hRule="atLeast"/>
        </w:trPr>
        <w:tc>
          <w:tcPr>
            <w:tcW w:w="8856" w:type="dxa"/>
            <w:gridSpan w:val="5"/>
            <w:vAlign w:val="top"/>
          </w:tcPr>
          <w:p>
            <w:pPr>
              <w:pStyle w:val="7"/>
              <w:spacing w:before="0" w:beforeAutospacing="0" w:after="0" w:afterAutospacing="0"/>
              <w:ind w:right="34"/>
              <w:rPr>
                <w:rFonts w:ascii="Arial" w:hAnsi="Arial" w:cs="Arial"/>
                <w:sz w:val="22"/>
                <w:szCs w:val="22"/>
              </w:rPr>
            </w:pPr>
            <w:r>
              <w:rPr>
                <w:rFonts w:ascii="Arial" w:hAnsi="Arial" w:cs="Arial"/>
                <w:sz w:val="22"/>
                <w:szCs w:val="22"/>
              </w:rPr>
              <w:t>Student Name:</w:t>
            </w:r>
          </w:p>
          <w:p>
            <w:pPr>
              <w:pStyle w:val="7"/>
              <w:spacing w:before="0" w:beforeAutospacing="0" w:after="0" w:afterAutospacing="0"/>
              <w:ind w:right="34"/>
              <w:rPr>
                <w:rFonts w:ascii="Arial" w:hAnsi="Arial" w:cs="Arial"/>
                <w:sz w:val="22"/>
                <w:szCs w:val="22"/>
                <w:lang w:val="en-GB"/>
              </w:rPr>
            </w:pPr>
            <w:r>
              <w:rPr>
                <w:rFonts w:ascii="Arial" w:hAnsi="Arial" w:cs="Arial"/>
                <w:sz w:val="22"/>
                <w:szCs w:val="22"/>
                <w:lang w:val="en-GB"/>
              </w:rPr>
              <w:t xml:space="preserve">Catherine Hornby </w:t>
            </w:r>
          </w:p>
        </w:tc>
      </w:tr>
      <w:tr>
        <w:trPr>
          <w:trHeight w:val="849" w:hRule="atLeast"/>
        </w:trPr>
        <w:tc>
          <w:tcPr>
            <w:tcW w:w="4788" w:type="dxa"/>
            <w:vAlign w:val="top"/>
          </w:tcPr>
          <w:p>
            <w:pPr>
              <w:pStyle w:val="7"/>
              <w:spacing w:before="0" w:beforeAutospacing="0" w:after="0" w:afterAutospacing="0"/>
              <w:ind w:right="34"/>
              <w:rPr>
                <w:rFonts w:ascii="Arial" w:hAnsi="Arial" w:cs="Arial"/>
                <w:sz w:val="22"/>
                <w:szCs w:val="22"/>
              </w:rPr>
            </w:pPr>
            <w:r>
              <w:rPr>
                <w:rFonts w:ascii="Arial" w:hAnsi="Arial" w:cs="Arial"/>
                <w:sz w:val="22"/>
                <w:szCs w:val="22"/>
              </w:rPr>
              <w:t>Module code:</w:t>
            </w:r>
            <w:r>
              <w:rPr>
                <w:rFonts w:ascii="Arial" w:hAnsi="Arial" w:cs="Arial"/>
                <w:sz w:val="22"/>
                <w:szCs w:val="22"/>
                <w:lang w:val="en-GB"/>
              </w:rPr>
              <w:t>CSEN7022</w:t>
            </w:r>
          </w:p>
          <w:p>
            <w:pPr>
              <w:pStyle w:val="7"/>
              <w:spacing w:before="0" w:beforeAutospacing="0" w:after="0" w:afterAutospacing="0"/>
              <w:ind w:right="34"/>
              <w:rPr>
                <w:rFonts w:ascii="Arial" w:hAnsi="Arial" w:cs="Arial"/>
                <w:sz w:val="22"/>
                <w:szCs w:val="22"/>
              </w:rPr>
            </w:pPr>
          </w:p>
          <w:p>
            <w:pPr>
              <w:pStyle w:val="7"/>
              <w:spacing w:before="0" w:beforeAutospacing="0" w:after="0" w:afterAutospacing="0"/>
              <w:ind w:right="34"/>
              <w:rPr>
                <w:rFonts w:ascii="Arial" w:hAnsi="Arial" w:cs="Arial"/>
                <w:sz w:val="22"/>
                <w:szCs w:val="22"/>
              </w:rPr>
            </w:pPr>
            <w:r>
              <w:rPr>
                <w:rFonts w:ascii="Arial" w:hAnsi="Arial" w:cs="Arial"/>
                <w:sz w:val="22"/>
                <w:szCs w:val="22"/>
              </w:rPr>
              <w:t>Module title:</w:t>
            </w:r>
          </w:p>
          <w:p>
            <w:pPr>
              <w:pStyle w:val="7"/>
              <w:spacing w:before="0" w:beforeAutospacing="0" w:after="0" w:afterAutospacing="0"/>
              <w:ind w:right="34"/>
              <w:rPr>
                <w:rFonts w:ascii="Arial" w:hAnsi="Arial" w:cs="Arial"/>
                <w:sz w:val="22"/>
                <w:szCs w:val="22"/>
                <w:lang w:val="en-GB"/>
              </w:rPr>
            </w:pPr>
            <w:r>
              <w:rPr>
                <w:rFonts w:ascii="Arial" w:hAnsi="Arial" w:cs="Arial"/>
                <w:sz w:val="22"/>
                <w:szCs w:val="22"/>
                <w:lang w:val="en-GB"/>
              </w:rPr>
              <w:t xml:space="preserve">Visions of Society: Spectres of Modernity in Romantic and Victorian Literature </w:t>
            </w:r>
          </w:p>
          <w:p>
            <w:pPr>
              <w:pStyle w:val="7"/>
              <w:spacing w:before="0" w:beforeAutospacing="0" w:after="0" w:afterAutospacing="0"/>
              <w:ind w:right="34"/>
              <w:rPr>
                <w:rFonts w:ascii="Arial" w:hAnsi="Arial" w:cs="Arial"/>
                <w:sz w:val="22"/>
                <w:szCs w:val="22"/>
              </w:rPr>
            </w:pPr>
          </w:p>
        </w:tc>
        <w:tc>
          <w:tcPr>
            <w:tcW w:w="2266" w:type="dxa"/>
            <w:gridSpan w:val="3"/>
            <w:vAlign w:val="top"/>
          </w:tcPr>
          <w:p>
            <w:pPr>
              <w:pStyle w:val="7"/>
              <w:spacing w:before="0" w:beforeAutospacing="0" w:after="0" w:afterAutospacing="0"/>
              <w:ind w:right="34"/>
              <w:rPr>
                <w:rFonts w:ascii="Arial" w:hAnsi="Arial" w:cs="Arial"/>
                <w:sz w:val="22"/>
                <w:szCs w:val="22"/>
              </w:rPr>
            </w:pPr>
            <w:r>
              <w:rPr>
                <w:rFonts w:ascii="Arial" w:hAnsi="Arial" w:cs="Arial"/>
                <w:sz w:val="22"/>
                <w:szCs w:val="22"/>
              </w:rPr>
              <w:t>Student ID number:</w:t>
            </w:r>
          </w:p>
          <w:p>
            <w:pPr>
              <w:pStyle w:val="7"/>
              <w:spacing w:before="0" w:beforeAutospacing="0" w:after="0" w:afterAutospacing="0"/>
              <w:ind w:right="34"/>
              <w:rPr>
                <w:rFonts w:ascii="Arial" w:hAnsi="Arial" w:cs="Arial"/>
                <w:sz w:val="22"/>
                <w:szCs w:val="22"/>
                <w:lang w:val="en-GB"/>
              </w:rPr>
            </w:pPr>
            <w:r>
              <w:rPr>
                <w:rFonts w:ascii="Arial" w:hAnsi="Arial" w:cs="Arial"/>
                <w:sz w:val="22"/>
                <w:szCs w:val="22"/>
                <w:lang w:val="en-GB"/>
              </w:rPr>
              <w:t>27001103</w:t>
            </w:r>
          </w:p>
        </w:tc>
        <w:tc>
          <w:tcPr>
            <w:tcW w:w="1802" w:type="dxa"/>
            <w:vAlign w:val="top"/>
          </w:tcPr>
          <w:p>
            <w:pPr>
              <w:pStyle w:val="7"/>
              <w:spacing w:before="0" w:beforeAutospacing="0" w:after="0" w:afterAutospacing="0"/>
              <w:ind w:right="34"/>
              <w:rPr>
                <w:rFonts w:ascii="Arial" w:hAnsi="Arial" w:cs="Arial"/>
                <w:sz w:val="22"/>
                <w:szCs w:val="22"/>
              </w:rPr>
            </w:pPr>
            <w:r>
              <w:rPr>
                <w:rFonts w:ascii="Arial" w:hAnsi="Arial" w:cs="Arial"/>
                <w:sz w:val="22"/>
                <w:szCs w:val="22"/>
              </w:rPr>
              <w:t>Educational support needs:</w:t>
            </w:r>
          </w:p>
          <w:p>
            <w:pPr>
              <w:pStyle w:val="7"/>
              <w:spacing w:before="0" w:beforeAutospacing="0" w:after="0" w:afterAutospacing="0"/>
              <w:ind w:right="34"/>
              <w:rPr>
                <w:rFonts w:ascii="Arial" w:hAnsi="Arial" w:cs="Arial"/>
                <w:sz w:val="22"/>
                <w:szCs w:val="22"/>
              </w:rPr>
            </w:pPr>
            <w:r>
              <w:rPr>
                <w:rFonts w:ascii="Arial" w:hAnsi="Arial" w:cs="Arial"/>
                <w:sz w:val="22"/>
                <w:szCs w:val="22"/>
              </w:rPr>
              <w:t>Yes/</w:t>
            </w:r>
          </w:p>
        </w:tc>
      </w:tr>
      <w:tr>
        <w:trPr>
          <w:trHeight w:val="1139" w:hRule="atLeast"/>
        </w:trPr>
        <w:tc>
          <w:tcPr>
            <w:tcW w:w="8856" w:type="dxa"/>
            <w:gridSpan w:val="5"/>
            <w:vAlign w:val="top"/>
          </w:tcPr>
          <w:p>
            <w:pPr>
              <w:pStyle w:val="7"/>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lang w:val="en-GB"/>
              </w:rPr>
              <w:t xml:space="preserve">Jeni Williams </w:t>
            </w:r>
          </w:p>
          <w:p>
            <w:pPr>
              <w:pStyle w:val="7"/>
              <w:spacing w:before="0" w:beforeAutospacing="0" w:after="0" w:afterAutospacing="0"/>
              <w:ind w:right="34"/>
              <w:rPr>
                <w:rFonts w:ascii="Arial" w:hAnsi="Arial" w:cs="Arial"/>
                <w:sz w:val="22"/>
                <w:szCs w:val="22"/>
              </w:rPr>
            </w:pPr>
          </w:p>
          <w:p>
            <w:pPr>
              <w:pStyle w:val="7"/>
              <w:spacing w:before="0" w:beforeAutospacing="0" w:after="0" w:afterAutospacing="0"/>
              <w:ind w:right="34"/>
              <w:rPr>
                <w:rFonts w:ascii="Arial" w:hAnsi="Arial" w:cs="Arial"/>
                <w:sz w:val="22"/>
                <w:szCs w:val="22"/>
              </w:rPr>
            </w:pPr>
          </w:p>
          <w:p>
            <w:pPr>
              <w:pStyle w:val="7"/>
              <w:spacing w:before="0" w:beforeAutospacing="0" w:after="0" w:afterAutospacing="0"/>
              <w:ind w:right="34"/>
              <w:rPr>
                <w:rFonts w:ascii="Arial" w:hAnsi="Arial" w:cs="Arial"/>
                <w:sz w:val="22"/>
                <w:szCs w:val="22"/>
              </w:rPr>
            </w:pPr>
            <w:r>
              <w:rPr>
                <w:rFonts w:ascii="Arial" w:hAnsi="Arial" w:cs="Arial"/>
                <w:sz w:val="22"/>
                <w:szCs w:val="22"/>
              </w:rPr>
              <w:t>Assignment due date:</w:t>
            </w:r>
            <w:r>
              <w:rPr>
                <w:rFonts w:ascii="Arial" w:hAnsi="Arial" w:cs="Arial"/>
                <w:sz w:val="22"/>
                <w:szCs w:val="22"/>
                <w:lang w:val="en-GB"/>
              </w:rPr>
              <w:t>24/1/2020</w:t>
            </w:r>
          </w:p>
        </w:tc>
      </w:tr>
      <w:tr>
        <w:trPr>
          <w:trHeight w:val="978" w:hRule="atLeast"/>
        </w:trPr>
        <w:tc>
          <w:tcPr>
            <w:tcW w:w="8856" w:type="dxa"/>
            <w:gridSpan w:val="5"/>
            <w:tcBorders>
              <w:bottom w:val="single" w:color="000000" w:sz="4" w:space="0"/>
            </w:tcBorders>
            <w:vAlign w:val="top"/>
          </w:tcPr>
          <w:p>
            <w:pPr>
              <w:rPr>
                <w:rFonts w:ascii="Arial" w:hAnsi="Arial" w:cs="Arial"/>
                <w:sz w:val="22"/>
                <w:szCs w:val="22"/>
              </w:rPr>
            </w:pPr>
            <w:r>
              <w:rPr>
                <w:rFonts w:ascii="Arial" w:hAnsi="Arial" w:cs="Arial"/>
                <w:sz w:val="22"/>
                <w:szCs w:val="22"/>
              </w:rPr>
              <w:t>If your module has multiple submissions please indicate which piece of work this is.</w:t>
            </w:r>
          </w:p>
          <w:p>
            <w:pPr>
              <w:rPr>
                <w:rFonts w:ascii="Arial" w:hAnsi="Arial" w:cs="Arial"/>
                <w:sz w:val="22"/>
                <w:szCs w:val="22"/>
              </w:rPr>
            </w:pPr>
          </w:p>
          <w:p>
            <w:pPr>
              <w:rPr>
                <w:rFonts w:ascii="Arial" w:hAnsi="Arial" w:cs="Arial"/>
                <w:sz w:val="22"/>
                <w:szCs w:val="22"/>
              </w:rPr>
            </w:pPr>
            <w:r>
              <w:rPr>
                <w:rFonts w:ascii="Arial" w:hAnsi="Arial" w:cs="Arial"/>
                <w:sz w:val="22"/>
                <w:szCs w:val="22"/>
              </w:rPr>
              <w:t>1</w:t>
            </w:r>
            <w:r>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ed w:val="0"/>
                  </w:checkBox>
                </w:ffData>
              </w:fldChar>
            </w:r>
            <w:bookmarkStart w:id="0" w:name="Check13"/>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0"/>
            <w:r>
              <w:rPr>
                <w:rFonts w:ascii="Arial" w:hAnsi="Arial" w:cs="Arial"/>
                <w:sz w:val="22"/>
                <w:szCs w:val="22"/>
              </w:rPr>
              <w:t xml:space="preserve">    2</w:t>
            </w:r>
            <w:r>
              <w:rPr>
                <w:rFonts w:ascii="Arial" w:hAnsi="Arial" w:cs="Arial"/>
                <w:sz w:val="22"/>
                <w:szCs w:val="22"/>
                <w:vertAlign w:val="superscript"/>
              </w:rPr>
              <w:t>nd</w:t>
            </w:r>
            <w:r>
              <w:rPr>
                <w:rFonts w:ascii="Arial" w:hAnsi="Arial" w:cs="Arial"/>
                <w:sz w:val="22"/>
                <w:szCs w:val="22"/>
              </w:rPr>
              <w:t xml:space="preserve">  </w:t>
            </w:r>
            <w:r>
              <w:rPr>
                <w:rFonts w:ascii="Arial" w:hAnsi="Arial" w:cs="Arial"/>
                <w:sz w:val="22"/>
                <w:szCs w:val="22"/>
                <w:lang w:val="en-GB"/>
              </w:rPr>
              <w:t>X</w:t>
            </w:r>
            <w:r>
              <w:rPr>
                <w:rFonts w:ascii="Arial" w:hAnsi="Arial" w:cs="Arial"/>
                <w:sz w:val="22"/>
                <w:szCs w:val="22"/>
              </w:rPr>
              <w:fldChar w:fldCharType="begin">
                <w:ffData>
                  <w:name w:val="Check14"/>
                  <w:enabled/>
                  <w:calcOnExit w:val="0"/>
                  <w:checkBox>
                    <w:sizeAuto/>
                    <w:default w:val="0"/>
                    <w:checked w:val="0"/>
                  </w:checkBox>
                </w:ffData>
              </w:fldChar>
            </w:r>
            <w:bookmarkStart w:id="1" w:name="Check14"/>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1"/>
            <w:r>
              <w:rPr>
                <w:rFonts w:ascii="Arial" w:hAnsi="Arial" w:cs="Arial"/>
                <w:sz w:val="22"/>
                <w:szCs w:val="22"/>
              </w:rPr>
              <w:t xml:space="preserve">     3</w:t>
            </w:r>
            <w:r>
              <w:rPr>
                <w:rFonts w:ascii="Arial" w:hAnsi="Arial" w:cs="Arial"/>
                <w:sz w:val="22"/>
                <w:szCs w:val="22"/>
                <w:vertAlign w:val="superscript"/>
              </w:rPr>
              <w:t>rd</w:t>
            </w:r>
            <w:r>
              <w:rPr>
                <w:rFonts w:ascii="Arial" w:hAnsi="Arial" w:cs="Arial"/>
                <w:sz w:val="22"/>
                <w:szCs w:val="22"/>
              </w:rPr>
              <w:t xml:space="preserve">  </w:t>
            </w:r>
            <w:r>
              <w:rPr>
                <w:rFonts w:ascii="Arial" w:hAnsi="Arial" w:cs="Arial"/>
                <w:sz w:val="22"/>
                <w:szCs w:val="22"/>
              </w:rPr>
              <w:fldChar w:fldCharType="begin">
                <w:ffData>
                  <w:name w:val="Check15"/>
                  <w:enabled/>
                  <w:calcOnExit w:val="0"/>
                  <w:checkBox>
                    <w:sizeAuto/>
                    <w:default w:val="0"/>
                    <w:checked w:val="0"/>
                  </w:checkBox>
                </w:ffData>
              </w:fldChar>
            </w:r>
            <w:bookmarkStart w:id="2" w:name="Check15"/>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2"/>
            <w:r>
              <w:rPr>
                <w:rFonts w:ascii="Arial" w:hAnsi="Arial" w:cs="Arial"/>
                <w:sz w:val="22"/>
                <w:szCs w:val="22"/>
              </w:rPr>
              <w:t xml:space="preserve">      4</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6"/>
                  <w:enabled/>
                  <w:calcOnExit w:val="0"/>
                  <w:checkBox>
                    <w:sizeAuto/>
                    <w:default w:val="0"/>
                    <w:checked w:val="0"/>
                  </w:checkBox>
                </w:ffData>
              </w:fldChar>
            </w:r>
            <w:bookmarkStart w:id="3" w:name="Check16"/>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3"/>
            <w:r>
              <w:rPr>
                <w:rFonts w:ascii="Arial" w:hAnsi="Arial" w:cs="Arial"/>
                <w:sz w:val="22"/>
                <w:szCs w:val="22"/>
              </w:rPr>
              <w:t xml:space="preserve">      5</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7"/>
                  <w:enabled/>
                  <w:calcOnExit w:val="0"/>
                  <w:checkBox>
                    <w:sizeAuto/>
                    <w:default w:val="0"/>
                    <w:checked w:val="0"/>
                  </w:checkBox>
                </w:ffData>
              </w:fldChar>
            </w:r>
            <w:bookmarkStart w:id="4" w:name="Check17"/>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4"/>
            <w:r>
              <w:rPr>
                <w:rFonts w:ascii="Arial" w:hAnsi="Arial" w:cs="Arial"/>
                <w:sz w:val="22"/>
                <w:szCs w:val="22"/>
              </w:rPr>
              <w:t xml:space="preserve">      6</w:t>
            </w:r>
            <w:r>
              <w:rPr>
                <w:rFonts w:ascii="Arial" w:hAnsi="Arial" w:cs="Arial"/>
                <w:sz w:val="22"/>
                <w:szCs w:val="22"/>
                <w:vertAlign w:val="superscript"/>
              </w:rPr>
              <w:t>th</w:t>
            </w:r>
            <w:r>
              <w:rPr>
                <w:rFonts w:ascii="Arial" w:hAnsi="Arial" w:cs="Arial"/>
                <w:sz w:val="22"/>
                <w:szCs w:val="22"/>
              </w:rPr>
              <w:t xml:space="preserve"> </w:t>
            </w:r>
            <w:r>
              <w:rPr>
                <w:rFonts w:ascii="Arial" w:hAnsi="Arial" w:cs="Arial"/>
                <w:sz w:val="22"/>
                <w:szCs w:val="22"/>
              </w:rPr>
              <w:fldChar w:fldCharType="begin">
                <w:ffData>
                  <w:name w:val="Check18"/>
                  <w:enabled/>
                  <w:calcOnExit w:val="0"/>
                  <w:checkBox>
                    <w:sizeAuto/>
                    <w:default w:val="0"/>
                    <w:checked w:val="0"/>
                  </w:checkBox>
                </w:ffData>
              </w:fldChar>
            </w:r>
            <w:bookmarkStart w:id="5" w:name="Check18"/>
            <w:r>
              <w:rPr>
                <w:rFonts w:ascii="Arial" w:hAnsi="Arial" w:cs="Arial"/>
                <w:sz w:val="22"/>
                <w:szCs w:val="22"/>
              </w:rPr>
              <w:instrText xml:space="preserve"> FORMCHECKBOX </w:instrText>
            </w:r>
            <w:r>
              <w:rPr>
                <w:rFonts w:ascii="Arial" w:hAnsi="Arial" w:cs="Arial"/>
                <w:sz w:val="22"/>
                <w:szCs w:val="22"/>
              </w:rPr>
              <w:fldChar w:fldCharType="separate"/>
            </w:r>
            <w:r>
              <w:rPr>
                <w:rFonts w:ascii="Arial" w:hAnsi="Arial" w:cs="Arial"/>
                <w:sz w:val="22"/>
                <w:szCs w:val="22"/>
              </w:rPr>
              <w:fldChar w:fldCharType="end"/>
            </w:r>
            <w:bookmarkEnd w:id="5"/>
          </w:p>
        </w:tc>
      </w:tr>
      <w:tr>
        <w:trPr>
          <w:trHeight w:val="978" w:hRule="atLeast"/>
        </w:trPr>
        <w:tc>
          <w:tcPr>
            <w:tcW w:w="8856" w:type="dxa"/>
            <w:gridSpan w:val="5"/>
            <w:shd w:val="clear" w:color="auto" w:fill="D9D9D9"/>
            <w:vAlign w:val="top"/>
          </w:tcPr>
          <w:p>
            <w:pPr>
              <w:pStyle w:val="7"/>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7"/>
              <w:spacing w:before="0" w:beforeAutospacing="0" w:after="0" w:afterAutospacing="0"/>
              <w:ind w:right="34"/>
              <w:rPr>
                <w:rFonts w:ascii="Arial" w:hAnsi="Arial" w:cs="Arial"/>
                <w:sz w:val="22"/>
                <w:szCs w:val="22"/>
              </w:rPr>
            </w:pPr>
            <w:r>
              <w:rPr>
                <w:rFonts w:ascii="Arial" w:hAnsi="Arial" w:cs="Arial"/>
                <w:sz w:val="22"/>
                <w:szCs w:val="22"/>
              </w:rPr>
              <w:t>Signed …………</w:t>
            </w:r>
            <w:r>
              <w:rPr>
                <w:rFonts w:ascii="Arial" w:hAnsi="Arial" w:cs="Arial"/>
                <w:sz w:val="22"/>
                <w:szCs w:val="22"/>
                <w:lang w:val="en-GB"/>
              </w:rPr>
              <w:t xml:space="preserve">Catherine Hornby </w:t>
            </w:r>
            <w:r>
              <w:rPr>
                <w:rFonts w:ascii="Arial" w:hAnsi="Arial" w:cs="Arial"/>
                <w:sz w:val="22"/>
                <w:szCs w:val="22"/>
              </w:rPr>
              <w:t>…………………………………………………</w:t>
            </w:r>
          </w:p>
          <w:p>
            <w:pPr>
              <w:pStyle w:val="7"/>
              <w:spacing w:before="0" w:beforeAutospacing="0" w:after="0" w:afterAutospacing="0"/>
              <w:ind w:right="34"/>
              <w:rPr>
                <w:rFonts w:ascii="Calibri" w:hAnsi="Calibri" w:cs="Calibri"/>
                <w:b/>
                <w:sz w:val="44"/>
                <w:szCs w:val="44"/>
              </w:rPr>
            </w:pPr>
            <w:r>
              <w:rPr>
                <w:rFonts w:ascii="Calibri" w:hAnsi="Calibri" w:cs="Tahoma"/>
                <w:b/>
                <w:sz w:val="24"/>
                <w:szCs w:val="24"/>
              </w:rPr>
              <w:t xml:space="preserve">Email submission: if you are submitting this form via email, please tick this box </w:t>
            </w:r>
            <w:r>
              <w:rPr>
                <w:rFonts w:ascii="Calibri" w:hAnsi="Calibri" w:cs="Tahoma"/>
                <w:b/>
                <w:sz w:val="24"/>
                <w:szCs w:val="24"/>
                <w:lang w:val="en-GB"/>
              </w:rPr>
              <w:t>X</w:t>
            </w:r>
            <w:r>
              <w:rPr>
                <w:rFonts w:ascii="Calibri" w:hAnsi="Calibri" w:cs="Calibri"/>
                <w:b/>
                <w:sz w:val="44"/>
                <w:szCs w:val="44"/>
              </w:rPr>
              <w:t>□</w:t>
            </w:r>
          </w:p>
          <w:p>
            <w:pPr>
              <w:pStyle w:val="7"/>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trPr>
          <w:trHeight w:val="3972" w:hRule="atLeast"/>
        </w:trPr>
        <w:tc>
          <w:tcPr>
            <w:tcW w:w="8856" w:type="dxa"/>
            <w:gridSpan w:val="5"/>
            <w:vAlign w:val="top"/>
          </w:tcPr>
          <w:p>
            <w:pPr>
              <w:rPr>
                <w:rFonts w:ascii="Arial" w:hAnsi="Arial"/>
                <w:b/>
              </w:rPr>
            </w:pPr>
          </w:p>
          <w:p>
            <w:pPr>
              <w:rPr>
                <w:rFonts w:ascii="Arial" w:hAnsi="Arial"/>
              </w:rPr>
            </w:pPr>
            <w:r>
              <w:rPr>
                <w:rFonts w:ascii="Arial" w:hAnsi="Arial"/>
                <w:b/>
              </w:rPr>
              <w:t>Assignment Mark</w:t>
            </w:r>
          </w:p>
          <w:tbl>
            <w:tblPr>
              <w:tblStyle w:val="13"/>
              <w:tblW w:w="8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0"/>
              <w:gridCol w:w="1660"/>
            </w:tblGrid>
            <w:tr>
              <w:tc>
                <w:tcPr>
                  <w:tcW w:w="6970" w:type="dxa"/>
                  <w:vAlign w:val="top"/>
                </w:tcPr>
                <w:p>
                  <w:pPr>
                    <w:rPr>
                      <w:rFonts w:ascii="Arial" w:hAnsi="Arial"/>
                      <w:sz w:val="20"/>
                      <w:szCs w:val="20"/>
                    </w:rPr>
                  </w:pPr>
                </w:p>
                <w:p>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vAlign w:val="top"/>
                </w:tcPr>
                <w:p>
                  <w:pPr>
                    <w:rPr>
                      <w:rFonts w:ascii="Arial" w:hAnsi="Arial"/>
                      <w:sz w:val="20"/>
                      <w:szCs w:val="20"/>
                    </w:rPr>
                  </w:pPr>
                </w:p>
              </w:tc>
            </w:tr>
            <w:tr>
              <w:tblPrEx>
                <w:tblLayout w:type="fixed"/>
                <w:tblCellMar>
                  <w:top w:w="0" w:type="dxa"/>
                  <w:left w:w="108" w:type="dxa"/>
                  <w:bottom w:w="0" w:type="dxa"/>
                  <w:right w:w="108" w:type="dxa"/>
                </w:tblCellMar>
              </w:tblPrEx>
              <w:tc>
                <w:tcPr>
                  <w:tcW w:w="6970" w:type="dxa"/>
                  <w:vAlign w:val="top"/>
                </w:tcPr>
                <w:p>
                  <w:pPr>
                    <w:rPr>
                      <w:rFonts w:ascii="Arial" w:hAnsi="Arial"/>
                      <w:sz w:val="20"/>
                      <w:szCs w:val="20"/>
                    </w:rPr>
                  </w:pPr>
                </w:p>
                <w:p>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vAlign w:val="top"/>
                </w:tcPr>
                <w:p>
                  <w:pPr>
                    <w:rPr>
                      <w:rFonts w:ascii="Arial" w:hAnsi="Arial"/>
                      <w:sz w:val="20"/>
                      <w:szCs w:val="20"/>
                    </w:rPr>
                  </w:pPr>
                </w:p>
              </w:tc>
            </w:tr>
            <w:tr>
              <w:tc>
                <w:tcPr>
                  <w:tcW w:w="6970" w:type="dxa"/>
                  <w:vAlign w:val="top"/>
                </w:tcPr>
                <w:p>
                  <w:pPr>
                    <w:rPr>
                      <w:rFonts w:ascii="Arial" w:hAnsi="Arial"/>
                      <w:sz w:val="20"/>
                      <w:szCs w:val="20"/>
                    </w:rPr>
                  </w:pPr>
                  <w:r>
                    <w:rPr>
                      <w:rFonts w:ascii="Arial" w:hAnsi="Arial"/>
                      <w:sz w:val="20"/>
                      <w:szCs w:val="20"/>
                    </w:rPr>
                    <w:t xml:space="preserve">Agreed Internal Mark: </w:t>
                  </w:r>
                </w:p>
                <w:p>
                  <w:pPr>
                    <w:rPr>
                      <w:rFonts w:ascii="Arial" w:hAnsi="Arial"/>
                      <w:sz w:val="20"/>
                      <w:szCs w:val="20"/>
                      <w:highlight w:val="yellow"/>
                    </w:rPr>
                  </w:pPr>
                </w:p>
              </w:tc>
              <w:tc>
                <w:tcPr>
                  <w:tcW w:w="1660" w:type="dxa"/>
                  <w:vAlign w:val="top"/>
                </w:tcPr>
                <w:p>
                  <w:pPr>
                    <w:rPr>
                      <w:rFonts w:ascii="Arial" w:hAnsi="Arial"/>
                      <w:sz w:val="20"/>
                      <w:szCs w:val="20"/>
                      <w:highlight w:val="yellow"/>
                    </w:rPr>
                  </w:pPr>
                </w:p>
              </w:tc>
            </w:tr>
            <w:tr>
              <w:tc>
                <w:tcPr>
                  <w:tcW w:w="6970" w:type="dxa"/>
                  <w:vAlign w:val="top"/>
                </w:tcPr>
                <w:p>
                  <w:pPr>
                    <w:rPr>
                      <w:rFonts w:ascii="Arial" w:hAnsi="Arial"/>
                      <w:sz w:val="20"/>
                      <w:szCs w:val="20"/>
                    </w:rPr>
                  </w:pPr>
                </w:p>
                <w:p>
                  <w:pPr>
                    <w:rPr>
                      <w:rFonts w:ascii="Arial" w:hAnsi="Arial"/>
                      <w:sz w:val="20"/>
                      <w:szCs w:val="20"/>
                    </w:rPr>
                  </w:pPr>
                  <w:r>
                    <w:rPr>
                      <w:rFonts w:ascii="Arial" w:hAnsi="Arial"/>
                      <w:sz w:val="20"/>
                      <w:szCs w:val="20"/>
                    </w:rPr>
                    <w:t>External Examiner’s mark (if relevant)</w:t>
                  </w:r>
                </w:p>
              </w:tc>
              <w:tc>
                <w:tcPr>
                  <w:tcW w:w="1660" w:type="dxa"/>
                  <w:vAlign w:val="top"/>
                </w:tcPr>
                <w:p>
                  <w:pPr>
                    <w:rPr>
                      <w:rFonts w:ascii="Arial" w:hAnsi="Arial"/>
                      <w:sz w:val="20"/>
                      <w:szCs w:val="20"/>
                    </w:rPr>
                  </w:pPr>
                </w:p>
              </w:tc>
            </w:tr>
            <w:tr>
              <w:tc>
                <w:tcPr>
                  <w:tcW w:w="6970" w:type="dxa"/>
                  <w:vAlign w:val="top"/>
                </w:tcPr>
                <w:p>
                  <w:pPr>
                    <w:rPr>
                      <w:rFonts w:ascii="Arial" w:hAnsi="Arial"/>
                      <w:sz w:val="20"/>
                      <w:szCs w:val="20"/>
                    </w:rPr>
                  </w:pPr>
                </w:p>
                <w:p>
                  <w:pPr>
                    <w:rPr>
                      <w:rFonts w:ascii="Arial" w:hAnsi="Arial"/>
                      <w:b/>
                      <w:sz w:val="20"/>
                      <w:szCs w:val="20"/>
                    </w:rPr>
                  </w:pPr>
                  <w:r>
                    <w:rPr>
                      <w:rFonts w:ascii="Arial" w:hAnsi="Arial"/>
                      <w:b/>
                      <w:sz w:val="20"/>
                      <w:szCs w:val="20"/>
                    </w:rPr>
                    <w:t>Final Mark</w:t>
                  </w:r>
                </w:p>
                <w:p>
                  <w:pPr>
                    <w:rPr>
                      <w:rFonts w:ascii="Arial" w:hAnsi="Arial"/>
                      <w:sz w:val="20"/>
                      <w:szCs w:val="20"/>
                    </w:rPr>
                  </w:pPr>
                </w:p>
              </w:tc>
              <w:tc>
                <w:tcPr>
                  <w:tcW w:w="1660" w:type="dxa"/>
                  <w:vAlign w:val="top"/>
                </w:tcPr>
                <w:p>
                  <w:pPr>
                    <w:rPr>
                      <w:rFonts w:ascii="Arial" w:hAnsi="Arial"/>
                      <w:sz w:val="20"/>
                      <w:szCs w:val="20"/>
                    </w:rPr>
                  </w:pPr>
                </w:p>
              </w:tc>
            </w:tr>
          </w:tbl>
          <w:p>
            <w:pPr>
              <w:pStyle w:val="7"/>
              <w:spacing w:before="0" w:beforeAutospacing="0" w:after="0" w:afterAutospacing="0"/>
              <w:ind w:left="142" w:right="34"/>
              <w:rPr>
                <w:rFonts w:ascii="Arial" w:hAnsi="Arial" w:cs="Arial"/>
                <w:b/>
                <w:sz w:val="22"/>
                <w:szCs w:val="22"/>
              </w:rPr>
            </w:pPr>
          </w:p>
          <w:p>
            <w:pPr>
              <w:pStyle w:val="7"/>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7"/>
              <w:spacing w:before="0" w:beforeAutospacing="0" w:after="0" w:afterAutospacing="0"/>
              <w:rPr>
                <w:rFonts w:ascii="Arial" w:hAnsi="Arial" w:cs="Arial"/>
                <w:b/>
                <w:sz w:val="22"/>
                <w:szCs w:val="22"/>
              </w:rPr>
            </w:pPr>
          </w:p>
          <w:p>
            <w:pPr>
              <w:pStyle w:val="7"/>
              <w:spacing w:before="0" w:beforeAutospacing="0" w:after="0" w:afterAutospacing="0"/>
              <w:rPr>
                <w:rFonts w:ascii="Arial" w:hAnsi="Arial" w:cs="Arial"/>
                <w:b/>
                <w:sz w:val="22"/>
                <w:szCs w:val="22"/>
              </w:rPr>
            </w:pPr>
          </w:p>
          <w:p>
            <w:pPr>
              <w:pStyle w:val="7"/>
              <w:spacing w:before="0" w:beforeAutospacing="0" w:after="0" w:afterAutospacing="0"/>
              <w:rPr>
                <w:rFonts w:ascii="Arial" w:hAnsi="Arial" w:cs="Arial"/>
                <w:b/>
                <w:sz w:val="22"/>
                <w:szCs w:val="22"/>
              </w:rPr>
            </w:pPr>
          </w:p>
          <w:p>
            <w:pPr>
              <w:pStyle w:val="7"/>
              <w:spacing w:before="0" w:beforeAutospacing="0" w:after="0" w:afterAutospacing="0"/>
              <w:rPr>
                <w:rFonts w:ascii="Arial" w:hAnsi="Arial" w:cs="Arial"/>
                <w:b/>
                <w:sz w:val="22"/>
                <w:szCs w:val="22"/>
              </w:rPr>
            </w:pPr>
          </w:p>
          <w:p>
            <w:pPr>
              <w:pStyle w:val="7"/>
              <w:spacing w:before="0" w:beforeAutospacing="0" w:after="0" w:afterAutospacing="0"/>
              <w:rPr>
                <w:rFonts w:ascii="Arial" w:hAnsi="Arial" w:cs="Arial"/>
                <w:b/>
                <w:sz w:val="22"/>
                <w:szCs w:val="22"/>
              </w:rPr>
            </w:pPr>
            <w:r>
              <w:rPr>
                <w:rFonts w:ascii="Arial" w:hAnsi="Arial" w:cs="Arial"/>
                <w:b/>
                <w:sz w:val="22"/>
                <w:szCs w:val="22"/>
              </w:rPr>
              <w:t>For completion by Marker 1 :</w:t>
            </w:r>
          </w:p>
          <w:p>
            <w:pPr>
              <w:pStyle w:val="7"/>
              <w:rPr>
                <w:rFonts w:ascii="Arial" w:hAnsi="Arial" w:cs="Arial"/>
                <w:sz w:val="22"/>
                <w:szCs w:val="22"/>
              </w:rPr>
            </w:pPr>
            <w:r>
              <w:rPr>
                <w:rFonts w:ascii="Arial" w:hAnsi="Arial" w:cs="Arial"/>
                <w:sz w:val="22"/>
                <w:szCs w:val="22"/>
              </w:rPr>
              <w:t>Comments:</w:t>
            </w:r>
          </w:p>
          <w:p>
            <w:pPr>
              <w:pStyle w:val="7"/>
              <w:rPr>
                <w:rFonts w:ascii="Arial" w:hAnsi="Arial" w:cs="Arial"/>
                <w:sz w:val="22"/>
                <w:szCs w:val="22"/>
              </w:rPr>
            </w:pPr>
          </w:p>
        </w:tc>
      </w:tr>
      <w:tr>
        <w:tblPrEx>
          <w:tblLayout w:type="fixed"/>
          <w:tblCellMar>
            <w:top w:w="0" w:type="dxa"/>
            <w:left w:w="108" w:type="dxa"/>
            <w:bottom w:w="0" w:type="dxa"/>
            <w:right w:w="108" w:type="dxa"/>
          </w:tblCellMar>
        </w:tblPrEx>
        <w:trPr>
          <w:trHeight w:val="492" w:hRule="atLeast"/>
        </w:trPr>
        <w:tc>
          <w:tcPr>
            <w:tcW w:w="6768" w:type="dxa"/>
            <w:gridSpan w:val="3"/>
            <w:vAlign w:val="top"/>
          </w:tcPr>
          <w:p>
            <w:pPr>
              <w:pStyle w:val="7"/>
              <w:ind w:left="142" w:right="34"/>
              <w:rPr>
                <w:rFonts w:ascii="Arial" w:hAnsi="Arial" w:cs="Arial"/>
                <w:sz w:val="22"/>
                <w:szCs w:val="22"/>
              </w:rPr>
            </w:pPr>
            <w:r>
              <w:rPr>
                <w:rFonts w:ascii="Arial" w:hAnsi="Arial" w:cs="Arial"/>
                <w:sz w:val="22"/>
                <w:szCs w:val="22"/>
              </w:rPr>
              <w:t>Marker’s signature:</w:t>
            </w:r>
          </w:p>
        </w:tc>
        <w:tc>
          <w:tcPr>
            <w:tcW w:w="2088" w:type="dxa"/>
            <w:gridSpan w:val="2"/>
            <w:vAlign w:val="top"/>
          </w:tcPr>
          <w:p>
            <w:pPr>
              <w:pStyle w:val="7"/>
              <w:spacing w:after="0"/>
              <w:ind w:left="142" w:right="34"/>
              <w:rPr>
                <w:rFonts w:ascii="Arial" w:hAnsi="Arial" w:cs="Arial"/>
                <w:sz w:val="22"/>
                <w:szCs w:val="22"/>
              </w:rPr>
            </w:pPr>
            <w:r>
              <w:rPr>
                <w:rFonts w:ascii="Arial" w:hAnsi="Arial" w:cs="Arial"/>
                <w:sz w:val="22"/>
                <w:szCs w:val="22"/>
              </w:rPr>
              <w:t>Date:</w:t>
            </w:r>
          </w:p>
        </w:tc>
      </w:tr>
      <w:tr>
        <w:tc>
          <w:tcPr>
            <w:tcW w:w="8856" w:type="dxa"/>
            <w:gridSpan w:val="5"/>
            <w:vAlign w:val="top"/>
          </w:tcPr>
          <w:p>
            <w:pPr>
              <w:pStyle w:val="7"/>
              <w:spacing w:before="0" w:beforeAutospacing="0" w:after="0" w:afterAutospacing="0"/>
              <w:ind w:right="-334"/>
              <w:rPr>
                <w:rFonts w:ascii="Arial" w:hAnsi="Arial" w:cs="Arial"/>
                <w:bCs/>
                <w:i/>
                <w:sz w:val="22"/>
                <w:szCs w:val="22"/>
              </w:rPr>
            </w:pPr>
          </w:p>
          <w:p>
            <w:pPr>
              <w:pStyle w:val="7"/>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pPr>
              <w:pStyle w:val="7"/>
              <w:spacing w:before="0" w:beforeAutospacing="0" w:after="0" w:afterAutospacing="0"/>
              <w:ind w:right="-334"/>
              <w:rPr>
                <w:rFonts w:ascii="Arial" w:hAnsi="Arial" w:cs="Arial"/>
                <w:b/>
                <w:bCs/>
                <w:sz w:val="22"/>
                <w:szCs w:val="22"/>
              </w:rPr>
            </w:pPr>
          </w:p>
          <w:p>
            <w:pPr>
              <w:pStyle w:val="7"/>
              <w:spacing w:before="0" w:beforeAutospacing="0" w:after="0" w:afterAutospacing="0"/>
              <w:ind w:right="-334"/>
              <w:rPr>
                <w:rFonts w:ascii="Arial" w:hAnsi="Arial" w:cs="Arial"/>
                <w:bCs/>
                <w:sz w:val="22"/>
                <w:szCs w:val="22"/>
              </w:rPr>
            </w:pPr>
            <w:r>
              <w:rPr>
                <w:rFonts w:ascii="Arial" w:hAnsi="Arial" w:cs="Arial"/>
                <w:bCs/>
                <w:sz w:val="22"/>
                <w:szCs w:val="22"/>
              </w:rPr>
              <w:t>Comments:</w:t>
            </w:r>
          </w:p>
          <w:p>
            <w:pPr>
              <w:pStyle w:val="7"/>
              <w:spacing w:before="0" w:beforeAutospacing="0" w:after="0" w:afterAutospacing="0"/>
              <w:ind w:right="-334"/>
              <w:rPr>
                <w:rFonts w:ascii="Arial" w:hAnsi="Arial" w:cs="Arial"/>
                <w:bCs/>
                <w:sz w:val="22"/>
                <w:szCs w:val="22"/>
              </w:rPr>
            </w:pPr>
          </w:p>
          <w:p>
            <w:pPr>
              <w:pStyle w:val="7"/>
              <w:spacing w:before="0" w:beforeAutospacing="0" w:after="0" w:afterAutospacing="0"/>
              <w:ind w:right="-334"/>
              <w:rPr>
                <w:rFonts w:ascii="Arial" w:hAnsi="Arial" w:cs="Arial"/>
                <w:bCs/>
                <w:sz w:val="22"/>
                <w:szCs w:val="22"/>
              </w:rPr>
            </w:pPr>
          </w:p>
          <w:p>
            <w:pPr>
              <w:pStyle w:val="7"/>
              <w:spacing w:before="0" w:beforeAutospacing="0" w:after="0" w:afterAutospacing="0"/>
              <w:ind w:right="-334"/>
              <w:rPr>
                <w:rFonts w:ascii="Arial" w:hAnsi="Arial" w:cs="Arial"/>
                <w:bCs/>
                <w:sz w:val="22"/>
                <w:szCs w:val="22"/>
              </w:rPr>
            </w:pPr>
          </w:p>
        </w:tc>
      </w:tr>
      <w:tr>
        <w:trPr>
          <w:trHeight w:val="720" w:hRule="atLeast"/>
        </w:trPr>
        <w:tc>
          <w:tcPr>
            <w:tcW w:w="5211" w:type="dxa"/>
            <w:gridSpan w:val="2"/>
            <w:vAlign w:val="top"/>
          </w:tcPr>
          <w:p>
            <w:pPr>
              <w:pStyle w:val="7"/>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vAlign w:val="top"/>
          </w:tcPr>
          <w:p>
            <w:pPr>
              <w:pStyle w:val="7"/>
              <w:spacing w:before="0" w:beforeAutospacing="0" w:after="0" w:afterAutospacing="0"/>
              <w:ind w:right="-334"/>
              <w:rPr>
                <w:rFonts w:ascii="Arial" w:hAnsi="Arial" w:cs="Arial"/>
                <w:bCs/>
                <w:sz w:val="22"/>
                <w:szCs w:val="22"/>
              </w:rPr>
            </w:pPr>
            <w:r>
              <w:rPr>
                <w:rFonts w:ascii="Arial" w:hAnsi="Arial" w:cs="Arial"/>
                <w:bCs/>
                <w:sz w:val="22"/>
                <w:szCs w:val="22"/>
              </w:rPr>
              <w:t>Date:</w:t>
            </w:r>
          </w:p>
        </w:tc>
      </w:tr>
      <w:tr>
        <w:trPr>
          <w:trHeight w:val="720" w:hRule="atLeast"/>
        </w:trPr>
        <w:tc>
          <w:tcPr>
            <w:tcW w:w="8856" w:type="dxa"/>
            <w:gridSpan w:val="5"/>
            <w:vAlign w:val="top"/>
          </w:tcPr>
          <w:p>
            <w:pPr>
              <w:rPr>
                <w:rFonts w:ascii="Arial" w:hAnsi="Arial" w:cs="Arial"/>
                <w:b/>
                <w:sz w:val="22"/>
                <w:szCs w:val="22"/>
              </w:rPr>
            </w:pPr>
            <w:r>
              <w:rPr>
                <w:rFonts w:ascii="Arial" w:hAnsi="Arial" w:cs="Arial"/>
                <w:b/>
                <w:sz w:val="22"/>
                <w:szCs w:val="22"/>
              </w:rPr>
              <w:t>AGREED INTERNAL MARK (where necessary):</w:t>
            </w:r>
          </w:p>
          <w:p>
            <w:pPr>
              <w:rPr>
                <w:rFonts w:ascii="Arial" w:hAnsi="Arial" w:cs="Arial"/>
                <w:b/>
                <w:sz w:val="22"/>
                <w:szCs w:val="22"/>
              </w:rPr>
            </w:pPr>
          </w:p>
          <w:p>
            <w:pPr>
              <w:rPr>
                <w:rFonts w:ascii="Arial" w:hAnsi="Arial" w:cs="Arial"/>
                <w:b/>
                <w:sz w:val="22"/>
                <w:szCs w:val="22"/>
              </w:rPr>
            </w:pPr>
            <w:r>
              <w:rPr>
                <w:rFonts w:ascii="Arial" w:hAnsi="Arial" w:cs="Arial"/>
                <w:b/>
                <w:sz w:val="22"/>
                <w:szCs w:val="22"/>
              </w:rPr>
              <w:t>Comment on process on arriving at agreed mark:</w:t>
            </w:r>
          </w:p>
          <w:p>
            <w:pPr>
              <w:rPr>
                <w:rFonts w:ascii="Arial" w:hAnsi="Arial" w:cs="Arial"/>
                <w:b/>
                <w:sz w:val="22"/>
                <w:szCs w:val="22"/>
              </w:rPr>
            </w:pPr>
          </w:p>
          <w:p>
            <w:pPr>
              <w:rPr>
                <w:rFonts w:ascii="Arial" w:hAnsi="Arial" w:cs="Arial"/>
                <w:b/>
                <w:sz w:val="22"/>
                <w:szCs w:val="22"/>
              </w:rPr>
            </w:pPr>
          </w:p>
        </w:tc>
      </w:tr>
      <w:tr>
        <w:trPr>
          <w:trHeight w:val="720" w:hRule="atLeast"/>
        </w:trPr>
        <w:tc>
          <w:tcPr>
            <w:tcW w:w="8856" w:type="dxa"/>
            <w:gridSpan w:val="5"/>
            <w:vAlign w:val="top"/>
          </w:tcPr>
          <w:p>
            <w:pPr>
              <w:rPr>
                <w:rFonts w:ascii="Arial" w:hAnsi="Arial" w:cs="Arial"/>
                <w:b/>
                <w:sz w:val="22"/>
                <w:szCs w:val="22"/>
              </w:rPr>
            </w:pPr>
            <w:r>
              <w:rPr>
                <w:rFonts w:ascii="Arial" w:hAnsi="Arial" w:cs="Arial"/>
                <w:b/>
                <w:sz w:val="22"/>
                <w:szCs w:val="22"/>
              </w:rPr>
              <w:t>External Examiner’s comments (if relevant)</w:t>
            </w:r>
          </w:p>
          <w:p>
            <w:pPr>
              <w:pStyle w:val="7"/>
              <w:spacing w:before="0" w:beforeAutospacing="0" w:after="0" w:afterAutospacing="0"/>
              <w:ind w:right="-334"/>
              <w:rPr>
                <w:rFonts w:ascii="Arial" w:hAnsi="Arial" w:cs="Arial"/>
                <w:bCs/>
                <w:sz w:val="22"/>
                <w:szCs w:val="22"/>
              </w:rPr>
            </w:pPr>
          </w:p>
          <w:p>
            <w:pPr>
              <w:pStyle w:val="7"/>
              <w:spacing w:before="0" w:beforeAutospacing="0" w:after="0" w:afterAutospacing="0"/>
              <w:ind w:right="-334"/>
              <w:rPr>
                <w:rFonts w:ascii="Arial" w:hAnsi="Arial" w:cs="Arial"/>
                <w:bCs/>
                <w:sz w:val="22"/>
                <w:szCs w:val="22"/>
              </w:rPr>
            </w:pPr>
          </w:p>
          <w:p>
            <w:pPr>
              <w:pStyle w:val="7"/>
              <w:spacing w:before="0" w:beforeAutospacing="0" w:after="0" w:afterAutospacing="0"/>
              <w:ind w:right="-334"/>
              <w:rPr>
                <w:rFonts w:ascii="Arial" w:hAnsi="Arial" w:cs="Arial"/>
                <w:bCs/>
                <w:sz w:val="22"/>
                <w:szCs w:val="22"/>
              </w:rPr>
            </w:pPr>
          </w:p>
        </w:tc>
      </w:tr>
      <w:tr>
        <w:trPr>
          <w:trHeight w:val="720" w:hRule="atLeast"/>
        </w:trPr>
        <w:tc>
          <w:tcPr>
            <w:tcW w:w="5211" w:type="dxa"/>
            <w:gridSpan w:val="2"/>
            <w:vAlign w:val="top"/>
          </w:tcPr>
          <w:p>
            <w:pPr>
              <w:rPr>
                <w:rFonts w:ascii="Arial" w:hAnsi="Arial" w:cs="Arial"/>
                <w:sz w:val="22"/>
                <w:szCs w:val="22"/>
              </w:rPr>
            </w:pPr>
            <w:r>
              <w:rPr>
                <w:rFonts w:ascii="Arial" w:hAnsi="Arial" w:cs="Arial"/>
                <w:sz w:val="22"/>
                <w:szCs w:val="22"/>
              </w:rPr>
              <w:t>External Examiner’s Signature:</w:t>
            </w:r>
          </w:p>
        </w:tc>
        <w:tc>
          <w:tcPr>
            <w:tcW w:w="3645" w:type="dxa"/>
            <w:gridSpan w:val="3"/>
            <w:vAlign w:val="top"/>
          </w:tcPr>
          <w:p>
            <w:pPr>
              <w:rPr>
                <w:rFonts w:ascii="Arial" w:hAnsi="Arial" w:cs="Arial"/>
                <w:sz w:val="22"/>
                <w:szCs w:val="22"/>
              </w:rPr>
            </w:pPr>
            <w:r>
              <w:rPr>
                <w:rFonts w:ascii="Arial" w:hAnsi="Arial" w:cs="Arial"/>
                <w:sz w:val="22"/>
                <w:szCs w:val="22"/>
              </w:rPr>
              <w:t>Date:</w:t>
            </w:r>
          </w:p>
        </w:tc>
      </w:tr>
    </w:tbl>
    <w:p>
      <w:pPr>
        <w:pStyle w:val="7"/>
        <w:spacing w:before="0" w:beforeAutospacing="0" w:after="0" w:afterAutospacing="0"/>
        <w:ind w:right="-334"/>
        <w:rPr>
          <w:rFonts w:ascii="Trebuchet MS" w:hAnsi="Trebuchet MS" w:cs="Tahoma"/>
          <w:bCs/>
          <w:sz w:val="24"/>
          <w:szCs w:val="24"/>
        </w:rPr>
      </w:pPr>
    </w:p>
    <w:p>
      <w:pPr>
        <w:pStyle w:val="15"/>
        <w:framePr w:wrap="auto" w:vAnchor="margin" w:hAnchor="text" w:yAlign="inline"/>
        <w:jc w:val="center"/>
        <w:rPr>
          <w:sz w:val="36"/>
          <w:szCs w:val="36"/>
        </w:rPr>
      </w:pPr>
    </w:p>
    <w:p>
      <w:pPr>
        <w:pStyle w:val="15"/>
        <w:framePr w:wrap="auto" w:vAnchor="margin" w:hAnchor="text" w:yAlign="inline"/>
        <w:jc w:val="center"/>
        <w:rPr>
          <w:sz w:val="36"/>
          <w:szCs w:val="36"/>
        </w:rPr>
      </w:pPr>
      <w:r>
        <w:rPr>
          <w:sz w:val="36"/>
          <w:szCs w:val="36"/>
          <w:lang w:val="en-GB"/>
        </w:rPr>
        <w:t>Mothe</w:t>
      </w:r>
      <w:r>
        <w:rPr>
          <w:sz w:val="36"/>
          <w:szCs w:val="36"/>
        </w:rPr>
        <w:t xml:space="preserve">rs and Mother Figures in Selected Works of English Romantic Literature in Connection with Ideological Shifts </w:t>
      </w:r>
    </w:p>
    <w:p>
      <w:pPr>
        <w:pStyle w:val="15"/>
        <w:framePr w:wrap="auto" w:vAnchor="margin" w:hAnchor="text" w:yAlign="inline"/>
        <w:jc w:val="center"/>
        <w:rPr>
          <w:sz w:val="36"/>
          <w:szCs w:val="36"/>
        </w:rPr>
      </w:pPr>
    </w:p>
    <w:p>
      <w:pPr>
        <w:pStyle w:val="15"/>
        <w:framePr w:wrap="auto" w:vAnchor="margin" w:hAnchor="text" w:yAlign="inline"/>
        <w:rPr>
          <w:sz w:val="36"/>
          <w:szCs w:val="36"/>
        </w:rPr>
      </w:pPr>
      <w:r>
        <w:rPr>
          <w:sz w:val="36"/>
          <w:szCs w:val="36"/>
          <w:lang w:val="en-GB"/>
        </w:rPr>
        <w:t>The Romantic period roughly covers a</w:t>
      </w:r>
      <w:r>
        <w:rPr>
          <w:sz w:val="36"/>
          <w:szCs w:val="36"/>
        </w:rPr>
        <w:t xml:space="preserve"> century</w:t>
      </w:r>
      <w:r>
        <w:rPr>
          <w:sz w:val="36"/>
          <w:szCs w:val="36"/>
          <w:lang w:val="en-GB"/>
        </w:rPr>
        <w:t>, and that century</w:t>
      </w:r>
      <w:r>
        <w:rPr>
          <w:sz w:val="36"/>
          <w:szCs w:val="36"/>
        </w:rPr>
        <w:t xml:space="preserve"> was immensely important in terms of both social and literary history.</w:t>
      </w:r>
      <w:r>
        <w:rPr>
          <w:sz w:val="36"/>
          <w:szCs w:val="36"/>
          <w:lang w:val="en-GB"/>
        </w:rPr>
        <w:t xml:space="preserve"> The selected period ranges from 1760 to 1860, from the common consensus of the dates of the Romantic Movement. This therefore,</w:t>
      </w:r>
      <w:r>
        <w:rPr>
          <w:sz w:val="36"/>
          <w:szCs w:val="36"/>
        </w:rPr>
        <w:t xml:space="preserve"> </w:t>
      </w:r>
      <w:r>
        <w:rPr>
          <w:sz w:val="36"/>
          <w:szCs w:val="36"/>
          <w:lang w:val="en-GB"/>
        </w:rPr>
        <w:t>in</w:t>
      </w:r>
      <w:r>
        <w:rPr>
          <w:sz w:val="36"/>
          <w:szCs w:val="36"/>
        </w:rPr>
        <w:t xml:space="preserve"> literary terms, began with the late Enlightenment</w:t>
      </w:r>
      <w:r>
        <w:rPr>
          <w:sz w:val="36"/>
          <w:szCs w:val="36"/>
          <w:lang w:val="en-GB"/>
        </w:rPr>
        <w:t xml:space="preserve"> period</w:t>
      </w:r>
      <w:r>
        <w:rPr>
          <w:sz w:val="36"/>
          <w:szCs w:val="36"/>
        </w:rPr>
        <w:t xml:space="preserve"> and ended </w:t>
      </w:r>
      <w:r>
        <w:rPr>
          <w:sz w:val="36"/>
          <w:szCs w:val="36"/>
          <w:lang w:val="en-GB"/>
        </w:rPr>
        <w:t>during</w:t>
      </w:r>
      <w:r>
        <w:rPr>
          <w:sz w:val="36"/>
          <w:szCs w:val="36"/>
        </w:rPr>
        <w:t xml:space="preserve"> the Victorian</w:t>
      </w:r>
      <w:r>
        <w:rPr>
          <w:sz w:val="36"/>
          <w:szCs w:val="36"/>
          <w:lang w:val="en-GB"/>
        </w:rPr>
        <w:t>. Romanticism therefore overlaps with both these other</w:t>
      </w:r>
      <w:r>
        <w:rPr>
          <w:sz w:val="36"/>
          <w:szCs w:val="36"/>
        </w:rPr>
        <w:t xml:space="preserve"> period</w:t>
      </w:r>
      <w:r>
        <w:rPr>
          <w:sz w:val="36"/>
          <w:szCs w:val="36"/>
          <w:lang w:val="en-GB"/>
        </w:rPr>
        <w:t>s, as well as with the Gothic genre.</w:t>
      </w:r>
      <w:r>
        <w:rPr>
          <w:sz w:val="36"/>
          <w:szCs w:val="36"/>
        </w:rPr>
        <w:t xml:space="preserve"> This </w:t>
      </w:r>
      <w:r>
        <w:rPr>
          <w:sz w:val="36"/>
          <w:szCs w:val="36"/>
          <w:lang w:val="en-GB"/>
        </w:rPr>
        <w:t>may seem confusing, but is justified by the term 'Romanticism' covering both a literary movement and a time period</w:t>
      </w:r>
      <w:r>
        <w:rPr>
          <w:sz w:val="36"/>
          <w:szCs w:val="36"/>
        </w:rPr>
        <w:t xml:space="preserve">. </w:t>
      </w:r>
      <w:r>
        <w:rPr>
          <w:sz w:val="36"/>
          <w:szCs w:val="36"/>
          <w:lang w:val="en-GB"/>
        </w:rPr>
        <w:t>The century in question</w:t>
      </w:r>
      <w:r>
        <w:rPr>
          <w:sz w:val="36"/>
          <w:szCs w:val="36"/>
        </w:rPr>
        <w:t xml:space="preserve"> was an important </w:t>
      </w:r>
      <w:r>
        <w:rPr>
          <w:sz w:val="36"/>
          <w:szCs w:val="36"/>
          <w:lang w:val="en-GB"/>
        </w:rPr>
        <w:t>one for</w:t>
      </w:r>
      <w:r>
        <w:rPr>
          <w:sz w:val="36"/>
          <w:szCs w:val="36"/>
        </w:rPr>
        <w:t xml:space="preserve"> women, due to shifts in how they were viewed by society, which eventually culminated in the emergence of the New Woman in Victorian thought.  The</w:t>
      </w:r>
      <w:r>
        <w:rPr>
          <w:sz w:val="36"/>
          <w:szCs w:val="36"/>
          <w:lang w:val="en-GB"/>
        </w:rPr>
        <w:t>se</w:t>
      </w:r>
      <w:r>
        <w:rPr>
          <w:sz w:val="36"/>
          <w:szCs w:val="36"/>
        </w:rPr>
        <w:t xml:space="preserve"> shifts in gender relations can be examined through the lens of literature; in the portrayal and treatment of assorted female characters. However, rather than focusing on the plurality of womankind, the focus of this study is narrowed specifically to mothers and mother figures, in order to keep the discussion on point. The selected texts certainly provide a surfeit of characters who can be filed under the relevant heading. Besides the major literary movements mentioned above, this</w:t>
      </w:r>
      <w:r>
        <w:rPr>
          <w:sz w:val="36"/>
          <w:szCs w:val="36"/>
          <w:lang w:val="en-GB"/>
        </w:rPr>
        <w:t xml:space="preserve"> period</w:t>
      </w:r>
      <w:r>
        <w:rPr>
          <w:sz w:val="36"/>
          <w:szCs w:val="36"/>
        </w:rPr>
        <w:t xml:space="preserve"> also </w:t>
      </w:r>
      <w:r>
        <w:rPr>
          <w:sz w:val="36"/>
          <w:szCs w:val="36"/>
          <w:lang w:val="en-GB"/>
        </w:rPr>
        <w:t xml:space="preserve">featured </w:t>
      </w:r>
      <w:r>
        <w:rPr>
          <w:sz w:val="36"/>
          <w:szCs w:val="36"/>
        </w:rPr>
        <w:t xml:space="preserve">the rise of the novel, </w:t>
      </w:r>
      <w:r>
        <w:rPr>
          <w:sz w:val="36"/>
          <w:szCs w:val="36"/>
          <w:lang w:val="en-GB"/>
        </w:rPr>
        <w:t>which gradually</w:t>
      </w:r>
      <w:r>
        <w:rPr>
          <w:sz w:val="36"/>
          <w:szCs w:val="36"/>
        </w:rPr>
        <w:t xml:space="preserve"> became the dominant literary form. </w:t>
      </w:r>
      <w:r>
        <w:rPr>
          <w:sz w:val="36"/>
          <w:szCs w:val="36"/>
          <w:lang w:val="en-GB"/>
        </w:rPr>
        <w:t>It is therefore fitting that a novel has been chosen to represent the period (</w:t>
      </w:r>
      <w:r>
        <w:rPr>
          <w:i/>
          <w:iCs/>
          <w:sz w:val="36"/>
          <w:szCs w:val="36"/>
          <w:lang w:val="en-GB"/>
        </w:rPr>
        <w:t>Mansfield Park</w:t>
      </w:r>
      <w:r>
        <w:rPr>
          <w:i w:val="0"/>
          <w:iCs w:val="0"/>
          <w:sz w:val="36"/>
          <w:szCs w:val="36"/>
          <w:lang w:val="en-GB"/>
        </w:rPr>
        <w:t>, 1814),</w:t>
      </w:r>
      <w:r>
        <w:rPr>
          <w:sz w:val="36"/>
          <w:szCs w:val="36"/>
          <w:lang w:val="en-GB"/>
        </w:rPr>
        <w:t xml:space="preserve"> as well as a poetry book (</w:t>
      </w:r>
      <w:r>
        <w:rPr>
          <w:i/>
          <w:iCs/>
          <w:sz w:val="36"/>
          <w:szCs w:val="36"/>
          <w:lang w:val="en-GB"/>
        </w:rPr>
        <w:t>Lyrical Ballads</w:t>
      </w:r>
      <w:r>
        <w:rPr>
          <w:i w:val="0"/>
          <w:iCs w:val="0"/>
          <w:sz w:val="36"/>
          <w:szCs w:val="36"/>
          <w:lang w:val="en-GB"/>
        </w:rPr>
        <w:t>, 1798).</w:t>
      </w:r>
      <w:r>
        <w:rPr>
          <w:sz w:val="36"/>
          <w:szCs w:val="36"/>
          <w:lang w:val="en-GB"/>
        </w:rPr>
        <w:t xml:space="preserve"> These texts will be considered in chronological order.</w:t>
      </w:r>
    </w:p>
    <w:p>
      <w:pPr>
        <w:pStyle w:val="15"/>
        <w:framePr w:wrap="auto" w:vAnchor="margin" w:hAnchor="text" w:yAlign="inline"/>
        <w:rPr>
          <w:sz w:val="36"/>
          <w:szCs w:val="36"/>
        </w:rPr>
      </w:pPr>
    </w:p>
    <w:p>
      <w:pPr>
        <w:pStyle w:val="15"/>
        <w:framePr w:wrap="auto" w:vAnchor="margin" w:hAnchor="text" w:yAlign="inline"/>
        <w:rPr>
          <w:sz w:val="36"/>
          <w:szCs w:val="36"/>
        </w:rPr>
      </w:pPr>
      <w:r>
        <w:rPr>
          <w:sz w:val="36"/>
          <w:szCs w:val="36"/>
        </w:rPr>
        <w:t xml:space="preserve">A number of poems, mostly by Wordsworth, which are relevant to the topic, feature in the </w:t>
      </w:r>
      <w:r>
        <w:rPr>
          <w:i/>
          <w:iCs/>
          <w:sz w:val="36"/>
          <w:szCs w:val="36"/>
        </w:rPr>
        <w:t>Lyrical Ballads</w:t>
      </w:r>
      <w:r>
        <w:rPr>
          <w:sz w:val="36"/>
          <w:szCs w:val="36"/>
        </w:rPr>
        <w:t xml:space="preserve">, the book that arguably launched the Romantic Movement in Britain. Indeed maternal love is one of the themes of the collection, as identified by Wordsworth in his Preface to the </w:t>
      </w:r>
      <w:r>
        <w:rPr>
          <w:i/>
          <w:iCs/>
          <w:sz w:val="36"/>
          <w:szCs w:val="36"/>
        </w:rPr>
        <w:t xml:space="preserve">Lyrical Ballads, </w:t>
      </w:r>
      <w:r>
        <w:rPr>
          <w:sz w:val="36"/>
          <w:szCs w:val="36"/>
        </w:rPr>
        <w:t>which he added to the later editions. The relevant poems include ‘The Thorn’: whose title character is considered to have killed her baby, ‘The Mad Mother’: whose relevance is baked into the very title, ‘The Foster-Mother’s Tale’: a Coleridge poem, which supports the case for including mother figures in a discussion of mothers and ‘The Idiot Boy’: who is privileged as the title character, but whose mother gives him his significance in the poem, through her words, her love and her actions.</w:t>
      </w:r>
    </w:p>
    <w:p>
      <w:pPr>
        <w:pStyle w:val="15"/>
        <w:framePr w:wrap="auto" w:vAnchor="margin" w:hAnchor="text" w:yAlign="inline"/>
        <w:rPr>
          <w:sz w:val="36"/>
          <w:szCs w:val="36"/>
        </w:rPr>
      </w:pPr>
    </w:p>
    <w:p>
      <w:pPr>
        <w:pStyle w:val="15"/>
        <w:framePr w:wrap="auto" w:vAnchor="margin" w:hAnchor="text" w:yAlign="inline"/>
        <w:rPr>
          <w:sz w:val="36"/>
          <w:szCs w:val="36"/>
        </w:rPr>
      </w:pPr>
      <w:r>
        <w:rPr>
          <w:sz w:val="36"/>
          <w:szCs w:val="36"/>
        </w:rPr>
        <w:t xml:space="preserve">The lead character in ‘The Thorn’ is named Martha Ray; a name Wordsworth seems to have taken from the mother of one of his friends. The title could refer either to a specific thorn bush, which is a major motif of the poem, or to Martha Ray herself. Alternatively it could refer to both. The aforementioned thorn bush may or may not be her baby’s grave, but it is considered to be the correct size for this purpose and the possibility is dwelt upon throughout the poem. The villagers’ plan to dig under the bush to search for evidence of the baby is thwarted by the apparent supernatural occurrence of an aptly timed earthquake that dissuades them from the action. It is Martha’s habitual </w:t>
      </w:r>
      <w:r>
        <w:rPr>
          <w:sz w:val="36"/>
          <w:szCs w:val="36"/>
          <w:lang w:val="en-GB"/>
        </w:rPr>
        <w:t xml:space="preserve">melancholy </w:t>
      </w:r>
      <w:r>
        <w:rPr>
          <w:sz w:val="36"/>
          <w:szCs w:val="36"/>
        </w:rPr>
        <w:t xml:space="preserve">frequenting of the thorn bush as well as the size and placement of it that leads to the suspicion that it is the infant’s grave. It is not absolutely certain that Martha ever bore a child, but the poem’s constant harping on the idea of one indicates that she did. Whether this child was stillborn, died naturally or accidentally (indeed, anything could have happened out in the wild) or was killed by his mother is a matter left unresolved by the close of the poem. Wordsworth uses the device of an internal narrator with imperfect knowledge to accomplish this ambiguous lack of resolution. </w:t>
      </w:r>
    </w:p>
    <w:p>
      <w:pPr>
        <w:pStyle w:val="15"/>
        <w:framePr w:wrap="auto" w:vAnchor="margin" w:hAnchor="text" w:yAlign="inline"/>
        <w:rPr>
          <w:sz w:val="36"/>
          <w:szCs w:val="36"/>
        </w:rPr>
      </w:pPr>
    </w:p>
    <w:p>
      <w:pPr>
        <w:pStyle w:val="15"/>
        <w:framePr w:wrap="auto" w:vAnchor="margin" w:hAnchor="text" w:yAlign="inline"/>
        <w:rPr>
          <w:sz w:val="36"/>
          <w:szCs w:val="36"/>
          <w:lang w:val="en-GB"/>
        </w:rPr>
      </w:pPr>
      <w:r>
        <w:rPr>
          <w:sz w:val="36"/>
          <w:szCs w:val="36"/>
        </w:rPr>
        <w:t xml:space="preserve">An examination of ‘The Thorn’ can lead directly into consideration of ‘The Mad Mother’. The latter also features a woman living within the wilds of nature, in her case with a yet living infant.  The title is unambiguous as to the classification of the central character’s mental state. Besides defining her by her maternal status, the title also features an effective use of alliteration. Between the title and the mother’s constant reassurance to her baby that she is sane and that the baby need not fear her, her mental state is a central preoccupation of the poem. It </w:t>
      </w:r>
      <w:r>
        <w:rPr>
          <w:sz w:val="36"/>
          <w:szCs w:val="36"/>
          <w:lang w:val="en-GB"/>
        </w:rPr>
        <w:t>is often the case in literature that the more a character asserts their own sanity, the more it is doubted by the reader. Edgar Alan Poe makes very effective use of this technique in his presentation of the narrator of the short story 'The Tell-Tale Heart'. In The Mad Mother’s case, it</w:t>
      </w:r>
      <w:r>
        <w:rPr>
          <w:sz w:val="36"/>
          <w:szCs w:val="36"/>
        </w:rPr>
        <w:t xml:space="preserve"> is likely to become evident to the reader that her dependence on the baby is a matter for concern and that she unwittingly puts him in danger of falling from the cliff, among other perils. Between these and the natural hazards of dwelling outside, it is doubtful how long the baby will live. He does however survive the poem, which is more than can be said for Martha’s baby, who, if born, has almost certainly died before the time of the poem</w:t>
      </w:r>
      <w:r>
        <w:rPr>
          <w:sz w:val="36"/>
          <w:szCs w:val="36"/>
          <w:lang w:val="en-GB"/>
        </w:rPr>
        <w:t>.</w:t>
      </w:r>
    </w:p>
    <w:p>
      <w:pPr>
        <w:pStyle w:val="15"/>
        <w:framePr w:wrap="auto" w:vAnchor="margin" w:hAnchor="text" w:yAlign="inline"/>
        <w:rPr>
          <w:sz w:val="36"/>
          <w:szCs w:val="36"/>
          <w:lang w:val="en-GB"/>
        </w:rPr>
      </w:pPr>
    </w:p>
    <w:p>
      <w:pPr>
        <w:pStyle w:val="15"/>
        <w:framePr w:wrap="auto" w:vAnchor="margin" w:hAnchor="text" w:yAlign="inline"/>
        <w:rPr>
          <w:sz w:val="36"/>
          <w:szCs w:val="36"/>
          <w:lang w:val="en-GB"/>
        </w:rPr>
      </w:pPr>
      <w:r>
        <w:rPr>
          <w:sz w:val="36"/>
          <w:szCs w:val="36"/>
          <w:lang w:val="en-GB"/>
        </w:rPr>
        <w:t xml:space="preserve">‘The Idiot Boy’ at 458 lines is among Wordsworth’s longer poems; comparable with ‘Matthew’ for length, which is 484 lines. Comparative to the ‘The Thorn’, he again uses an unnamed internal narrator. This narrator has the choric function of commenting on the events of the poem. Again as with ‘The Thorn’, this narrator has an imperfect and incomplete knowledge of all the events of the poem, allowing for some to remain unrevealed. This chiefly includes Johnny’s whereabouts and activities during the night. For all the speculations on this matter, it is left a mystery, save for Johnny’s own cryptic comments which close the poem. This poem is a very rare piece of literature; one that focuses on the Downs Syndrome child. As an early Romantic text, it crucially both marks and affects a significant shift away from the principles of the Enlightenment. The Enlightenment gave the most focus to reason and rational thought. The Romantic period reacted to this by instead focusing both on emotion and on the child. The child is arguably more in tune with his emotions than the adult, and also has not yet developed the capacity for rational thought. This gives him a valuable, innocent view of the world. Such a view is attuned to nature and is largely unattainable to the adult mind, which has become tainted by reason. These early Romantic ideas of the child are influenced by the relevant work of both Rousseau and Wordsworth himself. A famous quotation from Wordsworth found in </w:t>
      </w:r>
      <w:r>
        <w:rPr>
          <w:i/>
          <w:iCs/>
          <w:sz w:val="36"/>
          <w:szCs w:val="36"/>
          <w:lang w:val="en-GB"/>
        </w:rPr>
        <w:t>The Prelude</w:t>
      </w:r>
      <w:r>
        <w:rPr>
          <w:sz w:val="36"/>
          <w:szCs w:val="36"/>
          <w:lang w:val="en-GB"/>
        </w:rPr>
        <w:t>; his epic length autobiographical poem, states that “The child is father to the man.” With this line, Wordsworth emphasises the importance of childhood experience in shaping the character of the future adult. Children appear in many of his poems, often featuring as Children of Nature. Wordsworth is known foremost as a Nature Poet. He often emphasised the wonders of nature by juxtaposing it with a child especially attuned to it. Examples of this could include both ‘Lucy Gray’ and the Lucy Cycle poems, assuming that the subject of the latter is viewed as a child, as she sometimes is. Johnny of ‘The Idiot Boy’ though, is a somewhat different case. His childlike innocence, attunement to nature and chronic lack of wisdom is not a transitory state, but a permanent one. Unlike Wordsworth’s archetypal “child (who) is the father to the man”, Johnny is not destined to pass from childhood innocence to adult wisdom, but rather to remain in the former state. Not because he is bound for an early grave, (indeed, surviving the poem bodes well for his life expectancy) but rather because the infirmity of his mind means that it will develop no further. He will therefore never acquire the wisdom so valued by the Age of Enlightenment. To the Romantic Age though, Johnny is precious precisely because he retains his childlike state, which has its own intrinsic value. Furthermore, this value is increased in Johnny by the great love that he possesses in place of wisdom. This love comes mainly from his mother. It is emphasised through such lines as “Him whom you love, your idiot boy?” and "Him whom she loves, her idiot boy?”, depending on whether or not the poet is addressing the mother directly. Both these lines are repeated. Indeed, the poet addresses her directly several times throughout the poem, sometimes by name. Unlike some of Wordsworth’s mothers, this one is given a name, specifically Betty Foy. In stanza five, the poet references her maternal status in direct address and in comparison with other mothers:</w:t>
      </w:r>
    </w:p>
    <w:p>
      <w:pPr>
        <w:pStyle w:val="15"/>
        <w:framePr w:wrap="auto" w:vAnchor="margin" w:hAnchor="text" w:yAlign="inline"/>
        <w:rPr>
          <w:sz w:val="36"/>
          <w:szCs w:val="36"/>
          <w:lang w:val="en-GB"/>
        </w:rPr>
      </w:pPr>
    </w:p>
    <w:p>
      <w:pPr>
        <w:pStyle w:val="15"/>
        <w:framePr w:wrap="auto" w:vAnchor="margin" w:hAnchor="text" w:yAlign="inline"/>
        <w:jc w:val="center"/>
        <w:rPr>
          <w:sz w:val="36"/>
          <w:szCs w:val="36"/>
        </w:rPr>
      </w:pPr>
      <w:r>
        <w:rPr>
          <w:sz w:val="36"/>
          <w:szCs w:val="36"/>
        </w:rPr>
        <w:t>The world will say ‘‘tis very idle,</w:t>
      </w:r>
    </w:p>
    <w:p>
      <w:pPr>
        <w:pStyle w:val="15"/>
        <w:framePr w:wrap="auto" w:vAnchor="margin" w:hAnchor="text" w:yAlign="inline"/>
        <w:jc w:val="center"/>
        <w:rPr>
          <w:sz w:val="36"/>
          <w:szCs w:val="36"/>
        </w:rPr>
      </w:pPr>
      <w:r>
        <w:rPr>
          <w:sz w:val="36"/>
          <w:szCs w:val="36"/>
        </w:rPr>
        <w:t xml:space="preserve"> Bethink you of the time of night;</w:t>
      </w:r>
    </w:p>
    <w:p>
      <w:pPr>
        <w:pStyle w:val="15"/>
        <w:framePr w:wrap="auto" w:vAnchor="margin" w:hAnchor="text" w:yAlign="inline"/>
        <w:jc w:val="center"/>
        <w:rPr>
          <w:sz w:val="36"/>
          <w:szCs w:val="36"/>
        </w:rPr>
      </w:pPr>
      <w:r>
        <w:rPr>
          <w:sz w:val="36"/>
          <w:szCs w:val="36"/>
        </w:rPr>
        <w:t xml:space="preserve"> There’s not a mother, no not one,</w:t>
      </w:r>
    </w:p>
    <w:p>
      <w:pPr>
        <w:pStyle w:val="15"/>
        <w:framePr w:wrap="auto" w:vAnchor="margin" w:hAnchor="text" w:yAlign="inline"/>
        <w:jc w:val="center"/>
        <w:rPr>
          <w:sz w:val="36"/>
          <w:szCs w:val="36"/>
        </w:rPr>
      </w:pPr>
      <w:r>
        <w:rPr>
          <w:sz w:val="36"/>
          <w:szCs w:val="36"/>
        </w:rPr>
        <w:t xml:space="preserve"> But when she hears what you have done,</w:t>
      </w:r>
    </w:p>
    <w:p>
      <w:pPr>
        <w:pStyle w:val="15"/>
        <w:framePr w:wrap="auto" w:vAnchor="margin" w:hAnchor="text" w:yAlign="inline"/>
        <w:jc w:val="center"/>
        <w:rPr>
          <w:sz w:val="36"/>
          <w:szCs w:val="36"/>
        </w:rPr>
      </w:pPr>
      <w:r>
        <w:rPr>
          <w:sz w:val="36"/>
          <w:szCs w:val="36"/>
        </w:rPr>
        <w:t xml:space="preserve"> Oh! Betty she’ll be in a fright.</w:t>
      </w:r>
    </w:p>
    <w:p>
      <w:pPr>
        <w:pStyle w:val="15"/>
        <w:framePr w:wrap="auto" w:vAnchor="margin" w:hAnchor="text" w:yAlign="inline"/>
        <w:rPr>
          <w:sz w:val="36"/>
          <w:szCs w:val="36"/>
        </w:rPr>
      </w:pPr>
    </w:p>
    <w:p>
      <w:pPr>
        <w:pStyle w:val="15"/>
        <w:framePr w:wrap="auto" w:vAnchor="margin" w:hAnchor="text" w:yAlign="inline"/>
        <w:rPr>
          <w:sz w:val="36"/>
          <w:szCs w:val="36"/>
        </w:rPr>
      </w:pPr>
      <w:r>
        <w:rPr>
          <w:sz w:val="36"/>
          <w:szCs w:val="36"/>
        </w:rPr>
        <w:t>Considering that some of Wordsworth’s mothers are explicitly described as mad, and some are suspected of killing their babies, this stanza makes a great claim that strongly questions the wisdom of Betty’s choice.</w:t>
      </w:r>
    </w:p>
    <w:p>
      <w:pPr>
        <w:pStyle w:val="15"/>
        <w:framePr w:wrap="auto" w:vAnchor="margin" w:hAnchor="text" w:yAlign="inline"/>
        <w:rPr>
          <w:sz w:val="36"/>
          <w:szCs w:val="36"/>
        </w:rPr>
      </w:pPr>
    </w:p>
    <w:p>
      <w:pPr>
        <w:pStyle w:val="15"/>
        <w:framePr w:wrap="auto" w:vAnchor="margin" w:hAnchor="text" w:yAlign="inline"/>
        <w:rPr>
          <w:sz w:val="36"/>
          <w:szCs w:val="36"/>
          <w:lang w:val="en-GB"/>
        </w:rPr>
      </w:pPr>
      <w:r>
        <w:rPr>
          <w:sz w:val="36"/>
          <w:szCs w:val="36"/>
          <w:lang w:val="en-GB"/>
        </w:rPr>
        <w:t xml:space="preserve">'The Foster-Mother's Tale' is one of Coleridge's four contributions to the </w:t>
      </w:r>
      <w:r>
        <w:rPr>
          <w:i/>
          <w:iCs/>
          <w:sz w:val="36"/>
          <w:szCs w:val="36"/>
          <w:lang w:val="en-GB"/>
        </w:rPr>
        <w:t>Lyrical Ballads</w:t>
      </w:r>
      <w:r>
        <w:rPr>
          <w:sz w:val="36"/>
          <w:szCs w:val="36"/>
          <w:lang w:val="en-GB"/>
        </w:rPr>
        <w:t xml:space="preserve">. It is a dramatic fragment from his tragedy entitled </w:t>
      </w:r>
      <w:r>
        <w:rPr>
          <w:i/>
          <w:iCs/>
          <w:sz w:val="36"/>
          <w:szCs w:val="36"/>
          <w:lang w:val="en-GB"/>
        </w:rPr>
        <w:t>Osorio</w:t>
      </w:r>
      <w:r>
        <w:rPr>
          <w:sz w:val="36"/>
          <w:szCs w:val="36"/>
          <w:lang w:val="en-GB"/>
        </w:rPr>
        <w:t xml:space="preserve">. The title given to the fragment is reminiscent of the work of Chaucer and seems to fancifully place it within </w:t>
      </w:r>
      <w:r>
        <w:rPr>
          <w:i/>
          <w:iCs/>
          <w:sz w:val="36"/>
          <w:szCs w:val="36"/>
          <w:lang w:val="en-GB"/>
        </w:rPr>
        <w:t>The Canterbury Tales</w:t>
      </w:r>
      <w:r>
        <w:rPr>
          <w:sz w:val="36"/>
          <w:szCs w:val="36"/>
          <w:lang w:val="en-GB"/>
        </w:rPr>
        <w:t xml:space="preserve">. The titular foster-mother rather touchingly describes her former happy times with her young charges, Maria and Albert. She demonstrates great fondness for them, such as by her reference to Maria as "my sweet lady". As well as fondness, this is also indicative of the foster-mother being of a lower social class than Maria and Albert. This is further confirmed by her recollection of the children teaching her the same material that they had learned, as well as the process of speaking "In gentle phrase". Thus a mutually nurturing and beneficial relationship between a mother figure and her charges is established. The fragment therefore contributes to the major theme of the collection of motherly love. Furthermore it proves by its utilisation of a foster-mother that these and other types of mother figures are quite eligible to contribute to this theme. </w:t>
      </w:r>
    </w:p>
    <w:p>
      <w:pPr>
        <w:pStyle w:val="15"/>
        <w:framePr w:wrap="auto" w:vAnchor="margin" w:hAnchor="text" w:yAlign="inline"/>
        <w:rPr>
          <w:sz w:val="36"/>
          <w:szCs w:val="36"/>
        </w:rPr>
      </w:pPr>
    </w:p>
    <w:p>
      <w:pPr>
        <w:pStyle w:val="15"/>
        <w:framePr w:wrap="auto" w:vAnchor="margin" w:hAnchor="text" w:yAlign="inline"/>
        <w:rPr>
          <w:sz w:val="36"/>
          <w:szCs w:val="36"/>
          <w:lang w:val="en-GB"/>
        </w:rPr>
      </w:pPr>
      <w:r>
        <w:rPr>
          <w:sz w:val="36"/>
          <w:szCs w:val="36"/>
          <w:lang w:val="en-GB"/>
        </w:rPr>
        <w:t xml:space="preserve">Consideration of an upper-class character named Maria, who might be in need of a mother figure, can lead to another one in a later Romantic text, namely </w:t>
      </w:r>
      <w:r>
        <w:rPr>
          <w:i/>
          <w:iCs/>
          <w:sz w:val="36"/>
          <w:szCs w:val="36"/>
          <w:lang w:val="en-GB"/>
        </w:rPr>
        <w:t xml:space="preserve">Mansfield Park </w:t>
      </w:r>
      <w:r>
        <w:rPr>
          <w:sz w:val="36"/>
          <w:szCs w:val="36"/>
          <w:lang w:val="en-GB"/>
        </w:rPr>
        <w:t xml:space="preserve">by Jane Austen. Austen is often classed as a conservative Romantic as opposed to a radical one. This partially means being opposed to the kinds of Romantic principles that could lead to the types of revolutions that occurred during the period but more in favour of some of the other principles. It is Austen's focusing on emotion and demonstrated appreciation for such matters as intelligence and natural beauty, as well as the beauty of nature that places her in this category. This rather broad description could be applied to any of her complete novels. </w:t>
      </w:r>
      <w:r>
        <w:rPr>
          <w:i/>
          <w:iCs/>
          <w:sz w:val="36"/>
          <w:szCs w:val="36"/>
          <w:lang w:val="en-GB"/>
        </w:rPr>
        <w:t>Mansfield Park</w:t>
      </w:r>
      <w:r>
        <w:rPr>
          <w:sz w:val="36"/>
          <w:szCs w:val="36"/>
          <w:lang w:val="en-GB"/>
        </w:rPr>
        <w:t xml:space="preserve"> though could be viewed as being distinct from the rest and in a separate class of its own. It has a darker and more cynical edge to it, dealing with more hard-core social issues, such as slavery, adultery and amateur dramatics. The latter two of these are connected to one another, and are major plot points in the story, as well as being important thematically. The first is very much in the background, far more so than modern post-colonialist critics tend to consider. It is however connected to the idea of Fanny as slave to the family, consigned to this role by her status as poor relation. It is therefore very fitting that the slave trade should be the background upon which this story plays out. It functions as a reminder of the immoral corruption that at least partially underlies Austen’s society. This especially applies to the landed gentry, such as the Bertrams, who owe their wealth to profiting by slavery. Maria, the promised character for consideration here, is Maria Bertram, the eldest daughter of the family. She finds herself largely in the care of Mrs Norris, due to her parents being somewhat less involved with her and her sister's upbringing and education as might be considered desirable. Ultimately, she ends the book with Mrs Norris as her sole companion, the two of them cast out and functioning as one another's punishment. They should theoretically be on a more equal footing by this point, as Maria has arguably left three homes and is therefore definitely past childhood. If this is the case though, it has only soured their relationship, rather than improving it, as the closing sections of the novel emphasise their mutual unhappiness. </w:t>
      </w:r>
    </w:p>
    <w:p>
      <w:pPr>
        <w:pStyle w:val="15"/>
        <w:framePr w:wrap="auto" w:vAnchor="margin" w:hAnchor="text" w:yAlign="inline"/>
        <w:rPr>
          <w:sz w:val="36"/>
          <w:szCs w:val="36"/>
          <w:lang w:val="en-GB"/>
        </w:rPr>
      </w:pPr>
    </w:p>
    <w:p>
      <w:pPr>
        <w:pStyle w:val="15"/>
        <w:framePr w:wrap="auto" w:vAnchor="margin" w:hAnchor="text" w:yAlign="inline"/>
        <w:rPr>
          <w:i w:val="0"/>
          <w:iCs w:val="0"/>
          <w:sz w:val="36"/>
          <w:szCs w:val="36"/>
          <w:lang w:val="en-GB"/>
        </w:rPr>
      </w:pPr>
      <w:r>
        <w:rPr>
          <w:sz w:val="36"/>
          <w:szCs w:val="36"/>
          <w:lang w:val="en-GB"/>
        </w:rPr>
        <w:t xml:space="preserve">Mrs Norris is the sister of Lady Bertram and therefore the aunt of the Bertram children. She is also Fanny’s </w:t>
      </w:r>
      <w:r>
        <w:rPr>
          <w:color w:val="auto"/>
          <w:sz w:val="36"/>
          <w:szCs w:val="36"/>
          <w:lang w:val="en-GB"/>
        </w:rPr>
        <w:t>aunt</w:t>
      </w:r>
      <w:r>
        <w:rPr>
          <w:sz w:val="36"/>
          <w:szCs w:val="36"/>
          <w:lang w:val="en-GB"/>
        </w:rPr>
        <w:t xml:space="preserve">, and this is one of the few things they have equally in common. Very different though is her treatment of Fanny and of the Bertrams, leading to very different resultant relationships. As an aunt who has no children of her own, and is very deeply and even overly involved in the upbringing and further care of her nieces, be it for good or ill, Mrs Norris definitely qualifies as a mother figure. Whether good or ill would seem to depend on whether the niece’s surname is Bertram or Price, as she excessively flatters and pampers her Bertram nieces, while being excessively critical to Fanny. She is the character who is by far the harshest on her and the most frequent and vehement to emphasise her poor relation status. She is also the character to catalyse the plot into motion by initially suggesting the adoption of Fanny. Although it is at least partially unintentional, it could be argued that she is equally abusive and damaging to all of her nieces, whether by harshness and neglect or by overindulgence. Mrs Norris functions as the ‘wicked stepmother’ in the ‘Cinderella’ reading of the text as outlined by Dr Ian Littlewood, in his 2000 Introduction to the Wordsworth Classics edition. Initially describing all of Jane Austen's books except </w:t>
      </w:r>
      <w:r>
        <w:rPr>
          <w:i/>
          <w:iCs/>
          <w:sz w:val="36"/>
          <w:szCs w:val="36"/>
          <w:lang w:val="en-GB"/>
        </w:rPr>
        <w:t>Emma</w:t>
      </w:r>
      <w:r>
        <w:rPr>
          <w:i w:val="0"/>
          <w:iCs w:val="0"/>
          <w:sz w:val="36"/>
          <w:szCs w:val="36"/>
          <w:lang w:val="en-GB"/>
        </w:rPr>
        <w:t>, he states that the novels feature:</w:t>
      </w:r>
    </w:p>
    <w:p>
      <w:pPr>
        <w:pStyle w:val="15"/>
        <w:framePr w:wrap="auto" w:vAnchor="margin" w:hAnchor="text" w:yAlign="inline"/>
        <w:rPr>
          <w:i w:val="0"/>
          <w:iCs w:val="0"/>
          <w:sz w:val="40"/>
          <w:szCs w:val="40"/>
          <w:lang w:val="en-GB"/>
        </w:rPr>
      </w:pPr>
    </w:p>
    <w:p>
      <w:pPr>
        <w:pStyle w:val="15"/>
        <w:framePr w:wrap="auto" w:vAnchor="margin" w:hAnchor="text" w:yAlign="inline"/>
        <w:jc w:val="center"/>
        <w:rPr>
          <w:i w:val="0"/>
          <w:iCs w:val="0"/>
          <w:sz w:val="36"/>
          <w:szCs w:val="36"/>
          <w:lang w:val="en-GB"/>
        </w:rPr>
      </w:pPr>
      <w:r>
        <w:rPr>
          <w:i w:val="0"/>
          <w:iCs w:val="0"/>
          <w:sz w:val="36"/>
          <w:szCs w:val="36"/>
          <w:lang w:val="en-GB"/>
        </w:rPr>
        <w:t>a recurring pattern which shows us a heroine undervalued by those around her. The unfolding narrative is in one sense a Cinderella story of how her worth is recognised by the hero who, in spite of obstacles, carries her off at the end of the novel. No other of the heroines is quite so undervalued as Fanny, no other so nearly approximates to the fairy-tale paradigm. (Littlewood, 2000)</w:t>
      </w:r>
    </w:p>
    <w:p>
      <w:pPr>
        <w:pStyle w:val="15"/>
        <w:framePr w:wrap="auto" w:vAnchor="margin" w:hAnchor="text" w:yAlign="inline"/>
        <w:jc w:val="center"/>
        <w:rPr>
          <w:sz w:val="28"/>
          <w:szCs w:val="28"/>
          <w:lang w:val="en-GB"/>
        </w:rPr>
      </w:pPr>
    </w:p>
    <w:p>
      <w:pPr>
        <w:pStyle w:val="15"/>
        <w:framePr w:wrap="auto" w:vAnchor="margin" w:hAnchor="text" w:yAlign="inline"/>
        <w:rPr>
          <w:sz w:val="36"/>
          <w:szCs w:val="36"/>
          <w:lang w:val="en-GB"/>
        </w:rPr>
      </w:pPr>
      <w:r>
        <w:rPr>
          <w:sz w:val="36"/>
          <w:szCs w:val="36"/>
          <w:lang w:val="en-GB"/>
        </w:rPr>
        <w:t xml:space="preserve"> ‘Cinderella’ is considered to be among the oldest surviving fairy-tales in the world. The oldest written version has been traced to ninth century China. It is therefore very fitting that Austen should make archetypal use of it in her novel about her most put upon heroine. Her cousins Maria and Julia are cast in the role of the ‘evil stepsisters’, favoured by the stepmother for being her own daughters, although in this case they have the same connection to her as Fanny, who is, of course, ’Cinderella’. One explanation for this is that Mrs Norris has known the Bertram girls for longer than Fanny, and has had more opportunity to ‘assist’ with their upbringing.</w:t>
      </w:r>
    </w:p>
    <w:p>
      <w:pPr>
        <w:pStyle w:val="15"/>
        <w:framePr w:wrap="auto" w:vAnchor="margin" w:hAnchor="text" w:yAlign="inline"/>
        <w:rPr>
          <w:sz w:val="36"/>
          <w:szCs w:val="36"/>
          <w:lang w:val="en-GB"/>
        </w:rPr>
      </w:pPr>
    </w:p>
    <w:p>
      <w:pPr>
        <w:pStyle w:val="15"/>
        <w:framePr w:wrap="auto" w:vAnchor="margin" w:hAnchor="text" w:yAlign="inline"/>
        <w:rPr>
          <w:sz w:val="36"/>
          <w:szCs w:val="36"/>
          <w:lang w:val="en-GB"/>
        </w:rPr>
      </w:pPr>
      <w:r>
        <w:rPr>
          <w:sz w:val="36"/>
          <w:szCs w:val="36"/>
          <w:lang w:val="en-GB"/>
        </w:rPr>
        <w:t xml:space="preserve">As mentioned, Fanny is adopted by the Bertrams at the beginning of the book and thus begins the process of social mobility. This is a recurring theme in Jane Austen’s books. The twist in the case of </w:t>
      </w:r>
      <w:r>
        <w:rPr>
          <w:i/>
          <w:iCs/>
          <w:sz w:val="36"/>
          <w:szCs w:val="36"/>
          <w:lang w:val="en-GB"/>
        </w:rPr>
        <w:t xml:space="preserve">Mansfield Park </w:t>
      </w:r>
      <w:r>
        <w:rPr>
          <w:sz w:val="36"/>
          <w:szCs w:val="36"/>
          <w:lang w:val="en-GB"/>
        </w:rPr>
        <w:t xml:space="preserve">is this happening by adoption rather than by marriage. On the subject of marriage, an additional twist occurring on the very first page is the description of the marriages of a family of sisters. This is something that can usually be expected to be found on the last page of a Jane Austen book. Between the darker subject matter, the problematic heroine, who is ostensibly less appealing than the other heroines, and the inversion of the author’s own established tropes, it is not surprising that </w:t>
      </w:r>
      <w:r>
        <w:rPr>
          <w:i/>
          <w:iCs/>
          <w:sz w:val="36"/>
          <w:szCs w:val="36"/>
          <w:lang w:val="en-GB"/>
        </w:rPr>
        <w:t xml:space="preserve">Mansfield Park </w:t>
      </w:r>
      <w:r>
        <w:rPr>
          <w:sz w:val="36"/>
          <w:szCs w:val="36"/>
          <w:lang w:val="en-GB"/>
        </w:rPr>
        <w:t>is Austen’s most controversial novel. It is the book that unusually provides the aftermath of the standard ‘happy ending’. As this book does with many things, it exposes its dark side. Notwithstanding her few redeeming features such as a very sincere regard for Maria, and a wish to help her in her time of trouble, Mrs Norris could function as this dark side personified. But what of her sister, Lady Bertram? While in possession of faults, she can hardly be called a dark side. For all that it is Mrs Norris’s idea, it is the Bertrams who actually adopt Fanny. If Mrs Norris filled the role of her stepmother, it is Lady Bertram who is the obvious contender to stand in for her mother. Arguably she is as good and attentive a mother to Fanny as she is to her own children. Admittedly this is not saying a great deal. It was previously mentioned that Lady Bertram (along with Sir Thomas) was somewhat negligent of her daughters’ education and upbringing. Specifically they did not personally much involve themselves, leaving the task chiefly to the girls’ governesses. Between this and the excessive involvement of Mrs Norris, the Bertram girls were left in possession of myriad faults and with deficient moral characters. Fanny, although brought up alongside them, was raised in a different way, producing a contrasting effect. Instead of being spoiled, she is the one neglected and abused, and therefore grows up damaged and showing the effects of this. Although present in all their lives, Lady Bertram does not play an active role in them during their childhoods and formative years, being more preoccupied with her dogs and embroidery than with her family. There is also the matter of her health to consider. Lady Bertram is characterised with lethargy and languorous inactivity. She gives the sense of being delicate, and is certainly treated as such by those around her. Arguably this does them all a certain amount of good, in teaching them care and consideration of a family member. Furthermore in her need for assistance with her chosen tasks, as well as for care and companionship, she provides a niche for Fanny, enabling her to be needed. This provides her with a valuable role. It is fair to say that none of her own children were eager to fill it, all of them being essentially too selfish - even Edmund, who functions as the hero, though a rather lacklustre one, hardly up to Mr Darcy’s standards. It certainly does Fanny some good to be needed and valued by her aunt. It improves her sense of purpose and self-esteem, and goes some way to counter-balancing the influence of her other aunt, Mrs Norris. There is also the fact that for all the faults of both, the Bertrams seem to have a tender relationship and successful marriage. This is both heartening and at least potentially inspiring to the younger generation that dwells with them at Mansfield Park.</w:t>
      </w:r>
    </w:p>
    <w:p>
      <w:pPr>
        <w:pStyle w:val="15"/>
        <w:framePr w:wrap="auto" w:vAnchor="margin" w:hAnchor="text" w:yAlign="inline"/>
        <w:rPr>
          <w:sz w:val="36"/>
          <w:szCs w:val="36"/>
          <w:lang w:val="en-GB"/>
        </w:rPr>
      </w:pPr>
    </w:p>
    <w:p>
      <w:pPr>
        <w:pStyle w:val="15"/>
        <w:framePr w:wrap="auto" w:vAnchor="margin" w:hAnchor="text" w:yAlign="inline"/>
        <w:rPr>
          <w:i w:val="0"/>
          <w:iCs w:val="0"/>
          <w:sz w:val="36"/>
          <w:szCs w:val="36"/>
          <w:lang w:val="en-GB"/>
        </w:rPr>
      </w:pPr>
      <w:r>
        <w:rPr>
          <w:sz w:val="36"/>
          <w:szCs w:val="36"/>
          <w:lang w:val="en-GB"/>
        </w:rPr>
        <w:t xml:space="preserve">The discussion has now reached the third sister, alluded to along with the others on the first page of the book: Frances Price, Fanny’s mother. Furthermore she is additionally the mother of a “large and still increasing” family of children, more than she can easily afford. This makes her comparable with Mrs Morland, mother of the heroine of </w:t>
      </w:r>
      <w:r>
        <w:rPr>
          <w:i/>
          <w:iCs/>
          <w:sz w:val="36"/>
          <w:szCs w:val="36"/>
          <w:lang w:val="en-GB"/>
        </w:rPr>
        <w:t>Northanger Abbey</w:t>
      </w:r>
      <w:r>
        <w:rPr>
          <w:sz w:val="36"/>
          <w:szCs w:val="36"/>
          <w:lang w:val="en-GB"/>
        </w:rPr>
        <w:t xml:space="preserve">, who had ten children. Indeed the comparison is apt, as Fanny Price and Catherine Morland are the only two Austen heroines to have a childhood on the page, as </w:t>
      </w:r>
      <w:r>
        <w:rPr>
          <w:i/>
          <w:iCs/>
          <w:sz w:val="36"/>
          <w:szCs w:val="36"/>
          <w:lang w:val="en-GB"/>
        </w:rPr>
        <w:t xml:space="preserve">Mansfield Park </w:t>
      </w:r>
      <w:r>
        <w:rPr>
          <w:sz w:val="36"/>
          <w:szCs w:val="36"/>
          <w:lang w:val="en-GB"/>
        </w:rPr>
        <w:t xml:space="preserve">and </w:t>
      </w:r>
      <w:r>
        <w:rPr>
          <w:i/>
          <w:iCs/>
          <w:sz w:val="36"/>
          <w:szCs w:val="36"/>
          <w:lang w:val="en-GB"/>
        </w:rPr>
        <w:t>Northanger Abbey</w:t>
      </w:r>
      <w:r>
        <w:rPr>
          <w:sz w:val="36"/>
          <w:szCs w:val="36"/>
          <w:lang w:val="en-GB"/>
        </w:rPr>
        <w:t xml:space="preserve"> are the only two books to deal extensively with the process of child development. Frances Price is contrasted with her sisters from her first mention. Unlike the others who display ambition with regards to matrimony, Frances is the one who marries a sailor for love. Despite the overall prestige of the navy, which is treated respectfully bordering on reverentially by the book as a whole, Frances seems to have been mistaken in her choice. The sense the book gives is that she was in error in not doing what was expected of her and following her sisters’ examples with regards to matrimony. She is therefore punished for this with poverty and hardship, as well as being cast out by her birth family, specifically her sisters. This makes her a parallel character with Maria, which is a parallel drawn by Paula Marantz Cohen. As she states it in her article, "Stabilizing the Family System at Mansfield Park" (</w:t>
      </w:r>
      <w:r>
        <w:rPr>
          <w:i/>
          <w:iCs/>
          <w:sz w:val="36"/>
          <w:szCs w:val="36"/>
          <w:lang w:val="en-GB"/>
        </w:rPr>
        <w:t>ELH</w:t>
      </w:r>
      <w:r>
        <w:rPr>
          <w:i w:val="0"/>
          <w:iCs w:val="0"/>
          <w:sz w:val="36"/>
          <w:szCs w:val="36"/>
          <w:lang w:val="en-GB"/>
        </w:rPr>
        <w:t>, Vol. 54, No. 3, Autumn 1987, pp. 669-693):</w:t>
      </w:r>
    </w:p>
    <w:p>
      <w:pPr>
        <w:pStyle w:val="15"/>
        <w:framePr w:wrap="auto" w:vAnchor="margin" w:hAnchor="text" w:yAlign="inline"/>
        <w:jc w:val="center"/>
        <w:rPr>
          <w:sz w:val="36"/>
          <w:szCs w:val="36"/>
          <w:lang w:val="en-GB"/>
        </w:rPr>
      </w:pPr>
    </w:p>
    <w:p>
      <w:pPr>
        <w:pStyle w:val="15"/>
        <w:framePr w:wrap="auto" w:vAnchor="margin" w:hAnchor="text" w:yAlign="inline"/>
        <w:jc w:val="center"/>
        <w:rPr>
          <w:sz w:val="36"/>
          <w:szCs w:val="36"/>
          <w:lang w:val="en-GB"/>
        </w:rPr>
      </w:pPr>
      <w:r>
        <w:rPr>
          <w:sz w:val="36"/>
          <w:szCs w:val="36"/>
          <w:lang w:val="en-GB"/>
        </w:rPr>
        <w:t>At the beginning of the novel, Frances Price, Fanny's mother, had been expelled from the family system much as Maria is at the end. Mrs. Price is the original "insider" turned "outsider" whose outsider child is brought back inside the family. (Cohen,</w:t>
      </w:r>
      <w:bookmarkStart w:id="6" w:name="_GoBack"/>
      <w:bookmarkEnd w:id="6"/>
      <w:r>
        <w:rPr>
          <w:sz w:val="36"/>
          <w:szCs w:val="36"/>
          <w:lang w:val="en-GB"/>
        </w:rPr>
        <w:t>1987)</w:t>
      </w:r>
    </w:p>
    <w:p>
      <w:pPr>
        <w:pStyle w:val="15"/>
        <w:framePr w:wrap="auto" w:vAnchor="margin" w:hAnchor="text" w:yAlign="inline"/>
        <w:rPr>
          <w:sz w:val="36"/>
          <w:szCs w:val="36"/>
          <w:lang w:val="en-GB"/>
        </w:rPr>
      </w:pPr>
      <w:r>
        <w:rPr>
          <w:sz w:val="36"/>
          <w:szCs w:val="36"/>
          <w:lang w:val="en-GB"/>
        </w:rPr>
        <w:t xml:space="preserve">  </w:t>
      </w:r>
    </w:p>
    <w:p>
      <w:pPr>
        <w:pStyle w:val="15"/>
        <w:framePr w:wrap="auto" w:vAnchor="margin" w:hAnchor="text" w:yAlign="inline"/>
        <w:rPr>
          <w:sz w:val="36"/>
          <w:szCs w:val="36"/>
          <w:lang w:val="en-GB"/>
        </w:rPr>
      </w:pPr>
      <w:r>
        <w:rPr>
          <w:sz w:val="36"/>
          <w:szCs w:val="36"/>
          <w:lang w:val="en-GB"/>
        </w:rPr>
        <w:t>Furthermore Mr Price himself seems to have been unworthy; by the start of the book he is no longer able to work due to his injury. This compels him into a form of retirement. The main focus of his enforced idleness has become drinking. While this might well be an alcoholism sprung from depression at his circumstances, the book hardly portrays him in a sympathetic light, and he is essentially characterised as a wastrel. The implied lesson for his wife seems to be that love in itself is not enough, when it comes to choosing a marriage partner, and that it must be tempered with prudence. This is the Prices’ contribution to the book’s presentation of the aftermath of the happy ending. Frances is likewise as unsuccessful as a mother as she is as a wife. This is especially as regards to Fanny, but also applies to her other children. Regarding the others, it is the sheer number of them that seems to give Frances her problems. The large number causes a strain on her economic resources. This is exactly why she decided to apply to her family for help in the first place, with the placement of one or more of her children. The number of children also strains her maternal and emotional resources, in the sense that she finds herself unable to give each the individual care needed. While ultimately sending Fanny to Mansfield proved to be the right move for her and for her extended family, it took a long time for this to be proven. In the short-term, its immediate effect was the ongoing abuse of her daughter for the entire remainder of her childhood, as well as the next few years afterwards. It also had a negative effect on Frances’ own relationship with Fanny. This is established during the Portsmouth episode when Fanny visits her immediate family after some eight years away at Mansfield. Cohen's analysis of this section of the novel is as follows:</w:t>
      </w:r>
    </w:p>
    <w:p>
      <w:pPr>
        <w:pStyle w:val="15"/>
        <w:framePr w:wrap="auto" w:vAnchor="margin" w:hAnchor="text" w:yAlign="inline"/>
        <w:rPr>
          <w:sz w:val="36"/>
          <w:szCs w:val="36"/>
          <w:lang w:val="en-GB"/>
        </w:rPr>
      </w:pPr>
    </w:p>
    <w:p>
      <w:pPr>
        <w:pStyle w:val="15"/>
        <w:framePr w:wrap="auto" w:vAnchor="margin" w:hAnchor="text" w:yAlign="inline"/>
        <w:jc w:val="center"/>
        <w:rPr>
          <w:sz w:val="36"/>
          <w:szCs w:val="36"/>
          <w:lang w:val="en-GB"/>
        </w:rPr>
      </w:pPr>
      <w:r>
        <w:rPr>
          <w:sz w:val="36"/>
          <w:szCs w:val="36"/>
          <w:lang w:val="en-GB"/>
        </w:rPr>
        <w:t>When she (Fanny) visits her original family toward the end of the novel, she is less disturbed by their lack of affection for her (this does not surprise her given her long separation from them) than by their lack of "curiosity to know her better" (383) - the necessary foundation for affection. (Cohen,1987)</w:t>
      </w:r>
    </w:p>
    <w:p>
      <w:pPr>
        <w:pStyle w:val="15"/>
        <w:framePr w:wrap="auto" w:vAnchor="margin" w:hAnchor="text" w:yAlign="inline"/>
        <w:jc w:val="center"/>
        <w:rPr>
          <w:sz w:val="36"/>
          <w:szCs w:val="36"/>
          <w:lang w:val="en-GB"/>
        </w:rPr>
      </w:pPr>
    </w:p>
    <w:p>
      <w:pPr>
        <w:pStyle w:val="15"/>
        <w:framePr w:wrap="auto" w:vAnchor="margin" w:hAnchor="text" w:yAlign="inline"/>
        <w:jc w:val="left"/>
        <w:rPr>
          <w:sz w:val="36"/>
          <w:szCs w:val="36"/>
          <w:lang w:val="en-GB"/>
        </w:rPr>
      </w:pPr>
      <w:r>
        <w:rPr>
          <w:sz w:val="36"/>
          <w:szCs w:val="36"/>
          <w:lang w:val="en-GB"/>
        </w:rPr>
        <w:t>Although her family all express pleasure at the presence of Fanny, they seem to all be too tired, busy and generally too preoccupied with the routine of their lives to spend their time and effort on improving their acquaintance with her. This would especially apply to her mother. Fanny notes a resemblance between her mother and Lady Bertram; in character and temperament, as well as in appearance. While this is a positive connection for Fanny to make, and gives her a sense of nostalgia, it also gives her the idea that such a character is less successful in poverty than in wealth, and she mentally speculates that her mother would have done better to have married advantageously. Thus an idea from the first page is revisited, this time through a character's perspective. Cohen's specific remarks on Mrs Price's reaction to Fanny's visit are as follows:</w:t>
      </w:r>
    </w:p>
    <w:p>
      <w:pPr>
        <w:pStyle w:val="15"/>
        <w:framePr w:wrap="auto" w:vAnchor="margin" w:hAnchor="text" w:yAlign="inline"/>
        <w:jc w:val="left"/>
        <w:rPr>
          <w:sz w:val="36"/>
          <w:szCs w:val="36"/>
          <w:lang w:val="en-GB"/>
        </w:rPr>
      </w:pPr>
    </w:p>
    <w:p>
      <w:pPr>
        <w:pStyle w:val="15"/>
        <w:framePr w:wrap="auto" w:vAnchor="margin" w:hAnchor="text" w:yAlign="inline"/>
        <w:jc w:val="center"/>
        <w:rPr>
          <w:sz w:val="36"/>
          <w:szCs w:val="36"/>
          <w:lang w:val="en-GB"/>
        </w:rPr>
      </w:pPr>
      <w:r>
        <w:rPr>
          <w:sz w:val="36"/>
          <w:szCs w:val="36"/>
          <w:lang w:val="en-GB"/>
        </w:rPr>
        <w:t>When Fanny returns to Portsmouth after her long absence, she finds that her mother's interest in her is short-lived: "The instinct of nature was soon satisfied," explains the narrator, "and Mrs. Price's attachment had no other source." (382) (Cohen,1987)</w:t>
      </w:r>
    </w:p>
    <w:p>
      <w:pPr>
        <w:pStyle w:val="15"/>
        <w:framePr w:wrap="auto" w:vAnchor="margin" w:hAnchor="text" w:yAlign="inline"/>
        <w:jc w:val="center"/>
        <w:rPr>
          <w:sz w:val="36"/>
          <w:szCs w:val="36"/>
          <w:lang w:val="en-GB"/>
        </w:rPr>
      </w:pPr>
    </w:p>
    <w:p>
      <w:pPr>
        <w:pStyle w:val="15"/>
        <w:framePr w:wrap="auto" w:vAnchor="margin" w:hAnchor="text" w:yAlign="inline"/>
        <w:jc w:val="left"/>
        <w:rPr>
          <w:i w:val="0"/>
          <w:iCs w:val="0"/>
          <w:sz w:val="36"/>
          <w:szCs w:val="36"/>
          <w:lang w:val="en-GB"/>
        </w:rPr>
      </w:pPr>
      <w:r>
        <w:rPr>
          <w:sz w:val="36"/>
          <w:szCs w:val="36"/>
          <w:lang w:val="en-GB"/>
        </w:rPr>
        <w:t xml:space="preserve">In conclusion, mothers and mother figures are character types that recur across English Romantic literature. They can function as feminine archetypes that demonstrate the social and literary roles available for women during the period. Indeed, 'Mother' in itself is a feminine archetype, as is 'Stepmother', but when the applicable characters are studied in depth, their more varied roles begin to emerge. Wordsworth was so interested in the idea of mothers that he named them as one of the major themes of the </w:t>
      </w:r>
      <w:r>
        <w:rPr>
          <w:i/>
          <w:iCs/>
          <w:sz w:val="36"/>
          <w:szCs w:val="36"/>
          <w:lang w:val="en-GB"/>
        </w:rPr>
        <w:t>Lyrical Ballads</w:t>
      </w:r>
      <w:r>
        <w:rPr>
          <w:i w:val="0"/>
          <w:iCs w:val="0"/>
          <w:sz w:val="36"/>
          <w:szCs w:val="36"/>
          <w:lang w:val="en-GB"/>
        </w:rPr>
        <w:t xml:space="preserve">, when he added his Preface to the later editions. He made use of the flexibility of the character type by including mad mothers, potentially infanticide murderous mothers and the kind of mother whose occasional lapse in judgement is more than counterbalanced by her infinite love for her boy. The boy in question lacks wisdom of his own, but according to Romantic thought, is all the more precious for this deficiency. Instead he has the abundance of his mother's love, which gives him his meaning within the poem. Besides poetry, Romantic prose texts also feature mothers  and mother figures. The chosen example, </w:t>
      </w:r>
      <w:r>
        <w:rPr>
          <w:i/>
          <w:iCs/>
          <w:sz w:val="36"/>
          <w:szCs w:val="36"/>
          <w:lang w:val="en-GB"/>
        </w:rPr>
        <w:t>Mansfield Park</w:t>
      </w:r>
      <w:r>
        <w:rPr>
          <w:i w:val="0"/>
          <w:iCs w:val="0"/>
          <w:sz w:val="36"/>
          <w:szCs w:val="36"/>
          <w:lang w:val="en-GB"/>
        </w:rPr>
        <w:t>, uses a family of three sisters to explore the Mother archetypes. The heroine, Fanny Price has her mother, her substitute mother and (in effect) her wicked stepmother. All three are sisters. Fanny, being extensively connected with the themes of the book is kept entirely in the family. Arguably none of her mother figures is the ideal mother, anymore than any is the ideal wife. They do, however, all have value and use, both to the other characters, such as Fanny, and to the novel as a whole, both by their narrative role and their representation of feminine archetypes.</w:t>
      </w: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center"/>
        <w:rPr>
          <w:i w:val="0"/>
          <w:iCs w:val="0"/>
          <w:sz w:val="36"/>
          <w:szCs w:val="36"/>
          <w:lang w:val="en-GB"/>
        </w:rPr>
      </w:pPr>
      <w:r>
        <w:rPr>
          <w:i w:val="0"/>
          <w:iCs w:val="0"/>
          <w:sz w:val="36"/>
          <w:szCs w:val="36"/>
          <w:lang w:val="en-GB"/>
        </w:rPr>
        <w:t>Bibliography</w:t>
      </w: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r>
        <w:rPr>
          <w:i w:val="0"/>
          <w:iCs w:val="0"/>
          <w:sz w:val="36"/>
          <w:szCs w:val="36"/>
          <w:lang w:val="en-GB"/>
        </w:rPr>
        <w:t xml:space="preserve">Armstrong, N., </w:t>
      </w:r>
      <w:r>
        <w:rPr>
          <w:i/>
          <w:iCs/>
          <w:sz w:val="36"/>
          <w:szCs w:val="36"/>
          <w:lang w:val="en-GB"/>
        </w:rPr>
        <w:t xml:space="preserve">Desire and Domestic Fiction: A Political History of the Novel </w:t>
      </w:r>
      <w:r>
        <w:rPr>
          <w:i w:val="0"/>
          <w:iCs w:val="0"/>
          <w:sz w:val="36"/>
          <w:szCs w:val="36"/>
          <w:lang w:val="en-GB"/>
        </w:rPr>
        <w:t>(Oxford: Oxford University Press, 1987)</w:t>
      </w:r>
    </w:p>
    <w:p>
      <w:pPr>
        <w:jc w:val="center"/>
      </w:pPr>
    </w:p>
    <w:p>
      <w:pPr/>
      <w:r>
        <w:rPr>
          <w:rFonts w:hint="default"/>
          <w:sz w:val="36"/>
          <w:szCs w:val="36"/>
          <w:lang w:val="en-US"/>
        </w:rPr>
        <w:t xml:space="preserve">Babenroth, A. C., </w:t>
      </w:r>
      <w:r>
        <w:rPr>
          <w:rFonts w:hint="default"/>
          <w:i/>
          <w:sz w:val="36"/>
          <w:szCs w:val="36"/>
          <w:lang w:val="en-US"/>
        </w:rPr>
        <w:t xml:space="preserve">English Childhood: Wordsworth’s Treatment of  Childhood in the Light of English Poetry </w:t>
      </w:r>
      <w:r>
        <w:rPr>
          <w:rFonts w:hint="default"/>
          <w:sz w:val="36"/>
          <w:szCs w:val="36"/>
          <w:lang w:val="en-US"/>
        </w:rPr>
        <w:t>(New York: Columbia University Press, 1922)</w:t>
      </w:r>
    </w:p>
    <w:p>
      <w:pPr/>
    </w:p>
    <w:p>
      <w:pPr/>
      <w:r>
        <w:rPr>
          <w:rFonts w:hint="default"/>
          <w:sz w:val="36"/>
          <w:szCs w:val="36"/>
          <w:lang w:val="en-US"/>
        </w:rPr>
        <w:t xml:space="preserve">Bate, J., </w:t>
      </w:r>
      <w:r>
        <w:rPr>
          <w:rFonts w:hint="default"/>
          <w:i/>
          <w:sz w:val="36"/>
          <w:szCs w:val="36"/>
          <w:lang w:val="en-US"/>
        </w:rPr>
        <w:t xml:space="preserve">Romantic Ecology: Wordsworth and the Environmental Tradition </w:t>
      </w:r>
      <w:r>
        <w:rPr>
          <w:rFonts w:hint="default"/>
          <w:sz w:val="36"/>
          <w:szCs w:val="36"/>
          <w:lang w:val="en-US"/>
        </w:rPr>
        <w:t>(London: Routledge, 1991)</w:t>
      </w:r>
    </w:p>
    <w:p>
      <w:pPr/>
    </w:p>
    <w:p>
      <w:pPr/>
      <w:r>
        <w:rPr>
          <w:rFonts w:hint="default"/>
          <w:sz w:val="36"/>
          <w:szCs w:val="36"/>
          <w:lang w:val="en-US"/>
        </w:rPr>
        <w:t xml:space="preserve">Beer, J., </w:t>
      </w:r>
      <w:r>
        <w:rPr>
          <w:rFonts w:hint="default"/>
          <w:i/>
          <w:sz w:val="36"/>
          <w:szCs w:val="36"/>
          <w:lang w:val="en-US"/>
        </w:rPr>
        <w:t xml:space="preserve">Wordsworth and the Human Heart </w:t>
      </w:r>
      <w:r>
        <w:rPr>
          <w:rFonts w:hint="default"/>
          <w:sz w:val="36"/>
          <w:szCs w:val="36"/>
          <w:lang w:val="en-US"/>
        </w:rPr>
        <w:t>(London: Macmillan Press Ltd., 1978)</w:t>
      </w:r>
    </w:p>
    <w:p>
      <w:pPr/>
    </w:p>
    <w:p>
      <w:pPr>
        <w:rPr>
          <w:rFonts w:hint="default"/>
          <w:sz w:val="36"/>
          <w:szCs w:val="36"/>
          <w:lang w:val="en-US"/>
        </w:rPr>
      </w:pPr>
      <w:r>
        <w:rPr>
          <w:rFonts w:hint="default"/>
          <w:sz w:val="36"/>
          <w:szCs w:val="36"/>
          <w:lang w:val="en-US"/>
        </w:rPr>
        <w:t xml:space="preserve">Chandler, J. and N. M. McLane eds. </w:t>
      </w:r>
      <w:r>
        <w:rPr>
          <w:rFonts w:hint="default"/>
          <w:i/>
          <w:sz w:val="36"/>
          <w:szCs w:val="36"/>
          <w:lang w:val="en-US"/>
        </w:rPr>
        <w:t xml:space="preserve">The Cambridge Companion to British Romantic Poetry </w:t>
      </w:r>
      <w:r>
        <w:rPr>
          <w:rFonts w:hint="default"/>
          <w:sz w:val="36"/>
          <w:szCs w:val="36"/>
          <w:lang w:val="en-US"/>
        </w:rPr>
        <w:t>(Cambridge: Cambridge University Press, Kindle Edition, 2008)</w:t>
      </w:r>
    </w:p>
    <w:p>
      <w:pPr>
        <w:rPr>
          <w:rFonts w:hint="default"/>
          <w:sz w:val="36"/>
          <w:szCs w:val="36"/>
          <w:lang w:val="en-US"/>
        </w:rPr>
      </w:pPr>
    </w:p>
    <w:p>
      <w:pPr>
        <w:rPr>
          <w:rFonts w:hint="default"/>
          <w:i w:val="0"/>
          <w:iCs w:val="0"/>
          <w:sz w:val="36"/>
          <w:szCs w:val="36"/>
          <w:lang w:val="en-US"/>
        </w:rPr>
      </w:pPr>
      <w:r>
        <w:rPr>
          <w:rFonts w:hint="default"/>
          <w:i/>
          <w:iCs/>
          <w:sz w:val="36"/>
          <w:szCs w:val="36"/>
          <w:lang w:val="en-GB"/>
        </w:rPr>
        <w:t xml:space="preserve">Cinderella: The Ultimate Collection </w:t>
      </w:r>
      <w:r>
        <w:rPr>
          <w:rFonts w:hint="default"/>
          <w:i w:val="0"/>
          <w:iCs w:val="0"/>
          <w:sz w:val="36"/>
          <w:szCs w:val="36"/>
          <w:lang w:val="en-GB"/>
        </w:rPr>
        <w:t>(Enhanced Media Publishing, kindle edition, 2014)</w:t>
      </w:r>
    </w:p>
    <w:p>
      <w:pPr/>
    </w:p>
    <w:p>
      <w:pPr>
        <w:rPr>
          <w:sz w:val="36"/>
          <w:szCs w:val="36"/>
          <w:lang w:val="en-GB"/>
        </w:rPr>
      </w:pPr>
      <w:r>
        <w:rPr>
          <w:sz w:val="36"/>
          <w:szCs w:val="36"/>
          <w:lang w:val="en-GB"/>
        </w:rPr>
        <w:t>Cohen, P. M., ‘Stabilizing the Family System at Mansfield Park’ (</w:t>
      </w:r>
      <w:r>
        <w:rPr>
          <w:i/>
          <w:iCs/>
          <w:sz w:val="36"/>
          <w:szCs w:val="36"/>
          <w:lang w:val="en-GB"/>
        </w:rPr>
        <w:t>ELH</w:t>
      </w:r>
      <w:r>
        <w:rPr>
          <w:i w:val="0"/>
          <w:iCs w:val="0"/>
          <w:sz w:val="36"/>
          <w:szCs w:val="36"/>
          <w:lang w:val="en-GB"/>
        </w:rPr>
        <w:t>, Vol. 54, No. 3, Autumn 1987, pp. 669-693)</w:t>
      </w:r>
    </w:p>
    <w:p>
      <w:pPr>
        <w:rPr>
          <w:sz w:val="32"/>
          <w:szCs w:val="32"/>
          <w:lang w:val="en-GB"/>
        </w:rPr>
      </w:pPr>
    </w:p>
    <w:p>
      <w:pPr>
        <w:rPr>
          <w:i w:val="0"/>
          <w:iCs w:val="0"/>
          <w:sz w:val="36"/>
          <w:szCs w:val="36"/>
        </w:rPr>
      </w:pPr>
      <w:r>
        <w:rPr>
          <w:sz w:val="36"/>
          <w:szCs w:val="36"/>
          <w:lang w:val="en-GB"/>
        </w:rPr>
        <w:t xml:space="preserve">Copeland, E. and J. McMaster eds., </w:t>
      </w:r>
      <w:r>
        <w:rPr>
          <w:i/>
          <w:iCs/>
          <w:sz w:val="36"/>
          <w:szCs w:val="36"/>
          <w:lang w:val="en-GB"/>
        </w:rPr>
        <w:t xml:space="preserve">The Cambridge Companion to Jane Austen </w:t>
      </w:r>
      <w:r>
        <w:rPr>
          <w:i w:val="0"/>
          <w:iCs w:val="0"/>
          <w:sz w:val="36"/>
          <w:szCs w:val="36"/>
          <w:lang w:val="en-GB"/>
        </w:rPr>
        <w:t>(Cambridge: Cambridge University Press, kindle edition, 1997)</w:t>
      </w:r>
    </w:p>
    <w:p>
      <w:pPr/>
    </w:p>
    <w:p>
      <w:pPr/>
      <w:r>
        <w:rPr>
          <w:rFonts w:hint="default"/>
          <w:sz w:val="36"/>
          <w:szCs w:val="36"/>
          <w:lang w:val="en-US"/>
        </w:rPr>
        <w:t xml:space="preserve">Day, A., </w:t>
      </w:r>
      <w:r>
        <w:rPr>
          <w:rFonts w:hint="default"/>
          <w:i/>
          <w:sz w:val="36"/>
          <w:szCs w:val="36"/>
          <w:lang w:val="en-US"/>
        </w:rPr>
        <w:t xml:space="preserve">Romanticism </w:t>
      </w:r>
      <w:r>
        <w:rPr>
          <w:rFonts w:hint="default"/>
          <w:sz w:val="36"/>
          <w:szCs w:val="36"/>
          <w:lang w:val="en-US"/>
        </w:rPr>
        <w:t>Second Edition (Abingdon: Routledge, Kindle Edition, 2012)</w:t>
      </w:r>
    </w:p>
    <w:p>
      <w:pPr/>
    </w:p>
    <w:p>
      <w:pPr/>
      <w:r>
        <w:rPr>
          <w:rFonts w:hint="default"/>
          <w:sz w:val="36"/>
          <w:szCs w:val="36"/>
          <w:lang w:val="en-US"/>
        </w:rPr>
        <w:t xml:space="preserve">Durrant, G., </w:t>
      </w:r>
      <w:r>
        <w:rPr>
          <w:rFonts w:hint="default"/>
          <w:i/>
          <w:sz w:val="36"/>
          <w:szCs w:val="36"/>
          <w:lang w:val="en-US"/>
        </w:rPr>
        <w:t xml:space="preserve">Wordsworth and the Great System: A Study of Wordsworth’s Poetic Universe </w:t>
      </w:r>
      <w:r>
        <w:rPr>
          <w:rFonts w:hint="default"/>
          <w:sz w:val="36"/>
          <w:szCs w:val="36"/>
          <w:lang w:val="en-US"/>
        </w:rPr>
        <w:t>(Cambridge: Cambridge University Press, 1970)</w:t>
      </w:r>
    </w:p>
    <w:p>
      <w:pPr/>
    </w:p>
    <w:p>
      <w:pPr>
        <w:rPr>
          <w:rFonts w:hint="default"/>
          <w:sz w:val="36"/>
          <w:szCs w:val="36"/>
          <w:lang w:val="en-US"/>
        </w:rPr>
      </w:pPr>
      <w:r>
        <w:rPr>
          <w:rFonts w:hint="default"/>
          <w:sz w:val="36"/>
          <w:szCs w:val="36"/>
          <w:lang w:val="en-US"/>
        </w:rPr>
        <w:t xml:space="preserve">Elwin , M., </w:t>
      </w:r>
      <w:r>
        <w:rPr>
          <w:rFonts w:hint="default"/>
          <w:i/>
          <w:sz w:val="36"/>
          <w:szCs w:val="36"/>
          <w:lang w:val="en-US"/>
        </w:rPr>
        <w:t xml:space="preserve">The First Romantics </w:t>
      </w:r>
      <w:r>
        <w:rPr>
          <w:rFonts w:hint="default"/>
          <w:sz w:val="36"/>
          <w:szCs w:val="36"/>
          <w:lang w:val="en-US"/>
        </w:rPr>
        <w:t>(New York: Russell &amp; Russell, 1947)</w:t>
      </w:r>
    </w:p>
    <w:p>
      <w:pPr/>
    </w:p>
    <w:p>
      <w:pPr>
        <w:rPr>
          <w:i w:val="0"/>
          <w:iCs w:val="0"/>
          <w:sz w:val="36"/>
          <w:szCs w:val="36"/>
        </w:rPr>
      </w:pPr>
      <w:r>
        <w:rPr>
          <w:sz w:val="36"/>
          <w:szCs w:val="36"/>
          <w:lang w:val="en-GB"/>
        </w:rPr>
        <w:t xml:space="preserve">Ferber, M., </w:t>
      </w:r>
      <w:r>
        <w:rPr>
          <w:i/>
          <w:iCs/>
          <w:sz w:val="36"/>
          <w:szCs w:val="36"/>
          <w:lang w:val="en-GB"/>
        </w:rPr>
        <w:t>Romanticism: A Very Short Introduction</w:t>
      </w:r>
      <w:r>
        <w:rPr>
          <w:i w:val="0"/>
          <w:iCs w:val="0"/>
          <w:sz w:val="36"/>
          <w:szCs w:val="36"/>
          <w:lang w:val="en-GB"/>
        </w:rPr>
        <w:t xml:space="preserve"> (Oxford: Oxford University Press, kindle edition, 2010)</w:t>
      </w:r>
    </w:p>
    <w:p>
      <w:pPr/>
    </w:p>
    <w:p>
      <w:pPr/>
      <w:r>
        <w:rPr>
          <w:rFonts w:hint="default"/>
          <w:sz w:val="36"/>
          <w:szCs w:val="36"/>
          <w:lang w:val="en-US"/>
        </w:rPr>
        <w:t xml:space="preserve">Gill, S. ed., </w:t>
      </w:r>
      <w:r>
        <w:rPr>
          <w:rFonts w:hint="default"/>
          <w:i/>
          <w:sz w:val="36"/>
          <w:szCs w:val="36"/>
          <w:lang w:val="en-US"/>
        </w:rPr>
        <w:t xml:space="preserve">The Cambridge Companion to Wordsworth </w:t>
      </w:r>
      <w:r>
        <w:rPr>
          <w:rFonts w:hint="default"/>
          <w:sz w:val="36"/>
          <w:szCs w:val="36"/>
          <w:lang w:val="en-US"/>
        </w:rPr>
        <w:t>(Cambridge: Cambridge University Press, Kindle Edition, 2003)</w:t>
      </w:r>
    </w:p>
    <w:p>
      <w:pPr/>
    </w:p>
    <w:p>
      <w:pPr/>
      <w:r>
        <w:rPr>
          <w:rFonts w:hint="default"/>
          <w:sz w:val="36"/>
          <w:szCs w:val="36"/>
          <w:lang w:val="en-US"/>
        </w:rPr>
        <w:t xml:space="preserve">Gravel, G., </w:t>
      </w:r>
      <w:r>
        <w:rPr>
          <w:rFonts w:hint="default"/>
          <w:i/>
          <w:sz w:val="36"/>
          <w:szCs w:val="36"/>
          <w:lang w:val="en-US"/>
        </w:rPr>
        <w:t xml:space="preserve">Wordsworth’s Bardic Vocation, 1787-1842 </w:t>
      </w:r>
      <w:r>
        <w:rPr>
          <w:rFonts w:hint="default"/>
          <w:sz w:val="36"/>
          <w:szCs w:val="36"/>
          <w:lang w:val="en-US"/>
        </w:rPr>
        <w:t>(HEB: Humanities-EBooks, 2003, rev. 2015)</w:t>
      </w:r>
    </w:p>
    <w:p>
      <w:pPr/>
    </w:p>
    <w:p>
      <w:pPr>
        <w:rPr>
          <w:rFonts w:hint="default"/>
          <w:sz w:val="36"/>
          <w:szCs w:val="36"/>
          <w:lang w:val="en-US"/>
        </w:rPr>
      </w:pPr>
      <w:r>
        <w:rPr>
          <w:rFonts w:hint="default"/>
          <w:sz w:val="36"/>
          <w:szCs w:val="36"/>
          <w:lang w:val="en-US"/>
        </w:rPr>
        <w:t xml:space="preserve">Grob, A., </w:t>
      </w:r>
      <w:r>
        <w:rPr>
          <w:rFonts w:hint="default"/>
          <w:i/>
          <w:sz w:val="36"/>
          <w:szCs w:val="36"/>
          <w:lang w:val="en-US"/>
        </w:rPr>
        <w:t xml:space="preserve">The Philosophic Mind: A Study of Wordsworth’s Poetry and Thought 1797-1805 </w:t>
      </w:r>
      <w:r>
        <w:rPr>
          <w:rFonts w:hint="default"/>
          <w:sz w:val="36"/>
          <w:szCs w:val="36"/>
          <w:lang w:val="en-US"/>
        </w:rPr>
        <w:t>(Columbus: Ohio State University, 1973)</w:t>
      </w:r>
    </w:p>
    <w:p>
      <w:pPr/>
    </w:p>
    <w:p>
      <w:pPr>
        <w:rPr>
          <w:i w:val="0"/>
          <w:iCs w:val="0"/>
          <w:sz w:val="36"/>
          <w:szCs w:val="36"/>
        </w:rPr>
      </w:pPr>
      <w:r>
        <w:rPr>
          <w:sz w:val="36"/>
          <w:szCs w:val="36"/>
          <w:lang w:val="en-GB"/>
        </w:rPr>
        <w:t xml:space="preserve">Groom, N., </w:t>
      </w:r>
      <w:r>
        <w:rPr>
          <w:i/>
          <w:iCs/>
          <w:sz w:val="36"/>
          <w:szCs w:val="36"/>
          <w:lang w:val="en-GB"/>
        </w:rPr>
        <w:t xml:space="preserve">The Gothic: a Very Short Introduction </w:t>
      </w:r>
      <w:r>
        <w:rPr>
          <w:i w:val="0"/>
          <w:iCs w:val="0"/>
          <w:sz w:val="36"/>
          <w:szCs w:val="36"/>
          <w:lang w:val="en-GB"/>
        </w:rPr>
        <w:t>(Oxford: Oxford University Press, kindle edition, 2012)</w:t>
      </w:r>
    </w:p>
    <w:p>
      <w:pPr/>
    </w:p>
    <w:p>
      <w:pPr/>
    </w:p>
    <w:p>
      <w:pPr>
        <w:pStyle w:val="15"/>
        <w:framePr w:wrap="auto" w:vAnchor="margin" w:hAnchor="text" w:yAlign="inline"/>
        <w:jc w:val="left"/>
        <w:rPr>
          <w:rFonts w:hint="default"/>
          <w:sz w:val="36"/>
          <w:szCs w:val="36"/>
          <w:lang w:val="en-US"/>
        </w:rPr>
      </w:pPr>
      <w:r>
        <w:rPr>
          <w:rFonts w:hint="default"/>
          <w:sz w:val="36"/>
          <w:szCs w:val="36"/>
          <w:lang w:val="en-US"/>
        </w:rPr>
        <w:t xml:space="preserve">Hurley, M. D. and M. O’Neill, </w:t>
      </w:r>
      <w:r>
        <w:rPr>
          <w:rFonts w:hint="default"/>
          <w:i/>
          <w:sz w:val="36"/>
          <w:szCs w:val="36"/>
          <w:lang w:val="en-US"/>
        </w:rPr>
        <w:t xml:space="preserve">The Cambridge Introduction to Poetic Form </w:t>
      </w:r>
      <w:r>
        <w:rPr>
          <w:rFonts w:hint="default"/>
          <w:sz w:val="36"/>
          <w:szCs w:val="36"/>
          <w:lang w:val="en-US"/>
        </w:rPr>
        <w:t>(Cambridge: Cambridge University Press, Kindle Edition, 2012)</w:t>
      </w:r>
    </w:p>
    <w:p>
      <w:pPr>
        <w:pStyle w:val="15"/>
        <w:framePr w:wrap="auto" w:vAnchor="margin" w:hAnchor="text" w:yAlign="inline"/>
        <w:jc w:val="left"/>
        <w:rPr>
          <w:rFonts w:hint="default"/>
          <w:sz w:val="36"/>
          <w:szCs w:val="36"/>
          <w:lang w:val="en-US"/>
        </w:rPr>
      </w:pPr>
    </w:p>
    <w:p>
      <w:pPr>
        <w:pStyle w:val="15"/>
        <w:framePr w:wrap="auto" w:vAnchor="margin" w:hAnchor="text" w:yAlign="inline"/>
        <w:jc w:val="left"/>
        <w:rPr>
          <w:rFonts w:hint="default"/>
          <w:i w:val="0"/>
          <w:iCs w:val="0"/>
          <w:sz w:val="36"/>
          <w:szCs w:val="36"/>
          <w:lang w:val="en-US"/>
        </w:rPr>
      </w:pPr>
      <w:r>
        <w:rPr>
          <w:rFonts w:hint="default"/>
          <w:sz w:val="36"/>
          <w:szCs w:val="36"/>
          <w:lang w:val="en-GB"/>
        </w:rPr>
        <w:t xml:space="preserve">Johnson, C. L., and C. Third eds., </w:t>
      </w:r>
      <w:r>
        <w:rPr>
          <w:rFonts w:hint="default"/>
          <w:i/>
          <w:iCs/>
          <w:sz w:val="36"/>
          <w:szCs w:val="36"/>
          <w:lang w:val="en-GB"/>
        </w:rPr>
        <w:t xml:space="preserve">A Companion to Jane Austen </w:t>
      </w:r>
      <w:r>
        <w:rPr>
          <w:rFonts w:hint="default"/>
          <w:i w:val="0"/>
          <w:iCs w:val="0"/>
          <w:sz w:val="36"/>
          <w:szCs w:val="36"/>
          <w:lang w:val="en-GB"/>
        </w:rPr>
        <w:t>(Blackwell Publishing, kindle edition, 2009)</w:t>
      </w:r>
    </w:p>
    <w:p>
      <w:pPr>
        <w:pStyle w:val="15"/>
        <w:framePr w:wrap="auto" w:vAnchor="margin" w:hAnchor="text" w:yAlign="inline"/>
        <w:jc w:val="left"/>
        <w:rPr>
          <w:rFonts w:hint="default"/>
          <w:sz w:val="36"/>
          <w:szCs w:val="36"/>
          <w:lang w:val="en-US"/>
        </w:rPr>
      </w:pPr>
    </w:p>
    <w:p>
      <w:pPr/>
      <w:r>
        <w:rPr>
          <w:rFonts w:hint="default"/>
          <w:sz w:val="36"/>
          <w:szCs w:val="36"/>
          <w:lang w:val="en-US"/>
        </w:rPr>
        <w:t xml:space="preserve">Johnston, K. R., </w:t>
      </w:r>
      <w:r>
        <w:rPr>
          <w:rFonts w:hint="default"/>
          <w:i/>
          <w:sz w:val="36"/>
          <w:szCs w:val="36"/>
          <w:lang w:val="en-US"/>
        </w:rPr>
        <w:t xml:space="preserve">The Hidden Wordsworth </w:t>
      </w:r>
      <w:r>
        <w:rPr>
          <w:rFonts w:hint="default"/>
          <w:sz w:val="36"/>
          <w:szCs w:val="36"/>
          <w:lang w:val="en-US"/>
        </w:rPr>
        <w:t>(London: Pimlico, 2000)</w:t>
      </w:r>
    </w:p>
    <w:p>
      <w:pPr/>
    </w:p>
    <w:p>
      <w:pPr/>
      <w:r>
        <w:rPr>
          <w:rFonts w:hint="default"/>
          <w:sz w:val="36"/>
          <w:szCs w:val="36"/>
          <w:lang w:val="en-US"/>
        </w:rPr>
        <w:t xml:space="preserve">Johnston, K. R. and G. W. Ruoff eds., </w:t>
      </w:r>
      <w:r>
        <w:rPr>
          <w:rFonts w:hint="default"/>
          <w:i/>
          <w:sz w:val="36"/>
          <w:szCs w:val="36"/>
          <w:lang w:val="en-US"/>
        </w:rPr>
        <w:t xml:space="preserve">The Age of William Wordsworth: Critical Essays on the Romantic Tradition </w:t>
      </w:r>
      <w:r>
        <w:rPr>
          <w:rFonts w:hint="default"/>
          <w:sz w:val="36"/>
          <w:szCs w:val="36"/>
          <w:lang w:val="en-US"/>
        </w:rPr>
        <w:t>(Rutgers University Press, 1987)</w:t>
      </w:r>
    </w:p>
    <w:p>
      <w:pPr/>
    </w:p>
    <w:p>
      <w:pPr/>
    </w:p>
    <w:p>
      <w:pPr/>
    </w:p>
    <w:p>
      <w:pPr/>
      <w:r>
        <w:rPr>
          <w:rFonts w:hint="default"/>
          <w:sz w:val="36"/>
          <w:szCs w:val="36"/>
          <w:lang w:val="en-US"/>
        </w:rPr>
        <w:t xml:space="preserve">Mason, E., </w:t>
      </w:r>
      <w:r>
        <w:rPr>
          <w:rFonts w:hint="default"/>
          <w:i/>
          <w:sz w:val="36"/>
          <w:szCs w:val="36"/>
          <w:lang w:val="en-US"/>
        </w:rPr>
        <w:t xml:space="preserve">The Cambridge Introduction to William Wordsworth </w:t>
      </w:r>
      <w:r>
        <w:rPr>
          <w:rFonts w:hint="default"/>
          <w:sz w:val="36"/>
          <w:szCs w:val="36"/>
          <w:lang w:val="en-US"/>
        </w:rPr>
        <w:t>(Cambridge: Cambridge University Press, Kindle Edition, 2010)</w:t>
      </w:r>
    </w:p>
    <w:p>
      <w:pPr/>
    </w:p>
    <w:p>
      <w:pPr>
        <w:rPr>
          <w:rFonts w:hint="default"/>
          <w:sz w:val="36"/>
          <w:szCs w:val="36"/>
          <w:lang w:val="en-US"/>
        </w:rPr>
      </w:pPr>
      <w:r>
        <w:rPr>
          <w:rFonts w:hint="default"/>
          <w:sz w:val="36"/>
          <w:szCs w:val="36"/>
          <w:lang w:val="en-US"/>
        </w:rPr>
        <w:t xml:space="preserve">Newlyn, L., </w:t>
      </w:r>
      <w:r>
        <w:rPr>
          <w:rFonts w:hint="default"/>
          <w:i/>
          <w:sz w:val="36"/>
          <w:szCs w:val="36"/>
          <w:lang w:val="en-US"/>
        </w:rPr>
        <w:t xml:space="preserve">William &amp; Dorothy Wordsworth: All in Each Other </w:t>
      </w:r>
      <w:r>
        <w:rPr>
          <w:rFonts w:hint="default"/>
          <w:sz w:val="36"/>
          <w:szCs w:val="36"/>
          <w:lang w:val="en-US"/>
        </w:rPr>
        <w:t>(Oxford: Oxford University Press, Kindle Edition, 2013)</w:t>
      </w:r>
    </w:p>
    <w:p>
      <w:pPr/>
    </w:p>
    <w:p>
      <w:pPr>
        <w:rPr>
          <w:i w:val="0"/>
          <w:iCs w:val="0"/>
          <w:sz w:val="36"/>
          <w:szCs w:val="36"/>
        </w:rPr>
      </w:pPr>
      <w:r>
        <w:rPr>
          <w:sz w:val="36"/>
          <w:szCs w:val="36"/>
          <w:lang w:val="en-GB"/>
        </w:rPr>
        <w:t xml:space="preserve">Poplawski, P. ed., </w:t>
      </w:r>
      <w:r>
        <w:rPr>
          <w:i/>
          <w:iCs/>
          <w:sz w:val="36"/>
          <w:szCs w:val="36"/>
          <w:lang w:val="en-GB"/>
        </w:rPr>
        <w:t xml:space="preserve">English Literature in Context </w:t>
      </w:r>
      <w:r>
        <w:rPr>
          <w:i w:val="0"/>
          <w:iCs w:val="0"/>
          <w:sz w:val="36"/>
          <w:szCs w:val="36"/>
          <w:lang w:val="en-GB"/>
        </w:rPr>
        <w:t>Second Edition (Cambridge: Cambridge University Press, kindle edition, 2017)</w:t>
      </w:r>
    </w:p>
    <w:p>
      <w:pPr/>
    </w:p>
    <w:p>
      <w:pPr>
        <w:rPr>
          <w:rFonts w:hint="default"/>
          <w:sz w:val="36"/>
          <w:szCs w:val="36"/>
          <w:lang w:val="en-US"/>
        </w:rPr>
      </w:pPr>
      <w:r>
        <w:rPr>
          <w:rFonts w:hint="default"/>
          <w:sz w:val="36"/>
          <w:szCs w:val="36"/>
          <w:lang w:val="en-US"/>
        </w:rPr>
        <w:t xml:space="preserve">Reiman, D. H. ed., </w:t>
      </w:r>
      <w:r>
        <w:rPr>
          <w:rFonts w:hint="default"/>
          <w:i/>
          <w:sz w:val="36"/>
          <w:szCs w:val="36"/>
          <w:lang w:val="en-US"/>
        </w:rPr>
        <w:t xml:space="preserve">The Romantics Reviewed: Contemporary Reviews of British Romantic Writers. Part A -The Lake Poets </w:t>
      </w:r>
      <w:r>
        <w:rPr>
          <w:rFonts w:hint="default"/>
          <w:sz w:val="36"/>
          <w:szCs w:val="36"/>
          <w:lang w:val="en-US"/>
        </w:rPr>
        <w:t>(Garland Publishing Inc., 1972)</w:t>
      </w:r>
    </w:p>
    <w:p>
      <w:pPr/>
    </w:p>
    <w:p>
      <w:pPr>
        <w:rPr>
          <w:i w:val="0"/>
          <w:iCs w:val="0"/>
          <w:sz w:val="36"/>
          <w:szCs w:val="36"/>
          <w:lang w:val="en-GB"/>
        </w:rPr>
      </w:pPr>
      <w:r>
        <w:rPr>
          <w:sz w:val="36"/>
          <w:szCs w:val="36"/>
          <w:lang w:val="en-GB"/>
        </w:rPr>
        <w:t xml:space="preserve">Sutherland, J., </w:t>
      </w:r>
      <w:r>
        <w:rPr>
          <w:i/>
          <w:iCs/>
          <w:sz w:val="36"/>
          <w:szCs w:val="36"/>
          <w:lang w:val="en-GB"/>
        </w:rPr>
        <w:t xml:space="preserve">Can Jane Eyre be Happy? </w:t>
      </w:r>
      <w:r>
        <w:rPr>
          <w:i w:val="0"/>
          <w:iCs w:val="0"/>
          <w:sz w:val="36"/>
          <w:szCs w:val="36"/>
          <w:lang w:val="en-GB"/>
        </w:rPr>
        <w:t>(Oxford: Oxford University Press, kindle edition 1997)</w:t>
      </w:r>
    </w:p>
    <w:p>
      <w:pPr>
        <w:rPr>
          <w:i w:val="0"/>
          <w:iCs w:val="0"/>
          <w:sz w:val="36"/>
          <w:szCs w:val="36"/>
          <w:lang w:val="en-GB"/>
        </w:rPr>
      </w:pPr>
      <w:r>
        <w:rPr>
          <w:i w:val="0"/>
          <w:iCs w:val="0"/>
          <w:sz w:val="36"/>
          <w:szCs w:val="36"/>
          <w:lang w:val="en-GB"/>
        </w:rPr>
        <w:t xml:space="preserve"> </w:t>
      </w:r>
    </w:p>
    <w:p>
      <w:pPr>
        <w:rPr>
          <w:i w:val="0"/>
          <w:iCs w:val="0"/>
          <w:sz w:val="36"/>
          <w:szCs w:val="36"/>
        </w:rPr>
      </w:pPr>
      <w:r>
        <w:rPr>
          <w:i w:val="0"/>
          <w:iCs w:val="0"/>
          <w:sz w:val="36"/>
          <w:szCs w:val="36"/>
          <w:lang w:val="en-GB"/>
        </w:rPr>
        <w:t xml:space="preserve">  - </w:t>
      </w:r>
      <w:r>
        <w:rPr>
          <w:i/>
          <w:iCs/>
          <w:sz w:val="36"/>
          <w:szCs w:val="36"/>
          <w:lang w:val="en-GB"/>
        </w:rPr>
        <w:t xml:space="preserve">Is Heathcliff a murderer? </w:t>
      </w:r>
      <w:r>
        <w:rPr>
          <w:i w:val="0"/>
          <w:iCs w:val="0"/>
          <w:sz w:val="36"/>
          <w:szCs w:val="36"/>
          <w:lang w:val="en-GB"/>
        </w:rPr>
        <w:t>(Oxford: Oxford University Press, kindle edition, 1996)</w:t>
      </w:r>
    </w:p>
    <w:p>
      <w:pPr>
        <w:rPr>
          <w:sz w:val="36"/>
          <w:szCs w:val="36"/>
          <w:lang w:val="en-GB"/>
        </w:rPr>
      </w:pPr>
    </w:p>
    <w:p>
      <w:pPr>
        <w:rPr>
          <w:i w:val="0"/>
          <w:iCs w:val="0"/>
          <w:sz w:val="36"/>
          <w:szCs w:val="36"/>
        </w:rPr>
      </w:pPr>
      <w:r>
        <w:rPr>
          <w:sz w:val="36"/>
          <w:szCs w:val="36"/>
          <w:lang w:val="en-GB"/>
        </w:rPr>
        <w:t xml:space="preserve">Todd, J., ed., </w:t>
      </w:r>
      <w:r>
        <w:rPr>
          <w:i/>
          <w:iCs/>
          <w:sz w:val="36"/>
          <w:szCs w:val="36"/>
          <w:lang w:val="en-GB"/>
        </w:rPr>
        <w:t xml:space="preserve">Jane Austen in Context </w:t>
      </w:r>
      <w:r>
        <w:rPr>
          <w:i w:val="0"/>
          <w:iCs w:val="0"/>
          <w:sz w:val="36"/>
          <w:szCs w:val="36"/>
          <w:lang w:val="en-GB"/>
        </w:rPr>
        <w:t>(Cambridge: Cambridge University Press, kindle edition, 2005)</w:t>
      </w:r>
    </w:p>
    <w:p>
      <w:pPr/>
    </w:p>
    <w:p>
      <w:pPr/>
    </w:p>
    <w:p>
      <w:pPr/>
      <w:r>
        <w:rPr>
          <w:rFonts w:hint="default"/>
          <w:sz w:val="36"/>
          <w:szCs w:val="36"/>
          <w:lang w:val="en-US"/>
        </w:rPr>
        <w:t xml:space="preserve">Turner, J., </w:t>
      </w:r>
      <w:r>
        <w:rPr>
          <w:rFonts w:hint="default"/>
          <w:i/>
          <w:sz w:val="36"/>
          <w:szCs w:val="36"/>
          <w:lang w:val="en-US"/>
        </w:rPr>
        <w:t xml:space="preserve">Wordsworth: Play and Politics. A Study of Wordsworth’s Poetry, 1787-1800 </w:t>
      </w:r>
      <w:r>
        <w:rPr>
          <w:rFonts w:hint="default"/>
          <w:sz w:val="36"/>
          <w:szCs w:val="36"/>
          <w:lang w:val="en-US"/>
        </w:rPr>
        <w:t>(New York: St. Martin’s Press, 1986)</w:t>
      </w:r>
    </w:p>
    <w:p>
      <w:pPr/>
    </w:p>
    <w:p>
      <w:pPr/>
      <w:r>
        <w:rPr>
          <w:rFonts w:hint="default"/>
          <w:sz w:val="36"/>
          <w:szCs w:val="36"/>
          <w:lang w:val="en-US"/>
        </w:rPr>
        <w:t xml:space="preserve">Weaver, B., “Wordsworth: Poet of the Unconquerable Mind” </w:t>
      </w:r>
      <w:r>
        <w:rPr>
          <w:rFonts w:hint="default"/>
          <w:i/>
          <w:sz w:val="36"/>
          <w:szCs w:val="36"/>
          <w:lang w:val="en-US"/>
        </w:rPr>
        <w:t>PMLA</w:t>
      </w:r>
      <w:r>
        <w:rPr>
          <w:rFonts w:hint="default"/>
          <w:sz w:val="36"/>
          <w:szCs w:val="36"/>
          <w:lang w:val="en-US"/>
        </w:rPr>
        <w:t>, Vol. 75, No. 3 (June 1960)</w:t>
      </w:r>
    </w:p>
    <w:p>
      <w:pPr/>
    </w:p>
    <w:p>
      <w:pPr>
        <w:rPr>
          <w:rFonts w:hint="default"/>
          <w:sz w:val="36"/>
          <w:szCs w:val="36"/>
          <w:lang w:val="en-US"/>
        </w:rPr>
      </w:pPr>
      <w:r>
        <w:rPr>
          <w:rFonts w:hint="default"/>
          <w:sz w:val="36"/>
          <w:szCs w:val="36"/>
          <w:lang w:val="en-US"/>
        </w:rPr>
        <w:t xml:space="preserve">Wordsworth, J., M. C. Jaye and R. Woof, </w:t>
      </w:r>
      <w:r>
        <w:rPr>
          <w:rFonts w:hint="default"/>
          <w:i/>
          <w:sz w:val="36"/>
          <w:szCs w:val="36"/>
          <w:lang w:val="en-US"/>
        </w:rPr>
        <w:t xml:space="preserve">William Wordsworth and the Age of English Romanticism </w:t>
      </w:r>
      <w:r>
        <w:rPr>
          <w:rFonts w:hint="default"/>
          <w:sz w:val="36"/>
          <w:szCs w:val="36"/>
          <w:lang w:val="en-US"/>
        </w:rPr>
        <w:t>(Rutgers University Press, 1987)</w:t>
      </w:r>
    </w:p>
    <w:p>
      <w:pPr/>
    </w:p>
    <w:p>
      <w:pPr>
        <w:rPr>
          <w:i w:val="0"/>
          <w:iCs w:val="0"/>
          <w:sz w:val="36"/>
          <w:szCs w:val="36"/>
        </w:rPr>
      </w:pPr>
      <w:r>
        <w:rPr>
          <w:sz w:val="36"/>
          <w:szCs w:val="36"/>
          <w:lang w:val="en-GB"/>
        </w:rPr>
        <w:t xml:space="preserve">Wu, D., ed. </w:t>
      </w:r>
      <w:r>
        <w:rPr>
          <w:i/>
          <w:iCs/>
          <w:sz w:val="36"/>
          <w:szCs w:val="36"/>
          <w:lang w:val="en-GB"/>
        </w:rPr>
        <w:t xml:space="preserve">Romanticism: an Anthology </w:t>
      </w:r>
      <w:r>
        <w:rPr>
          <w:i w:val="0"/>
          <w:iCs w:val="0"/>
          <w:sz w:val="36"/>
          <w:szCs w:val="36"/>
          <w:lang w:val="en-GB"/>
        </w:rPr>
        <w:t>Fourth Edition (Wiley-Blackwell, kindle edition, 2012)</w:t>
      </w:r>
    </w:p>
    <w:p>
      <w:pPr/>
    </w:p>
    <w:p>
      <w:pPr/>
    </w:p>
    <w:p>
      <w:pPr/>
    </w:p>
    <w:p>
      <w:pPr/>
    </w:p>
    <w:p>
      <w:pPr/>
    </w:p>
    <w:p>
      <w:pPr/>
    </w:p>
    <w:p>
      <w:pPr/>
    </w:p>
    <w:p>
      <w:pPr>
        <w:pStyle w:val="15"/>
        <w:framePr w:wrap="auto" w:vAnchor="margin" w:hAnchor="text" w:yAlign="inline"/>
        <w:jc w:val="left"/>
        <w:rPr>
          <w:rFonts w:hint="default"/>
          <w:sz w:val="36"/>
          <w:szCs w:val="36"/>
          <w:lang w:val="en-US"/>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left"/>
        <w:rPr>
          <w:i w:val="0"/>
          <w:iCs w:val="0"/>
          <w:sz w:val="36"/>
          <w:szCs w:val="36"/>
          <w:lang w:val="en-GB"/>
        </w:rPr>
      </w:pPr>
    </w:p>
    <w:p>
      <w:pPr>
        <w:pStyle w:val="15"/>
        <w:framePr w:wrap="auto" w:vAnchor="margin" w:hAnchor="text" w:yAlign="inline"/>
        <w:jc w:val="center"/>
        <w:rPr>
          <w:sz w:val="36"/>
          <w:szCs w:val="36"/>
          <w:lang w:val="en-GB"/>
        </w:rPr>
      </w:pPr>
    </w:p>
    <w:p>
      <w:pPr>
        <w:pStyle w:val="15"/>
        <w:framePr w:wrap="auto" w:vAnchor="margin" w:hAnchor="text" w:yAlign="inline"/>
        <w:jc w:val="center"/>
        <w:rPr>
          <w:sz w:val="36"/>
          <w:szCs w:val="36"/>
          <w:lang w:val="en-GB"/>
        </w:rPr>
      </w:pPr>
    </w:p>
    <w:p>
      <w:pPr>
        <w:pStyle w:val="15"/>
        <w:framePr w:wrap="auto" w:vAnchor="margin" w:hAnchor="text" w:yAlign="inline"/>
      </w:pPr>
    </w:p>
    <w:p>
      <w:pPr>
        <w:pStyle w:val="15"/>
        <w:framePr w:wrap="auto" w:vAnchor="margin" w:hAnchor="text" w:yAlign="inline"/>
        <w:rPr>
          <w:sz w:val="32"/>
          <w:szCs w:val="32"/>
        </w:rPr>
      </w:pPr>
    </w:p>
    <w:sectPr>
      <w:headerReference r:id="rId3" w:type="default"/>
      <w:footerReference r:id="rId5" w:type="default"/>
      <w:headerReference r:id="rId4" w:type="even"/>
      <w:footerReference r:id="rId6" w:type="even"/>
      <w:pgSz w:w="11906" w:h="16838"/>
      <w:pgMar w:top="1134" w:right="1134" w:bottom="1134" w:left="1134" w:header="709" w:footer="85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Helvetica Neue">
    <w:altName w:val="Times New Roman"/>
    <w:panose1 w:val="02000503000000020004"/>
    <w:charset w:val="00"/>
    <w:family w:val="auto"/>
    <w:pitch w:val="default"/>
    <w:sig w:usb0="00000000" w:usb1="00000000" w:usb2="00000010" w:usb3="00000000" w:csb0="00000001" w:csb1="00000000"/>
  </w:font>
  <w:font w:name="SimSun">
    <w:altName w:val="宋体"/>
    <w:panose1 w:val="02010600030000010101"/>
    <w:charset w:val="86"/>
    <w:family w:val="auto"/>
    <w:pitch w:val="default"/>
    <w:sig w:usb0="00000000" w:usb1="00000000" w:usb2="00000016" w:usb3="00000000" w:csb0="00040001" w:csb1="00000000"/>
  </w:font>
  <w:font w:name="Arial Unicode MS">
    <w:panose1 w:val="00000000000000000000"/>
    <w:charset w:val="86"/>
    <w:family w:val="auto"/>
    <w:pitch w:val="default"/>
    <w:sig w:usb0="00000000" w:usb1="00000000" w:usb2="00000000" w:usb3="00000000" w:csb0="00000000" w:csb1="00000000"/>
  </w:font>
  <w:font w:name="Symbol">
    <w:altName w:val="Symbol"/>
    <w:panose1 w:val="05050102010706020507"/>
    <w:charset w:val="00"/>
    <w:family w:val="roman"/>
    <w:pitch w:val="default"/>
    <w:sig w:usb0="00000000" w:usb1="00000000" w:usb2="00000000" w:usb3="00000000" w:csb0="80000000" w:csb1="00000000"/>
  </w:font>
  <w:font w:name="Albertus">
    <w:altName w:val="Albertus"/>
    <w:panose1 w:val="00000000000000000000"/>
    <w:charset w:val="00"/>
    <w:family w:val="roman"/>
    <w:pitch w:val="default"/>
    <w:sig w:usb0="00000000" w:usb1="00000000" w:usb2="00000000" w:usb3="00000000" w:csb0="00000001" w:csb1="00000000"/>
  </w:font>
  <w:font w:name="Tahoma">
    <w:altName w:val="Tahoma"/>
    <w:panose1 w:val="020B0604030504040204"/>
    <w:charset w:val="00"/>
    <w:family w:val="swiss"/>
    <w:pitch w:val="default"/>
    <w:sig w:usb0="00000000" w:usb1="00000000" w:usb2="00000029" w:usb3="00000000" w:csb0="000101FF" w:csb1="00000000"/>
  </w:font>
  <w:font w:name="Georgia">
    <w:altName w:val="Georgia"/>
    <w:panose1 w:val="02040502050405020303"/>
    <w:charset w:val="00"/>
    <w:family w:val="roman"/>
    <w:pitch w:val="default"/>
    <w:sig w:usb0="00000000" w:usb1="00000000" w:usb2="00000000" w:usb3="00000000" w:csb0="0000009F" w:csb1="00000000"/>
  </w:font>
  <w:font w:name="Trebuchet MS">
    <w:altName w:val="Trebuchet MS"/>
    <w:panose1 w:val="020B0603020202020204"/>
    <w:charset w:val="00"/>
    <w:family w:val="swiss"/>
    <w:pitch w:val="default"/>
    <w:sig w:usb0="00000000"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vAnchor="text" w:hAnchor="margin" w:xAlign="center" w:y="1"/>
      <w:rPr>
        <w:rStyle w:val="12"/>
      </w:rPr>
    </w:pPr>
    <w:r>
      <w:rPr>
        <w:rStyle w:val="12"/>
      </w:rPr>
      <w:fldChar w:fldCharType="begin"/>
    </w:r>
    <w:r>
      <w:rPr>
        <w:rStyle w:val="12"/>
      </w:rPr>
      <w:instrText xml:space="preserve"> PAGE </w:instrText>
    </w:r>
    <w:r>
      <w:rPr>
        <w:rStyle w:val="12"/>
      </w:rPr>
      <w:fldChar w:fldCharType="end"/>
    </w:r>
  </w:p>
  <w:p>
    <w:pPr>
      <w:pStyle w:val="4"/>
      <w:frame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vAnchor="text" w:hAnchor="margin" w:y="1"/>
      <w:rPr>
        <w:rStyle w:val="12"/>
      </w:rPr>
    </w:pPr>
    <w:r>
      <w:rPr>
        <w:rStyle w:val="12"/>
      </w:rPr>
      <w:fldChar w:fldCharType="begin"/>
    </w:r>
    <w:r>
      <w:rPr>
        <w:rStyle w:val="12"/>
      </w:rPr>
      <w:instrText xml:space="preserve"> PAGE </w:instrText>
    </w:r>
    <w:r>
      <w:rPr>
        <w:rStyle w:val="12"/>
      </w:rPr>
      <w:fldChar w:fldCharType="separate"/>
    </w:r>
    <w:r>
      <w:rPr>
        <w:rStyle w:val="12"/>
      </w:rPr>
      <w:t>1</w:t>
    </w:r>
    <w:r>
      <w:rPr>
        <w:rStyle w:val="12"/>
      </w:rPr>
      <w:fldChar w:fldCharType="end"/>
    </w:r>
  </w:p>
  <w:p>
    <w:pPr>
      <w:framePr w:wrap="auto" w:vAnchor="margin" w:hAnchor="text" w:yAlign="inline"/>
      <w:ind w:firstLine="360"/>
    </w:pPr>
    <w:r>
      <mc:AlternateContent>
        <mc:Choice Requires="wps">
          <w:drawing>
            <wp:anchor distT="0" distB="0" distL="0" distR="0" simplePos="0" relativeHeight="1024" behindDoc="0" locked="0" layoutInCell="1" allowOverlap="1">
              <wp:simplePos x="0" y="0"/>
              <wp:positionH relativeFrom="margin">
                <wp:align>left</wp:align>
              </wp:positionH>
              <wp:positionV relativeFrom="paragraph">
                <wp:posOffset>0</wp:posOffset>
              </wp:positionV>
              <wp:extent cx="1828800" cy="1828800"/>
              <wp:effectExtent l="0" t="0" r="0" b="0"/>
              <wp:wrapNone/>
              <wp:docPr id="4097" name="Text Box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rPr>
                              <w:lang w:val="en-GB"/>
                            </w:rPr>
                          </w:pPr>
                          <w:r>
                            <w:rPr>
                              <w:lang w:val="en-GB"/>
                            </w:rPr>
                            <w:fldChar w:fldCharType="begin"/>
                          </w:r>
                          <w:r>
                            <w:rPr>
                              <w:lang w:val="en-GB"/>
                            </w:rPr>
                            <w:instrText xml:space="preserve"> PAGE  \* MERGEFORMAT </w:instrText>
                          </w:r>
                          <w:r>
                            <w:rPr>
                              <w:lang w:val="en-GB"/>
                            </w:rPr>
                            <w:fldChar w:fldCharType="separate"/>
                          </w:r>
                          <w:r>
                            <w:t>1</w:t>
                          </w:r>
                          <w:r>
                            <w:rPr>
                              <w:lang w:val="en-GB"/>
                            </w:rPr>
                            <w:fldChar w:fldCharType="end"/>
                          </w:r>
                        </w:p>
                      </w:txbxContent>
                    </wps:txbx>
                    <wps:bodyPr vert="horz" wrap="none" lIns="0" tIns="0" rIns="0" bIns="0" anchor="t">
                      <a:spAutoFit/>
                    </wps:bodyPr>
                  </wps:wsp>
                </a:graphicData>
              </a:graphic>
            </wp:anchor>
          </w:drawing>
        </mc:Choice>
        <mc:Fallback>
          <w:pict>
            <v:rect id="Text Box 4" o:spid="_x0000_s1026" o:spt="1" style="position:absolute;left:0pt;margin-top:0pt;height:144pt;width:144pt;mso-position-horizontal:left;mso-position-horizontal-relative:margin;mso-wrap-style:none;z-index:102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">
              <v:fill on="f" focussize="0,0"/>
              <v:stroke on="f"/>
              <v:imagedata o:title=""/>
              <o:lock v:ext="edit" aspectratio="f"/>
              <v:textbox inset="0mm,0mm,0mm,0mm" style="mso-fit-shape-to-text:t;">
                <w:txbxContent>
                  <w:p>
                    <w:pPr>
                      <w:pStyle w:val="6"/>
                      <w:rPr>
                        <w:lang w:val="en-GB"/>
                      </w:rPr>
                    </w:pPr>
                    <w:r>
                      <w:rPr>
                        <w:lang w:val="en-GB"/>
                      </w:rPr>
                      <w:fldChar w:fldCharType="begin"/>
                    </w:r>
                    <w:r>
                      <w:rPr>
                        <w:lang w:val="en-GB"/>
                      </w:rPr>
                      <w:instrText xml:space="preserve"> PAGE  \* MERGEFORMAT </w:instrText>
                    </w:r>
                    <w:r>
                      <w:rPr>
                        <w:lang w:val="en-GB"/>
                      </w:rPr>
                      <w:fldChar w:fldCharType="separate"/>
                    </w:r>
                    <w:r>
                      <w:t>1</w:t>
                    </w:r>
                    <w:r>
                      <w:rPr>
                        <w:lang w:val="en-GB"/>
                      </w:rPr>
                      <w:fldChar w:fldCharType="end"/>
                    </w:r>
                  </w:p>
                </w:txbxContent>
              </v:textbox>
            </v:rect>
          </w:pict>
        </mc:Fallback>
      </mc:AlternateContent>
    </w:r>
    <w:r>
      <w:rPr>
        <w:lang w:val="en-GB"/>
      </w:rPr>
      <w:t xml:space="preserve">                                                              Catherine Hornby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vAnchor="text" w:hAnchor="margin" w:y="1"/>
      <w:rPr>
        <w:rStyle w:val="12"/>
      </w:rPr>
    </w:pPr>
    <w:r>
      <w:rPr>
        <w:rStyle w:val="12"/>
      </w:rPr>
      <w:fldChar w:fldCharType="begin"/>
    </w:r>
    <w:r>
      <w:rPr>
        <w:rStyle w:val="12"/>
      </w:rPr>
      <w:instrText xml:space="preserve"> PAGE </w:instrText>
    </w:r>
    <w:r>
      <w:rPr>
        <w:rStyle w:val="12"/>
      </w:rPr>
      <w:fldChar w:fldCharType="end"/>
    </w:r>
  </w:p>
  <w:p>
    <w:pPr>
      <w:pStyle w:val="6"/>
      <w:framePr w:vAnchor="text" w:hAnchor="margin" w:xAlign="center" w:y="1"/>
      <w:ind w:firstLine="360"/>
      <w:rPr>
        <w:rStyle w:val="12"/>
      </w:rPr>
    </w:pPr>
    <w:r>
      <w:rPr>
        <w:rStyle w:val="12"/>
      </w:rPr>
      <w:fldChar w:fldCharType="begin"/>
    </w:r>
    <w:r>
      <w:rPr>
        <w:rStyle w:val="12"/>
      </w:rPr>
      <w:instrText xml:space="preserve"> PAGE </w:instrText>
    </w:r>
    <w:r>
      <w:rPr>
        <w:rStyle w:val="12"/>
      </w:rPr>
      <w:fldChar w:fldCharType="end"/>
    </w:r>
  </w:p>
  <w:p>
    <w:pPr>
      <w:pStyle w:val="6"/>
      <w:frame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Arial Unicode MS"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framePr w:wrap="around" w:vAnchor="margin" w:hAnchor="text" w:yAlign="top"/>
    </w:pPr>
    <w:rPr>
      <w:rFonts w:ascii="Times New Roman" w:hAnsi="Times New Roman" w:eastAsia="Arial Unicode MS" w:cs="Times New Roman"/>
      <w:sz w:val="24"/>
      <w:szCs w:val="24"/>
      <w:lang w:val="en-US" w:eastAsia="en-US" w:bidi="ar-SA"/>
    </w:rPr>
  </w:style>
  <w:style w:type="paragraph" w:styleId="2">
    <w:name w:val="heading 3"/>
    <w:basedOn w:val="1"/>
    <w:next w:val="1"/>
    <w:unhideWhenUsed/>
    <w:qFormat/>
    <w:uiPriority w:val="0"/>
    <w:pPr>
      <w:keepNext/>
      <w:ind w:left="720"/>
      <w:jc w:val="both"/>
      <w:outlineLvl w:val="2"/>
    </w:pPr>
    <w:rPr>
      <w:rFonts w:ascii="Tahoma" w:hAnsi="Tahoma" w:cs="Tahoma"/>
      <w:b/>
      <w:bCs/>
      <w:sz w:val="20"/>
      <w:szCs w:val="20"/>
    </w:rPr>
  </w:style>
  <w:style w:type="character" w:default="1" w:styleId="8">
    <w:name w:val="Default Paragraph Font"/>
    <w:qFormat/>
    <w:uiPriority w:val="1"/>
  </w:style>
  <w:style w:type="table" w:default="1" w:styleId="13">
    <w:name w:val="Normal Table"/>
    <w:qFormat/>
    <w:uiPriority w:val="99"/>
    <w:tblPr>
      <w:tblLayout w:type="fixed"/>
      <w:tblCellMar>
        <w:top w:w="0" w:type="dxa"/>
        <w:left w:w="108" w:type="dxa"/>
        <w:bottom w:w="0" w:type="dxa"/>
        <w:right w:w="108" w:type="dxa"/>
      </w:tblCellMar>
    </w:tblPr>
  </w:style>
  <w:style w:type="paragraph" w:styleId="3">
    <w:name w:val="endnote text"/>
    <w:basedOn w:val="1"/>
    <w:link w:val="18"/>
    <w:qFormat/>
    <w:uiPriority w:val="0"/>
    <w:pPr>
      <w:framePr/>
    </w:pPr>
    <w:rPr>
      <w:sz w:val="20"/>
      <w:szCs w:val="20"/>
    </w:rPr>
  </w:style>
  <w:style w:type="paragraph" w:styleId="4">
    <w:name w:val="footer"/>
    <w:basedOn w:val="1"/>
    <w:qFormat/>
    <w:uiPriority w:val="0"/>
    <w:pPr>
      <w:framePr/>
      <w:tabs>
        <w:tab w:val="center" w:pos="4153"/>
        <w:tab w:val="right" w:pos="8306"/>
      </w:tabs>
      <w:snapToGrid w:val="0"/>
    </w:pPr>
    <w:rPr>
      <w:sz w:val="18"/>
      <w:szCs w:val="18"/>
    </w:rPr>
  </w:style>
  <w:style w:type="paragraph" w:styleId="5">
    <w:name w:val="footnote text"/>
    <w:basedOn w:val="1"/>
    <w:link w:val="17"/>
    <w:qFormat/>
    <w:uiPriority w:val="0"/>
    <w:pPr>
      <w:framePr/>
    </w:pPr>
    <w:rPr>
      <w:sz w:val="20"/>
      <w:szCs w:val="20"/>
    </w:rPr>
  </w:style>
  <w:style w:type="paragraph" w:styleId="6">
    <w:name w:val="header"/>
    <w:basedOn w:val="1"/>
    <w:link w:val="16"/>
    <w:qFormat/>
    <w:uiPriority w:val="99"/>
    <w:pPr>
      <w:framePr/>
      <w:tabs>
        <w:tab w:val="center" w:pos="4320"/>
        <w:tab w:val="right" w:pos="8640"/>
      </w:tabs>
    </w:pPr>
  </w:style>
  <w:style w:type="paragraph" w:styleId="7">
    <w:name w:val="Normal (Web)"/>
    <w:basedOn w:val="1"/>
    <w:uiPriority w:val="0"/>
    <w:pPr>
      <w:spacing w:before="100" w:beforeAutospacing="1" w:after="100" w:afterAutospacing="1"/>
    </w:pPr>
    <w:rPr>
      <w:rFonts w:ascii="Georgia" w:hAnsi="Georgia"/>
      <w:color w:val="000000"/>
      <w:sz w:val="21"/>
      <w:szCs w:val="21"/>
    </w:rPr>
  </w:style>
  <w:style w:type="character" w:styleId="9">
    <w:name w:val="endnote reference"/>
    <w:basedOn w:val="8"/>
    <w:qFormat/>
    <w:uiPriority w:val="0"/>
    <w:rPr>
      <w:vertAlign w:val="superscript"/>
    </w:rPr>
  </w:style>
  <w:style w:type="character" w:styleId="10">
    <w:name w:val="footnote reference"/>
    <w:basedOn w:val="8"/>
    <w:qFormat/>
    <w:uiPriority w:val="0"/>
    <w:rPr>
      <w:vertAlign w:val="superscript"/>
    </w:rPr>
  </w:style>
  <w:style w:type="character" w:styleId="11">
    <w:name w:val="Hyperlink"/>
    <w:qFormat/>
    <w:uiPriority w:val="0"/>
    <w:rPr>
      <w:u w:val="single"/>
    </w:rPr>
  </w:style>
  <w:style w:type="character" w:styleId="12">
    <w:name w:val="page number"/>
    <w:basedOn w:val="8"/>
    <w:qFormat/>
    <w:uiPriority w:val="0"/>
  </w:style>
  <w:style w:type="table" w:customStyle="1" w:styleId="14">
    <w:name w:val="Table Normal1"/>
    <w:qFormat/>
    <w:uiPriority w:val="0"/>
    <w:tblPr>
      <w:tblLayout w:type="fixed"/>
      <w:tblCellMar>
        <w:top w:w="0" w:type="dxa"/>
        <w:left w:w="0" w:type="dxa"/>
        <w:bottom w:w="0" w:type="dxa"/>
        <w:right w:w="0" w:type="dxa"/>
      </w:tblCellMar>
    </w:tblPr>
  </w:style>
  <w:style w:type="paragraph" w:customStyle="1" w:styleId="15">
    <w:name w:val="Body"/>
    <w:qFormat/>
    <w:uiPriority w:val="0"/>
    <w:pPr>
      <w:framePr w:wrap="around" w:vAnchor="margin" w:hAnchor="text" w:yAlign="top"/>
    </w:pPr>
    <w:rPr>
      <w:rFonts w:ascii="Helvetica Neue" w:hAnsi="Helvetica Neue" w:eastAsia="Arial Unicode MS" w:cs="Arial Unicode MS"/>
      <w:color w:val="000000"/>
      <w:sz w:val="22"/>
      <w:szCs w:val="22"/>
      <w:lang w:val="en-US" w:eastAsia="en-GB" w:bidi="ar-SA"/>
    </w:rPr>
  </w:style>
  <w:style w:type="character" w:customStyle="1" w:styleId="16">
    <w:name w:val="Header Char_c856d43d-68f4-4194-8c05-eda1cd6c850a"/>
    <w:basedOn w:val="8"/>
    <w:link w:val="6"/>
    <w:qFormat/>
    <w:uiPriority w:val="99"/>
  </w:style>
  <w:style w:type="character" w:customStyle="1" w:styleId="17">
    <w:name w:val="Footnote Text Char"/>
    <w:basedOn w:val="8"/>
    <w:link w:val="5"/>
    <w:qFormat/>
    <w:uiPriority w:val="0"/>
    <w:rPr>
      <w:lang w:val="en-US" w:eastAsia="en-US"/>
    </w:rPr>
  </w:style>
  <w:style w:type="character" w:customStyle="1" w:styleId="18">
    <w:name w:val="Endnote Text Char"/>
    <w:basedOn w:val="8"/>
    <w:link w:val="3"/>
    <w:qFormat/>
    <w:uiPriority w:val="0"/>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13</Pages>
  <Words>4778</Words>
  <Characters>23856</Characters>
  <Lines>0</Lines>
  <Paragraphs>151</Paragraphs>
  <ScaleCrop>false</ScaleCrop>
  <LinksUpToDate>false</LinksUpToDate>
  <CharactersWithSpaces>28656</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2020-01-24T15:18:10Z</dcterms:created>
  <dc:creator>WPS Office</dc:creator>
  <cp:lastModifiedBy>Catherine’s iPad</cp:lastModifiedBy>
  <dcterms:modified xsi:type="dcterms:W3CDTF">2020-01-24T16:36:40Z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3081-10.0.3</vt:lpwstr>
  </property>
</Properties>
</file>