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header1.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header2.xml" ContentType="application/vnd.openxmlformats-officedocument.wordprocessingml.header+xml"/>
  <Override PartName="/word/media/image1.jpeg" ContentType="image/jpeg"/>
  <Override PartName="/word/media/image2.jpeg" ContentType="image/jpe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2.xml" ContentType="application/xml"/>
  <Override PartName="/customXml/itemProps1.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itemProps2.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606436584"/>
      </w:sdtPr>
      <w:sdtContent>
        <w:p>
          <w:pPr>
            <w:pStyle w:val="NoSpacing"/>
            <w:spacing w:before="1540" w:after="240"/>
            <w:jc w:val="center"/>
            <w:rPr>
              <w:rFonts w:ascii="Arial" w:hAnsi="Arial"/>
              <w:color w:val="000000"/>
              <w:sz w:val="24"/>
              <w:szCs w:val="24"/>
            </w:rPr>
          </w:pPr>
          <w:r>
            <w:rPr>
              <w:rFonts w:ascii="Arial" w:hAnsi="Arial"/>
              <w:color w:val="000000"/>
              <w:sz w:val="24"/>
              <w:szCs w:val="24"/>
            </w:rPr>
          </w:r>
        </w:p>
        <w:p>
          <w:pPr>
            <w:sectPr>
              <w:headerReference w:type="default" r:id="rId3"/>
              <w:type w:val="nextPage"/>
              <w:pgSz w:w="11906" w:h="16838"/>
              <w:pgMar w:left="1440" w:right="1440" w:header="1440" w:top="1992" w:footer="0" w:bottom="1440" w:gutter="0"/>
              <w:pgNumType w:start="0" w:fmt="decimal"/>
              <w:formProt w:val="false"/>
              <w:textDirection w:val="lrTb"/>
              <w:docGrid w:type="default" w:linePitch="360" w:charSpace="4096"/>
            </w:sectPr>
            <w:pStyle w:val="NoSpacing"/>
            <w:spacing w:before="1540" w:after="240"/>
            <w:jc w:val="center"/>
            <w:rPr>
              <w:rFonts w:ascii="Arial" w:hAnsi="Arial"/>
              <w:color w:val="000000"/>
              <w:sz w:val="24"/>
              <w:szCs w:val="24"/>
            </w:rPr>
          </w:pPr>
          <w:r>
            <w:drawing>
              <wp:anchor behindDoc="0" distT="0" distB="0" distL="114300" distR="114300" simplePos="0" locked="0" layoutInCell="1" allowOverlap="1" relativeHeight="2">
                <wp:simplePos x="0" y="0"/>
                <wp:positionH relativeFrom="margin">
                  <wp:align>center</wp:align>
                </wp:positionH>
                <wp:positionV relativeFrom="paragraph">
                  <wp:posOffset>2523490</wp:posOffset>
                </wp:positionV>
                <wp:extent cx="6114415" cy="3888105"/>
                <wp:effectExtent l="0" t="0" r="0" b="0"/>
                <wp:wrapTopAndBottom/>
                <wp:docPr id="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
                        <pic:cNvPicPr>
                          <a:picLocks noChangeAspect="1" noChangeArrowheads="1"/>
                        </pic:cNvPicPr>
                      </pic:nvPicPr>
                      <pic:blipFill>
                        <a:blip r:embed="rId2"/>
                        <a:stretch>
                          <a:fillRect/>
                        </a:stretch>
                      </pic:blipFill>
                      <pic:spPr bwMode="auto">
                        <a:xfrm>
                          <a:off x="0" y="0"/>
                          <a:ext cx="6114415" cy="3888105"/>
                        </a:xfrm>
                        <a:prstGeom prst="rect">
                          <a:avLst/>
                        </a:prstGeom>
                      </pic:spPr>
                    </pic:pic>
                  </a:graphicData>
                </a:graphic>
              </wp:anchor>
            </w:drawing>
          </w:r>
          <w:r>
            <w:rPr>
              <w:rFonts w:ascii="Arial" w:hAnsi="Arial"/>
              <w:b/>
              <w:color w:val="000000"/>
              <w:sz w:val="24"/>
              <w:szCs w:val="24"/>
            </w:rPr>
            <w:t>L</w:t>
          </w:r>
          <w:r>
            <w:rPr>
              <w:rFonts w:ascii="Arial" w:hAnsi="Arial"/>
              <w:b/>
              <w:color w:val="000000"/>
              <w:sz w:val="24"/>
              <w:szCs w:val="24"/>
            </w:rPr>
            <w:t>ecturer Name: Dale Clarke                                                                                                                                              Title: Haversons Ltd                                                                                                                                                         Module Title: Financial Management                                                                                                                     Module Code: M5X01922                                                                                                                                              Student Name: Gabriel Bogdan Berchiu                                                                                                                     Student Number: 1813615</w:t>
          </w:r>
        </w:p>
        <w:p>
          <w:pPr>
            <w:pStyle w:val="NoSpacing"/>
            <w:spacing w:before="1540" w:after="240"/>
            <w:jc w:val="center"/>
            <w:rPr>
              <w:rFonts w:ascii="Arial" w:hAnsi="Arial"/>
              <w:color w:val="000000"/>
              <w:sz w:val="24"/>
              <w:szCs w:val="24"/>
            </w:rPr>
          </w:pPr>
          <w:r>
            <w:rPr>
              <w:rFonts w:ascii="Arial" w:hAnsi="Arial"/>
              <w:b/>
              <w:color w:val="000000"/>
              <w:sz w:val="24"/>
              <w:szCs w:val="24"/>
            </w:rPr>
            <w:t>Content</w:t>
          </w:r>
        </w:p>
        <w:p>
          <w:pPr>
            <w:pStyle w:val="NoSpacing"/>
            <w:spacing w:before="1540" w:after="240"/>
            <w:jc w:val="left"/>
            <w:rPr>
              <w:rFonts w:ascii="Arial" w:hAnsi="Arial"/>
              <w:color w:val="000000"/>
              <w:sz w:val="24"/>
              <w:szCs w:val="24"/>
            </w:rPr>
          </w:pPr>
          <w:r>
            <w:rPr>
              <w:rFonts w:ascii="Arial" w:hAnsi="Arial"/>
              <w:b w:val="false"/>
              <w:bCs w:val="false"/>
              <w:i w:val="false"/>
              <w:iCs w:val="false"/>
              <w:color w:val="000000"/>
              <w:sz w:val="24"/>
              <w:szCs w:val="24"/>
              <w:u w:val="none"/>
            </w:rPr>
            <w:t xml:space="preserve">Introduction…………………………………………………………………………….p 1                                                      </w:t>
          </w:r>
          <w:r>
            <w:rPr>
              <w:rFonts w:ascii="Arial" w:hAnsi="Arial"/>
              <w:b w:val="false"/>
              <w:bCs w:val="false"/>
              <w:i w:val="false"/>
              <w:iCs w:val="false"/>
              <w:caps w:val="false"/>
              <w:smallCaps w:val="false"/>
              <w:color w:val="000000"/>
              <w:spacing w:val="0"/>
              <w:sz w:val="24"/>
              <w:szCs w:val="24"/>
              <w:u w:val="none"/>
            </w:rPr>
            <w:t xml:space="preserve">Components that cause the gross size of a organisation budget ……………....p 2                                             </w:t>
          </w:r>
          <w:r>
            <w:rPr>
              <w:rFonts w:ascii="Arial" w:hAnsi="Arial"/>
              <w:b w:val="false"/>
              <w:bCs w:val="false"/>
              <w:i w:val="false"/>
              <w:iCs w:val="false"/>
              <w:color w:val="000000"/>
              <w:sz w:val="24"/>
              <w:szCs w:val="24"/>
              <w:u w:val="none"/>
            </w:rPr>
            <w:t xml:space="preserve"> </w:t>
          </w:r>
          <w:r>
            <w:rPr>
              <w:rFonts w:ascii="Arial" w:hAnsi="Arial"/>
              <w:b w:val="false"/>
              <w:bCs w:val="false"/>
              <w:i w:val="false"/>
              <w:iCs w:val="false"/>
              <w:caps w:val="false"/>
              <w:smallCaps w:val="false"/>
              <w:color w:val="000000"/>
              <w:spacing w:val="0"/>
              <w:sz w:val="24"/>
              <w:szCs w:val="24"/>
              <w:u w:val="none"/>
            </w:rPr>
            <w:t xml:space="preserve">Expenditure budget…………………………………………………………………...p 2 -3 </w:t>
          </w:r>
          <w:r>
            <w:rPr>
              <w:rFonts w:ascii="Arial" w:hAnsi="Arial"/>
              <w:b w:val="false"/>
              <w:bCs w:val="false"/>
              <w:i w:val="false"/>
              <w:iCs w:val="false"/>
              <w:caps w:val="false"/>
              <w:smallCaps w:val="false"/>
              <w:color w:val="000000"/>
              <w:spacing w:val="0"/>
              <w:sz w:val="24"/>
              <w:szCs w:val="24"/>
              <w:u w:val="none"/>
            </w:rPr>
            <w:t>Determinant</w:t>
          </w:r>
          <w:r>
            <w:rPr>
              <w:rFonts w:ascii="Arial" w:hAnsi="Arial"/>
              <w:b w:val="false"/>
              <w:bCs w:val="false"/>
              <w:i w:val="false"/>
              <w:iCs w:val="false"/>
              <w:caps w:val="false"/>
              <w:smallCaps w:val="false"/>
              <w:color w:val="000000"/>
              <w:spacing w:val="0"/>
              <w:sz w:val="24"/>
              <w:szCs w:val="24"/>
              <w:u w:val="none"/>
            </w:rPr>
            <w:t xml:space="preserve"> factors to the general size of a organisation spending budget…...</w:t>
          </w:r>
          <w:r>
            <w:rPr>
              <w:rFonts w:ascii="Arial" w:hAnsi="Arial"/>
              <w:b w:val="false"/>
              <w:bCs w:val="false"/>
              <w:i w:val="false"/>
              <w:iCs w:val="false"/>
              <w:color w:val="000000"/>
              <w:sz w:val="24"/>
              <w:szCs w:val="24"/>
              <w:u w:val="none"/>
            </w:rPr>
            <w:t xml:space="preserve">p 3                                                                                       Conclusion…………………………………………………………………………..…p </w:t>
          </w:r>
          <w:r>
            <w:rPr>
              <w:rFonts w:ascii="Arial" w:hAnsi="Arial"/>
              <w:b w:val="false"/>
              <w:bCs w:val="false"/>
              <w:i w:val="false"/>
              <w:iCs w:val="false"/>
              <w:color w:val="000000"/>
              <w:sz w:val="24"/>
              <w:szCs w:val="24"/>
              <w:u w:val="none"/>
            </w:rPr>
            <w:t>4</w:t>
          </w:r>
          <w:r>
            <w:rPr>
              <w:rFonts w:ascii="Arial" w:hAnsi="Arial"/>
              <w:b w:val="false"/>
              <w:bCs w:val="false"/>
              <w:i w:val="false"/>
              <w:iCs w:val="false"/>
              <w:color w:val="000000"/>
              <w:sz w:val="24"/>
              <w:szCs w:val="24"/>
              <w:u w:val="none"/>
            </w:rPr>
            <w:t xml:space="preserve">                                         References………………………………………………………………...…………..p </w:t>
          </w:r>
          <w:r>
            <w:rPr>
              <w:rFonts w:ascii="Arial" w:hAnsi="Arial"/>
              <w:b w:val="false"/>
              <w:bCs w:val="false"/>
              <w:i w:val="false"/>
              <w:iCs w:val="false"/>
              <w:color w:val="000000"/>
              <w:sz w:val="24"/>
              <w:szCs w:val="24"/>
              <w:u w:val="none"/>
            </w:rPr>
            <w:t>5</w:t>
          </w:r>
        </w:p>
        <w:p>
          <w:pPr>
            <w:pStyle w:val="NoSpacing"/>
            <w:spacing w:before="1540" w:after="240"/>
            <w:jc w:val="center"/>
            <w:rPr>
              <w:rFonts w:ascii="Arial" w:hAnsi="Arial"/>
              <w:b w:val="false"/>
              <w:b w:val="false"/>
              <w:bCs w:val="false"/>
              <w:i w:val="false"/>
              <w:i w:val="false"/>
              <w:iCs w:val="false"/>
              <w:color w:val="000000"/>
              <w:sz w:val="24"/>
              <w:szCs w:val="24"/>
              <w:u w:val="none"/>
            </w:rPr>
          </w:pPr>
          <w:r>
            <w:rPr>
              <w:rFonts w:ascii="Arial" w:hAnsi="Arial"/>
              <w:b w:val="false"/>
              <w:bCs w:val="false"/>
              <w:i w:val="false"/>
              <w:iCs w:val="false"/>
              <w:color w:val="000000"/>
              <w:sz w:val="24"/>
              <w:szCs w:val="24"/>
              <w:u w:val="none"/>
            </w:rPr>
          </w:r>
        </w:p>
        <w:p>
          <w:pPr>
            <w:pStyle w:val="NoSpacing"/>
            <w:spacing w:before="1540" w:after="240"/>
            <w:jc w:val="center"/>
            <w:rPr>
              <w:rFonts w:ascii="Arial" w:hAnsi="Arial"/>
              <w:color w:val="000000"/>
              <w:sz w:val="24"/>
              <w:szCs w:val="24"/>
            </w:rPr>
          </w:pPr>
          <w:r>
            <w:rPr>
              <w:rFonts w:ascii="Arial" w:hAnsi="Arial"/>
              <w:color w:val="000000"/>
              <w:sz w:val="24"/>
              <w:szCs w:val="24"/>
            </w:rPr>
          </w:r>
        </w:p>
        <w:p>
          <w:pPr>
            <w:pStyle w:val="NoSpacing"/>
            <w:spacing w:before="1540" w:after="240"/>
            <w:jc w:val="center"/>
            <w:rPr>
              <w:rFonts w:ascii="Arial" w:hAnsi="Arial"/>
              <w:color w:val="000000"/>
              <w:sz w:val="24"/>
              <w:szCs w:val="24"/>
            </w:rPr>
          </w:pPr>
          <w:r>
            <w:rPr>
              <w:rFonts w:ascii="Arial" w:hAnsi="Arial"/>
              <w:color w:val="000000"/>
              <w:sz w:val="24"/>
              <w:szCs w:val="24"/>
            </w:rPr>
          </w:r>
        </w:p>
        <w:p>
          <w:pPr>
            <w:pStyle w:val="NoSpacing"/>
            <w:spacing w:before="1540" w:after="240"/>
            <w:jc w:val="center"/>
            <w:rPr>
              <w:rFonts w:ascii="Arial" w:hAnsi="Arial"/>
              <w:b/>
              <w:b/>
              <w:color w:val="000000"/>
              <w:sz w:val="24"/>
              <w:szCs w:val="24"/>
            </w:rPr>
          </w:pPr>
          <w:r>
            <w:rPr>
              <w:rFonts w:ascii="Arial" w:hAnsi="Arial"/>
              <w:b/>
              <w:color w:val="000000"/>
              <w:sz w:val="24"/>
              <w:szCs w:val="24"/>
            </w:rPr>
          </w:r>
        </w:p>
        <w:p>
          <w:pPr>
            <w:pStyle w:val="NoSpacing"/>
            <w:spacing w:before="1540" w:after="240"/>
            <w:jc w:val="center"/>
            <w:rPr>
              <w:rFonts w:ascii="Arial" w:hAnsi="Arial"/>
              <w:b/>
              <w:b/>
              <w:color w:val="000000"/>
              <w:sz w:val="24"/>
              <w:szCs w:val="24"/>
            </w:rPr>
          </w:pPr>
          <w:r>
            <w:rPr>
              <w:rFonts w:ascii="Arial" w:hAnsi="Arial"/>
              <w:b/>
              <w:color w:val="000000"/>
              <w:sz w:val="24"/>
              <w:szCs w:val="24"/>
            </w:rPr>
          </w:r>
        </w:p>
        <w:p>
          <w:pPr>
            <w:pStyle w:val="NoSpacing"/>
            <w:spacing w:before="1540" w:after="240"/>
            <w:jc w:val="center"/>
            <w:rPr>
              <w:rFonts w:ascii="Arial" w:hAnsi="Arial"/>
              <w:color w:val="000000"/>
              <w:sz w:val="24"/>
              <w:szCs w:val="24"/>
            </w:rPr>
          </w:pPr>
          <w:r>
            <w:rPr>
              <w:rFonts w:ascii="Arial" w:hAnsi="Arial"/>
              <w:b/>
              <w:color w:val="000000"/>
              <w:sz w:val="24"/>
              <w:szCs w:val="24"/>
            </w:rPr>
            <w:t>Introduction</w:t>
          </w:r>
        </w:p>
        <w:p>
          <w:pPr>
            <w:pStyle w:val="NoSpacing"/>
            <w:spacing w:before="1540" w:after="240"/>
            <w:jc w:val="left"/>
            <w:rPr>
              <w:rFonts w:ascii="Arial" w:hAnsi="Arial"/>
              <w:color w:val="000000"/>
              <w:sz w:val="24"/>
              <w:szCs w:val="24"/>
            </w:rPr>
          </w:pPr>
          <w:r>
            <w:rPr>
              <w:rFonts w:ascii="Arial" w:hAnsi="Arial"/>
              <w:color w:val="000000"/>
              <w:sz w:val="24"/>
              <w:szCs w:val="24"/>
            </w:rPr>
            <w:t>The present paper establishes, according to the theoretical point of view, which can be statistically, the budgetary and dynamic evolution.                                                   Regarding the budgetary expenses, they are presented to the classification according to the legal provisions and the execution of the budgetary expenses through the data that they present and through the aspects that the analysis highlights, which can contribute to the adoption of measures regarding the elaboration of a system of revenue collection and spending more money efficiently (</w:t>
          </w:r>
          <w:r>
            <w:rPr>
              <w:rFonts w:ascii="Arial" w:hAnsi="Arial"/>
              <w:b/>
              <w:bCs/>
              <w:i w:val="false"/>
              <w:iCs w:val="false"/>
              <w:caps w:val="false"/>
              <w:smallCaps w:val="false"/>
              <w:color w:val="000000"/>
              <w:spacing w:val="0"/>
              <w:sz w:val="24"/>
              <w:szCs w:val="24"/>
              <w:u w:val="none"/>
            </w:rPr>
            <w:t>TUOVILA, 2019</w:t>
          </w:r>
          <w:r>
            <w:rPr>
              <w:rFonts w:ascii="Arial" w:hAnsi="Arial"/>
              <w:b w:val="false"/>
              <w:bCs w:val="false"/>
              <w:i w:val="false"/>
              <w:iCs w:val="false"/>
              <w:caps w:val="false"/>
              <w:smallCaps w:val="false"/>
              <w:color w:val="000000"/>
              <w:spacing w:val="0"/>
              <w:sz w:val="24"/>
              <w:szCs w:val="24"/>
              <w:u w:val="none"/>
            </w:rPr>
            <w:t>)</w:t>
          </w:r>
          <w:r>
            <w:rPr>
              <w:rFonts w:ascii="Arial" w:hAnsi="Arial"/>
              <w:color w:val="000000"/>
              <w:sz w:val="24"/>
              <w:szCs w:val="24"/>
            </w:rPr>
            <w:t>.                                                                                                                    The purpose of this essay is to show and explain how Haversons Ltd offers great importance to sources of income and how is calculating budgets. For these, Haversons Ltd presented the implementation mode, respectively the allocation procedures. However, most financial analysts and trainers in the business field, regardless of their nature, suggest that without a well-established individual budget, there can be no question of increasing economies or paying off debts.</w:t>
          </w:r>
        </w:p>
        <w:p>
          <w:pPr>
            <w:pStyle w:val="NoSpacing"/>
            <w:spacing w:before="1540" w:after="240"/>
            <w:jc w:val="center"/>
            <w:rPr>
              <w:rFonts w:ascii="Arial" w:hAnsi="Arial"/>
              <w:color w:val="000000"/>
              <w:sz w:val="24"/>
              <w:szCs w:val="24"/>
            </w:rPr>
          </w:pPr>
          <w:r>
            <w:rPr>
              <w:rFonts w:ascii="Arial" w:hAnsi="Arial"/>
              <w:color w:val="000000"/>
              <w:sz w:val="24"/>
              <w:szCs w:val="24"/>
            </w:rPr>
          </w:r>
        </w:p>
        <w:p>
          <w:pPr>
            <w:pStyle w:val="NoSpacing"/>
            <w:spacing w:before="1540" w:after="240"/>
            <w:jc w:val="center"/>
            <w:rPr>
              <w:rFonts w:ascii="Arial" w:hAnsi="Arial"/>
              <w:color w:val="000000"/>
              <w:sz w:val="24"/>
              <w:szCs w:val="24"/>
            </w:rPr>
          </w:pPr>
          <w:r>
            <w:rPr>
              <w:rFonts w:ascii="Arial" w:hAnsi="Arial"/>
              <w:color w:val="000000"/>
              <w:sz w:val="24"/>
              <w:szCs w:val="24"/>
            </w:rPr>
          </w:r>
        </w:p>
        <w:p>
          <w:pPr>
            <w:pStyle w:val="NoSpacing"/>
            <w:spacing w:before="1540" w:after="240"/>
            <w:jc w:val="center"/>
            <w:rPr>
              <w:rFonts w:ascii="Arial" w:hAnsi="Arial"/>
              <w:color w:val="000000"/>
              <w:sz w:val="24"/>
              <w:szCs w:val="24"/>
            </w:rPr>
          </w:pPr>
          <w:r>
            <w:rPr>
              <w:rFonts w:ascii="Arial" w:hAnsi="Arial"/>
              <w:color w:val="00000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color w:val="000000"/>
              <w:sz w:val="24"/>
              <w:szCs w:val="24"/>
            </w:rPr>
          </w:pPr>
          <w:r>
            <w:rPr>
              <w:rFonts w:ascii="Arial" w:hAnsi="Arial"/>
              <w:b w:val="false"/>
              <w:i w:val="false"/>
              <w:caps w:val="false"/>
              <w:smallCaps w:val="false"/>
              <w:color w:val="000000"/>
              <w:spacing w:val="0"/>
              <w:sz w:val="24"/>
              <w:szCs w:val="24"/>
            </w:rPr>
            <w:t>1</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xml:space="preserve">For </w:t>
          </w:r>
          <w:r>
            <w:rPr>
              <w:rFonts w:ascii="Arial" w:hAnsi="Arial"/>
              <w:b/>
              <w:bCs/>
              <w:i w:val="false"/>
              <w:caps w:val="false"/>
              <w:smallCaps w:val="false"/>
              <w:color w:val="000000"/>
              <w:spacing w:val="0"/>
              <w:sz w:val="24"/>
              <w:szCs w:val="24"/>
            </w:rPr>
            <w:t>Florea S., (2002),</w:t>
          </w:r>
          <w:r>
            <w:rPr>
              <w:rFonts w:ascii="Arial" w:hAnsi="Arial"/>
              <w:b w:val="false"/>
              <w:i w:val="false"/>
              <w:caps w:val="false"/>
              <w:smallCaps w:val="false"/>
              <w:color w:val="000000"/>
              <w:spacing w:val="0"/>
              <w:sz w:val="24"/>
              <w:szCs w:val="24"/>
            </w:rPr>
            <w:t xml:space="preserve"> to support the company's revenue budget,  sales must be anticipated from various visual aspect</w:t>
          </w:r>
          <w:r>
            <w:rPr>
              <w:rFonts w:ascii="Arial" w:hAnsi="Arial"/>
              <w:b/>
              <w:bCs/>
              <w:i w:val="false"/>
              <w:caps w:val="false"/>
              <w:smallCaps w:val="false"/>
              <w:color w:val="000000"/>
              <w:spacing w:val="0"/>
              <w:sz w:val="24"/>
              <w:szCs w:val="24"/>
            </w:rPr>
            <w:t>:</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revenues by types of goods and services;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revenues by field and outlets;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revenues by class of customers.</w:t>
          </w:r>
        </w:p>
        <w:p>
          <w:pPr>
            <w:pStyle w:val="TextBody"/>
            <w:widowControl/>
            <w:spacing w:before="0" w:after="0"/>
            <w:ind w:left="0" w:right="0" w:hanging="0"/>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rPr>
              <w:rFonts w:ascii="Arial" w:hAnsi="Arial"/>
              <w:color w:val="000000"/>
              <w:sz w:val="24"/>
              <w:szCs w:val="24"/>
            </w:rPr>
          </w:pPr>
          <w:r>
            <w:rPr>
              <w:rFonts w:ascii="Arial" w:hAnsi="Arial"/>
              <w:b/>
              <w:bCs/>
              <w:i/>
              <w:iCs/>
              <w:caps w:val="false"/>
              <w:smallCaps w:val="false"/>
              <w:color w:val="000000"/>
              <w:spacing w:val="0"/>
              <w:sz w:val="24"/>
              <w:szCs w:val="24"/>
              <w:u w:val="single"/>
            </w:rPr>
            <w:t>Components that cause the gross size of a organisation budget</w:t>
          </w:r>
          <w:r>
            <w:rPr>
              <w:rFonts w:ascii="Arial" w:hAnsi="Arial"/>
              <w:b w:val="false"/>
              <w:i w:val="false"/>
              <w:caps w:val="false"/>
              <w:smallCaps w:val="false"/>
              <w:color w:val="000000"/>
              <w:spacing w:val="0"/>
              <w:sz w:val="24"/>
              <w:szCs w:val="24"/>
              <w:u w:val="single"/>
            </w:rPr>
            <w:t>:</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the commercial targets of the organisation:</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turnover rate, target market, market assets;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the commercial plan of action of the company, like products, consumer, cost and reduction policies;                                                                                                              - the general-purpose situation of the business organisation environment.</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To support the company's revenue budget, it is essential to expect the price of the resources to carry out the organisation activeness to obtain revenues and profits (</w:t>
          </w:r>
          <w:r>
            <w:rPr>
              <w:rFonts w:ascii="Arial" w:hAnsi="Arial"/>
              <w:b/>
              <w:bCs/>
              <w:i w:val="false"/>
              <w:iCs w:val="false"/>
              <w:caps w:val="false"/>
              <w:smallCaps w:val="false"/>
              <w:color w:val="000000"/>
              <w:spacing w:val="0"/>
              <w:sz w:val="24"/>
              <w:szCs w:val="24"/>
              <w:u w:val="none"/>
            </w:rPr>
            <w:t>Jukebox.esc13.net, 2012</w:t>
          </w:r>
          <w:r>
            <w:rPr>
              <w:rFonts w:ascii="Arial" w:hAnsi="Arial"/>
              <w:b w:val="false"/>
              <w:bCs w:val="false"/>
              <w:i w:val="false"/>
              <w:iCs w:val="false"/>
              <w:caps w:val="false"/>
              <w:smallCaps w:val="false"/>
              <w:color w:val="000000"/>
              <w:spacing w:val="0"/>
              <w:sz w:val="24"/>
              <w:szCs w:val="24"/>
              <w:u w:val="none"/>
            </w:rPr>
            <w:t>)</w:t>
          </w:r>
          <w:r>
            <w:rPr>
              <w:rFonts w:ascii="Arial" w:hAnsi="Arial"/>
              <w:b w:val="false"/>
              <w:i w:val="false"/>
              <w:caps w:val="false"/>
              <w:smallCaps w:val="false"/>
              <w:color w:val="000000"/>
              <w:spacing w:val="0"/>
              <w:sz w:val="24"/>
              <w:szCs w:val="24"/>
            </w:rPr>
            <w:t>.</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br/>
          </w:r>
          <w:r>
            <w:rPr>
              <w:rFonts w:ascii="Arial" w:hAnsi="Arial"/>
              <w:b/>
              <w:bCs/>
              <w:i/>
              <w:iCs/>
              <w:caps w:val="false"/>
              <w:smallCaps w:val="false"/>
              <w:color w:val="000000"/>
              <w:spacing w:val="0"/>
              <w:sz w:val="24"/>
              <w:szCs w:val="24"/>
              <w:u w:val="single"/>
            </w:rPr>
            <w:t>Expenditure budget</w:t>
          </w:r>
          <w:r>
            <w:rPr>
              <w:rFonts w:ascii="Arial" w:hAnsi="Arial"/>
              <w:b w:val="false"/>
              <w:i w:val="false"/>
              <w:caps w:val="false"/>
              <w:smallCaps w:val="false"/>
              <w:color w:val="000000"/>
              <w:spacing w:val="0"/>
              <w:sz w:val="24"/>
              <w:szCs w:val="24"/>
            </w:rPr>
            <w:t xml:space="preserve"> :</w:t>
          </w:r>
        </w:p>
        <w:p>
          <w:pPr>
            <w:pStyle w:val="TextBody"/>
            <w:widowControl/>
            <w:spacing w:before="0" w:after="0"/>
            <w:ind w:left="0" w:right="0" w:hanging="0"/>
            <w:rPr>
              <w:rFonts w:ascii="Arial" w:hAnsi="Arial"/>
              <w:color w:val="000000"/>
              <w:sz w:val="24"/>
              <w:szCs w:val="24"/>
            </w:rPr>
          </w:pPr>
          <w:r>
            <w:rPr>
              <w:rFonts w:ascii="Arial" w:hAnsi="Arial"/>
              <w:b/>
              <w:bCs/>
              <w:i w:val="false"/>
              <w:caps w:val="false"/>
              <w:smallCaps w:val="false"/>
              <w:color w:val="000000"/>
              <w:spacing w:val="0"/>
              <w:sz w:val="24"/>
              <w:szCs w:val="24"/>
            </w:rPr>
            <w:t>Ristea, M., Dumitru, C. and Ioanăş, C.</w:t>
          </w:r>
          <w:r>
            <w:rPr>
              <w:rFonts w:ascii="Arial" w:hAnsi="Arial"/>
              <w:b w:val="false"/>
              <w:i w:val="false"/>
              <w:caps w:val="false"/>
              <w:smallCaps w:val="false"/>
              <w:color w:val="000000"/>
              <w:spacing w:val="0"/>
              <w:sz w:val="24"/>
              <w:szCs w:val="24"/>
            </w:rPr>
            <w:t xml:space="preserve"> (2001)  says we need the following perspectives: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a) expending budgets according to the quality:</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for the consumption of materials;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for goods and raw material;</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for other resources: substances, extra parts, merchandise, provisions;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made by getting services from other organisations;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for utilities: rent, electricity, water, telecommunications, safety, rubish collection;</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other kind of work from other organisations: transportation, fixing, insurance policy, consulting, etc;</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the protocol and advertising;</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human resources;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salaries and social insurance;</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recruitment expenses;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rattles with professional training;</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the banking organisations;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banking services;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bank interests, exchange rate;</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the government organisations;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local taxes, fees, for goods held by the organisation;</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taxation on profit or income;</w:t>
          </w:r>
        </w:p>
        <w:p>
          <w:pPr>
            <w:pStyle w:val="TextBody"/>
            <w:widowControl/>
            <w:spacing w:before="0" w:after="0"/>
            <w:ind w:left="0" w:right="0" w:hanging="0"/>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rFonts w:ascii="Arial" w:hAnsi="Arial"/>
              <w:color w:val="000000"/>
              <w:sz w:val="24"/>
              <w:szCs w:val="24"/>
            </w:rPr>
          </w:pPr>
          <w:r>
            <w:rPr>
              <w:rFonts w:ascii="Arial" w:hAnsi="Arial"/>
              <w:b w:val="false"/>
              <w:i w:val="false"/>
              <w:caps w:val="false"/>
              <w:smallCaps w:val="false"/>
              <w:color w:val="000000"/>
              <w:spacing w:val="0"/>
              <w:sz w:val="24"/>
              <w:szCs w:val="24"/>
            </w:rPr>
            <w:t>2</w:t>
          </w:r>
        </w:p>
        <w:p>
          <w:pPr>
            <w:pStyle w:val="TextBody"/>
            <w:widowControl/>
            <w:spacing w:before="0" w:after="0"/>
            <w:ind w:left="0" w:right="0" w:hanging="0"/>
            <w:jc w:val="left"/>
            <w:rPr>
              <w:rFonts w:ascii="Arial" w:hAnsi="Arial"/>
              <w:color w:val="000000"/>
              <w:sz w:val="24"/>
              <w:szCs w:val="24"/>
            </w:rPr>
          </w:pPr>
          <w:r>
            <w:rPr>
              <w:rFonts w:ascii="Arial" w:hAnsi="Arial"/>
              <w:b w:val="false"/>
              <w:i w:val="false"/>
              <w:caps w:val="false"/>
              <w:smallCaps w:val="false"/>
              <w:color w:val="000000"/>
              <w:spacing w:val="0"/>
              <w:sz w:val="24"/>
              <w:szCs w:val="24"/>
            </w:rPr>
            <w:t>b) spending budgets reported to the nature of the organisation activity:</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for the operational activeness;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for production activities;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the activity of storehouse and spacing;</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the activity of publicity, sales services;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other activities such as, accounting and IT;</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regarding fiscal activity of the organisation;</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expenses with actual bank operations and for granting loans;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c) spending budgets reported to the costs: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fixed  budgets;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variable budgets.</w:t>
          </w:r>
        </w:p>
        <w:p>
          <w:pPr>
            <w:pStyle w:val="TextBody"/>
            <w:widowControl/>
            <w:spacing w:before="0" w:after="0"/>
            <w:ind w:left="0" w:right="0" w:hanging="0"/>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rPr>
              <w:rFonts w:ascii="Arial" w:hAnsi="Arial"/>
              <w:color w:val="000000"/>
              <w:sz w:val="24"/>
              <w:szCs w:val="24"/>
            </w:rPr>
          </w:pPr>
          <w:bookmarkStart w:id="0" w:name="__DdeLink__348_1452168198"/>
          <w:r>
            <w:rPr>
              <w:rFonts w:ascii="Arial" w:hAnsi="Arial"/>
              <w:b/>
              <w:bCs/>
              <w:i/>
              <w:iCs/>
              <w:caps w:val="false"/>
              <w:smallCaps w:val="false"/>
              <w:color w:val="000000"/>
              <w:spacing w:val="0"/>
              <w:sz w:val="24"/>
              <w:szCs w:val="24"/>
              <w:u w:val="single"/>
            </w:rPr>
            <w:t>Determinative factors to the general size of a organisation spending budget</w:t>
          </w:r>
          <w:bookmarkEnd w:id="0"/>
          <w:r>
            <w:rPr>
              <w:rFonts w:ascii="Arial" w:hAnsi="Arial"/>
              <w:b/>
              <w:bCs/>
              <w:i/>
              <w:iCs/>
              <w:caps w:val="false"/>
              <w:smallCaps w:val="false"/>
              <w:color w:val="000000"/>
              <w:spacing w:val="0"/>
              <w:sz w:val="24"/>
              <w:szCs w:val="24"/>
              <w:u w:val="single"/>
            </w:rPr>
            <w:t>:</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to the social control, commercialising, investing, HR, fiscal resources that aims to accomplish the strategical and yearly targets of the organisation;</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procurement and cost calculation policy;</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personnel department;</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investment funds, finance and amortization policy;</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the commercialised profit policy;</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fixed policy costs;</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 xml:space="preserve">- the situation of the business organisation surroundings.                                                               </w:t>
          </w:r>
          <w:r>
            <w:rPr>
              <w:rFonts w:ascii="Arial" w:hAnsi="Arial"/>
              <w:b w:val="false"/>
              <w:bCs/>
              <w:i w:val="false"/>
              <w:caps w:val="false"/>
              <w:smallCaps w:val="false"/>
              <w:color w:val="000000"/>
              <w:spacing w:val="0"/>
              <w:sz w:val="24"/>
              <w:szCs w:val="24"/>
            </w:rPr>
            <w:t>When variable income can be seen, then the budget for the last month is taken into account or the average for the last month.</w:t>
          </w:r>
        </w:p>
        <w:p>
          <w:pPr>
            <w:pStyle w:val="TextBody"/>
            <w:widowControl/>
            <w:spacing w:before="0" w:after="0"/>
            <w:ind w:left="0" w:right="0" w:hanging="0"/>
            <w:rPr>
              <w:rFonts w:ascii="Arial" w:hAnsi="Arial"/>
              <w:color w:val="000000"/>
              <w:sz w:val="24"/>
              <w:szCs w:val="24"/>
            </w:rPr>
          </w:pPr>
          <w:r>
            <w:rPr>
              <w:rFonts w:ascii="Arial" w:hAnsi="Arial"/>
              <w:b w:val="false"/>
              <w:i w:val="false"/>
              <w:caps w:val="false"/>
              <w:smallCaps w:val="false"/>
              <w:color w:val="000000"/>
              <w:spacing w:val="0"/>
              <w:sz w:val="24"/>
              <w:szCs w:val="24"/>
            </w:rPr>
            <w:t>In the elaboration and activity of the institution income and expense, all the management team and the economics specialists contribute, who must have an identical vision on the business concern, to create a coordinated scheme of objectives, strategies and organisation policies, and efficiently to control the resources (</w:t>
          </w:r>
          <w:r>
            <w:rPr>
              <w:rFonts w:ascii="Arial" w:hAnsi="Arial"/>
              <w:b/>
              <w:bCs/>
              <w:i w:val="false"/>
              <w:iCs w:val="false"/>
              <w:caps w:val="false"/>
              <w:smallCaps w:val="false"/>
              <w:color w:val="000000"/>
              <w:spacing w:val="0"/>
              <w:sz w:val="24"/>
              <w:szCs w:val="24"/>
              <w:u w:val="none"/>
            </w:rPr>
            <w:t>TUOVILA, 2019</w:t>
          </w:r>
          <w:r>
            <w:rPr>
              <w:rFonts w:ascii="Arial" w:hAnsi="Arial"/>
              <w:b w:val="false"/>
              <w:bCs w:val="false"/>
              <w:i w:val="false"/>
              <w:iCs w:val="false"/>
              <w:caps w:val="false"/>
              <w:smallCaps w:val="false"/>
              <w:color w:val="000000"/>
              <w:spacing w:val="0"/>
              <w:sz w:val="24"/>
              <w:szCs w:val="24"/>
              <w:u w:val="none"/>
            </w:rPr>
            <w:t>)</w:t>
          </w:r>
          <w:r>
            <w:rPr>
              <w:rFonts w:ascii="Arial" w:hAnsi="Arial"/>
              <w:b w:val="false"/>
              <w:i w:val="false"/>
              <w:caps w:val="false"/>
              <w:smallCaps w:val="false"/>
              <w:color w:val="000000"/>
              <w:spacing w:val="0"/>
              <w:sz w:val="24"/>
              <w:szCs w:val="24"/>
            </w:rPr>
            <w:t xml:space="preserve">.   </w:t>
          </w:r>
          <w:r>
            <w:rPr>
              <w:rFonts w:ascii="Arial" w:hAnsi="Arial"/>
              <w:b w:val="false"/>
              <w:bCs/>
              <w:i w:val="false"/>
              <w:caps w:val="false"/>
              <w:smallCaps w:val="false"/>
              <w:color w:val="000000"/>
              <w:spacing w:val="0"/>
              <w:sz w:val="24"/>
              <w:szCs w:val="24"/>
            </w:rPr>
            <w:t>There are fixed monthly expenses, the same amount every month that is part of certain parts of the home and telecommunications, bank rates, rent, if applicable, payment of educational standards or other changes of subscription or care of services at the same time. Another important category of expenses is the annual, quarterly or occasional expenses. Examples of such expenses are annual taxes and fees, quarterly or annual payments (</w:t>
          </w:r>
          <w:r>
            <w:rPr>
              <w:rFonts w:ascii="Arial" w:hAnsi="Arial"/>
              <w:b/>
              <w:bCs/>
              <w:i w:val="false"/>
              <w:caps w:val="false"/>
              <w:smallCaps w:val="false"/>
              <w:color w:val="000000"/>
              <w:spacing w:val="0"/>
              <w:sz w:val="24"/>
              <w:szCs w:val="24"/>
            </w:rPr>
            <w:t>Feleagă, N. and Ionaşcu, I., 1998</w:t>
          </w:r>
          <w:r>
            <w:rPr>
              <w:rFonts w:ascii="Arial" w:hAnsi="Arial"/>
              <w:b w:val="false"/>
              <w:bCs/>
              <w:i w:val="false"/>
              <w:caps w:val="false"/>
              <w:smallCaps w:val="false"/>
              <w:color w:val="000000"/>
              <w:spacing w:val="0"/>
              <w:sz w:val="24"/>
              <w:szCs w:val="24"/>
            </w:rPr>
            <w:t>).                                                                                                                    There are several ways of spending or to calculate operating expenses, one starts from the previous financial statement. Here it can include a detailed list of fixed and variable expenses that we had during the year, such as salaries, rent, delivery, utilities or taxes. Establishing the gross profit margin is essential. It is necessary to estimate the costs of products sold, inventoried, purchased or manufactured, transportation taxes and other costs, which then subtract from total sales revenue (</w:t>
          </w:r>
          <w:r>
            <w:rPr>
              <w:rFonts w:ascii="Arial" w:hAnsi="Arial"/>
              <w:b/>
              <w:bCs/>
              <w:i w:val="false"/>
              <w:iCs w:val="false"/>
              <w:caps w:val="false"/>
              <w:smallCaps w:val="false"/>
              <w:color w:val="000000"/>
              <w:spacing w:val="0"/>
              <w:sz w:val="24"/>
              <w:szCs w:val="24"/>
              <w:u w:val="none"/>
            </w:rPr>
            <w:t>Financer.com, 2019</w:t>
          </w:r>
          <w:r>
            <w:rPr>
              <w:rFonts w:ascii="Arial" w:hAnsi="Arial"/>
              <w:b w:val="false"/>
              <w:bCs w:val="false"/>
              <w:i w:val="false"/>
              <w:iCs w:val="false"/>
              <w:caps w:val="false"/>
              <w:smallCaps w:val="false"/>
              <w:color w:val="000000"/>
              <w:spacing w:val="0"/>
              <w:sz w:val="24"/>
              <w:szCs w:val="24"/>
              <w:u w:val="none"/>
            </w:rPr>
            <w:t>)</w:t>
          </w:r>
          <w:r>
            <w:rPr>
              <w:rFonts w:ascii="Arial" w:hAnsi="Arial"/>
              <w:b w:val="false"/>
              <w:bCs/>
              <w:i w:val="false"/>
              <w:caps w:val="false"/>
              <w:smallCaps w:val="false"/>
              <w:color w:val="000000"/>
              <w:spacing w:val="0"/>
              <w:sz w:val="24"/>
              <w:szCs w:val="24"/>
            </w:rPr>
            <w:t>.</w:t>
          </w:r>
          <w:r>
            <w:rPr>
              <w:rFonts w:ascii="Arial" w:hAnsi="Arial"/>
              <w:b w:val="false"/>
              <w:i w:val="false"/>
              <w:caps w:val="false"/>
              <w:smallCaps w:val="false"/>
              <w:color w:val="000000"/>
              <w:spacing w:val="0"/>
              <w:sz w:val="24"/>
              <w:szCs w:val="24"/>
            </w:rPr>
            <w:t xml:space="preserve">   </w:t>
          </w:r>
        </w:p>
        <w:p>
          <w:pPr>
            <w:pStyle w:val="TextBody"/>
            <w:widowControl/>
            <w:spacing w:before="0" w:after="0"/>
            <w:ind w:left="0" w:right="0" w:hanging="0"/>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widowControl/>
            <w:spacing w:before="0" w:after="0"/>
            <w:ind w:left="0" w:right="0" w:hanging="0"/>
            <w:jc w:val="center"/>
            <w:rPr/>
          </w:pPr>
          <w:r>
            <w:rPr>
              <w:rFonts w:ascii="Arial" w:hAnsi="Arial"/>
              <w:color w:val="000000"/>
              <w:sz w:val="24"/>
              <w:szCs w:val="24"/>
            </w:rPr>
          </w:r>
        </w:p>
        <w:p>
          <w:pPr>
            <w:pStyle w:val="TextBody"/>
            <w:widowControl/>
            <w:spacing w:before="0" w:after="0"/>
            <w:ind w:left="0" w:right="0" w:hanging="0"/>
            <w:jc w:val="center"/>
            <w:rPr/>
          </w:pPr>
          <w:r>
            <w:rPr>
              <w:rFonts w:ascii="Arial" w:hAnsi="Arial"/>
              <w:color w:val="000000"/>
              <w:sz w:val="24"/>
              <w:szCs w:val="24"/>
            </w:rPr>
          </w:r>
        </w:p>
        <w:p>
          <w:pPr>
            <w:pStyle w:val="TextBody"/>
            <w:widowControl/>
            <w:spacing w:before="0" w:after="0"/>
            <w:ind w:left="0" w:right="0" w:hanging="0"/>
            <w:jc w:val="center"/>
            <w:rPr/>
          </w:pPr>
          <w:r>
            <w:rPr>
              <w:rFonts w:ascii="Arial" w:hAnsi="Arial"/>
              <w:color w:val="000000"/>
              <w:sz w:val="24"/>
              <w:szCs w:val="24"/>
            </w:rPr>
          </w:r>
        </w:p>
        <w:p>
          <w:pPr>
            <w:pStyle w:val="TextBody"/>
            <w:widowControl/>
            <w:spacing w:before="0" w:after="0"/>
            <w:ind w:left="0" w:right="0" w:hanging="0"/>
            <w:jc w:val="center"/>
            <w:rPr>
              <w:rFonts w:ascii="Arial" w:hAnsi="Arial"/>
              <w:color w:val="000000"/>
              <w:sz w:val="24"/>
              <w:szCs w:val="24"/>
            </w:rPr>
          </w:pPr>
          <w:r>
            <w:rPr>
              <w:rFonts w:ascii="Arial" w:hAnsi="Arial"/>
              <w:color w:val="000000"/>
              <w:sz w:val="24"/>
              <w:szCs w:val="24"/>
            </w:rPr>
            <w:t>3</w:t>
          </w:r>
        </w:p>
        <w:p>
          <w:pPr>
            <w:pStyle w:val="TextBody"/>
            <w:widowControl/>
            <w:spacing w:before="0" w:after="0"/>
            <w:ind w:left="0" w:right="0" w:hanging="0"/>
            <w:jc w:val="center"/>
            <w:rPr>
              <w:rFonts w:ascii="Arial" w:hAnsi="Arial"/>
              <w:color w:val="000000"/>
              <w:sz w:val="24"/>
              <w:szCs w:val="24"/>
            </w:rPr>
          </w:pPr>
          <w:r>
            <w:rPr>
              <w:rFonts w:ascii="Arial" w:hAnsi="Arial"/>
              <w:b/>
              <w:bCs/>
              <w:color w:val="000000"/>
              <w:sz w:val="24"/>
              <w:szCs w:val="24"/>
            </w:rPr>
            <w:t>Conclusion</w:t>
          </w:r>
        </w:p>
        <w:p>
          <w:pPr>
            <w:pStyle w:val="NoSpacing"/>
            <w:spacing w:before="1540" w:after="240"/>
            <w:jc w:val="center"/>
            <w:rPr>
              <w:rFonts w:ascii="Arial" w:hAnsi="Arial"/>
              <w:b/>
              <w:b/>
              <w:bCs/>
              <w:color w:val="000000"/>
              <w:sz w:val="24"/>
              <w:szCs w:val="24"/>
            </w:rPr>
          </w:pPr>
          <w:r>
            <w:rPr>
              <w:rFonts w:ascii="Arial" w:hAnsi="Arial"/>
              <w:b/>
              <w:bCs/>
              <w:color w:val="000000"/>
              <w:sz w:val="24"/>
              <w:szCs w:val="24"/>
            </w:rPr>
          </w:r>
        </w:p>
        <w:p>
          <w:pPr>
            <w:pStyle w:val="TextBody"/>
            <w:widowControl/>
            <w:spacing w:lineRule="atLeast" w:line="375" w:before="0" w:after="0"/>
            <w:ind w:left="0" w:right="0" w:hanging="0"/>
            <w:jc w:val="both"/>
            <w:rPr>
              <w:rFonts w:ascii="Arial" w:hAnsi="Arial"/>
              <w:color w:val="000000"/>
              <w:sz w:val="24"/>
              <w:szCs w:val="24"/>
            </w:rPr>
          </w:pPr>
          <w:r>
            <w:rPr>
              <w:rFonts w:ascii="Arial" w:hAnsi="Arial"/>
              <w:b w:val="false"/>
              <w:bCs/>
              <w:i w:val="false"/>
              <w:caps w:val="false"/>
              <w:smallCaps w:val="false"/>
              <w:color w:val="000000"/>
              <w:spacing w:val="0"/>
              <w:sz w:val="24"/>
              <w:szCs w:val="24"/>
            </w:rPr>
            <w:t>If more time can be accumulated behind them, we must also make changes in the management of our funding to reach lower costs, in order to earn more or both. The ultimate goal in terms of investments in financial behaviour is to get to the economy, so the investment ensure future financing as we want. It is advisable to start from sales and / or profits, as this information will determine the other estimates, for costs, expenses and investments. Factors that could affect sales figures should be considered. We must consider certain issues that may affect sales, savings or loss of customers.</w:t>
          </w:r>
        </w:p>
        <w:p>
          <w:pPr>
            <w:pStyle w:val="TextBody"/>
            <w:widowControl/>
            <w:spacing w:lineRule="atLeast" w:line="375" w:before="0" w:after="0"/>
            <w:ind w:left="0" w:right="0" w:hanging="0"/>
            <w:jc w:val="both"/>
            <w:rPr>
              <w:rFonts w:ascii="Arial" w:hAnsi="Arial"/>
              <w:color w:val="000000"/>
              <w:sz w:val="24"/>
              <w:szCs w:val="24"/>
            </w:rPr>
          </w:pPr>
          <w:r>
            <w:rPr>
              <w:rFonts w:ascii="Arial" w:hAnsi="Arial"/>
              <w:b w:val="false"/>
              <w:bCs/>
              <w:i w:val="false"/>
              <w:caps w:val="false"/>
              <w:smallCaps w:val="false"/>
              <w:color w:val="000000"/>
              <w:spacing w:val="0"/>
              <w:sz w:val="24"/>
              <w:szCs w:val="24"/>
            </w:rPr>
            <w:t>If there is a discrepancy between the set budget and the reality, it must be checked and confronted with the reality, to see where it went wrong.</w:t>
          </w:r>
        </w:p>
        <w:p>
          <w:pPr>
            <w:pStyle w:val="TextBody"/>
            <w:widowControl/>
            <w:spacing w:lineRule="atLeast" w:line="375" w:before="0" w:after="0"/>
            <w:ind w:left="0" w:right="0" w:hanging="0"/>
            <w:jc w:val="both"/>
            <w:rPr>
              <w:rFonts w:ascii="Arial" w:hAnsi="Arial"/>
              <w:color w:val="000000"/>
              <w:sz w:val="24"/>
              <w:szCs w:val="24"/>
            </w:rPr>
          </w:pPr>
          <w:r>
            <w:rPr>
              <w:rFonts w:ascii="Arial" w:hAnsi="Arial"/>
              <w:b w:val="false"/>
              <w:bCs/>
              <w:i w:val="false"/>
              <w:caps w:val="false"/>
              <w:smallCaps w:val="false"/>
              <w:color w:val="000000"/>
              <w:spacing w:val="0"/>
              <w:sz w:val="24"/>
              <w:szCs w:val="24"/>
            </w:rPr>
            <w:t>The additional amounts generated from the realization of a personal budget must be invested and deposited in a savings account. And as a positive result due to a well realized budget, to prevent some unforeseen expenses, it can be taken from the money from the savings account.</w:t>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both"/>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val="false"/>
              <w:b w:val="false"/>
              <w:bCs/>
              <w:i w:val="false"/>
              <w:i w:val="false"/>
              <w:caps w:val="false"/>
              <w:smallCaps w:val="false"/>
              <w:color w:val="000000"/>
              <w:spacing w:val="0"/>
              <w:sz w:val="24"/>
              <w:szCs w:val="24"/>
            </w:rPr>
          </w:pPr>
          <w:r>
            <w:rPr>
              <w:rFonts w:ascii="Arial" w:hAnsi="Arial"/>
              <w:b w:val="false"/>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color w:val="000000"/>
              <w:sz w:val="24"/>
              <w:szCs w:val="24"/>
            </w:rPr>
          </w:pPr>
          <w:r>
            <w:rPr>
              <w:rFonts w:ascii="Arial" w:hAnsi="Arial"/>
              <w:b w:val="false"/>
              <w:bCs/>
              <w:i w:val="false"/>
              <w:caps w:val="false"/>
              <w:smallCaps w:val="false"/>
              <w:color w:val="000000"/>
              <w:spacing w:val="0"/>
              <w:sz w:val="24"/>
              <w:szCs w:val="24"/>
            </w:rPr>
            <w:t>4</w:t>
          </w:r>
        </w:p>
        <w:p>
          <w:pPr>
            <w:pStyle w:val="TextBody"/>
            <w:widowControl/>
            <w:spacing w:lineRule="atLeast" w:line="375" w:before="0" w:after="0"/>
            <w:ind w:left="0" w:right="0" w:hanging="0"/>
            <w:jc w:val="center"/>
            <w:rPr>
              <w:rFonts w:ascii="Arial" w:hAnsi="Arial"/>
              <w:color w:val="000000"/>
              <w:sz w:val="24"/>
              <w:szCs w:val="24"/>
            </w:rPr>
          </w:pPr>
          <w:r>
            <w:rPr>
              <w:rFonts w:ascii="Arial" w:hAnsi="Arial"/>
              <w:b w:val="false"/>
              <w:bCs/>
              <w:i w:val="false"/>
              <w:caps w:val="false"/>
              <w:smallCaps w:val="false"/>
              <w:color w:val="000000"/>
              <w:spacing w:val="0"/>
              <w:sz w:val="24"/>
              <w:szCs w:val="24"/>
            </w:rPr>
            <w:t>References</w:t>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left"/>
            <w:rPr>
              <w:rFonts w:ascii="Arial" w:hAnsi="Arial"/>
              <w:color w:val="000000"/>
              <w:sz w:val="24"/>
              <w:szCs w:val="24"/>
            </w:rPr>
          </w:pPr>
          <w:r>
            <w:rPr>
              <w:rFonts w:ascii="Arial" w:hAnsi="Arial"/>
              <w:b w:val="false"/>
              <w:bCs w:val="false"/>
              <w:i w:val="false"/>
              <w:iCs w:val="false"/>
              <w:caps w:val="false"/>
              <w:smallCaps w:val="false"/>
              <w:color w:val="000000"/>
              <w:spacing w:val="0"/>
              <w:sz w:val="24"/>
              <w:szCs w:val="24"/>
              <w:u w:val="none"/>
            </w:rPr>
            <w:t>1. Financer.com. (2019). Create your own budget. [online] Available at: https://financer.com/ro/personal-finance/why-it-it-important-a-budget/ [Accessed 10 Dec. 2019];</w:t>
          </w:r>
        </w:p>
        <w:p>
          <w:pPr>
            <w:pStyle w:val="TextBody"/>
            <w:widowControl/>
            <w:spacing w:lineRule="atLeast" w:line="375" w:before="0" w:after="0"/>
            <w:ind w:left="0" w:right="0" w:hanging="0"/>
            <w:jc w:val="left"/>
            <w:rPr>
              <w:rFonts w:ascii="Arial" w:hAnsi="Arial"/>
              <w:color w:val="000000"/>
              <w:sz w:val="24"/>
              <w:szCs w:val="24"/>
            </w:rPr>
          </w:pPr>
          <w:r>
            <w:rPr>
              <w:rFonts w:ascii="Arial" w:hAnsi="Arial"/>
              <w:b w:val="false"/>
              <w:bCs w:val="false"/>
              <w:i w:val="false"/>
              <w:iCs w:val="false"/>
              <w:caps w:val="false"/>
              <w:smallCaps w:val="false"/>
              <w:color w:val="000000"/>
              <w:spacing w:val="0"/>
              <w:sz w:val="24"/>
              <w:szCs w:val="24"/>
              <w:u w:val="none"/>
            </w:rPr>
            <w:t xml:space="preserve">2. </w:t>
          </w:r>
          <w:bookmarkStart w:id="1" w:name="__DdeLink__113_3166651123"/>
          <w:r>
            <w:rPr>
              <w:rFonts w:ascii="Arial" w:hAnsi="Arial"/>
              <w:b w:val="false"/>
              <w:bCs w:val="false"/>
              <w:i w:val="false"/>
              <w:iCs w:val="false"/>
              <w:caps w:val="false"/>
              <w:smallCaps w:val="false"/>
              <w:color w:val="000000"/>
              <w:spacing w:val="0"/>
              <w:sz w:val="24"/>
              <w:szCs w:val="24"/>
              <w:u w:val="none"/>
            </w:rPr>
            <w:t>TUOVILA, A. (2019)</w:t>
          </w:r>
          <w:bookmarkEnd w:id="1"/>
          <w:r>
            <w:rPr>
              <w:rFonts w:ascii="Arial" w:hAnsi="Arial"/>
              <w:b w:val="false"/>
              <w:bCs w:val="false"/>
              <w:i w:val="false"/>
              <w:iCs w:val="false"/>
              <w:caps w:val="false"/>
              <w:smallCaps w:val="false"/>
              <w:color w:val="000000"/>
              <w:spacing w:val="0"/>
              <w:sz w:val="24"/>
              <w:szCs w:val="24"/>
              <w:u w:val="none"/>
            </w:rPr>
            <w:t xml:space="preserve">. </w:t>
          </w:r>
          <w:r>
            <w:rPr>
              <w:rFonts w:ascii="Arial" w:hAnsi="Arial"/>
              <w:b w:val="false"/>
              <w:bCs w:val="false"/>
              <w:i w:val="false"/>
              <w:iCs w:val="false"/>
              <w:color w:val="000000"/>
              <w:spacing w:val="0"/>
              <w:sz w:val="24"/>
              <w:szCs w:val="24"/>
              <w:u w:val="none"/>
            </w:rPr>
            <w:t>Cash Budget</w:t>
          </w:r>
          <w:r>
            <w:rPr>
              <w:rFonts w:ascii="Arial" w:hAnsi="Arial"/>
              <w:b w:val="false"/>
              <w:bCs w:val="false"/>
              <w:i w:val="false"/>
              <w:iCs w:val="false"/>
              <w:caps w:val="false"/>
              <w:smallCaps w:val="false"/>
              <w:color w:val="000000"/>
              <w:spacing w:val="0"/>
              <w:sz w:val="24"/>
              <w:szCs w:val="24"/>
              <w:u w:val="none"/>
            </w:rPr>
            <w:t>. [online] Investopedia. Available at: https://www.investopedia.com/terms/c/cashbudget.asp [Accessed 9 Dec. 2019];</w:t>
          </w:r>
        </w:p>
        <w:p>
          <w:pPr>
            <w:pStyle w:val="TextBody"/>
            <w:widowControl/>
            <w:spacing w:lineRule="atLeast" w:line="375" w:before="0" w:after="0"/>
            <w:ind w:left="0" w:right="0" w:hanging="0"/>
            <w:jc w:val="left"/>
            <w:rPr>
              <w:rFonts w:ascii="Arial" w:hAnsi="Arial"/>
              <w:color w:val="000000"/>
              <w:sz w:val="24"/>
              <w:szCs w:val="24"/>
            </w:rPr>
          </w:pPr>
          <w:r>
            <w:rPr>
              <w:rFonts w:ascii="Arial" w:hAnsi="Arial"/>
              <w:b w:val="false"/>
              <w:bCs w:val="false"/>
              <w:i w:val="false"/>
              <w:iCs w:val="false"/>
              <w:caps w:val="false"/>
              <w:smallCaps w:val="false"/>
              <w:color w:val="000000"/>
              <w:spacing w:val="0"/>
              <w:sz w:val="24"/>
              <w:szCs w:val="24"/>
              <w:u w:val="none"/>
            </w:rPr>
            <w:t>3. Jukebox.esc13.net. (2012). Financial Forecasting and the Monthly Cash Budget. [online] Available at: http://jukebox.esc13.net/untdeveloper/RM/RM_L9_P6/mobile_pages/RM_L9_P66.html [Accessed 10 Dec. 2019];</w:t>
          </w:r>
        </w:p>
        <w:p>
          <w:pPr>
            <w:pStyle w:val="TextBody"/>
            <w:widowControl/>
            <w:spacing w:lineRule="atLeast" w:line="375" w:before="0" w:after="0"/>
            <w:ind w:left="0" w:right="0" w:hanging="0"/>
            <w:jc w:val="left"/>
            <w:rPr>
              <w:rFonts w:ascii="Arial" w:hAnsi="Arial"/>
              <w:color w:val="000000"/>
              <w:sz w:val="24"/>
              <w:szCs w:val="24"/>
            </w:rPr>
          </w:pPr>
          <w:r>
            <w:rPr>
              <w:rFonts w:ascii="Arial" w:hAnsi="Arial"/>
              <w:b w:val="false"/>
              <w:bCs w:val="false"/>
              <w:i w:val="false"/>
              <w:iCs w:val="false"/>
              <w:caps w:val="false"/>
              <w:smallCaps w:val="false"/>
              <w:color w:val="000000"/>
              <w:spacing w:val="0"/>
              <w:sz w:val="24"/>
              <w:szCs w:val="24"/>
              <w:u w:val="none"/>
            </w:rPr>
            <w:t xml:space="preserve">4. </w:t>
          </w:r>
          <w:r>
            <w:rPr>
              <w:rFonts w:ascii="Arial" w:hAnsi="Arial"/>
              <w:b w:val="false"/>
              <w:i w:val="false"/>
              <w:caps w:val="false"/>
              <w:smallCaps w:val="false"/>
              <w:color w:val="000000"/>
              <w:spacing w:val="0"/>
              <w:sz w:val="24"/>
              <w:szCs w:val="24"/>
            </w:rPr>
            <w:t xml:space="preserve">Feleagă, N. and Ionaşcu, I. (1998). </w:t>
          </w:r>
          <w:r>
            <w:rPr>
              <w:rFonts w:ascii="Arial" w:hAnsi="Arial"/>
              <w:b w:val="false"/>
              <w:i/>
              <w:caps w:val="false"/>
              <w:smallCaps w:val="false"/>
              <w:color w:val="000000"/>
              <w:spacing w:val="0"/>
              <w:sz w:val="24"/>
              <w:szCs w:val="24"/>
            </w:rPr>
            <w:t>Financial accounting treaty</w:t>
          </w:r>
          <w:r>
            <w:rPr>
              <w:rFonts w:ascii="Arial" w:hAnsi="Arial"/>
              <w:b w:val="false"/>
              <w:i w:val="false"/>
              <w:caps w:val="false"/>
              <w:smallCaps w:val="false"/>
              <w:color w:val="000000"/>
              <w:spacing w:val="0"/>
              <w:sz w:val="24"/>
              <w:szCs w:val="24"/>
            </w:rPr>
            <w:t>. Bucharest: Economic Publishing House;</w:t>
          </w:r>
        </w:p>
        <w:p>
          <w:pPr>
            <w:pStyle w:val="TextBody"/>
            <w:widowControl/>
            <w:spacing w:lineRule="atLeast" w:line="375" w:before="0" w:after="0"/>
            <w:ind w:left="0" w:right="0" w:hanging="0"/>
            <w:jc w:val="left"/>
            <w:rPr>
              <w:rFonts w:ascii="Arial" w:hAnsi="Arial"/>
              <w:color w:val="000000"/>
              <w:sz w:val="24"/>
              <w:szCs w:val="24"/>
            </w:rPr>
          </w:pPr>
          <w:r>
            <w:rPr>
              <w:rFonts w:ascii="Arial" w:hAnsi="Arial"/>
              <w:b w:val="false"/>
              <w:i w:val="false"/>
              <w:caps w:val="false"/>
              <w:smallCaps w:val="false"/>
              <w:color w:val="000000"/>
              <w:spacing w:val="0"/>
              <w:sz w:val="24"/>
              <w:szCs w:val="24"/>
            </w:rPr>
            <w:t>5. Ristea, M., Dumitru, C. and Ioanăş, C. (2001).</w:t>
          </w:r>
          <w:r>
            <w:rPr>
              <w:rFonts w:ascii="Arial" w:hAnsi="Arial"/>
              <w:b w:val="false"/>
              <w:i/>
              <w:caps w:val="false"/>
              <w:smallCaps w:val="false"/>
              <w:color w:val="000000"/>
              <w:spacing w:val="0"/>
              <w:sz w:val="24"/>
              <w:szCs w:val="24"/>
            </w:rPr>
            <w:t>Company accounting</w:t>
          </w:r>
          <w:r>
            <w:rPr>
              <w:rFonts w:ascii="Arial" w:hAnsi="Arial"/>
              <w:b w:val="false"/>
              <w:i w:val="false"/>
              <w:caps w:val="false"/>
              <w:smallCaps w:val="false"/>
              <w:color w:val="000000"/>
              <w:spacing w:val="0"/>
              <w:sz w:val="24"/>
              <w:szCs w:val="24"/>
            </w:rPr>
            <w:t>. Bucharest: Mărgăritar;</w:t>
          </w:r>
        </w:p>
        <w:p>
          <w:pPr>
            <w:pStyle w:val="TextBody"/>
            <w:widowControl/>
            <w:spacing w:lineRule="atLeast" w:line="375" w:before="0" w:after="0"/>
            <w:ind w:left="0" w:right="0" w:hanging="0"/>
            <w:jc w:val="left"/>
            <w:rPr>
              <w:rFonts w:ascii="Arial" w:hAnsi="Arial"/>
              <w:color w:val="000000"/>
              <w:sz w:val="24"/>
              <w:szCs w:val="24"/>
            </w:rPr>
          </w:pPr>
          <w:r>
            <w:rPr>
              <w:rFonts w:ascii="Arial" w:hAnsi="Arial"/>
              <w:b w:val="false"/>
              <w:i w:val="false"/>
              <w:caps w:val="false"/>
              <w:smallCaps w:val="false"/>
              <w:color w:val="000000"/>
              <w:spacing w:val="0"/>
              <w:sz w:val="24"/>
              <w:szCs w:val="24"/>
            </w:rPr>
            <w:t xml:space="preserve">6. Florea, S. (2002). </w:t>
          </w:r>
          <w:r>
            <w:rPr>
              <w:rFonts w:ascii="Arial" w:hAnsi="Arial"/>
              <w:b w:val="false"/>
              <w:i/>
              <w:caps w:val="false"/>
              <w:smallCaps w:val="false"/>
              <w:color w:val="000000"/>
              <w:spacing w:val="0"/>
              <w:sz w:val="24"/>
              <w:szCs w:val="24"/>
            </w:rPr>
            <w:t>Practical financial accounting</w:t>
          </w:r>
          <w:r>
            <w:rPr>
              <w:rFonts w:ascii="Arial" w:hAnsi="Arial"/>
              <w:b w:val="false"/>
              <w:i w:val="false"/>
              <w:caps w:val="false"/>
              <w:smallCaps w:val="false"/>
              <w:color w:val="000000"/>
              <w:spacing w:val="0"/>
              <w:sz w:val="24"/>
              <w:szCs w:val="24"/>
            </w:rPr>
            <w:t xml:space="preserve">. Constanta: Ex Ponto. </w:t>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TextBody"/>
            <w:widowControl/>
            <w:spacing w:lineRule="atLeast" w:line="375" w:before="0" w:after="0"/>
            <w:ind w:left="0" w:right="0" w:hanging="0"/>
            <w:jc w:val="center"/>
            <w:rPr>
              <w:b w:val="false"/>
              <w:b w:val="false"/>
              <w:bCs/>
              <w:i w:val="false"/>
              <w:i w:val="false"/>
              <w:caps w:val="false"/>
              <w:smallCaps w:val="false"/>
              <w:spacing w:val="0"/>
            </w:rPr>
          </w:pPr>
          <w:r>
            <w:rPr>
              <w:rFonts w:ascii="Arial" w:hAnsi="Arial"/>
              <w:color w:val="000000"/>
              <w:sz w:val="24"/>
              <w:szCs w:val="24"/>
            </w:rPr>
          </w:r>
        </w:p>
        <w:p>
          <w:pPr>
            <w:pStyle w:val="TextBody"/>
            <w:widowControl/>
            <w:spacing w:lineRule="atLeast" w:line="375" w:before="0" w:after="0"/>
            <w:ind w:left="0" w:right="0" w:hanging="0"/>
            <w:jc w:val="center"/>
            <w:rPr>
              <w:b w:val="false"/>
              <w:b w:val="false"/>
              <w:bCs/>
              <w:i w:val="false"/>
              <w:i w:val="false"/>
              <w:caps w:val="false"/>
              <w:smallCaps w:val="false"/>
              <w:spacing w:val="0"/>
            </w:rPr>
          </w:pPr>
          <w:r>
            <w:rPr>
              <w:rFonts w:ascii="Arial" w:hAnsi="Arial"/>
              <w:color w:val="000000"/>
              <w:sz w:val="24"/>
              <w:szCs w:val="24"/>
            </w:rPr>
          </w:r>
        </w:p>
        <w:p>
          <w:pPr>
            <w:pStyle w:val="TextBody"/>
            <w:widowControl/>
            <w:spacing w:lineRule="atLeast" w:line="375" w:before="0" w:after="0"/>
            <w:ind w:left="0" w:right="0" w:hanging="0"/>
            <w:jc w:val="center"/>
            <w:rPr>
              <w:rFonts w:ascii="Arial" w:hAnsi="Arial"/>
              <w:color w:val="000000"/>
              <w:sz w:val="24"/>
              <w:szCs w:val="24"/>
            </w:rPr>
          </w:pPr>
          <w:r>
            <w:rPr>
              <w:rFonts w:ascii="Arial" w:hAnsi="Arial"/>
              <w:b w:val="false"/>
              <w:bCs/>
              <w:i w:val="false"/>
              <w:caps w:val="false"/>
              <w:smallCaps w:val="false"/>
              <w:color w:val="000000"/>
              <w:spacing w:val="0"/>
              <w:sz w:val="24"/>
              <w:szCs w:val="24"/>
            </w:rPr>
            <w:t>5</w:t>
          </w:r>
        </w:p>
      </w:sdtContent>
    </w:sdt>
    <w:sectPr>
      <w:headerReference w:type="default" r:id="rId4"/>
      <w:type w:val="nextPage"/>
      <w:pgSz w:w="11906" w:h="16838"/>
      <w:pgMar w:left="1440" w:right="1440" w:header="0" w:top="1440" w:footer="0" w:bottom="708"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Lucida Grande">
    <w:charset w:val="00"/>
    <w:family w:val="roman"/>
    <w:pitch w:val="variable"/>
  </w:font>
  <w:font w:name="Arial">
    <w:charset w:val="00"/>
    <w:family w:val="roman"/>
    <w:pitch w:val="variable"/>
  </w:font>
  <w:font w:name="Arial">
    <w:charset w:val="01"/>
    <w:family w:val="swiss"/>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drawing>
        <wp:anchor behindDoc="1" distT="0" distB="0" distL="0" distR="0" simplePos="0" locked="0" layoutInCell="1" allowOverlap="1" relativeHeight="3">
          <wp:simplePos x="0" y="0"/>
          <wp:positionH relativeFrom="column">
            <wp:align>center</wp:align>
          </wp:positionH>
          <wp:positionV relativeFrom="paragraph">
            <wp:posOffset>635</wp:posOffset>
          </wp:positionV>
          <wp:extent cx="6888480" cy="2032635"/>
          <wp:effectExtent l="0" t="0" r="0" b="0"/>
          <wp:wrapSquare wrapText="largest"/>
          <wp:docPr id="2"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 descr=""/>
                  <pic:cNvPicPr>
                    <a:picLocks noChangeAspect="1" noChangeArrowheads="1"/>
                  </pic:cNvPicPr>
                </pic:nvPicPr>
                <pic:blipFill>
                  <a:blip r:embed="rId1"/>
                  <a:stretch>
                    <a:fillRect/>
                  </a:stretch>
                </pic:blipFill>
                <pic:spPr bwMode="auto">
                  <a:xfrm>
                    <a:off x="0" y="0"/>
                    <a:ext cx="6888480" cy="2032635"/>
                  </a:xfrm>
                  <a:prstGeom prst="rect">
                    <a:avLst/>
                  </a:prstGeom>
                </pic:spPr>
              </pic:pic>
            </a:graphicData>
          </a:graphic>
        </wp:anchor>
      </w:drawing>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spacing w:before="0" w:after="160"/>
      <w:rPr/>
    </w:pPr>
    <w:r>
      <w:rPr/>
    </w:r>
  </w:p>
</w:hdr>
</file>

<file path=word/settings.xml><?xml version="1.0" encoding="utf-8"?>
<w:settings xmlns:w="http://schemas.openxmlformats.org/wordprocessingml/2006/main">
  <w:zoom w:percent="11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8b14ed"/>
    <w:pPr>
      <w:keepNext w:val="true"/>
      <w:keepLines/>
      <w:spacing w:before="240" w:after="0"/>
      <w:outlineLvl w:val="0"/>
    </w:pPr>
    <w:rPr>
      <w:rFonts w:ascii="Calibri Light" w:hAnsi="Calibri Light" w:eastAsia="ＭＳ ゴシック"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val="true"/>
      <w:keepLines/>
      <w:spacing w:before="40" w:after="0"/>
      <w:outlineLvl w:val="1"/>
    </w:pPr>
    <w:rPr>
      <w:rFonts w:ascii="Calibri Light" w:hAnsi="Calibri Light" w:eastAsia="ＭＳ ゴシック"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NoSpacingChar" w:customStyle="1">
    <w:name w:val="No Spacing Char"/>
    <w:basedOn w:val="DefaultParagraphFont"/>
    <w:link w:val="NoSpacing"/>
    <w:uiPriority w:val="1"/>
    <w:qFormat/>
    <w:rsid w:val="008b14ed"/>
    <w:rPr>
      <w:rFonts w:eastAsia="ＭＳ 明朝" w:eastAsiaTheme="minorEastAsia"/>
      <w:lang w:val="en-US"/>
    </w:rPr>
  </w:style>
  <w:style w:type="character" w:styleId="Heading1Char" w:customStyle="1">
    <w:name w:val="Heading 1 Char"/>
    <w:basedOn w:val="DefaultParagraphFont"/>
    <w:link w:val="Heading1"/>
    <w:uiPriority w:val="9"/>
    <w:qFormat/>
    <w:rsid w:val="008b14ed"/>
    <w:rPr>
      <w:rFonts w:ascii="Calibri Light" w:hAnsi="Calibri Light" w:eastAsia="ＭＳ ゴシック" w:cs="" w:asciiTheme="majorHAnsi" w:cstheme="majorBidi" w:eastAsiaTheme="majorEastAsia" w:hAnsiTheme="majorHAnsi"/>
      <w:color w:val="2E74B5" w:themeColor="accent1" w:themeShade="bf"/>
      <w:sz w:val="32"/>
      <w:szCs w:val="32"/>
    </w:rPr>
  </w:style>
  <w:style w:type="character" w:styleId="InternetLink" w:customStyle="1">
    <w:name w:val="Internet Link"/>
    <w:basedOn w:val="DefaultParagraphFont"/>
    <w:uiPriority w:val="99"/>
    <w:unhideWhenUsed/>
    <w:rsid w:val="008b14ed"/>
    <w:rPr>
      <w:color w:val="0563C1" w:themeColor="hyperlink"/>
      <w:u w:val="single"/>
    </w:rPr>
  </w:style>
  <w:style w:type="character" w:styleId="Heading2Char" w:customStyle="1">
    <w:name w:val="Heading 2 Char"/>
    <w:basedOn w:val="DefaultParagraphFont"/>
    <w:link w:val="Heading2"/>
    <w:uiPriority w:val="9"/>
    <w:qFormat/>
    <w:rsid w:val="008b14ed"/>
    <w:rPr>
      <w:rFonts w:ascii="Calibri Light" w:hAnsi="Calibri Light" w:eastAsia="ＭＳ ゴシック" w:cs="" w:asciiTheme="majorHAnsi" w:cstheme="majorBidi" w:eastAsiaTheme="majorEastAsia" w:hAnsiTheme="majorHAnsi"/>
      <w:color w:val="2E74B5" w:themeColor="accent1" w:themeShade="bf"/>
      <w:sz w:val="26"/>
      <w:szCs w:val="26"/>
    </w:rPr>
  </w:style>
  <w:style w:type="character" w:styleId="HeaderChar" w:customStyle="1">
    <w:name w:val="Header Char"/>
    <w:basedOn w:val="DefaultParagraphFont"/>
    <w:link w:val="Header"/>
    <w:uiPriority w:val="99"/>
    <w:qFormat/>
    <w:rsid w:val="008b14ed"/>
    <w:rPr/>
  </w:style>
  <w:style w:type="character" w:styleId="FooterChar" w:customStyle="1">
    <w:name w:val="Footer Char"/>
    <w:basedOn w:val="DefaultParagraphFont"/>
    <w:link w:val="Footer"/>
    <w:uiPriority w:val="99"/>
    <w:qFormat/>
    <w:rsid w:val="008b14ed"/>
    <w:rPr/>
  </w:style>
  <w:style w:type="character" w:styleId="BalloonTextChar" w:customStyle="1">
    <w:name w:val="Balloon Text Char"/>
    <w:basedOn w:val="DefaultParagraphFont"/>
    <w:link w:val="BalloonText"/>
    <w:uiPriority w:val="99"/>
    <w:semiHidden/>
    <w:qFormat/>
    <w:rsid w:val="007b172b"/>
    <w:rPr>
      <w:rFonts w:ascii="Lucida Grande" w:hAnsi="Lucida Grande" w:cs="Lucida Grande"/>
      <w:sz w:val="18"/>
      <w:szCs w:val="18"/>
    </w:rPr>
  </w:style>
  <w:style w:type="character" w:styleId="UnresolvedMention1" w:customStyle="1">
    <w:name w:val="Unresolved Mention1"/>
    <w:basedOn w:val="DefaultParagraphFont"/>
    <w:uiPriority w:val="99"/>
    <w:semiHidden/>
    <w:unhideWhenUsed/>
    <w:qFormat/>
    <w:rsid w:val="00cf7c96"/>
    <w:rPr>
      <w:color w:val="605E5C"/>
      <w:shd w:fill="E1DFDD" w:val="clear"/>
    </w:rPr>
  </w:style>
  <w:style w:type="character" w:styleId="FollowedHyperlink">
    <w:name w:val="FollowedHyperlink"/>
    <w:basedOn w:val="DefaultParagraphFont"/>
    <w:uiPriority w:val="99"/>
    <w:semiHidden/>
    <w:unhideWhenUsed/>
    <w:qFormat/>
    <w:rsid w:val="00cf7c96"/>
    <w:rPr>
      <w:color w:val="954F72" w:themeColor="followedHyperlink"/>
      <w:u w:val="single"/>
    </w:rPr>
  </w:style>
  <w:style w:type="character" w:styleId="ListLabel1" w:customStyle="1">
    <w:name w:val="ListLabel 1"/>
    <w:qFormat/>
    <w:rPr>
      <w:rFonts w:eastAsia="MS Gothic"/>
      <w:sz w:val="22"/>
    </w:rPr>
  </w:style>
  <w:style w:type="character" w:styleId="ListLabel2" w:customStyle="1">
    <w:name w:val="ListLabel 2"/>
    <w:qFormat/>
    <w:rPr>
      <w:rFonts w:eastAsia="MS Gothic"/>
    </w:rPr>
  </w:style>
  <w:style w:type="character" w:styleId="ListLabel3" w:customStyle="1">
    <w:name w:val="ListLabel 3"/>
    <w:qFormat/>
    <w:rPr>
      <w:rFonts w:eastAsia="MS Gothic"/>
    </w:rPr>
  </w:style>
  <w:style w:type="character" w:styleId="ListLabel4" w:customStyle="1">
    <w:name w:val="ListLabel 4"/>
    <w:qFormat/>
    <w:rPr>
      <w:rFonts w:eastAsia="MS Gothic"/>
    </w:rPr>
  </w:style>
  <w:style w:type="character" w:styleId="ListLabel5" w:customStyle="1">
    <w:name w:val="ListLabel 5"/>
    <w:qFormat/>
    <w:rPr>
      <w:rFonts w:eastAsia="MS Gothic"/>
    </w:rPr>
  </w:style>
  <w:style w:type="character" w:styleId="ListLabel6" w:customStyle="1">
    <w:name w:val="ListLabel 6"/>
    <w:qFormat/>
    <w:rPr>
      <w:rFonts w:eastAsia="MS Gothic"/>
    </w:rPr>
  </w:style>
  <w:style w:type="character" w:styleId="ListLabel7" w:customStyle="1">
    <w:name w:val="ListLabel 7"/>
    <w:qFormat/>
    <w:rPr>
      <w:rFonts w:eastAsia="MS Gothic"/>
    </w:rPr>
  </w:style>
  <w:style w:type="character" w:styleId="ListLabel8" w:customStyle="1">
    <w:name w:val="ListLabel 8"/>
    <w:qFormat/>
    <w:rPr>
      <w:rFonts w:eastAsia="MS Gothic"/>
    </w:rPr>
  </w:style>
  <w:style w:type="character" w:styleId="ListLabel9" w:customStyle="1">
    <w:name w:val="ListLabel 9"/>
    <w:qFormat/>
    <w:rPr/>
  </w:style>
  <w:style w:type="character" w:styleId="IndexLink" w:customStyle="1">
    <w:name w:val="Index Link"/>
    <w:qFormat/>
    <w:rPr/>
  </w:style>
  <w:style w:type="paragraph" w:styleId="Heading" w:customStyle="1">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rFonts w:cs="Arial"/>
    </w:rPr>
  </w:style>
  <w:style w:type="paragraph" w:styleId="Caption1">
    <w:name w:val="caption"/>
    <w:basedOn w:val="Normal"/>
    <w:qFormat/>
    <w:pPr>
      <w:suppressLineNumbers/>
      <w:spacing w:before="120" w:after="120"/>
    </w:pPr>
    <w:rPr>
      <w:rFonts w:cs="Arial"/>
      <w:i/>
      <w:iCs/>
      <w:sz w:val="24"/>
      <w:szCs w:val="24"/>
    </w:rPr>
  </w:style>
  <w:style w:type="paragraph" w:styleId="NoSpacing">
    <w:name w:val="No Spacing"/>
    <w:link w:val="NoSpacingChar"/>
    <w:uiPriority w:val="1"/>
    <w:qFormat/>
    <w:rsid w:val="008b14ed"/>
    <w:pPr>
      <w:widowControl/>
      <w:bidi w:val="0"/>
      <w:jc w:val="left"/>
    </w:pPr>
    <w:rPr>
      <w:rFonts w:ascii="Calibri" w:hAnsi="Calibri" w:eastAsia="ＭＳ 明朝" w:cs="" w:eastAsiaTheme="minorEastAsia"/>
      <w:color w:val="auto"/>
      <w:kern w:val="0"/>
      <w:sz w:val="22"/>
      <w:szCs w:val="22"/>
      <w:lang w:val="en-US" w:eastAsia="en-US" w:bidi="ar-SA"/>
    </w:rPr>
  </w:style>
  <w:style w:type="paragraph" w:styleId="TOCHeading">
    <w:name w:val="TOC Heading"/>
    <w:basedOn w:val="Heading1"/>
    <w:next w:val="Normal"/>
    <w:uiPriority w:val="39"/>
    <w:unhideWhenUsed/>
    <w:qFormat/>
    <w:rsid w:val="008b14ed"/>
    <w:pPr/>
    <w:rPr>
      <w:lang w:val="en-US"/>
    </w:rPr>
  </w:style>
  <w:style w:type="paragraph" w:styleId="Contents1">
    <w:name w:val="TOC 1"/>
    <w:basedOn w:val="Normal"/>
    <w:next w:val="Normal"/>
    <w:autoRedefine/>
    <w:uiPriority w:val="39"/>
    <w:unhideWhenUsed/>
    <w:rsid w:val="008b14ed"/>
    <w:pPr>
      <w:spacing w:before="360" w:after="360"/>
    </w:pPr>
    <w:rPr>
      <w:rFonts w:cs="Calibri" w:cstheme="minorHAnsi"/>
      <w:b/>
      <w:bCs/>
      <w:caps/>
      <w:u w:val="single"/>
    </w:rPr>
  </w:style>
  <w:style w:type="paragraph" w:styleId="Contents2">
    <w:name w:val="TOC 2"/>
    <w:basedOn w:val="Normal"/>
    <w:next w:val="Normal"/>
    <w:autoRedefine/>
    <w:uiPriority w:val="39"/>
    <w:unhideWhenUsed/>
    <w:rsid w:val="008b14ed"/>
    <w:pPr>
      <w:spacing w:before="0" w:after="0"/>
    </w:pPr>
    <w:rPr>
      <w:rFonts w:cs="Calibri" w:cstheme="minorHAnsi"/>
      <w:b/>
      <w:bCs/>
      <w:smallCaps/>
    </w:rPr>
  </w:style>
  <w:style w:type="paragraph" w:styleId="Header">
    <w:name w:val="Header"/>
    <w:basedOn w:val="Normal"/>
    <w:link w:val="HeaderChar"/>
    <w:uiPriority w:val="99"/>
    <w:unhideWhenUsed/>
    <w:rsid w:val="008b14ed"/>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8b14ed"/>
    <w:pPr>
      <w:tabs>
        <w:tab w:val="clear" w:pos="720"/>
        <w:tab w:val="center" w:pos="4513" w:leader="none"/>
        <w:tab w:val="right" w:pos="9026" w:leader="none"/>
      </w:tabs>
      <w:spacing w:lineRule="auto" w:line="240" w:before="0" w:after="0"/>
    </w:pPr>
    <w:rPr/>
  </w:style>
  <w:style w:type="paragraph" w:styleId="ListParagraph">
    <w:name w:val="List Paragraph"/>
    <w:basedOn w:val="Normal"/>
    <w:uiPriority w:val="34"/>
    <w:qFormat/>
    <w:rsid w:val="00e35a08"/>
    <w:pPr>
      <w:spacing w:lineRule="auto" w:line="240" w:before="0" w:after="0"/>
      <w:ind w:left="720" w:hanging="0"/>
      <w:contextualSpacing/>
    </w:pPr>
    <w:rPr>
      <w:rFonts w:ascii="Times New Roman" w:hAnsi="Times New Roman" w:eastAsia="Times New Roman" w:cs="Times New Roman"/>
      <w:sz w:val="20"/>
      <w:szCs w:val="20"/>
      <w:lang w:eastAsia="en-GB"/>
    </w:rPr>
  </w:style>
  <w:style w:type="paragraph" w:styleId="BalloonText">
    <w:name w:val="Balloon Text"/>
    <w:basedOn w:val="Normal"/>
    <w:link w:val="BalloonTextChar"/>
    <w:uiPriority w:val="99"/>
    <w:semiHidden/>
    <w:unhideWhenUsed/>
    <w:qFormat/>
    <w:rsid w:val="007b172b"/>
    <w:pPr>
      <w:spacing w:lineRule="auto" w:line="240" w:before="0" w:after="0"/>
    </w:pPr>
    <w:rPr>
      <w:rFonts w:ascii="Lucida Grande" w:hAnsi="Lucida Grande" w:cs="Lucida Grande"/>
      <w:sz w:val="18"/>
      <w:szCs w:val="18"/>
    </w:rPr>
  </w:style>
  <w:style w:type="paragraph" w:styleId="Contents3">
    <w:name w:val="TOC 3"/>
    <w:basedOn w:val="Normal"/>
    <w:next w:val="Normal"/>
    <w:autoRedefine/>
    <w:uiPriority w:val="39"/>
    <w:semiHidden/>
    <w:unhideWhenUsed/>
    <w:rsid w:val="000534b2"/>
    <w:pPr>
      <w:spacing w:before="0" w:after="0"/>
    </w:pPr>
    <w:rPr>
      <w:rFonts w:cs="Calibri" w:cstheme="minorHAnsi"/>
      <w:smallCaps/>
    </w:rPr>
  </w:style>
  <w:style w:type="paragraph" w:styleId="Contents4">
    <w:name w:val="TOC 4"/>
    <w:basedOn w:val="Normal"/>
    <w:next w:val="Normal"/>
    <w:autoRedefine/>
    <w:uiPriority w:val="39"/>
    <w:semiHidden/>
    <w:unhideWhenUsed/>
    <w:rsid w:val="000534b2"/>
    <w:pPr>
      <w:spacing w:before="0" w:after="0"/>
    </w:pPr>
    <w:rPr>
      <w:rFonts w:cs="Calibri" w:cstheme="minorHAnsi"/>
    </w:rPr>
  </w:style>
  <w:style w:type="paragraph" w:styleId="Contents5">
    <w:name w:val="TOC 5"/>
    <w:basedOn w:val="Normal"/>
    <w:next w:val="Normal"/>
    <w:autoRedefine/>
    <w:uiPriority w:val="39"/>
    <w:semiHidden/>
    <w:unhideWhenUsed/>
    <w:rsid w:val="000534b2"/>
    <w:pPr>
      <w:spacing w:before="0" w:after="0"/>
    </w:pPr>
    <w:rPr>
      <w:rFonts w:cs="Calibri" w:cstheme="minorHAnsi"/>
    </w:rPr>
  </w:style>
  <w:style w:type="paragraph" w:styleId="Contents6">
    <w:name w:val="TOC 6"/>
    <w:basedOn w:val="Normal"/>
    <w:next w:val="Normal"/>
    <w:autoRedefine/>
    <w:uiPriority w:val="39"/>
    <w:semiHidden/>
    <w:unhideWhenUsed/>
    <w:rsid w:val="000534b2"/>
    <w:pPr>
      <w:spacing w:before="0" w:after="0"/>
    </w:pPr>
    <w:rPr>
      <w:rFonts w:cs="Calibri" w:cstheme="minorHAnsi"/>
    </w:rPr>
  </w:style>
  <w:style w:type="paragraph" w:styleId="Contents7">
    <w:name w:val="TOC 7"/>
    <w:basedOn w:val="Normal"/>
    <w:next w:val="Normal"/>
    <w:autoRedefine/>
    <w:uiPriority w:val="39"/>
    <w:semiHidden/>
    <w:unhideWhenUsed/>
    <w:rsid w:val="000534b2"/>
    <w:pPr>
      <w:spacing w:before="0" w:after="0"/>
    </w:pPr>
    <w:rPr>
      <w:rFonts w:cs="Calibri" w:cstheme="minorHAnsi"/>
    </w:rPr>
  </w:style>
  <w:style w:type="paragraph" w:styleId="Contents8">
    <w:name w:val="TOC 8"/>
    <w:basedOn w:val="Normal"/>
    <w:next w:val="Normal"/>
    <w:autoRedefine/>
    <w:uiPriority w:val="39"/>
    <w:semiHidden/>
    <w:unhideWhenUsed/>
    <w:rsid w:val="000534b2"/>
    <w:pPr>
      <w:spacing w:before="0" w:after="0"/>
    </w:pPr>
    <w:rPr>
      <w:rFonts w:cs="Calibri" w:cstheme="minorHAnsi"/>
    </w:rPr>
  </w:style>
  <w:style w:type="paragraph" w:styleId="Contents9">
    <w:name w:val="TOC 9"/>
    <w:basedOn w:val="Normal"/>
    <w:next w:val="Normal"/>
    <w:autoRedefine/>
    <w:uiPriority w:val="39"/>
    <w:semiHidden/>
    <w:unhideWhenUsed/>
    <w:rsid w:val="000534b2"/>
    <w:pPr>
      <w:spacing w:before="0" w:after="0"/>
    </w:pPr>
    <w:rPr>
      <w:rFonts w:cs="Calibri" w:cstheme="minorHAnsi"/>
    </w:rPr>
  </w:style>
  <w:style w:type="paragraph" w:styleId="FrameContents" w:customStyle="1">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eader" Target="header1.xml"/><Relationship Id="rId4" Type="http://schemas.openxmlformats.org/officeDocument/2006/relationships/header" Target="header2.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 Id="rId9" Type="http://schemas.openxmlformats.org/officeDocument/2006/relationships/customXml" Target="../customXml/item2.xml"/>
</Relationships>
</file>

<file path=word/_rels/header1.xml.rels><?xml version="1.0" encoding="UTF-8"?>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overPageProperties xmlns="http://schemas.microsoft.com/office/2006/coverPageProps">
  <PublishDate>2019-07-01T00:00:00</PublishDate>
  <Abstract/>
  <CompanyAddress/>
  <CompanyPhone/>
  <CompanyFax/>
  <CompanyEmail/>
</CoverPageProperties>
</file>

<file path=customXml/itemProps1.xml><?xml version="1.0" encoding="utf-8"?>
<ds:datastoreItem xmlns:ds="http://schemas.openxmlformats.org/officeDocument/2006/customXml" ds:itemID="{B7AD6D81-3F52-4B06-9E4C-A0C1B89CF2C5}">
  <ds:schemaRefs>
    <ds:schemaRef ds:uri="http://schemas.openxmlformats.org/officeDocument/2006/bibliography"/>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203</TotalTime>
  <Application>Trio_Office/6.2.8.2$Windows_x86 LibreOffice_project/</Application>
  <Pages>8</Pages>
  <Words>1119</Words>
  <Characters>6566</Characters>
  <CharactersWithSpaces>8966</CharactersWithSpaces>
  <Paragraphs>70</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2019-11-21T13:20:00Z</dcterms:created>
  <dc:creator>Marie Pitson</dc:creator>
  <dc:description/>
  <dc:language>en-GB</dc:language>
  <cp:lastModifiedBy/>
  <dcterms:modified xsi:type="dcterms:W3CDTF">2019-12-10T10:57:40Z</dcterms:modified>
  <cp:revision>90</cp:revision>
  <dc:subject>Daniel Payne - 1803525</dc:subject>
  <dc:title>Haversons ltd</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