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997698" w14:textId="77777777" w:rsidR="00660625" w:rsidRPr="00D27AAA" w:rsidRDefault="00660625" w:rsidP="00660625">
      <w:pPr>
        <w:rPr>
          <w:rFonts w:ascii="Arial" w:hAnsi="Arial" w:cs="Arial"/>
        </w:rPr>
      </w:pPr>
    </w:p>
    <w:p w14:paraId="21677D56" w14:textId="77777777" w:rsidR="00660625" w:rsidRPr="00D27AAA" w:rsidRDefault="00660625" w:rsidP="00660625">
      <w:pPr>
        <w:rPr>
          <w:rFonts w:ascii="Arial" w:hAnsi="Arial" w:cs="Arial"/>
        </w:rPr>
      </w:pPr>
    </w:p>
    <w:p w14:paraId="1A401719" w14:textId="77777777" w:rsidR="00660625" w:rsidRPr="00D27AAA" w:rsidRDefault="00660625" w:rsidP="00660625">
      <w:pPr>
        <w:rPr>
          <w:rFonts w:ascii="Arial" w:hAnsi="Arial" w:cs="Arial"/>
        </w:rPr>
      </w:pPr>
    </w:p>
    <w:p w14:paraId="27C2DF2B" w14:textId="77777777" w:rsidR="00660625" w:rsidRPr="00D27AAA" w:rsidRDefault="00660625" w:rsidP="00660625">
      <w:pPr>
        <w:rPr>
          <w:rFonts w:ascii="Arial" w:hAnsi="Arial" w:cs="Arial"/>
        </w:rPr>
      </w:pPr>
    </w:p>
    <w:p w14:paraId="79F83A3A" w14:textId="77777777" w:rsidR="00660625" w:rsidRPr="00D27AAA" w:rsidRDefault="00660625" w:rsidP="00660625">
      <w:pPr>
        <w:rPr>
          <w:rFonts w:ascii="Arial" w:hAnsi="Arial" w:cs="Arial"/>
        </w:rPr>
      </w:pPr>
    </w:p>
    <w:p w14:paraId="42DEB975" w14:textId="77777777" w:rsidR="00660625" w:rsidRPr="00D27AAA" w:rsidRDefault="00660625" w:rsidP="00660625">
      <w:pPr>
        <w:rPr>
          <w:rFonts w:ascii="Arial" w:hAnsi="Arial" w:cs="Arial"/>
        </w:rPr>
      </w:pPr>
    </w:p>
    <w:p w14:paraId="757D970A" w14:textId="77777777" w:rsidR="00660625" w:rsidRPr="00D27AAA" w:rsidRDefault="00660625" w:rsidP="00660625">
      <w:pPr>
        <w:rPr>
          <w:rFonts w:ascii="Arial" w:hAnsi="Arial" w:cs="Arial"/>
        </w:rPr>
      </w:pPr>
    </w:p>
    <w:p w14:paraId="6E185D28" w14:textId="77777777" w:rsidR="00660625" w:rsidRPr="00D27AAA" w:rsidRDefault="00660625" w:rsidP="00660625">
      <w:pPr>
        <w:rPr>
          <w:rFonts w:ascii="Arial" w:hAnsi="Arial" w:cs="Arial"/>
        </w:rPr>
      </w:pPr>
    </w:p>
    <w:p w14:paraId="37BAB168" w14:textId="77777777" w:rsidR="00660625" w:rsidRPr="00D27AAA" w:rsidRDefault="00660625" w:rsidP="00660625">
      <w:pPr>
        <w:rPr>
          <w:rFonts w:ascii="Arial" w:hAnsi="Arial" w:cs="Arial"/>
        </w:rPr>
      </w:pPr>
    </w:p>
    <w:p w14:paraId="1034AF96" w14:textId="77777777" w:rsidR="00660625" w:rsidRPr="00D27AAA" w:rsidRDefault="00660625" w:rsidP="00660625">
      <w:pPr>
        <w:jc w:val="center"/>
        <w:rPr>
          <w:rFonts w:ascii="Arial" w:hAnsi="Arial" w:cs="Arial"/>
        </w:rPr>
      </w:pPr>
    </w:p>
    <w:p w14:paraId="5040C7F0" w14:textId="77777777" w:rsidR="00660625" w:rsidRPr="00D27AAA" w:rsidRDefault="00660625" w:rsidP="00660625">
      <w:pPr>
        <w:spacing w:line="360" w:lineRule="auto"/>
        <w:jc w:val="center"/>
        <w:rPr>
          <w:rFonts w:ascii="Arial" w:hAnsi="Arial" w:cs="Arial"/>
          <w:b/>
        </w:rPr>
      </w:pPr>
      <w:r w:rsidRPr="00D27AAA">
        <w:rPr>
          <w:rFonts w:ascii="Arial" w:hAnsi="Arial" w:cs="Arial"/>
          <w:b/>
          <w:noProof/>
        </w:rPr>
        <w:drawing>
          <wp:anchor distT="0" distB="0" distL="114300" distR="114300" simplePos="0" relativeHeight="251659264" behindDoc="0" locked="0" layoutInCell="1" allowOverlap="1" wp14:anchorId="4BEAB07E" wp14:editId="052D90EF">
            <wp:simplePos x="914400" y="914400"/>
            <wp:positionH relativeFrom="margin">
              <wp:align>center</wp:align>
            </wp:positionH>
            <wp:positionV relativeFrom="margin">
              <wp:align>top</wp:align>
            </wp:positionV>
            <wp:extent cx="3208020" cy="1062143"/>
            <wp:effectExtent l="0" t="0" r="0" b="508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Logo-1024x339.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08020" cy="1062143"/>
                    </a:xfrm>
                    <a:prstGeom prst="rect">
                      <a:avLst/>
                    </a:prstGeom>
                  </pic:spPr>
                </pic:pic>
              </a:graphicData>
            </a:graphic>
          </wp:anchor>
        </w:drawing>
      </w:r>
      <w:proofErr w:type="gramStart"/>
      <w:r w:rsidRPr="00D27AAA">
        <w:rPr>
          <w:rFonts w:ascii="Arial" w:hAnsi="Arial" w:cs="Arial"/>
          <w:b/>
        </w:rPr>
        <w:t>MASTERS OF BUSINESS ADMINISTRATION</w:t>
      </w:r>
      <w:proofErr w:type="gramEnd"/>
    </w:p>
    <w:p w14:paraId="60430FBD" w14:textId="77777777" w:rsidR="00660625" w:rsidRPr="00D27AAA" w:rsidRDefault="00660625" w:rsidP="00660625">
      <w:pPr>
        <w:spacing w:line="360" w:lineRule="auto"/>
        <w:jc w:val="center"/>
        <w:rPr>
          <w:rFonts w:ascii="Arial" w:hAnsi="Arial" w:cs="Arial"/>
          <w:b/>
          <w:sz w:val="40"/>
        </w:rPr>
      </w:pPr>
      <w:r w:rsidRPr="00D27AAA">
        <w:rPr>
          <w:rFonts w:ascii="Arial" w:hAnsi="Arial" w:cs="Arial"/>
          <w:b/>
          <w:sz w:val="40"/>
        </w:rPr>
        <w:t>MARKETING MANAGEMENT</w:t>
      </w:r>
    </w:p>
    <w:p w14:paraId="07BF9F6E" w14:textId="77777777" w:rsidR="00660625" w:rsidRPr="00D27AAA" w:rsidRDefault="00660625" w:rsidP="00660625">
      <w:pPr>
        <w:spacing w:line="360" w:lineRule="auto"/>
        <w:jc w:val="center"/>
        <w:rPr>
          <w:rFonts w:ascii="Arial" w:hAnsi="Arial" w:cs="Arial"/>
          <w:b/>
        </w:rPr>
      </w:pPr>
      <w:r w:rsidRPr="00D27AAA">
        <w:rPr>
          <w:rFonts w:ascii="Arial" w:hAnsi="Arial" w:cs="Arial"/>
          <w:b/>
        </w:rPr>
        <w:t>MODULE CODE – LCMB7024</w:t>
      </w:r>
    </w:p>
    <w:p w14:paraId="5D53E34D" w14:textId="77777777" w:rsidR="00660625" w:rsidRPr="00D27AAA" w:rsidRDefault="00660625" w:rsidP="00660625">
      <w:pPr>
        <w:spacing w:line="360" w:lineRule="auto"/>
        <w:jc w:val="center"/>
        <w:rPr>
          <w:rFonts w:ascii="Arial" w:hAnsi="Arial" w:cs="Arial"/>
          <w:b/>
        </w:rPr>
      </w:pPr>
      <w:r w:rsidRPr="00D27AAA">
        <w:rPr>
          <w:rFonts w:ascii="Arial" w:hAnsi="Arial" w:cs="Arial"/>
          <w:b/>
        </w:rPr>
        <w:t>COMPONENT 2</w:t>
      </w:r>
    </w:p>
    <w:p w14:paraId="7643DE7B" w14:textId="77777777" w:rsidR="00660625" w:rsidRPr="00D27AAA" w:rsidRDefault="00660625" w:rsidP="00660625">
      <w:pPr>
        <w:spacing w:before="120" w:after="120"/>
        <w:jc w:val="center"/>
        <w:rPr>
          <w:rFonts w:ascii="Arial" w:hAnsi="Arial" w:cs="Arial"/>
          <w:b/>
          <w:sz w:val="28"/>
          <w:szCs w:val="28"/>
        </w:rPr>
      </w:pPr>
      <w:r w:rsidRPr="00D27AAA">
        <w:rPr>
          <w:rFonts w:ascii="Arial" w:hAnsi="Arial" w:cs="Arial"/>
          <w:b/>
          <w:sz w:val="28"/>
          <w:szCs w:val="28"/>
        </w:rPr>
        <w:t>Portfolio: Presentation, Report, and Reflection</w:t>
      </w:r>
    </w:p>
    <w:p w14:paraId="36512EE8" w14:textId="47DDBEE1" w:rsidR="00660625" w:rsidRPr="00D27AAA" w:rsidRDefault="00660625" w:rsidP="00660625">
      <w:pPr>
        <w:spacing w:line="360" w:lineRule="auto"/>
        <w:jc w:val="center"/>
        <w:rPr>
          <w:rFonts w:ascii="Arial" w:hAnsi="Arial" w:cs="Arial"/>
          <w:b/>
        </w:rPr>
      </w:pPr>
      <w:r w:rsidRPr="00D27AAA">
        <w:rPr>
          <w:rFonts w:ascii="Arial" w:hAnsi="Arial" w:cs="Arial"/>
          <w:b/>
        </w:rPr>
        <w:t>LECTURER –</w:t>
      </w:r>
      <w:r>
        <w:rPr>
          <w:rFonts w:ascii="Arial" w:hAnsi="Arial" w:cs="Arial"/>
          <w:b/>
        </w:rPr>
        <w:t xml:space="preserve"> </w:t>
      </w:r>
      <w:r w:rsidRPr="00D27AAA">
        <w:rPr>
          <w:rFonts w:ascii="Arial" w:hAnsi="Arial" w:cs="Arial"/>
          <w:b/>
        </w:rPr>
        <w:t xml:space="preserve">TAONGA KAONGA SOBERE </w:t>
      </w:r>
      <w:r>
        <w:rPr>
          <w:rFonts w:ascii="Arial" w:hAnsi="Arial" w:cs="Arial"/>
          <w:b/>
        </w:rPr>
        <w:t>-SINTHERS</w:t>
      </w:r>
    </w:p>
    <w:p w14:paraId="63813B78" w14:textId="77777777" w:rsidR="00660625" w:rsidRPr="00D27AAA" w:rsidRDefault="00660625" w:rsidP="00660625">
      <w:pPr>
        <w:spacing w:line="360" w:lineRule="auto"/>
        <w:jc w:val="center"/>
        <w:rPr>
          <w:rFonts w:ascii="Arial" w:hAnsi="Arial" w:cs="Arial"/>
          <w:b/>
        </w:rPr>
      </w:pPr>
      <w:r w:rsidRPr="00D27AAA">
        <w:rPr>
          <w:rFonts w:ascii="Arial" w:hAnsi="Arial" w:cs="Arial"/>
          <w:b/>
        </w:rPr>
        <w:t>__________________________________</w:t>
      </w:r>
      <w:r w:rsidRPr="00D27AAA">
        <w:rPr>
          <w:rFonts w:ascii="Arial" w:hAnsi="Arial" w:cs="Arial"/>
          <w:b/>
        </w:rPr>
        <w:br/>
      </w:r>
      <w:r w:rsidRPr="00D27AAA">
        <w:rPr>
          <w:rFonts w:ascii="Arial" w:hAnsi="Arial" w:cs="Arial"/>
          <w:b/>
        </w:rPr>
        <w:br/>
        <w:t>SUBMITTED</w:t>
      </w:r>
    </w:p>
    <w:p w14:paraId="6FD3457B" w14:textId="248310D9" w:rsidR="00660625" w:rsidRPr="00D27AAA" w:rsidRDefault="00660625" w:rsidP="00660625">
      <w:pPr>
        <w:spacing w:line="360" w:lineRule="auto"/>
        <w:jc w:val="center"/>
        <w:rPr>
          <w:rFonts w:ascii="Arial" w:hAnsi="Arial" w:cs="Arial"/>
          <w:b/>
        </w:rPr>
      </w:pPr>
      <w:r w:rsidRPr="00D27AAA">
        <w:rPr>
          <w:rFonts w:ascii="Arial" w:hAnsi="Arial" w:cs="Arial"/>
          <w:b/>
        </w:rPr>
        <w:t>BY</w:t>
      </w:r>
      <w:r>
        <w:rPr>
          <w:rFonts w:ascii="Arial" w:hAnsi="Arial" w:cs="Arial"/>
          <w:b/>
        </w:rPr>
        <w:t xml:space="preserve"> Ishan Kevadiya</w:t>
      </w:r>
    </w:p>
    <w:p w14:paraId="171D6630" w14:textId="0B8DA6F1" w:rsidR="00660625" w:rsidRPr="00D27AAA" w:rsidRDefault="00660625" w:rsidP="00660625">
      <w:pPr>
        <w:spacing w:line="360" w:lineRule="auto"/>
        <w:jc w:val="center"/>
        <w:rPr>
          <w:rFonts w:ascii="Arial" w:eastAsiaTheme="majorEastAsia" w:hAnsi="Arial" w:cs="Arial"/>
          <w:b/>
          <w:color w:val="000000" w:themeColor="text1"/>
        </w:rPr>
      </w:pPr>
      <w:r w:rsidRPr="00D27AAA">
        <w:rPr>
          <w:rFonts w:ascii="Arial" w:hAnsi="Arial" w:cs="Arial"/>
          <w:b/>
        </w:rPr>
        <w:t>STUDENT ID</w:t>
      </w:r>
      <w:r>
        <w:rPr>
          <w:rFonts w:ascii="Arial" w:hAnsi="Arial" w:cs="Arial"/>
          <w:b/>
        </w:rPr>
        <w:t xml:space="preserve"> - 2541464</w:t>
      </w:r>
      <w:r w:rsidRPr="00D27AAA">
        <w:rPr>
          <w:rFonts w:ascii="Arial" w:hAnsi="Arial" w:cs="Arial"/>
          <w:b/>
        </w:rPr>
        <w:t xml:space="preserve"> </w:t>
      </w:r>
      <w:r w:rsidRPr="00D27AAA">
        <w:rPr>
          <w:rFonts w:ascii="Arial" w:hAnsi="Arial" w:cs="Arial"/>
        </w:rPr>
        <w:br w:type="page"/>
      </w:r>
    </w:p>
    <w:p w14:paraId="5DE6057E" w14:textId="77777777" w:rsidR="00660625" w:rsidRPr="00D27AAA" w:rsidRDefault="00660625" w:rsidP="00660625">
      <w:pPr>
        <w:rPr>
          <w:rFonts w:ascii="Arial" w:hAnsi="Arial" w:cs="Arial"/>
        </w:rPr>
      </w:pPr>
    </w:p>
    <w:sdt>
      <w:sdtPr>
        <w:rPr>
          <w:rFonts w:ascii="Arial" w:hAnsi="Arial" w:cs="Arial"/>
          <w:b/>
          <w:bCs/>
          <w:color w:val="0A2F41" w:themeColor="accent1" w:themeShade="80"/>
          <w:sz w:val="28"/>
          <w:szCs w:val="28"/>
        </w:rPr>
        <w:id w:val="1182775852"/>
        <w:docPartObj>
          <w:docPartGallery w:val="Table of Contents"/>
          <w:docPartUnique/>
        </w:docPartObj>
      </w:sdtPr>
      <w:sdtEndPr>
        <w:rPr>
          <w:noProof/>
          <w:color w:val="auto"/>
          <w:sz w:val="24"/>
          <w:szCs w:val="24"/>
        </w:rPr>
      </w:sdtEndPr>
      <w:sdtContent>
        <w:p w14:paraId="5C6DAC9B" w14:textId="77777777" w:rsidR="00660625" w:rsidRPr="00D27AAA" w:rsidRDefault="00660625" w:rsidP="00660625">
          <w:pPr>
            <w:rPr>
              <w:rFonts w:ascii="Arial" w:eastAsiaTheme="majorEastAsia" w:hAnsi="Arial" w:cs="Arial"/>
              <w:b/>
              <w:bCs/>
              <w:color w:val="0A2F41" w:themeColor="accent1" w:themeShade="80"/>
              <w:sz w:val="28"/>
              <w:szCs w:val="28"/>
            </w:rPr>
          </w:pPr>
          <w:r w:rsidRPr="00D27AAA">
            <w:rPr>
              <w:rFonts w:ascii="Arial" w:hAnsi="Arial" w:cs="Arial"/>
              <w:b/>
              <w:bCs/>
              <w:color w:val="0A2F41" w:themeColor="accent1" w:themeShade="80"/>
              <w:sz w:val="28"/>
              <w:szCs w:val="28"/>
            </w:rPr>
            <w:t>TABLE OF CONTENTS</w:t>
          </w:r>
        </w:p>
        <w:p w14:paraId="76839D7B" w14:textId="77777777" w:rsidR="00660625" w:rsidRPr="00D27AAA" w:rsidRDefault="00660625" w:rsidP="00660625">
          <w:pPr>
            <w:pStyle w:val="TOC1"/>
            <w:tabs>
              <w:tab w:val="right" w:leader="dot" w:pos="9350"/>
            </w:tabs>
            <w:spacing w:line="360" w:lineRule="auto"/>
            <w:rPr>
              <w:rFonts w:ascii="Arial" w:hAnsi="Arial" w:cs="Arial"/>
              <w:noProof/>
              <w:sz w:val="24"/>
            </w:rPr>
          </w:pPr>
          <w:r w:rsidRPr="00D27AAA">
            <w:rPr>
              <w:rFonts w:ascii="Arial" w:hAnsi="Arial" w:cs="Arial"/>
              <w:b w:val="0"/>
              <w:bCs w:val="0"/>
            </w:rPr>
            <w:fldChar w:fldCharType="begin"/>
          </w:r>
          <w:r w:rsidRPr="00D27AAA">
            <w:rPr>
              <w:rFonts w:ascii="Arial" w:hAnsi="Arial" w:cs="Arial"/>
            </w:rPr>
            <w:instrText xml:space="preserve"> TOC \o "1-3" \h \z \u </w:instrText>
          </w:r>
          <w:r w:rsidRPr="00D27AAA">
            <w:rPr>
              <w:rFonts w:ascii="Arial" w:hAnsi="Arial" w:cs="Arial"/>
              <w:b w:val="0"/>
              <w:bCs w:val="0"/>
            </w:rPr>
            <w:fldChar w:fldCharType="separate"/>
          </w:r>
          <w:hyperlink w:anchor="_Toc232733573" w:history="1">
            <w:r w:rsidRPr="00D27AAA">
              <w:rPr>
                <w:rStyle w:val="Hyperlink"/>
                <w:rFonts w:ascii="Arial" w:hAnsi="Arial" w:cs="Arial"/>
                <w:noProof/>
                <w:sz w:val="24"/>
              </w:rPr>
              <w:t>Element 1: Poster Presentation</w:t>
            </w:r>
            <w:r w:rsidRPr="00D27AAA">
              <w:rPr>
                <w:rFonts w:ascii="Arial" w:hAnsi="Arial" w:cs="Arial"/>
                <w:noProof/>
                <w:webHidden/>
                <w:sz w:val="24"/>
              </w:rPr>
              <w:tab/>
            </w:r>
            <w:r w:rsidRPr="00D27AAA">
              <w:rPr>
                <w:rFonts w:ascii="Arial" w:hAnsi="Arial" w:cs="Arial"/>
                <w:noProof/>
                <w:webHidden/>
                <w:sz w:val="24"/>
              </w:rPr>
              <w:fldChar w:fldCharType="begin"/>
            </w:r>
            <w:r w:rsidRPr="00D27AAA">
              <w:rPr>
                <w:rFonts w:ascii="Arial" w:hAnsi="Arial" w:cs="Arial"/>
                <w:noProof/>
                <w:webHidden/>
                <w:sz w:val="24"/>
              </w:rPr>
              <w:instrText xml:space="preserve"> PAGEREF _Toc232733573 \h </w:instrText>
            </w:r>
            <w:r w:rsidRPr="00D27AAA">
              <w:rPr>
                <w:rFonts w:ascii="Arial" w:hAnsi="Arial" w:cs="Arial"/>
                <w:noProof/>
                <w:webHidden/>
                <w:sz w:val="24"/>
              </w:rPr>
            </w:r>
            <w:r w:rsidRPr="00D27AAA">
              <w:rPr>
                <w:rFonts w:ascii="Arial" w:hAnsi="Arial" w:cs="Arial"/>
                <w:noProof/>
                <w:webHidden/>
                <w:sz w:val="24"/>
              </w:rPr>
              <w:fldChar w:fldCharType="separate"/>
            </w:r>
            <w:r>
              <w:rPr>
                <w:rFonts w:ascii="Arial" w:hAnsi="Arial" w:cs="Arial"/>
                <w:noProof/>
                <w:webHidden/>
                <w:sz w:val="24"/>
              </w:rPr>
              <w:t>3</w:t>
            </w:r>
            <w:r w:rsidRPr="00D27AAA">
              <w:rPr>
                <w:rFonts w:ascii="Arial" w:hAnsi="Arial" w:cs="Arial"/>
                <w:noProof/>
                <w:webHidden/>
                <w:sz w:val="24"/>
              </w:rPr>
              <w:fldChar w:fldCharType="end"/>
            </w:r>
          </w:hyperlink>
        </w:p>
        <w:p w14:paraId="323D7C75" w14:textId="77777777" w:rsidR="00660625" w:rsidRPr="00D27AAA" w:rsidRDefault="00660625" w:rsidP="00660625">
          <w:pPr>
            <w:pStyle w:val="TOC1"/>
            <w:tabs>
              <w:tab w:val="right" w:leader="dot" w:pos="9350"/>
            </w:tabs>
            <w:spacing w:line="360" w:lineRule="auto"/>
            <w:rPr>
              <w:rFonts w:ascii="Arial" w:hAnsi="Arial" w:cs="Arial"/>
              <w:noProof/>
              <w:sz w:val="24"/>
            </w:rPr>
          </w:pPr>
          <w:hyperlink w:anchor="_Toc232733574" w:history="1">
            <w:r w:rsidRPr="00D27AAA">
              <w:rPr>
                <w:rStyle w:val="Hyperlink"/>
                <w:rFonts w:ascii="Arial" w:hAnsi="Arial" w:cs="Arial"/>
                <w:noProof/>
                <w:sz w:val="24"/>
              </w:rPr>
              <w:t>Element 2: STDP Analysis for Oddbox Rescue Kitchen</w:t>
            </w:r>
            <w:r w:rsidRPr="00D27AAA">
              <w:rPr>
                <w:rFonts w:ascii="Arial" w:hAnsi="Arial" w:cs="Arial"/>
                <w:noProof/>
                <w:webHidden/>
                <w:sz w:val="24"/>
              </w:rPr>
              <w:tab/>
            </w:r>
            <w:r w:rsidRPr="00D27AAA">
              <w:rPr>
                <w:rFonts w:ascii="Arial" w:hAnsi="Arial" w:cs="Arial"/>
                <w:noProof/>
                <w:webHidden/>
                <w:sz w:val="24"/>
              </w:rPr>
              <w:fldChar w:fldCharType="begin"/>
            </w:r>
            <w:r w:rsidRPr="00D27AAA">
              <w:rPr>
                <w:rFonts w:ascii="Arial" w:hAnsi="Arial" w:cs="Arial"/>
                <w:noProof/>
                <w:webHidden/>
                <w:sz w:val="24"/>
              </w:rPr>
              <w:instrText xml:space="preserve"> PAGEREF _Toc232733574 \h </w:instrText>
            </w:r>
            <w:r w:rsidRPr="00D27AAA">
              <w:rPr>
                <w:rFonts w:ascii="Arial" w:hAnsi="Arial" w:cs="Arial"/>
                <w:noProof/>
                <w:webHidden/>
                <w:sz w:val="24"/>
              </w:rPr>
            </w:r>
            <w:r w:rsidRPr="00D27AAA">
              <w:rPr>
                <w:rFonts w:ascii="Arial" w:hAnsi="Arial" w:cs="Arial"/>
                <w:noProof/>
                <w:webHidden/>
                <w:sz w:val="24"/>
              </w:rPr>
              <w:fldChar w:fldCharType="separate"/>
            </w:r>
            <w:r>
              <w:rPr>
                <w:rFonts w:ascii="Arial" w:hAnsi="Arial" w:cs="Arial"/>
                <w:noProof/>
                <w:webHidden/>
                <w:sz w:val="24"/>
              </w:rPr>
              <w:t>3</w:t>
            </w:r>
            <w:r w:rsidRPr="00D27AAA">
              <w:rPr>
                <w:rFonts w:ascii="Arial" w:hAnsi="Arial" w:cs="Arial"/>
                <w:noProof/>
                <w:webHidden/>
                <w:sz w:val="24"/>
              </w:rPr>
              <w:fldChar w:fldCharType="end"/>
            </w:r>
          </w:hyperlink>
        </w:p>
        <w:p w14:paraId="7BDC693F" w14:textId="77777777" w:rsidR="00660625" w:rsidRPr="00D27AAA" w:rsidRDefault="00660625" w:rsidP="00660625">
          <w:pPr>
            <w:pStyle w:val="TOC1"/>
            <w:tabs>
              <w:tab w:val="right" w:leader="dot" w:pos="9350"/>
            </w:tabs>
            <w:spacing w:line="360" w:lineRule="auto"/>
            <w:rPr>
              <w:rFonts w:ascii="Arial" w:hAnsi="Arial" w:cs="Arial"/>
              <w:noProof/>
              <w:sz w:val="24"/>
            </w:rPr>
          </w:pPr>
          <w:hyperlink w:anchor="_Toc232733575" w:history="1">
            <w:r w:rsidRPr="00D27AAA">
              <w:rPr>
                <w:rStyle w:val="Hyperlink"/>
                <w:rFonts w:ascii="Arial" w:hAnsi="Arial" w:cs="Arial"/>
                <w:noProof/>
                <w:sz w:val="24"/>
              </w:rPr>
              <w:t>Element 3: Marketing Mix (4Ps)</w:t>
            </w:r>
            <w:r w:rsidRPr="00D27AAA">
              <w:rPr>
                <w:rFonts w:ascii="Arial" w:hAnsi="Arial" w:cs="Arial"/>
                <w:noProof/>
                <w:webHidden/>
                <w:sz w:val="24"/>
              </w:rPr>
              <w:tab/>
            </w:r>
            <w:r w:rsidRPr="00D27AAA">
              <w:rPr>
                <w:rFonts w:ascii="Arial" w:hAnsi="Arial" w:cs="Arial"/>
                <w:noProof/>
                <w:webHidden/>
                <w:sz w:val="24"/>
              </w:rPr>
              <w:fldChar w:fldCharType="begin"/>
            </w:r>
            <w:r w:rsidRPr="00D27AAA">
              <w:rPr>
                <w:rFonts w:ascii="Arial" w:hAnsi="Arial" w:cs="Arial"/>
                <w:noProof/>
                <w:webHidden/>
                <w:sz w:val="24"/>
              </w:rPr>
              <w:instrText xml:space="preserve"> PAGEREF _Toc232733575 \h </w:instrText>
            </w:r>
            <w:r w:rsidRPr="00D27AAA">
              <w:rPr>
                <w:rFonts w:ascii="Arial" w:hAnsi="Arial" w:cs="Arial"/>
                <w:noProof/>
                <w:webHidden/>
                <w:sz w:val="24"/>
              </w:rPr>
            </w:r>
            <w:r w:rsidRPr="00D27AAA">
              <w:rPr>
                <w:rFonts w:ascii="Arial" w:hAnsi="Arial" w:cs="Arial"/>
                <w:noProof/>
                <w:webHidden/>
                <w:sz w:val="24"/>
              </w:rPr>
              <w:fldChar w:fldCharType="separate"/>
            </w:r>
            <w:r>
              <w:rPr>
                <w:rFonts w:ascii="Arial" w:hAnsi="Arial" w:cs="Arial"/>
                <w:noProof/>
                <w:webHidden/>
                <w:sz w:val="24"/>
              </w:rPr>
              <w:t>13</w:t>
            </w:r>
            <w:r w:rsidRPr="00D27AAA">
              <w:rPr>
                <w:rFonts w:ascii="Arial" w:hAnsi="Arial" w:cs="Arial"/>
                <w:noProof/>
                <w:webHidden/>
                <w:sz w:val="24"/>
              </w:rPr>
              <w:fldChar w:fldCharType="end"/>
            </w:r>
          </w:hyperlink>
        </w:p>
        <w:p w14:paraId="51BE806F" w14:textId="77777777" w:rsidR="00660625" w:rsidRPr="00D27AAA" w:rsidRDefault="00660625" w:rsidP="00660625">
          <w:pPr>
            <w:pStyle w:val="TOC1"/>
            <w:tabs>
              <w:tab w:val="right" w:leader="dot" w:pos="9350"/>
            </w:tabs>
            <w:spacing w:line="360" w:lineRule="auto"/>
            <w:rPr>
              <w:rFonts w:ascii="Arial" w:hAnsi="Arial" w:cs="Arial"/>
              <w:noProof/>
              <w:sz w:val="24"/>
            </w:rPr>
          </w:pPr>
          <w:hyperlink w:anchor="_Toc232733576" w:history="1">
            <w:r w:rsidRPr="00D27AAA">
              <w:rPr>
                <w:rStyle w:val="Hyperlink"/>
                <w:rFonts w:ascii="Arial" w:hAnsi="Arial" w:cs="Arial"/>
                <w:noProof/>
                <w:sz w:val="24"/>
              </w:rPr>
              <w:t>Element 4: Reflection</w:t>
            </w:r>
            <w:r w:rsidRPr="00D27AAA">
              <w:rPr>
                <w:rFonts w:ascii="Arial" w:hAnsi="Arial" w:cs="Arial"/>
                <w:noProof/>
                <w:webHidden/>
                <w:sz w:val="24"/>
              </w:rPr>
              <w:tab/>
            </w:r>
            <w:r w:rsidRPr="00D27AAA">
              <w:rPr>
                <w:rFonts w:ascii="Arial" w:hAnsi="Arial" w:cs="Arial"/>
                <w:noProof/>
                <w:webHidden/>
                <w:sz w:val="24"/>
              </w:rPr>
              <w:fldChar w:fldCharType="begin"/>
            </w:r>
            <w:r w:rsidRPr="00D27AAA">
              <w:rPr>
                <w:rFonts w:ascii="Arial" w:hAnsi="Arial" w:cs="Arial"/>
                <w:noProof/>
                <w:webHidden/>
                <w:sz w:val="24"/>
              </w:rPr>
              <w:instrText xml:space="preserve"> PAGEREF _Toc232733576 \h </w:instrText>
            </w:r>
            <w:r w:rsidRPr="00D27AAA">
              <w:rPr>
                <w:rFonts w:ascii="Arial" w:hAnsi="Arial" w:cs="Arial"/>
                <w:noProof/>
                <w:webHidden/>
                <w:sz w:val="24"/>
              </w:rPr>
            </w:r>
            <w:r w:rsidRPr="00D27AAA">
              <w:rPr>
                <w:rFonts w:ascii="Arial" w:hAnsi="Arial" w:cs="Arial"/>
                <w:noProof/>
                <w:webHidden/>
                <w:sz w:val="24"/>
              </w:rPr>
              <w:fldChar w:fldCharType="separate"/>
            </w:r>
            <w:r>
              <w:rPr>
                <w:rFonts w:ascii="Arial" w:hAnsi="Arial" w:cs="Arial"/>
                <w:noProof/>
                <w:webHidden/>
                <w:sz w:val="24"/>
              </w:rPr>
              <w:t>20</w:t>
            </w:r>
            <w:r w:rsidRPr="00D27AAA">
              <w:rPr>
                <w:rFonts w:ascii="Arial" w:hAnsi="Arial" w:cs="Arial"/>
                <w:noProof/>
                <w:webHidden/>
                <w:sz w:val="24"/>
              </w:rPr>
              <w:fldChar w:fldCharType="end"/>
            </w:r>
          </w:hyperlink>
        </w:p>
        <w:p w14:paraId="14520768" w14:textId="77777777" w:rsidR="00660625" w:rsidRPr="00D27AAA" w:rsidRDefault="00660625" w:rsidP="00660625">
          <w:pPr>
            <w:pStyle w:val="TOC1"/>
            <w:tabs>
              <w:tab w:val="right" w:leader="dot" w:pos="9350"/>
            </w:tabs>
            <w:spacing w:line="360" w:lineRule="auto"/>
            <w:rPr>
              <w:rFonts w:ascii="Arial" w:hAnsi="Arial" w:cs="Arial"/>
              <w:noProof/>
              <w:sz w:val="24"/>
            </w:rPr>
          </w:pPr>
          <w:hyperlink w:anchor="_Toc232733577" w:history="1">
            <w:r w:rsidRPr="00D27AAA">
              <w:rPr>
                <w:rStyle w:val="Hyperlink"/>
                <w:rFonts w:ascii="Arial" w:hAnsi="Arial" w:cs="Arial"/>
                <w:noProof/>
                <w:sz w:val="24"/>
              </w:rPr>
              <w:t>References</w:t>
            </w:r>
            <w:r w:rsidRPr="00D27AAA">
              <w:rPr>
                <w:rFonts w:ascii="Arial" w:hAnsi="Arial" w:cs="Arial"/>
                <w:noProof/>
                <w:webHidden/>
                <w:sz w:val="24"/>
              </w:rPr>
              <w:tab/>
            </w:r>
            <w:r w:rsidRPr="00D27AAA">
              <w:rPr>
                <w:rFonts w:ascii="Arial" w:hAnsi="Arial" w:cs="Arial"/>
                <w:noProof/>
                <w:webHidden/>
                <w:sz w:val="24"/>
              </w:rPr>
              <w:fldChar w:fldCharType="begin"/>
            </w:r>
            <w:r w:rsidRPr="00D27AAA">
              <w:rPr>
                <w:rFonts w:ascii="Arial" w:hAnsi="Arial" w:cs="Arial"/>
                <w:noProof/>
                <w:webHidden/>
                <w:sz w:val="24"/>
              </w:rPr>
              <w:instrText xml:space="preserve"> PAGEREF _Toc232733577 \h </w:instrText>
            </w:r>
            <w:r w:rsidRPr="00D27AAA">
              <w:rPr>
                <w:rFonts w:ascii="Arial" w:hAnsi="Arial" w:cs="Arial"/>
                <w:noProof/>
                <w:webHidden/>
                <w:sz w:val="24"/>
              </w:rPr>
            </w:r>
            <w:r w:rsidRPr="00D27AAA">
              <w:rPr>
                <w:rFonts w:ascii="Arial" w:hAnsi="Arial" w:cs="Arial"/>
                <w:noProof/>
                <w:webHidden/>
                <w:sz w:val="24"/>
              </w:rPr>
              <w:fldChar w:fldCharType="separate"/>
            </w:r>
            <w:r>
              <w:rPr>
                <w:rFonts w:ascii="Arial" w:hAnsi="Arial" w:cs="Arial"/>
                <w:noProof/>
                <w:webHidden/>
                <w:sz w:val="24"/>
              </w:rPr>
              <w:t>22</w:t>
            </w:r>
            <w:r w:rsidRPr="00D27AAA">
              <w:rPr>
                <w:rFonts w:ascii="Arial" w:hAnsi="Arial" w:cs="Arial"/>
                <w:noProof/>
                <w:webHidden/>
                <w:sz w:val="24"/>
              </w:rPr>
              <w:fldChar w:fldCharType="end"/>
            </w:r>
          </w:hyperlink>
        </w:p>
        <w:p w14:paraId="29F2D588" w14:textId="77777777" w:rsidR="00660625" w:rsidRPr="00D27AAA" w:rsidRDefault="00660625" w:rsidP="00660625">
          <w:pPr>
            <w:rPr>
              <w:rFonts w:ascii="Arial" w:hAnsi="Arial" w:cs="Arial"/>
            </w:rPr>
          </w:pPr>
          <w:r w:rsidRPr="00D27AAA">
            <w:rPr>
              <w:rFonts w:ascii="Arial" w:hAnsi="Arial" w:cs="Arial"/>
              <w:b/>
              <w:bCs/>
              <w:noProof/>
            </w:rPr>
            <w:fldChar w:fldCharType="end"/>
          </w:r>
        </w:p>
      </w:sdtContent>
    </w:sdt>
    <w:p w14:paraId="63F69773" w14:textId="77777777" w:rsidR="00660625" w:rsidRPr="00D27AAA" w:rsidRDefault="00660625" w:rsidP="00660625">
      <w:pPr>
        <w:rPr>
          <w:rFonts w:ascii="Arial" w:eastAsiaTheme="majorEastAsia" w:hAnsi="Arial" w:cs="Arial"/>
          <w:b/>
          <w:color w:val="000000" w:themeColor="text1"/>
        </w:rPr>
      </w:pPr>
      <w:bookmarkStart w:id="0" w:name="_Toc232733573"/>
      <w:r w:rsidRPr="00D27AAA">
        <w:rPr>
          <w:rFonts w:ascii="Arial" w:hAnsi="Arial" w:cs="Arial"/>
        </w:rPr>
        <w:br w:type="page"/>
      </w:r>
    </w:p>
    <w:p w14:paraId="061CF6D7" w14:textId="77777777" w:rsidR="00660625" w:rsidRPr="00D27AAA" w:rsidRDefault="00660625" w:rsidP="00660625">
      <w:pPr>
        <w:pStyle w:val="Heading1"/>
        <w:spacing w:after="60" w:line="360" w:lineRule="auto"/>
        <w:jc w:val="both"/>
        <w:rPr>
          <w:rFonts w:ascii="Arial" w:hAnsi="Arial" w:cs="Arial"/>
          <w:szCs w:val="24"/>
        </w:rPr>
      </w:pPr>
      <w:r w:rsidRPr="00D27AAA">
        <w:rPr>
          <w:rFonts w:ascii="Arial" w:hAnsi="Arial" w:cs="Arial"/>
          <w:szCs w:val="24"/>
        </w:rPr>
        <w:lastRenderedPageBreak/>
        <w:t>Element 1: Poster Presentation</w:t>
      </w:r>
      <w:bookmarkEnd w:id="0"/>
    </w:p>
    <w:p w14:paraId="20364457" w14:textId="50383C16" w:rsidR="00660625" w:rsidRPr="00D27AAA" w:rsidRDefault="00660625" w:rsidP="00660625">
      <w:pPr>
        <w:jc w:val="center"/>
      </w:pPr>
      <w:r>
        <w:rPr>
          <w:noProof/>
        </w:rPr>
        <w:drawing>
          <wp:inline distT="0" distB="0" distL="0" distR="0" wp14:anchorId="59E3C03E" wp14:editId="1C66E8FE">
            <wp:extent cx="5546446" cy="7460361"/>
            <wp:effectExtent l="0" t="0" r="3810" b="0"/>
            <wp:docPr id="1211426198" name="Picture 1211426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426198" name="Picture 1211426198"/>
                    <pic:cNvPicPr/>
                  </pic:nvPicPr>
                  <pic:blipFill>
                    <a:blip r:embed="rId7">
                      <a:extLst>
                        <a:ext uri="{28A0092B-C50C-407E-A947-70E740481C1C}">
                          <a14:useLocalDpi xmlns:a14="http://schemas.microsoft.com/office/drawing/2010/main" val="0"/>
                        </a:ext>
                      </a:extLst>
                    </a:blip>
                    <a:stretch>
                      <a:fillRect/>
                    </a:stretch>
                  </pic:blipFill>
                  <pic:spPr>
                    <a:xfrm>
                      <a:off x="0" y="0"/>
                      <a:ext cx="5546446" cy="7460361"/>
                    </a:xfrm>
                    <a:prstGeom prst="rect">
                      <a:avLst/>
                    </a:prstGeom>
                  </pic:spPr>
                </pic:pic>
              </a:graphicData>
            </a:graphic>
          </wp:inline>
        </w:drawing>
      </w:r>
    </w:p>
    <w:p w14:paraId="5CE873DA" w14:textId="0D371430" w:rsidR="00660625" w:rsidRPr="00D27AAA" w:rsidRDefault="00660625" w:rsidP="00660625">
      <w:pPr>
        <w:pStyle w:val="Heading1"/>
        <w:spacing w:line="360" w:lineRule="auto"/>
        <w:jc w:val="both"/>
        <w:rPr>
          <w:rFonts w:ascii="Arial" w:hAnsi="Arial" w:cs="Arial"/>
          <w:szCs w:val="24"/>
        </w:rPr>
      </w:pPr>
      <w:r w:rsidRPr="00D27AAA">
        <w:rPr>
          <w:rFonts w:ascii="Arial" w:hAnsi="Arial" w:cs="Arial"/>
          <w:szCs w:val="24"/>
        </w:rPr>
        <w:lastRenderedPageBreak/>
        <w:t xml:space="preserve">Element 2: STDP Analysis for </w:t>
      </w:r>
      <w:proofErr w:type="spellStart"/>
      <w:r w:rsidRPr="00D27AAA">
        <w:rPr>
          <w:rFonts w:ascii="Arial" w:hAnsi="Arial" w:cs="Arial"/>
          <w:szCs w:val="24"/>
        </w:rPr>
        <w:t>Oddbox</w:t>
      </w:r>
      <w:proofErr w:type="spellEnd"/>
      <w:r w:rsidRPr="00D27AAA">
        <w:rPr>
          <w:rFonts w:ascii="Arial" w:hAnsi="Arial" w:cs="Arial"/>
          <w:szCs w:val="24"/>
        </w:rPr>
        <w:t xml:space="preserve"> Rescue Kitchen</w:t>
      </w:r>
    </w:p>
    <w:p w14:paraId="5CB15F84" w14:textId="7A7A8D99"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 xml:space="preserve">For </w:t>
      </w:r>
      <w:proofErr w:type="spellStart"/>
      <w:r w:rsidRPr="00D27AAA">
        <w:rPr>
          <w:rFonts w:ascii="Arial" w:hAnsi="Arial" w:cs="Arial"/>
          <w:color w:val="000000"/>
          <w:kern w:val="0"/>
        </w:rPr>
        <w:t>Oddbox</w:t>
      </w:r>
      <w:proofErr w:type="spellEnd"/>
      <w:r w:rsidRPr="00D27AAA">
        <w:rPr>
          <w:rFonts w:ascii="Arial" w:hAnsi="Arial" w:cs="Arial"/>
          <w:color w:val="000000"/>
          <w:kern w:val="0"/>
        </w:rPr>
        <w:t xml:space="preserve"> Rescue Kitchen, a multi-variable STDP approach to segmentation should be used as location, lifestyle, income, health concern and convenience </w:t>
      </w:r>
      <w:proofErr w:type="spellStart"/>
      <w:r w:rsidRPr="00D27AAA">
        <w:rPr>
          <w:rFonts w:ascii="Arial" w:hAnsi="Arial" w:cs="Arial"/>
          <w:color w:val="000000"/>
          <w:kern w:val="0"/>
        </w:rPr>
        <w:t>behaviour</w:t>
      </w:r>
      <w:proofErr w:type="spellEnd"/>
      <w:r w:rsidRPr="00D27AAA">
        <w:rPr>
          <w:rFonts w:ascii="Arial" w:hAnsi="Arial" w:cs="Arial"/>
          <w:color w:val="000000"/>
          <w:kern w:val="0"/>
        </w:rPr>
        <w:t xml:space="preserve"> contribute to sustainable food demand, not just age. Geographically, the most </w:t>
      </w:r>
      <w:proofErr w:type="spellStart"/>
      <w:r w:rsidRPr="00D27AAA">
        <w:rPr>
          <w:rFonts w:ascii="Arial" w:hAnsi="Arial" w:cs="Arial"/>
          <w:color w:val="000000"/>
          <w:kern w:val="0"/>
        </w:rPr>
        <w:t>favourable</w:t>
      </w:r>
      <w:proofErr w:type="spellEnd"/>
      <w:r w:rsidRPr="00D27AAA">
        <w:rPr>
          <w:rFonts w:ascii="Arial" w:hAnsi="Arial" w:cs="Arial"/>
          <w:color w:val="000000"/>
          <w:kern w:val="0"/>
        </w:rPr>
        <w:t xml:space="preserve"> markets are London, Manchester, Bristol, Brighton, Leeds and university towns because of their high density, commuting lifestyles and ethical shopping habits with food retail, which make chilled and frozen rescued-produce meals more viable. The UK population in mid-2024 was 69.3 million (national scale), and the first target should be urban areas as distribution, awareness and trial may be easier in concentrated markets (ONS, 2025). Students, young professionals, working parents and middle-income households with a concern for the environment are the most relevant segments from a demographic point of view. There were 2.86 million students in higher education in the UK in 2024/25, with the university representing a viable outlet for cheap, rescue-based meal packages and smoothie packs (House of Commons Library, 2026).</w:t>
      </w:r>
    </w:p>
    <w:p w14:paraId="1BAA2552"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34829049" wp14:editId="0FE60E86">
            <wp:extent cx="4932788" cy="3699591"/>
            <wp:effectExtent l="12700" t="12700" r="7620" b="8890"/>
            <wp:docPr id="1211426176" name="Picture 1211426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3_segmentation_quadrants.png"/>
                    <pic:cNvPicPr/>
                  </pic:nvPicPr>
                  <pic:blipFill>
                    <a:blip r:embed="rId8"/>
                    <a:stretch>
                      <a:fillRect/>
                    </a:stretch>
                  </pic:blipFill>
                  <pic:spPr>
                    <a:xfrm>
                      <a:off x="0" y="0"/>
                      <a:ext cx="4934230" cy="3700673"/>
                    </a:xfrm>
                    <a:prstGeom prst="rect">
                      <a:avLst/>
                    </a:prstGeom>
                    <a:ln>
                      <a:solidFill>
                        <a:sysClr val="windowText" lastClr="000000"/>
                      </a:solidFill>
                    </a:ln>
                  </pic:spPr>
                </pic:pic>
              </a:graphicData>
            </a:graphic>
          </wp:inline>
        </w:drawing>
      </w:r>
    </w:p>
    <w:p w14:paraId="69667083"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lastRenderedPageBreak/>
        <w:t>Figure 1. Segmentation framework for the extension.</w:t>
      </w:r>
    </w:p>
    <w:p w14:paraId="19F7347F"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07C7E188" wp14:editId="1A23D063">
            <wp:extent cx="5349240" cy="4011930"/>
            <wp:effectExtent l="12700" t="12700" r="10160" b="13970"/>
            <wp:docPr id="1211426177" name="Picture 1211426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4_target_cities_chart.png"/>
                    <pic:cNvPicPr/>
                  </pic:nvPicPr>
                  <pic:blipFill>
                    <a:blip r:embed="rId9"/>
                    <a:stretch>
                      <a:fillRect/>
                    </a:stretch>
                  </pic:blipFill>
                  <pic:spPr>
                    <a:xfrm>
                      <a:off x="0" y="0"/>
                      <a:ext cx="5349240" cy="4011930"/>
                    </a:xfrm>
                    <a:prstGeom prst="rect">
                      <a:avLst/>
                    </a:prstGeom>
                    <a:ln>
                      <a:solidFill>
                        <a:sysClr val="windowText" lastClr="000000"/>
                      </a:solidFill>
                    </a:ln>
                  </pic:spPr>
                </pic:pic>
              </a:graphicData>
            </a:graphic>
          </wp:inline>
        </w:drawing>
      </w:r>
    </w:p>
    <w:p w14:paraId="3BA5BCFC"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2. Priority UK launch cities.</w:t>
      </w:r>
    </w:p>
    <w:p w14:paraId="604FE902"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proofErr w:type="spellStart"/>
      <w:r w:rsidRPr="00D27AAA">
        <w:rPr>
          <w:rFonts w:ascii="Arial" w:hAnsi="Arial" w:cs="Arial"/>
          <w:color w:val="000000"/>
          <w:kern w:val="0"/>
        </w:rPr>
        <w:t>Psychographically</w:t>
      </w:r>
      <w:proofErr w:type="spellEnd"/>
      <w:r w:rsidRPr="00D27AAA">
        <w:rPr>
          <w:rFonts w:ascii="Arial" w:hAnsi="Arial" w:cs="Arial"/>
          <w:color w:val="000000"/>
          <w:kern w:val="0"/>
        </w:rPr>
        <w:t xml:space="preserve">, the key segment consists of consumers who want to be more sustainable but are not fond of complexity. According to the Theory of Planned </w:t>
      </w:r>
      <w:proofErr w:type="spellStart"/>
      <w:r w:rsidRPr="00D27AAA">
        <w:rPr>
          <w:rFonts w:ascii="Arial" w:hAnsi="Arial" w:cs="Arial"/>
          <w:color w:val="000000"/>
          <w:kern w:val="0"/>
        </w:rPr>
        <w:t>Behaviour</w:t>
      </w:r>
      <w:proofErr w:type="spellEnd"/>
      <w:r w:rsidRPr="00D27AAA">
        <w:rPr>
          <w:rFonts w:ascii="Arial" w:hAnsi="Arial" w:cs="Arial"/>
          <w:color w:val="000000"/>
          <w:kern w:val="0"/>
        </w:rPr>
        <w:t xml:space="preserve">, the sustainable purchase intention is influenced by attitude, social norms, perceived control, knowledge, and trust (Jakubowska et al., 2024). </w:t>
      </w:r>
      <w:proofErr w:type="spellStart"/>
      <w:r w:rsidRPr="00D27AAA">
        <w:rPr>
          <w:rFonts w:ascii="Arial" w:hAnsi="Arial" w:cs="Arial"/>
          <w:color w:val="000000"/>
          <w:kern w:val="0"/>
        </w:rPr>
        <w:t>Behaviourally</w:t>
      </w:r>
      <w:proofErr w:type="spellEnd"/>
      <w:r w:rsidRPr="00D27AAA">
        <w:rPr>
          <w:rFonts w:ascii="Arial" w:hAnsi="Arial" w:cs="Arial"/>
          <w:color w:val="000000"/>
          <w:kern w:val="0"/>
        </w:rPr>
        <w:t>, those who purchase ready meals, frozen food, meal deals and quick lunches but desire a healthier, ethical choice represent the strongest segment. The UK ready meals market is expected to reach US$7.26 billion in 2026, which represents a significant convenience market for Rescue Kitchen (Market Data Forecast, 2026).</w:t>
      </w:r>
    </w:p>
    <w:p w14:paraId="74AAED48" w14:textId="77777777" w:rsidR="00660625" w:rsidRPr="00D27AAA" w:rsidRDefault="00660625" w:rsidP="00660625">
      <w:pPr>
        <w:spacing w:before="160" w:after="40"/>
        <w:jc w:val="center"/>
        <w:rPr>
          <w:rFonts w:ascii="Arial" w:hAnsi="Arial" w:cs="Arial"/>
        </w:rPr>
      </w:pPr>
      <w:r w:rsidRPr="00D27AAA">
        <w:rPr>
          <w:rFonts w:ascii="Arial" w:hAnsi="Arial" w:cs="Arial"/>
          <w:noProof/>
        </w:rPr>
        <w:lastRenderedPageBreak/>
        <w:drawing>
          <wp:inline distT="0" distB="0" distL="0" distR="0" wp14:anchorId="6AFE1F5C" wp14:editId="3205EB82">
            <wp:extent cx="4572179" cy="3429134"/>
            <wp:effectExtent l="12700" t="12700" r="12700" b="12700"/>
            <wp:docPr id="1211426178" name="Picture 1211426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5_target_persona.png"/>
                    <pic:cNvPicPr/>
                  </pic:nvPicPr>
                  <pic:blipFill>
                    <a:blip r:embed="rId10"/>
                    <a:stretch>
                      <a:fillRect/>
                    </a:stretch>
                  </pic:blipFill>
                  <pic:spPr>
                    <a:xfrm>
                      <a:off x="0" y="0"/>
                      <a:ext cx="4583769" cy="3437826"/>
                    </a:xfrm>
                    <a:prstGeom prst="rect">
                      <a:avLst/>
                    </a:prstGeom>
                    <a:ln>
                      <a:solidFill>
                        <a:sysClr val="windowText" lastClr="000000"/>
                      </a:solidFill>
                    </a:ln>
                  </pic:spPr>
                </pic:pic>
              </a:graphicData>
            </a:graphic>
          </wp:inline>
        </w:drawing>
      </w:r>
    </w:p>
    <w:p w14:paraId="5C5DD126"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3. Primary target customer persona.</w:t>
      </w:r>
    </w:p>
    <w:p w14:paraId="162D9186"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2828A109" wp14:editId="39B6A2B2">
            <wp:extent cx="4533136" cy="3477474"/>
            <wp:effectExtent l="12700" t="12700" r="13970" b="15240"/>
            <wp:docPr id="1211426179" name="Picture 1211426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_donut_segment.png"/>
                    <pic:cNvPicPr/>
                  </pic:nvPicPr>
                  <pic:blipFill>
                    <a:blip r:embed="rId11"/>
                    <a:stretch>
                      <a:fillRect/>
                    </a:stretch>
                  </pic:blipFill>
                  <pic:spPr>
                    <a:xfrm>
                      <a:off x="0" y="0"/>
                      <a:ext cx="4552513" cy="3492339"/>
                    </a:xfrm>
                    <a:prstGeom prst="rect">
                      <a:avLst/>
                    </a:prstGeom>
                    <a:ln>
                      <a:solidFill>
                        <a:sysClr val="windowText" lastClr="000000"/>
                      </a:solidFill>
                    </a:ln>
                  </pic:spPr>
                </pic:pic>
              </a:graphicData>
            </a:graphic>
          </wp:inline>
        </w:drawing>
      </w:r>
    </w:p>
    <w:p w14:paraId="6D3478AD"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4. Core target segment mix.</w:t>
      </w:r>
    </w:p>
    <w:p w14:paraId="11066B21"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 xml:space="preserve">The selected target group should consist of urban, price-sensitive, health-conscious consumers aged around 18 to 45 years and seeking fast food with a 'visible' sustainability message. This encompasses postgraduates, young workers, hybrid employees, young </w:t>
      </w:r>
      <w:r w:rsidRPr="00D27AAA">
        <w:rPr>
          <w:rFonts w:ascii="Arial" w:hAnsi="Arial" w:cs="Arial"/>
          <w:color w:val="000000"/>
          <w:kern w:val="0"/>
        </w:rPr>
        <w:lastRenderedPageBreak/>
        <w:t>couples and busy parents who visit supermarkets, online grocery retailers and work canteens. This target is viewed as commercially appealing due to its perceived health and sustainability appeal, and high-frequency purchasing. In 2026, the Food Standards Agency reported that 75% of people had made changes to their eating habits for health reasons, 49% of whom were to eat less processed food and 46% to increase the amount of fruit and vegetables consumed (Food Standards Agency, 2026). The target, however, may not be regarded as an ethereal group of premium products. Prices in the UK for food and non-alcoholic drinks have increased 38.6% between November 2020 and November 2025, making affordability a key consideration in targeting (House of Commons Library, 2026). This helps to target a differentiated market and not a mass market.</w:t>
      </w:r>
    </w:p>
    <w:p w14:paraId="3E488237"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2E8C6AFF" wp14:editId="5BF1746E">
            <wp:extent cx="5349240" cy="4011930"/>
            <wp:effectExtent l="12700" t="12700" r="10160" b="13970"/>
            <wp:docPr id="1211426180" name="Picture 1211426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7_differentiation_pillars.png"/>
                    <pic:cNvPicPr/>
                  </pic:nvPicPr>
                  <pic:blipFill>
                    <a:blip r:embed="rId12"/>
                    <a:stretch>
                      <a:fillRect/>
                    </a:stretch>
                  </pic:blipFill>
                  <pic:spPr>
                    <a:xfrm>
                      <a:off x="0" y="0"/>
                      <a:ext cx="5349240" cy="4011930"/>
                    </a:xfrm>
                    <a:prstGeom prst="rect">
                      <a:avLst/>
                    </a:prstGeom>
                    <a:ln>
                      <a:solidFill>
                        <a:sysClr val="windowText" lastClr="000000"/>
                      </a:solidFill>
                    </a:ln>
                  </pic:spPr>
                </pic:pic>
              </a:graphicData>
            </a:graphic>
          </wp:inline>
        </w:drawing>
      </w:r>
    </w:p>
    <w:p w14:paraId="7EB85EC7"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5. Differentiation pillars.</w:t>
      </w:r>
    </w:p>
    <w:p w14:paraId="02190097" w14:textId="77777777" w:rsidR="00660625" w:rsidRPr="00D27AAA" w:rsidRDefault="00660625" w:rsidP="00660625">
      <w:pPr>
        <w:spacing w:before="160" w:after="40"/>
        <w:jc w:val="center"/>
        <w:rPr>
          <w:rFonts w:ascii="Arial" w:hAnsi="Arial" w:cs="Arial"/>
        </w:rPr>
      </w:pPr>
      <w:r w:rsidRPr="00D27AAA">
        <w:rPr>
          <w:rFonts w:ascii="Arial" w:hAnsi="Arial" w:cs="Arial"/>
          <w:noProof/>
        </w:rPr>
        <w:lastRenderedPageBreak/>
        <w:drawing>
          <wp:inline distT="0" distB="0" distL="0" distR="0" wp14:anchorId="590C77DA" wp14:editId="4E5EC282">
            <wp:extent cx="5349240" cy="4223084"/>
            <wp:effectExtent l="12700" t="12700" r="10160" b="19050"/>
            <wp:docPr id="1211426181" name="Picture 1211426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8_perceptual_map.png"/>
                    <pic:cNvPicPr/>
                  </pic:nvPicPr>
                  <pic:blipFill>
                    <a:blip r:embed="rId13"/>
                    <a:stretch>
                      <a:fillRect/>
                    </a:stretch>
                  </pic:blipFill>
                  <pic:spPr>
                    <a:xfrm>
                      <a:off x="0" y="0"/>
                      <a:ext cx="5349240" cy="4223084"/>
                    </a:xfrm>
                    <a:prstGeom prst="rect">
                      <a:avLst/>
                    </a:prstGeom>
                    <a:ln>
                      <a:solidFill>
                        <a:sysClr val="windowText" lastClr="000000"/>
                      </a:solidFill>
                    </a:ln>
                  </pic:spPr>
                </pic:pic>
              </a:graphicData>
            </a:graphic>
          </wp:inline>
        </w:drawing>
      </w:r>
    </w:p>
    <w:p w14:paraId="143863EB"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6. Perceptual positioning map.</w:t>
      </w:r>
    </w:p>
    <w:p w14:paraId="525DF7A7"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Rescue Kitchen should target the segment where the need and value of the product align best: consumers who are looking for a healthy convenience, less waste, and fair pricing. This is backed by research which indicates that taste, price and health are key drivers in Gen Z food choice and not sustainability alone (Halicka et al, 2025). Trust also plays a role as consumers need to trust the rescued-produce claim. A recent study on TPB demonstrates that trust, convenience and environmental concerns can boost sustainable food buying intentions (Prakash et al., 2023).</w:t>
      </w:r>
    </w:p>
    <w:p w14:paraId="79F2A4DF" w14:textId="77777777" w:rsidR="00660625" w:rsidRPr="00D27AAA" w:rsidRDefault="00660625" w:rsidP="00660625">
      <w:pPr>
        <w:spacing w:before="160" w:after="40"/>
        <w:jc w:val="center"/>
        <w:rPr>
          <w:rFonts w:ascii="Arial" w:hAnsi="Arial" w:cs="Arial"/>
        </w:rPr>
      </w:pPr>
      <w:r w:rsidRPr="00D27AAA">
        <w:rPr>
          <w:rFonts w:ascii="Arial" w:hAnsi="Arial" w:cs="Arial"/>
          <w:noProof/>
        </w:rPr>
        <w:lastRenderedPageBreak/>
        <w:drawing>
          <wp:inline distT="0" distB="0" distL="0" distR="0" wp14:anchorId="2458C6AD" wp14:editId="7CCA9F54">
            <wp:extent cx="4894151" cy="3670613"/>
            <wp:effectExtent l="12700" t="12700" r="8255" b="12700"/>
            <wp:docPr id="1211426182" name="Picture 1211426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9_product_portfolio.png"/>
                    <pic:cNvPicPr/>
                  </pic:nvPicPr>
                  <pic:blipFill>
                    <a:blip r:embed="rId14"/>
                    <a:stretch>
                      <a:fillRect/>
                    </a:stretch>
                  </pic:blipFill>
                  <pic:spPr>
                    <a:xfrm>
                      <a:off x="0" y="0"/>
                      <a:ext cx="4896730" cy="3672547"/>
                    </a:xfrm>
                    <a:prstGeom prst="rect">
                      <a:avLst/>
                    </a:prstGeom>
                    <a:ln>
                      <a:solidFill>
                        <a:sysClr val="windowText" lastClr="000000"/>
                      </a:solidFill>
                    </a:ln>
                  </pic:spPr>
                </pic:pic>
              </a:graphicData>
            </a:graphic>
          </wp:inline>
        </w:drawing>
      </w:r>
    </w:p>
    <w:p w14:paraId="6CABEBBB"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7. Introductory product portfolio.</w:t>
      </w:r>
    </w:p>
    <w:p w14:paraId="1A7F545B"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044F5A79" wp14:editId="734E784B">
            <wp:extent cx="4619461" cy="3464596"/>
            <wp:effectExtent l="12700" t="12700" r="16510" b="15240"/>
            <wp:docPr id="1211426183" name="Picture 1211426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_kotler_levels.png"/>
                    <pic:cNvPicPr/>
                  </pic:nvPicPr>
                  <pic:blipFill>
                    <a:blip r:embed="rId15"/>
                    <a:stretch>
                      <a:fillRect/>
                    </a:stretch>
                  </pic:blipFill>
                  <pic:spPr>
                    <a:xfrm>
                      <a:off x="0" y="0"/>
                      <a:ext cx="4632171" cy="3474129"/>
                    </a:xfrm>
                    <a:prstGeom prst="rect">
                      <a:avLst/>
                    </a:prstGeom>
                    <a:ln>
                      <a:solidFill>
                        <a:sysClr val="windowText" lastClr="000000"/>
                      </a:solidFill>
                    </a:ln>
                  </pic:spPr>
                </pic:pic>
              </a:graphicData>
            </a:graphic>
          </wp:inline>
        </w:drawing>
      </w:r>
    </w:p>
    <w:p w14:paraId="21D3DE6F"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8. Kotler product levels application.</w:t>
      </w:r>
    </w:p>
    <w:p w14:paraId="580904B7"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proofErr w:type="spellStart"/>
      <w:r w:rsidRPr="00D27AAA">
        <w:rPr>
          <w:rFonts w:ascii="Arial" w:hAnsi="Arial" w:cs="Arial"/>
          <w:color w:val="000000"/>
          <w:kern w:val="0"/>
        </w:rPr>
        <w:t>Oddbox</w:t>
      </w:r>
      <w:proofErr w:type="spellEnd"/>
      <w:r w:rsidRPr="00D27AAA">
        <w:rPr>
          <w:rFonts w:ascii="Arial" w:hAnsi="Arial" w:cs="Arial"/>
          <w:color w:val="000000"/>
          <w:kern w:val="0"/>
        </w:rPr>
        <w:t xml:space="preserve"> Rescue Kitchen should differentiate itself through mission fit, circular value creation and transparent impact labelling. When food is rescued and sold as an own-label </w:t>
      </w:r>
      <w:r w:rsidRPr="00D27AAA">
        <w:rPr>
          <w:rFonts w:ascii="Arial" w:hAnsi="Arial" w:cs="Arial"/>
          <w:color w:val="000000"/>
          <w:kern w:val="0"/>
        </w:rPr>
        <w:lastRenderedPageBreak/>
        <w:t>ready meal or chilled soup, or even as a meal kit, the main aspect of the product logic is going to be price or convenience. Kantar found promotional grocery sales rose to 33.3% of the entire festive season during 2025, highlighting how UK consumers are deal-driven. (Kantar, 2026) Therefore, the contention of expensive eco-premiums is not to be used as a basis for differentiation. It should convey rescued produce, affordable nutrition, grower support and waste reduction per pack. This is consistent with Aaker's 5B's framework, in which brand relevance, image, brand equity, and brand loyalty are bolstered when the brand occupies an important subcategory (Aaker, 2025). A resource-based approach to differentiation can be used at Rescue Kitchen. Rescued produce sourcing, grower relationships and B Corp credentials are hard for generic ready meal competitors to duplicate rapidly.</w:t>
      </w:r>
    </w:p>
    <w:p w14:paraId="6D06C9C1"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2469D91F" wp14:editId="0BBB481E">
            <wp:extent cx="5349240" cy="4223084"/>
            <wp:effectExtent l="12700" t="12700" r="10160" b="19050"/>
            <wp:docPr id="1211426184" name="Picture 1211426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_lifecycle_curve.png"/>
                    <pic:cNvPicPr/>
                  </pic:nvPicPr>
                  <pic:blipFill>
                    <a:blip r:embed="rId16"/>
                    <a:stretch>
                      <a:fillRect/>
                    </a:stretch>
                  </pic:blipFill>
                  <pic:spPr>
                    <a:xfrm>
                      <a:off x="0" y="0"/>
                      <a:ext cx="5349240" cy="4223084"/>
                    </a:xfrm>
                    <a:prstGeom prst="rect">
                      <a:avLst/>
                    </a:prstGeom>
                    <a:ln>
                      <a:solidFill>
                        <a:sysClr val="windowText" lastClr="000000"/>
                      </a:solidFill>
                    </a:ln>
                  </pic:spPr>
                </pic:pic>
              </a:graphicData>
            </a:graphic>
          </wp:inline>
        </w:drawing>
      </w:r>
    </w:p>
    <w:p w14:paraId="3876D2D2"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9. Planned product life cycle path.</w:t>
      </w:r>
    </w:p>
    <w:p w14:paraId="418296BC" w14:textId="77777777" w:rsidR="00660625" w:rsidRPr="00D27AAA" w:rsidRDefault="00660625" w:rsidP="00660625">
      <w:pPr>
        <w:spacing w:before="160" w:after="40"/>
        <w:jc w:val="center"/>
        <w:rPr>
          <w:rFonts w:ascii="Arial" w:hAnsi="Arial" w:cs="Arial"/>
        </w:rPr>
      </w:pPr>
      <w:r w:rsidRPr="00D27AAA">
        <w:rPr>
          <w:rFonts w:ascii="Arial" w:hAnsi="Arial" w:cs="Arial"/>
          <w:noProof/>
        </w:rPr>
        <w:lastRenderedPageBreak/>
        <w:drawing>
          <wp:inline distT="0" distB="0" distL="0" distR="0" wp14:anchorId="2ACA4FD0" wp14:editId="2E6498C8">
            <wp:extent cx="5349240" cy="4011930"/>
            <wp:effectExtent l="12700" t="12700" r="10160" b="13970"/>
            <wp:docPr id="1211426185" name="Picture 1211426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_pricing_ladder.png"/>
                    <pic:cNvPicPr/>
                  </pic:nvPicPr>
                  <pic:blipFill>
                    <a:blip r:embed="rId17"/>
                    <a:stretch>
                      <a:fillRect/>
                    </a:stretch>
                  </pic:blipFill>
                  <pic:spPr>
                    <a:xfrm>
                      <a:off x="0" y="0"/>
                      <a:ext cx="5349240" cy="4011930"/>
                    </a:xfrm>
                    <a:prstGeom prst="rect">
                      <a:avLst/>
                    </a:prstGeom>
                    <a:ln>
                      <a:solidFill>
                        <a:sysClr val="windowText" lastClr="000000"/>
                      </a:solidFill>
                    </a:ln>
                  </pic:spPr>
                </pic:pic>
              </a:graphicData>
            </a:graphic>
          </wp:inline>
        </w:drawing>
      </w:r>
    </w:p>
    <w:p w14:paraId="49DD78F9"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10. Fair-value pricing ladder.</w:t>
      </w:r>
    </w:p>
    <w:p w14:paraId="5076B7A8"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 xml:space="preserve">Academic research also indicates that customers' satisfaction with circular economy service quality can be enhanced by having the circular experience as useful rather than symbolic, which leads to greater brand image and customer loyalty (Sah et al., 2025). Additionally, sustainable food consumers are not uniform, which is demonstrated by the segmentation research mentioned earlier: it is not only about “green consumers” but also about “practical reducers” who combine health, price and waste avoidance in their </w:t>
      </w:r>
      <w:proofErr w:type="spellStart"/>
      <w:r w:rsidRPr="00D27AAA">
        <w:rPr>
          <w:rFonts w:ascii="Arial" w:hAnsi="Arial" w:cs="Arial"/>
          <w:color w:val="000000"/>
          <w:kern w:val="0"/>
        </w:rPr>
        <w:t>behaviour</w:t>
      </w:r>
      <w:proofErr w:type="spellEnd"/>
      <w:r w:rsidRPr="00D27AAA">
        <w:rPr>
          <w:rFonts w:ascii="Arial" w:hAnsi="Arial" w:cs="Arial"/>
          <w:color w:val="000000"/>
          <w:kern w:val="0"/>
        </w:rPr>
        <w:t xml:space="preserve"> (</w:t>
      </w:r>
      <w:proofErr w:type="spellStart"/>
      <w:r w:rsidRPr="00D27AAA">
        <w:rPr>
          <w:rFonts w:ascii="Arial" w:hAnsi="Arial" w:cs="Arial"/>
          <w:color w:val="000000"/>
          <w:kern w:val="0"/>
        </w:rPr>
        <w:t>Schäufele</w:t>
      </w:r>
      <w:proofErr w:type="spellEnd"/>
      <w:r w:rsidRPr="00D27AAA">
        <w:rPr>
          <w:rFonts w:ascii="Arial" w:hAnsi="Arial" w:cs="Arial"/>
          <w:color w:val="000000"/>
          <w:kern w:val="0"/>
        </w:rPr>
        <w:t>-Elbers et al., 2023). This is important because the sustainable purchase gap often occurs when ethical products are difficult to understand, find or justify financially (Azzopardi and van de Sluis, 2026).</w:t>
      </w:r>
    </w:p>
    <w:p w14:paraId="757081A4"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 xml:space="preserve">The positioning should be: “For busy UK consumers who want healthy convenience without wasting food, </w:t>
      </w:r>
      <w:proofErr w:type="spellStart"/>
      <w:r w:rsidRPr="00D27AAA">
        <w:rPr>
          <w:rFonts w:ascii="Arial" w:hAnsi="Arial" w:cs="Arial"/>
          <w:color w:val="000000"/>
          <w:kern w:val="0"/>
        </w:rPr>
        <w:t>Oddbox</w:t>
      </w:r>
      <w:proofErr w:type="spellEnd"/>
      <w:r w:rsidRPr="00D27AAA">
        <w:rPr>
          <w:rFonts w:ascii="Arial" w:hAnsi="Arial" w:cs="Arial"/>
          <w:color w:val="000000"/>
          <w:kern w:val="0"/>
        </w:rPr>
        <w:t xml:space="preserve"> Rescue Kitchen turns rescued fruit and vegetables into affordable, climate-smart meals with clear impact in every pack.” This positioning is a benefit-led positioning as it provides the customer with functional value, emotional value and ethical value in one claim. It also adheres to the STP logic, in that it offers the product to a specific target, instead of promoting sustainability in a general way (Hossain et al. </w:t>
      </w:r>
      <w:r w:rsidRPr="00D27AAA">
        <w:rPr>
          <w:rFonts w:ascii="Arial" w:hAnsi="Arial" w:cs="Arial"/>
          <w:color w:val="000000"/>
          <w:kern w:val="0"/>
        </w:rPr>
        <w:lastRenderedPageBreak/>
        <w:t xml:space="preserve">2024). The perceptual position needs to fall between the two extremes of low-cost ready meals in the supermarket and high-cost sustainable meal kits. This puts </w:t>
      </w:r>
      <w:proofErr w:type="spellStart"/>
      <w:r w:rsidRPr="00D27AAA">
        <w:rPr>
          <w:rFonts w:ascii="Arial" w:hAnsi="Arial" w:cs="Arial"/>
          <w:color w:val="000000"/>
          <w:kern w:val="0"/>
        </w:rPr>
        <w:t>Oddbox</w:t>
      </w:r>
      <w:proofErr w:type="spellEnd"/>
      <w:r w:rsidRPr="00D27AAA">
        <w:rPr>
          <w:rFonts w:ascii="Arial" w:hAnsi="Arial" w:cs="Arial"/>
          <w:color w:val="000000"/>
          <w:kern w:val="0"/>
        </w:rPr>
        <w:t xml:space="preserve"> in the sweet middle-ground: better for the soul than your average convenience food and more accessible than the eco-brands that cater to the niche market. Sodexo's UK Sustainable Food Barometer revealed that 68% of consumers still have a positive attitude towards sustainable food, and 4% say the environment is their primary purchasing driver, clearly meaning that sustainability needs to be combined with the other three: price, taste and convenience (Sodexo, 2025). Furthermore, YouGov revealed that 53% of those prepared to pay more for sustainable packaged products would only pay up to 10% more, </w:t>
      </w:r>
      <w:proofErr w:type="spellStart"/>
      <w:r w:rsidRPr="00D27AAA">
        <w:rPr>
          <w:rFonts w:ascii="Arial" w:hAnsi="Arial" w:cs="Arial"/>
          <w:color w:val="000000"/>
          <w:kern w:val="0"/>
        </w:rPr>
        <w:t>favouring</w:t>
      </w:r>
      <w:proofErr w:type="spellEnd"/>
      <w:r w:rsidRPr="00D27AAA">
        <w:rPr>
          <w:rFonts w:ascii="Arial" w:hAnsi="Arial" w:cs="Arial"/>
          <w:color w:val="000000"/>
          <w:kern w:val="0"/>
        </w:rPr>
        <w:t xml:space="preserve"> modest prices over premium positioning (YouGov, 2024). Rescue Kitchen is mainstream sustainable convenience, not luxury sustainability, overall. Its core promise is practical: eat well, waste less, spend smarter.</w:t>
      </w:r>
    </w:p>
    <w:p w14:paraId="782A7A12"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64460FAA" wp14:editId="6ED3D2E2">
            <wp:extent cx="5791427" cy="4572179"/>
            <wp:effectExtent l="12700" t="12700" r="12700" b="12700"/>
            <wp:docPr id="1211426186" name="Picture 1211426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3_value_matrix.png"/>
                    <pic:cNvPicPr/>
                  </pic:nvPicPr>
                  <pic:blipFill>
                    <a:blip r:embed="rId18"/>
                    <a:stretch>
                      <a:fillRect/>
                    </a:stretch>
                  </pic:blipFill>
                  <pic:spPr>
                    <a:xfrm>
                      <a:off x="0" y="0"/>
                      <a:ext cx="5798871" cy="4578056"/>
                    </a:xfrm>
                    <a:prstGeom prst="rect">
                      <a:avLst/>
                    </a:prstGeom>
                    <a:ln>
                      <a:solidFill>
                        <a:sysClr val="windowText" lastClr="000000"/>
                      </a:solidFill>
                    </a:ln>
                  </pic:spPr>
                </pic:pic>
              </a:graphicData>
            </a:graphic>
          </wp:inline>
        </w:drawing>
      </w:r>
    </w:p>
    <w:p w14:paraId="1099EA5F"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11. Value-based pricing comparison.</w:t>
      </w:r>
    </w:p>
    <w:p w14:paraId="7BC0EC4A" w14:textId="77777777" w:rsidR="00660625" w:rsidRPr="00D27AAA" w:rsidRDefault="00660625" w:rsidP="00660625">
      <w:pPr>
        <w:spacing w:before="160" w:after="40"/>
        <w:jc w:val="center"/>
        <w:rPr>
          <w:rFonts w:ascii="Arial" w:hAnsi="Arial" w:cs="Arial"/>
        </w:rPr>
      </w:pPr>
      <w:r w:rsidRPr="00D27AAA">
        <w:rPr>
          <w:rFonts w:ascii="Arial" w:hAnsi="Arial" w:cs="Arial"/>
          <w:noProof/>
        </w:rPr>
        <w:lastRenderedPageBreak/>
        <w:drawing>
          <wp:inline distT="0" distB="0" distL="0" distR="0" wp14:anchorId="4F4E180B" wp14:editId="01FD4613">
            <wp:extent cx="5349240" cy="4011930"/>
            <wp:effectExtent l="12700" t="12700" r="10160" b="13970"/>
            <wp:docPr id="1211426187" name="Picture 1211426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4_channel_mix.png"/>
                    <pic:cNvPicPr/>
                  </pic:nvPicPr>
                  <pic:blipFill>
                    <a:blip r:embed="rId19"/>
                    <a:stretch>
                      <a:fillRect/>
                    </a:stretch>
                  </pic:blipFill>
                  <pic:spPr>
                    <a:xfrm>
                      <a:off x="0" y="0"/>
                      <a:ext cx="5349240" cy="4011930"/>
                    </a:xfrm>
                    <a:prstGeom prst="rect">
                      <a:avLst/>
                    </a:prstGeom>
                    <a:ln>
                      <a:solidFill>
                        <a:sysClr val="windowText" lastClr="000000"/>
                      </a:solidFill>
                    </a:ln>
                  </pic:spPr>
                </pic:pic>
              </a:graphicData>
            </a:graphic>
          </wp:inline>
        </w:drawing>
      </w:r>
    </w:p>
    <w:p w14:paraId="3335D269" w14:textId="77777777" w:rsidR="00660625" w:rsidRPr="00D27AAA" w:rsidRDefault="00660625" w:rsidP="00660625">
      <w:pPr>
        <w:spacing w:after="200"/>
        <w:jc w:val="center"/>
        <w:rPr>
          <w:rFonts w:ascii="Arial" w:hAnsi="Arial" w:cs="Arial"/>
          <w:b/>
          <w:bCs/>
          <w:i/>
          <w:color w:val="5A665A"/>
          <w:sz w:val="18"/>
        </w:rPr>
      </w:pPr>
      <w:r w:rsidRPr="00D27AAA">
        <w:rPr>
          <w:rFonts w:ascii="Arial" w:hAnsi="Arial" w:cs="Arial"/>
          <w:b/>
          <w:bCs/>
          <w:i/>
          <w:color w:val="5A665A"/>
          <w:sz w:val="18"/>
        </w:rPr>
        <w:t>Figure 12. Channel mix for distribution</w:t>
      </w:r>
      <w:bookmarkStart w:id="1" w:name="_Toc232733575"/>
    </w:p>
    <w:p w14:paraId="32D5E5D4" w14:textId="77777777" w:rsidR="00660625" w:rsidRPr="00D27AAA" w:rsidRDefault="00660625" w:rsidP="00660625">
      <w:pPr>
        <w:spacing w:after="200"/>
        <w:rPr>
          <w:rFonts w:ascii="Arial" w:hAnsi="Arial" w:cs="Arial"/>
          <w:b/>
          <w:bCs/>
          <w:iCs/>
        </w:rPr>
      </w:pPr>
    </w:p>
    <w:p w14:paraId="52DECE21" w14:textId="77777777" w:rsidR="00660625" w:rsidRPr="00D27AAA" w:rsidRDefault="00660625" w:rsidP="00660625">
      <w:pPr>
        <w:pStyle w:val="Heading1"/>
        <w:spacing w:line="360" w:lineRule="auto"/>
        <w:jc w:val="both"/>
        <w:rPr>
          <w:rFonts w:ascii="Arial" w:hAnsi="Arial" w:cs="Arial"/>
          <w:szCs w:val="24"/>
        </w:rPr>
      </w:pPr>
      <w:r w:rsidRPr="00D27AAA">
        <w:rPr>
          <w:rFonts w:ascii="Arial" w:hAnsi="Arial" w:cs="Arial"/>
          <w:szCs w:val="24"/>
        </w:rPr>
        <w:t>Element 3: Marketing Mix (4Ps)</w:t>
      </w:r>
      <w:bookmarkEnd w:id="1"/>
    </w:p>
    <w:p w14:paraId="4896B934"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 xml:space="preserve">Product to be developed as a value-added rescued produce range – soups, sauces, smoothie packs, dips and ready-to-cook meal kits. Using Kotler’s product levels, the core benefit is quick, healthy food with less waste; the actual product is chilled or frozen rescued-produce meals; and the augmented product is pack-level impact reporting, recipe ideas and grower stories (Kotler et al., 2022). This results in sustainability being integrated into the product's design rather than being carved out of it. The product launch should start with three hero products: Rescue Soup, Wonky Veg Sauce and Smoothie Saver Packs, since the theory of product lifecycle suggests that a product should have a narrow introductory product range, which can be tested before the wider roll-out (Zhou et al., 2026). This is also bolstered by Customer-Based Brand Equity as the extension's </w:t>
      </w:r>
      <w:r w:rsidRPr="00D27AAA">
        <w:rPr>
          <w:rFonts w:ascii="Arial" w:hAnsi="Arial" w:cs="Arial"/>
          <w:color w:val="000000"/>
          <w:kern w:val="0"/>
        </w:rPr>
        <w:lastRenderedPageBreak/>
        <w:t xml:space="preserve">goals are to strengthen </w:t>
      </w:r>
      <w:proofErr w:type="spellStart"/>
      <w:r w:rsidRPr="00D27AAA">
        <w:rPr>
          <w:rFonts w:ascii="Arial" w:hAnsi="Arial" w:cs="Arial"/>
          <w:color w:val="000000"/>
          <w:kern w:val="0"/>
        </w:rPr>
        <w:t>Oddbox's</w:t>
      </w:r>
      <w:proofErr w:type="spellEnd"/>
      <w:r w:rsidRPr="00D27AAA">
        <w:rPr>
          <w:rFonts w:ascii="Arial" w:hAnsi="Arial" w:cs="Arial"/>
          <w:color w:val="000000"/>
          <w:kern w:val="0"/>
        </w:rPr>
        <w:t xml:space="preserve"> salience, performance, imagery, and resonance with the credible rescued-food associations (</w:t>
      </w:r>
      <w:proofErr w:type="spellStart"/>
      <w:r w:rsidRPr="00D27AAA">
        <w:rPr>
          <w:rFonts w:ascii="Arial" w:hAnsi="Arial" w:cs="Arial"/>
          <w:color w:val="000000"/>
          <w:kern w:val="0"/>
        </w:rPr>
        <w:t>Coudounaris</w:t>
      </w:r>
      <w:proofErr w:type="spellEnd"/>
      <w:r w:rsidRPr="00D27AAA">
        <w:rPr>
          <w:rFonts w:ascii="Arial" w:hAnsi="Arial" w:cs="Arial"/>
          <w:color w:val="000000"/>
          <w:kern w:val="0"/>
        </w:rPr>
        <w:t xml:space="preserve"> et al., 2024). </w:t>
      </w:r>
    </w:p>
    <w:p w14:paraId="594BEB56"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6C7605D7" wp14:editId="06CAF921">
            <wp:extent cx="5349240" cy="4011930"/>
            <wp:effectExtent l="12700" t="12700" r="10160" b="13970"/>
            <wp:docPr id="1211426188" name="Picture 1211426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5_omni_journey.png"/>
                    <pic:cNvPicPr/>
                  </pic:nvPicPr>
                  <pic:blipFill>
                    <a:blip r:embed="rId20"/>
                    <a:stretch>
                      <a:fillRect/>
                    </a:stretch>
                  </pic:blipFill>
                  <pic:spPr>
                    <a:xfrm>
                      <a:off x="0" y="0"/>
                      <a:ext cx="5349240" cy="4011930"/>
                    </a:xfrm>
                    <a:prstGeom prst="rect">
                      <a:avLst/>
                    </a:prstGeom>
                    <a:ln>
                      <a:solidFill>
                        <a:sysClr val="windowText" lastClr="000000"/>
                      </a:solidFill>
                    </a:ln>
                  </pic:spPr>
                </pic:pic>
              </a:graphicData>
            </a:graphic>
          </wp:inline>
        </w:drawing>
      </w:r>
    </w:p>
    <w:p w14:paraId="50902E37"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13. Omnichannel customer journey.</w:t>
      </w:r>
    </w:p>
    <w:p w14:paraId="4649C401"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 xml:space="preserve">According to Upcycled-food studies, when products are perceived as safe and useful, and familiar, their acceptance is higher, which means traditional sauces and soups are more likely to be accepted than other uncommon forms (Chu et al., 2025). The evidence of upcycled food also reveals that value-added surplus products can help to </w:t>
      </w:r>
      <w:proofErr w:type="spellStart"/>
      <w:r w:rsidRPr="00D27AAA">
        <w:rPr>
          <w:rFonts w:ascii="Arial" w:hAnsi="Arial" w:cs="Arial"/>
          <w:color w:val="000000"/>
          <w:kern w:val="0"/>
        </w:rPr>
        <w:t>minimise</w:t>
      </w:r>
      <w:proofErr w:type="spellEnd"/>
      <w:r w:rsidRPr="00D27AAA">
        <w:rPr>
          <w:rFonts w:ascii="Arial" w:hAnsi="Arial" w:cs="Arial"/>
          <w:color w:val="000000"/>
          <w:kern w:val="0"/>
        </w:rPr>
        <w:t xml:space="preserve"> waste and to offer marketable consumer benefits (De Cianni and Caputo, 2025). The product should also be easy to identify sustainability information on packaging and online, since consumer goods increasingly require clear sustainability data for credible product evaluation (Jäger et al., 2022).</w:t>
      </w:r>
    </w:p>
    <w:p w14:paraId="16F133E8" w14:textId="77777777" w:rsidR="00660625" w:rsidRPr="00D27AAA" w:rsidRDefault="00660625" w:rsidP="00660625">
      <w:pPr>
        <w:spacing w:before="160" w:after="40"/>
        <w:jc w:val="center"/>
        <w:rPr>
          <w:rFonts w:ascii="Arial" w:hAnsi="Arial" w:cs="Arial"/>
        </w:rPr>
      </w:pPr>
      <w:r w:rsidRPr="00D27AAA">
        <w:rPr>
          <w:rFonts w:ascii="Arial" w:hAnsi="Arial" w:cs="Arial"/>
          <w:noProof/>
        </w:rPr>
        <w:lastRenderedPageBreak/>
        <w:drawing>
          <wp:inline distT="0" distB="0" distL="0" distR="0" wp14:anchorId="33C4204F" wp14:editId="06184ED2">
            <wp:extent cx="4636573" cy="3477430"/>
            <wp:effectExtent l="12700" t="12700" r="12065" b="15240"/>
            <wp:docPr id="1211426190" name="Picture 1211426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_aida_funnel.png"/>
                    <pic:cNvPicPr/>
                  </pic:nvPicPr>
                  <pic:blipFill>
                    <a:blip r:embed="rId21"/>
                    <a:stretch>
                      <a:fillRect/>
                    </a:stretch>
                  </pic:blipFill>
                  <pic:spPr>
                    <a:xfrm>
                      <a:off x="0" y="0"/>
                      <a:ext cx="4639668" cy="3479751"/>
                    </a:xfrm>
                    <a:prstGeom prst="rect">
                      <a:avLst/>
                    </a:prstGeom>
                    <a:ln>
                      <a:solidFill>
                        <a:sysClr val="windowText" lastClr="000000"/>
                      </a:solidFill>
                    </a:ln>
                  </pic:spPr>
                </pic:pic>
              </a:graphicData>
            </a:graphic>
          </wp:inline>
        </w:drawing>
      </w:r>
    </w:p>
    <w:p w14:paraId="3E610115"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14. AIDA promotion funnel.</w:t>
      </w:r>
    </w:p>
    <w:p w14:paraId="2A734624"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6D9472C7" wp14:editId="730427BD">
            <wp:extent cx="4713847" cy="3535385"/>
            <wp:effectExtent l="12700" t="12700" r="10795" b="8255"/>
            <wp:docPr id="1211426191" name="Picture 1211426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8_touchpoints_grid.png"/>
                    <pic:cNvPicPr/>
                  </pic:nvPicPr>
                  <pic:blipFill>
                    <a:blip r:embed="rId22"/>
                    <a:stretch>
                      <a:fillRect/>
                    </a:stretch>
                  </pic:blipFill>
                  <pic:spPr>
                    <a:xfrm>
                      <a:off x="0" y="0"/>
                      <a:ext cx="4723239" cy="3542429"/>
                    </a:xfrm>
                    <a:prstGeom prst="rect">
                      <a:avLst/>
                    </a:prstGeom>
                    <a:ln>
                      <a:solidFill>
                        <a:sysClr val="windowText" lastClr="000000"/>
                      </a:solidFill>
                    </a:ln>
                  </pic:spPr>
                </pic:pic>
              </a:graphicData>
            </a:graphic>
          </wp:inline>
        </w:drawing>
      </w:r>
    </w:p>
    <w:p w14:paraId="23569FCF"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15. Promotional touchpoints grid.</w:t>
      </w:r>
    </w:p>
    <w:p w14:paraId="4D3D7BAD"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 xml:space="preserve">Price must adopt a fair value penetration strategy, not premium eco-pricing. </w:t>
      </w:r>
      <w:proofErr w:type="spellStart"/>
      <w:r w:rsidRPr="00D27AAA">
        <w:rPr>
          <w:rFonts w:ascii="Arial" w:hAnsi="Arial" w:cs="Arial"/>
          <w:color w:val="000000"/>
          <w:kern w:val="0"/>
        </w:rPr>
        <w:t>Oddbox</w:t>
      </w:r>
      <w:proofErr w:type="spellEnd"/>
      <w:r w:rsidRPr="00D27AAA">
        <w:rPr>
          <w:rFonts w:ascii="Arial" w:hAnsi="Arial" w:cs="Arial"/>
          <w:color w:val="000000"/>
          <w:kern w:val="0"/>
        </w:rPr>
        <w:t xml:space="preserve"> Rescue Kitchen </w:t>
      </w:r>
      <w:proofErr w:type="gramStart"/>
      <w:r w:rsidRPr="00D27AAA">
        <w:rPr>
          <w:rFonts w:ascii="Arial" w:hAnsi="Arial" w:cs="Arial"/>
          <w:color w:val="000000"/>
          <w:kern w:val="0"/>
        </w:rPr>
        <w:t>has to</w:t>
      </w:r>
      <w:proofErr w:type="gramEnd"/>
      <w:r w:rsidRPr="00D27AAA">
        <w:rPr>
          <w:rFonts w:ascii="Arial" w:hAnsi="Arial" w:cs="Arial"/>
          <w:color w:val="000000"/>
          <w:kern w:val="0"/>
        </w:rPr>
        <w:t xml:space="preserve"> be above the basic supermarket own-label prepared ready meals </w:t>
      </w:r>
      <w:r w:rsidRPr="00D27AAA">
        <w:rPr>
          <w:rFonts w:ascii="Arial" w:hAnsi="Arial" w:cs="Arial"/>
          <w:color w:val="000000"/>
          <w:kern w:val="0"/>
        </w:rPr>
        <w:lastRenderedPageBreak/>
        <w:t>but below the premium prepared ready meals with recipes. This ensures the affordability while maintaining the sustainability benefits. As ONS data revealed that food and non-alcoholic drink inflation in the UK was 2.2% in May 2026, consumers are still sensitive to the price of foodstuffs even after inflation subsided (ONS, 2026). Single-serving soups should be low, family sauces be mid-, and bundle prices for subscribing customers should be high. This is consistent with Kotler's value-based pricing principle, in which the price must include the buyer's perceptions of the value received, not just the production costs. It also accommodates evidence that lower environmental impact does not always result in a higher food price, as climate-smart food products may have difficulties securing a “green premium” (</w:t>
      </w:r>
      <w:proofErr w:type="spellStart"/>
      <w:r w:rsidRPr="00D27AAA">
        <w:rPr>
          <w:rFonts w:ascii="Arial" w:hAnsi="Arial" w:cs="Arial"/>
          <w:color w:val="000000"/>
          <w:kern w:val="0"/>
        </w:rPr>
        <w:t>Nakavachara</w:t>
      </w:r>
      <w:proofErr w:type="spellEnd"/>
      <w:r w:rsidRPr="00D27AAA">
        <w:rPr>
          <w:rFonts w:ascii="Arial" w:hAnsi="Arial" w:cs="Arial"/>
          <w:color w:val="000000"/>
          <w:kern w:val="0"/>
        </w:rPr>
        <w:t xml:space="preserve"> et al., 2025). Financial and social costs of packaged food waste in the retail chain have been proven, and the use of recovered inputs can help to maintain competitive prices </w:t>
      </w:r>
      <w:proofErr w:type="gramStart"/>
      <w:r w:rsidRPr="00D27AAA">
        <w:rPr>
          <w:rFonts w:ascii="Arial" w:hAnsi="Arial" w:cs="Arial"/>
          <w:color w:val="000000"/>
          <w:kern w:val="0"/>
        </w:rPr>
        <w:t>provided that</w:t>
      </w:r>
      <w:proofErr w:type="gramEnd"/>
      <w:r w:rsidRPr="00D27AAA">
        <w:rPr>
          <w:rFonts w:ascii="Arial" w:hAnsi="Arial" w:cs="Arial"/>
          <w:color w:val="000000"/>
          <w:kern w:val="0"/>
        </w:rPr>
        <w:t xml:space="preserve"> processing and logistics are managed (Todd et al., 2024). The message on the price should thus read: “rescued food, real value, no waste premium.” This is key as the green purchase intention is influenced by value perceptions, beyond just environmental concerns (Aly and Al-Salfiti, 2025).</w:t>
      </w:r>
    </w:p>
    <w:p w14:paraId="4ABE6D85"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017569A3" wp14:editId="10623BF4">
            <wp:extent cx="4803999" cy="3602999"/>
            <wp:effectExtent l="12700" t="12700" r="9525" b="16510"/>
            <wp:docPr id="1211426192" name="Picture 1211426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_packaging_diagram.png"/>
                    <pic:cNvPicPr/>
                  </pic:nvPicPr>
                  <pic:blipFill>
                    <a:blip r:embed="rId23"/>
                    <a:stretch>
                      <a:fillRect/>
                    </a:stretch>
                  </pic:blipFill>
                  <pic:spPr>
                    <a:xfrm>
                      <a:off x="0" y="0"/>
                      <a:ext cx="4806580" cy="3604935"/>
                    </a:xfrm>
                    <a:prstGeom prst="rect">
                      <a:avLst/>
                    </a:prstGeom>
                    <a:ln>
                      <a:solidFill>
                        <a:sysClr val="windowText" lastClr="000000"/>
                      </a:solidFill>
                    </a:ln>
                  </pic:spPr>
                </pic:pic>
              </a:graphicData>
            </a:graphic>
          </wp:inline>
        </w:drawing>
      </w:r>
    </w:p>
    <w:p w14:paraId="067C60B6"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16. Sustainable packaging cues.</w:t>
      </w:r>
    </w:p>
    <w:p w14:paraId="6C96CDFA" w14:textId="77777777" w:rsidR="00660625" w:rsidRPr="00D27AAA" w:rsidRDefault="00660625" w:rsidP="00660625">
      <w:pPr>
        <w:spacing w:before="160" w:after="40"/>
        <w:jc w:val="center"/>
        <w:rPr>
          <w:rFonts w:ascii="Arial" w:hAnsi="Arial" w:cs="Arial"/>
        </w:rPr>
      </w:pPr>
      <w:r w:rsidRPr="00D27AAA">
        <w:rPr>
          <w:rFonts w:ascii="Arial" w:hAnsi="Arial" w:cs="Arial"/>
          <w:noProof/>
        </w:rPr>
        <w:lastRenderedPageBreak/>
        <w:drawing>
          <wp:inline distT="0" distB="0" distL="0" distR="0" wp14:anchorId="23A2B9CA" wp14:editId="34BE3790">
            <wp:extent cx="5349240" cy="4011930"/>
            <wp:effectExtent l="12700" t="12700" r="10160" b="13970"/>
            <wp:docPr id="1211426193" name="Picture 1211426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_sdg_alignment.png"/>
                    <pic:cNvPicPr/>
                  </pic:nvPicPr>
                  <pic:blipFill>
                    <a:blip r:embed="rId24"/>
                    <a:stretch>
                      <a:fillRect/>
                    </a:stretch>
                  </pic:blipFill>
                  <pic:spPr>
                    <a:xfrm>
                      <a:off x="0" y="0"/>
                      <a:ext cx="5349240" cy="4011930"/>
                    </a:xfrm>
                    <a:prstGeom prst="rect">
                      <a:avLst/>
                    </a:prstGeom>
                    <a:ln>
                      <a:solidFill>
                        <a:sysClr val="windowText" lastClr="000000"/>
                      </a:solidFill>
                    </a:ln>
                  </pic:spPr>
                </pic:pic>
              </a:graphicData>
            </a:graphic>
          </wp:inline>
        </w:drawing>
      </w:r>
    </w:p>
    <w:p w14:paraId="7068E1EF"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17. Sustainability and SDG alignment.</w:t>
      </w:r>
    </w:p>
    <w:p w14:paraId="02B0803E"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 xml:space="preserve">Place should integrate </w:t>
      </w:r>
      <w:proofErr w:type="spellStart"/>
      <w:r w:rsidRPr="00D27AAA">
        <w:rPr>
          <w:rFonts w:ascii="Arial" w:hAnsi="Arial" w:cs="Arial"/>
          <w:color w:val="000000"/>
          <w:kern w:val="0"/>
        </w:rPr>
        <w:t>Oddbox's</w:t>
      </w:r>
      <w:proofErr w:type="spellEnd"/>
      <w:r w:rsidRPr="00D27AAA">
        <w:rPr>
          <w:rFonts w:ascii="Arial" w:hAnsi="Arial" w:cs="Arial"/>
          <w:color w:val="000000"/>
          <w:kern w:val="0"/>
        </w:rPr>
        <w:t xml:space="preserve"> current direct-to-consumer distribution with targeted supermarket, university and workplace distribution. The launch should begin with online and urban retail partnerships; during the product lifecycle, it is significant that there is control over distribution. BRC reported that UK food sales grew by 3.9% year on year in May 2026, which supports grocery retail as a live growth channel (British Retail Consortium, 2026). Place decisions also need to work with promotional visibility, as 30.3% of sales had a place benefit and 1.5% of sales were take-home groceries (Worldpanel by Numerator, 2026). In the UK, online value sales at major supermarkets grew by 10.6%, and its share of sales increased to 13.9% in March 2026, which included frozen bundles and repeat ordering (</w:t>
      </w:r>
      <w:proofErr w:type="spellStart"/>
      <w:r w:rsidRPr="00D27AAA">
        <w:rPr>
          <w:rFonts w:ascii="Arial" w:hAnsi="Arial" w:cs="Arial"/>
          <w:color w:val="000000"/>
          <w:kern w:val="0"/>
        </w:rPr>
        <w:t>NielsenIQ</w:t>
      </w:r>
      <w:proofErr w:type="spellEnd"/>
      <w:r w:rsidRPr="00D27AAA">
        <w:rPr>
          <w:rFonts w:ascii="Arial" w:hAnsi="Arial" w:cs="Arial"/>
          <w:color w:val="000000"/>
          <w:kern w:val="0"/>
        </w:rPr>
        <w:t>, 2026). Focusing on grocery, the number of online sales in Europe has increased by 6.8% between 2024 and 2025, highlighting the strategic importance of digital grocery (McKinsey and Company, 2026). Tesco's 'fast delivery' service also increased by more than 30%, indicating demand for fast convenience channels (Reuters, 2026).</w:t>
      </w:r>
    </w:p>
    <w:p w14:paraId="48348C16" w14:textId="77777777" w:rsidR="00660625" w:rsidRPr="00D27AAA" w:rsidRDefault="00660625" w:rsidP="00660625">
      <w:pPr>
        <w:spacing w:before="160" w:after="40"/>
        <w:jc w:val="center"/>
        <w:rPr>
          <w:rFonts w:ascii="Arial" w:hAnsi="Arial" w:cs="Arial"/>
        </w:rPr>
      </w:pPr>
      <w:r w:rsidRPr="00D27AAA">
        <w:rPr>
          <w:rFonts w:ascii="Arial" w:hAnsi="Arial" w:cs="Arial"/>
          <w:noProof/>
        </w:rPr>
        <w:lastRenderedPageBreak/>
        <w:drawing>
          <wp:inline distT="0" distB="0" distL="0" distR="0" wp14:anchorId="006661DA" wp14:editId="72C48B72">
            <wp:extent cx="5349240" cy="1818742"/>
            <wp:effectExtent l="12700" t="12700" r="10160" b="10160"/>
            <wp:docPr id="1211426194" name="Picture 1211426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_impact_dashboard.png"/>
                    <pic:cNvPicPr/>
                  </pic:nvPicPr>
                  <pic:blipFill>
                    <a:blip r:embed="rId25"/>
                    <a:stretch>
                      <a:fillRect/>
                    </a:stretch>
                  </pic:blipFill>
                  <pic:spPr>
                    <a:xfrm>
                      <a:off x="0" y="0"/>
                      <a:ext cx="5349240" cy="1818742"/>
                    </a:xfrm>
                    <a:prstGeom prst="rect">
                      <a:avLst/>
                    </a:prstGeom>
                    <a:ln>
                      <a:solidFill>
                        <a:sysClr val="windowText" lastClr="000000"/>
                      </a:solidFill>
                    </a:ln>
                  </pic:spPr>
                </pic:pic>
              </a:graphicData>
            </a:graphic>
          </wp:inline>
        </w:drawing>
      </w:r>
    </w:p>
    <w:p w14:paraId="22EEFF5D"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18. Brand impact dashboard.</w:t>
      </w:r>
    </w:p>
    <w:p w14:paraId="45C75552"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79269327" wp14:editId="57E84404">
            <wp:extent cx="5349240" cy="4011930"/>
            <wp:effectExtent l="12700" t="12700" r="10160" b="13970"/>
            <wp:docPr id="1211426195" name="Picture 1211426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2_reflection_skills.png"/>
                    <pic:cNvPicPr/>
                  </pic:nvPicPr>
                  <pic:blipFill>
                    <a:blip r:embed="rId26"/>
                    <a:stretch>
                      <a:fillRect/>
                    </a:stretch>
                  </pic:blipFill>
                  <pic:spPr>
                    <a:xfrm>
                      <a:off x="0" y="0"/>
                      <a:ext cx="5349240" cy="4011930"/>
                    </a:xfrm>
                    <a:prstGeom prst="rect">
                      <a:avLst/>
                    </a:prstGeom>
                    <a:ln>
                      <a:solidFill>
                        <a:sysClr val="windowText" lastClr="000000"/>
                      </a:solidFill>
                    </a:ln>
                  </pic:spPr>
                </pic:pic>
              </a:graphicData>
            </a:graphic>
          </wp:inline>
        </w:drawing>
      </w:r>
    </w:p>
    <w:p w14:paraId="0B211005"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19. Skills gained through the project.</w:t>
      </w:r>
    </w:p>
    <w:p w14:paraId="0E705282"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 xml:space="preserve">Promotion should integrate the AIDA model to drive consumers from awareness to action. Attention should come from bold claims such as “Made from rescued veg” and “Every pack saves produce.” Interest should be developed by short videos of farmers, wonky vegetables and cooking. Desire should be directed to taste, convenience and visible impact. Promote action via supermarket launch offers, QR codes and first-box discounts. When messages are presented clearly, social media can be a valuable tool for converting a prospect into a customer, according to AIDA (Yadav et al., 2025). The green marketing </w:t>
      </w:r>
      <w:r w:rsidRPr="00D27AAA">
        <w:rPr>
          <w:rFonts w:ascii="Arial" w:hAnsi="Arial" w:cs="Arial"/>
          <w:color w:val="000000"/>
          <w:kern w:val="0"/>
        </w:rPr>
        <w:lastRenderedPageBreak/>
        <w:t>mix also helps this approach as promotion needs to link product, price, place and sustainability together in a unified value proposition (Su et al., 2024). However, promotion cannot be vague in terms of sustainability. According to the research in the field of greenwashing, vague or over-extended claims lead to reduced trust and brand value (</w:t>
      </w:r>
      <w:proofErr w:type="spellStart"/>
      <w:r w:rsidRPr="00D27AAA">
        <w:rPr>
          <w:rFonts w:ascii="Arial" w:hAnsi="Arial" w:cs="Arial"/>
          <w:color w:val="000000"/>
          <w:kern w:val="0"/>
        </w:rPr>
        <w:t>Calamai</w:t>
      </w:r>
      <w:proofErr w:type="spellEnd"/>
      <w:r w:rsidRPr="00D27AAA">
        <w:rPr>
          <w:rFonts w:ascii="Arial" w:hAnsi="Arial" w:cs="Arial"/>
          <w:color w:val="000000"/>
          <w:kern w:val="0"/>
        </w:rPr>
        <w:t xml:space="preserve"> et al., 2025).</w:t>
      </w:r>
    </w:p>
    <w:p w14:paraId="0619EBAB"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0486293F" wp14:editId="29E8F68F">
            <wp:extent cx="5300997" cy="2807773"/>
            <wp:effectExtent l="12700" t="12700" r="7620" b="12065"/>
            <wp:docPr id="1211426196" name="Picture 1211426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3_presentation_steps.png"/>
                    <pic:cNvPicPr/>
                  </pic:nvPicPr>
                  <pic:blipFill rotWithShape="1">
                    <a:blip r:embed="rId27"/>
                    <a:srcRect b="29378"/>
                    <a:stretch>
                      <a:fillRect/>
                    </a:stretch>
                  </pic:blipFill>
                  <pic:spPr bwMode="auto">
                    <a:xfrm>
                      <a:off x="0" y="0"/>
                      <a:ext cx="5314751" cy="281505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B72B991"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20. Poster preparation process.</w:t>
      </w:r>
    </w:p>
    <w:p w14:paraId="6B45BD39" w14:textId="77777777" w:rsidR="00660625" w:rsidRPr="00D27AAA" w:rsidRDefault="00660625" w:rsidP="00660625">
      <w:pPr>
        <w:spacing w:before="160" w:after="40"/>
        <w:jc w:val="center"/>
        <w:rPr>
          <w:rFonts w:ascii="Arial" w:hAnsi="Arial" w:cs="Arial"/>
        </w:rPr>
      </w:pPr>
      <w:r w:rsidRPr="00D27AAA">
        <w:rPr>
          <w:rFonts w:ascii="Arial" w:hAnsi="Arial" w:cs="Arial"/>
          <w:noProof/>
        </w:rPr>
        <w:drawing>
          <wp:inline distT="0" distB="0" distL="0" distR="0" wp14:anchorId="694786EA" wp14:editId="780FBD55">
            <wp:extent cx="4447743" cy="3335807"/>
            <wp:effectExtent l="12700" t="12700" r="10160" b="17145"/>
            <wp:docPr id="1211426197" name="Picture 1211426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4_improvement_roadmap.png"/>
                    <pic:cNvPicPr/>
                  </pic:nvPicPr>
                  <pic:blipFill>
                    <a:blip r:embed="rId28"/>
                    <a:stretch>
                      <a:fillRect/>
                    </a:stretch>
                  </pic:blipFill>
                  <pic:spPr>
                    <a:xfrm>
                      <a:off x="0" y="0"/>
                      <a:ext cx="4459784" cy="3344837"/>
                    </a:xfrm>
                    <a:prstGeom prst="rect">
                      <a:avLst/>
                    </a:prstGeom>
                    <a:ln>
                      <a:solidFill>
                        <a:sysClr val="windowText" lastClr="000000"/>
                      </a:solidFill>
                    </a:ln>
                  </pic:spPr>
                </pic:pic>
              </a:graphicData>
            </a:graphic>
          </wp:inline>
        </w:drawing>
      </w:r>
    </w:p>
    <w:p w14:paraId="6D7933D5" w14:textId="77777777" w:rsidR="00660625" w:rsidRPr="00D27AAA" w:rsidRDefault="00660625" w:rsidP="00660625">
      <w:pPr>
        <w:spacing w:after="200"/>
        <w:jc w:val="center"/>
        <w:rPr>
          <w:rFonts w:ascii="Arial" w:hAnsi="Arial" w:cs="Arial"/>
          <w:b/>
          <w:bCs/>
        </w:rPr>
      </w:pPr>
      <w:r w:rsidRPr="00D27AAA">
        <w:rPr>
          <w:rFonts w:ascii="Arial" w:hAnsi="Arial" w:cs="Arial"/>
          <w:b/>
          <w:bCs/>
          <w:i/>
          <w:color w:val="5A665A"/>
          <w:sz w:val="18"/>
        </w:rPr>
        <w:t>Figure 21. Future improvement roadmap.</w:t>
      </w:r>
    </w:p>
    <w:p w14:paraId="5DC66372"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lastRenderedPageBreak/>
        <w:t>Food-sector greenwashing studies also suggest that claims on sustainability must be specific, verified, and understandable (</w:t>
      </w:r>
      <w:proofErr w:type="spellStart"/>
      <w:r w:rsidRPr="00D27AAA">
        <w:rPr>
          <w:rFonts w:ascii="Arial" w:hAnsi="Arial" w:cs="Arial"/>
          <w:color w:val="000000"/>
          <w:kern w:val="0"/>
        </w:rPr>
        <w:t>Tikkha</w:t>
      </w:r>
      <w:proofErr w:type="spellEnd"/>
      <w:r w:rsidRPr="00D27AAA">
        <w:rPr>
          <w:rFonts w:ascii="Arial" w:hAnsi="Arial" w:cs="Arial"/>
          <w:color w:val="000000"/>
          <w:kern w:val="0"/>
        </w:rPr>
        <w:t xml:space="preserve"> et al., 2024). Hence, Rescue Kitchen needs to </w:t>
      </w:r>
      <w:proofErr w:type="spellStart"/>
      <w:r w:rsidRPr="00D27AAA">
        <w:rPr>
          <w:rFonts w:ascii="Arial" w:hAnsi="Arial" w:cs="Arial"/>
          <w:color w:val="000000"/>
          <w:kern w:val="0"/>
        </w:rPr>
        <w:t>utilise</w:t>
      </w:r>
      <w:proofErr w:type="spellEnd"/>
      <w:r w:rsidRPr="00D27AAA">
        <w:rPr>
          <w:rFonts w:ascii="Arial" w:hAnsi="Arial" w:cs="Arial"/>
          <w:color w:val="000000"/>
          <w:kern w:val="0"/>
        </w:rPr>
        <w:t xml:space="preserve"> quantified impact labels like grams of produce recovered per pack. According to the research in the field of eco-packaging, packaging with a pro-ecological character can positively influence purchase intention and customer image (Siuda et al., 2025). Consumer research also indicates that packaging influences perceived responsibility and purchase evaluation; the packaging design should be recyclable, clear and evidence-based (Kozik-</w:t>
      </w:r>
      <w:proofErr w:type="spellStart"/>
      <w:r w:rsidRPr="00D27AAA">
        <w:rPr>
          <w:rFonts w:ascii="Arial" w:hAnsi="Arial" w:cs="Arial"/>
          <w:color w:val="000000"/>
          <w:kern w:val="0"/>
        </w:rPr>
        <w:t>Kołodziej</w:t>
      </w:r>
      <w:proofErr w:type="spellEnd"/>
      <w:r w:rsidRPr="00D27AAA">
        <w:rPr>
          <w:rFonts w:ascii="Arial" w:hAnsi="Arial" w:cs="Arial"/>
          <w:color w:val="000000"/>
          <w:kern w:val="0"/>
        </w:rPr>
        <w:t>, 2026). When the materials and information are credible, eco-designed retail packaging can be used to enhance the green perceived value (Cui et al., 2026). This links the 4Ps into one sustainable strategy.</w:t>
      </w:r>
    </w:p>
    <w:p w14:paraId="1EE1EA00" w14:textId="77777777" w:rsidR="00660625" w:rsidRPr="00D27AAA" w:rsidRDefault="00660625" w:rsidP="00660625">
      <w:pPr>
        <w:pStyle w:val="Heading1"/>
        <w:spacing w:line="360" w:lineRule="auto"/>
        <w:jc w:val="both"/>
        <w:rPr>
          <w:rFonts w:ascii="Arial" w:hAnsi="Arial" w:cs="Arial"/>
          <w:szCs w:val="24"/>
        </w:rPr>
      </w:pPr>
      <w:bookmarkStart w:id="2" w:name="_Toc232733576"/>
      <w:r w:rsidRPr="00D27AAA">
        <w:rPr>
          <w:rFonts w:ascii="Arial" w:hAnsi="Arial" w:cs="Arial"/>
          <w:szCs w:val="24"/>
        </w:rPr>
        <w:t>Element 4: Reflection</w:t>
      </w:r>
      <w:bookmarkEnd w:id="2"/>
    </w:p>
    <w:p w14:paraId="5BDAD6D1"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 xml:space="preserve">It was developing the </w:t>
      </w:r>
      <w:proofErr w:type="spellStart"/>
      <w:r w:rsidRPr="00D27AAA">
        <w:rPr>
          <w:rFonts w:ascii="Arial" w:hAnsi="Arial" w:cs="Arial"/>
          <w:color w:val="000000"/>
          <w:kern w:val="0"/>
        </w:rPr>
        <w:t>Oddbox</w:t>
      </w:r>
      <w:proofErr w:type="spellEnd"/>
      <w:r w:rsidRPr="00D27AAA">
        <w:rPr>
          <w:rFonts w:ascii="Arial" w:hAnsi="Arial" w:cs="Arial"/>
          <w:color w:val="000000"/>
          <w:kern w:val="0"/>
        </w:rPr>
        <w:t xml:space="preserve"> Rescue Kitchen strategy that gave me an understanding that brand development can help the business grow when linked to a real market problem. I found out that an extension of a brand for sustainability cannot just be an ethical message on top of an established brand. It needs to amplify the purpose of the parent brand, meet the consumer need and generate commercial value. I decided to use </w:t>
      </w:r>
      <w:proofErr w:type="spellStart"/>
      <w:r w:rsidRPr="00D27AAA">
        <w:rPr>
          <w:rFonts w:ascii="Arial" w:hAnsi="Arial" w:cs="Arial"/>
          <w:color w:val="000000"/>
          <w:kern w:val="0"/>
        </w:rPr>
        <w:t>Oddbox</w:t>
      </w:r>
      <w:proofErr w:type="spellEnd"/>
      <w:r w:rsidRPr="00D27AAA">
        <w:rPr>
          <w:rFonts w:ascii="Arial" w:hAnsi="Arial" w:cs="Arial"/>
          <w:color w:val="000000"/>
          <w:kern w:val="0"/>
        </w:rPr>
        <w:t xml:space="preserve"> to make food waste reduction more convenient, affordable and healthy. This helped me learn to put marketing theory into practice, particularly using STDP analysis, brand extension logic and the 4Ps marketing mix.</w:t>
      </w:r>
    </w:p>
    <w:p w14:paraId="75700170"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 xml:space="preserve">The process also sharpened my analytical abilities, as I needed to look at the market from multiple angles. Before choosing value-conscious urban consumers as the target audience, I took into consideration the geographic, demographic, psychographic and </w:t>
      </w:r>
      <w:proofErr w:type="spellStart"/>
      <w:r w:rsidRPr="00D27AAA">
        <w:rPr>
          <w:rFonts w:ascii="Arial" w:hAnsi="Arial" w:cs="Arial"/>
          <w:color w:val="000000"/>
          <w:kern w:val="0"/>
        </w:rPr>
        <w:t>behavioural</w:t>
      </w:r>
      <w:proofErr w:type="spellEnd"/>
      <w:r w:rsidRPr="00D27AAA">
        <w:rPr>
          <w:rFonts w:ascii="Arial" w:hAnsi="Arial" w:cs="Arial"/>
          <w:color w:val="000000"/>
          <w:kern w:val="0"/>
        </w:rPr>
        <w:t xml:space="preserve"> segments. This enabled me to appreciate that not all consumers are sustainable consumers and that they don't necessarily agree to paying high prices for sustainable goods. They still have expectations for taste, convenience and value. I also developed a greater knowledge about positioning, as </w:t>
      </w:r>
      <w:proofErr w:type="spellStart"/>
      <w:r w:rsidRPr="00D27AAA">
        <w:rPr>
          <w:rFonts w:ascii="Arial" w:hAnsi="Arial" w:cs="Arial"/>
          <w:color w:val="000000"/>
          <w:kern w:val="0"/>
        </w:rPr>
        <w:t>Oddbox</w:t>
      </w:r>
      <w:proofErr w:type="spellEnd"/>
      <w:r w:rsidRPr="00D27AAA">
        <w:rPr>
          <w:rFonts w:ascii="Arial" w:hAnsi="Arial" w:cs="Arial"/>
          <w:color w:val="000000"/>
          <w:kern w:val="0"/>
        </w:rPr>
        <w:t xml:space="preserve"> Rescue Kitchen had to be positioned between low-cost supermarket ready meals and high-cost sustainable meal kits. This provided the extension with a more distinct competitive niche and made the strategy more viable.</w:t>
      </w:r>
    </w:p>
    <w:p w14:paraId="64F42D02"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lastRenderedPageBreak/>
        <w:t>The poster presentation helped me to develop my communication and visual planning skills. I came across a detailed marketing strategy and had to break it down into something that's clear, compelling and easy to understand, in an engaging format. This was challenging because the poster needed to appeal to both investors and customers. I learned how to use headings, short statements based on evidence, impact numbers and a simple journey visual: Rescue, Cook, Eat, Save. This enabled me to get my extension efficiently out there without sacrificing the depth that was required in the academic arena. The presentation of the poster also boosted my self-confidence as I needed to present the brand purpose, market appeal and sustainability alignment in a structured manner.</w:t>
      </w:r>
    </w:p>
    <w:p w14:paraId="066F8138"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r w:rsidRPr="00D27AAA">
        <w:rPr>
          <w:rFonts w:ascii="Arial" w:hAnsi="Arial" w:cs="Arial"/>
          <w:color w:val="000000"/>
          <w:kern w:val="0"/>
        </w:rPr>
        <w:t xml:space="preserve">My overall learning from this project was beneficial to me personally and professionally, as it helped to build my confidence as a marketing thinker. Developed skills to link sustainability to customer value, commercial opportunity and brand credibility. I have also learned to appreciate the value of evidence, particularly </w:t>
      </w:r>
      <w:proofErr w:type="gramStart"/>
      <w:r w:rsidRPr="00D27AAA">
        <w:rPr>
          <w:rFonts w:ascii="Arial" w:hAnsi="Arial" w:cs="Arial"/>
          <w:color w:val="000000"/>
          <w:kern w:val="0"/>
        </w:rPr>
        <w:t>with regard to</w:t>
      </w:r>
      <w:proofErr w:type="gramEnd"/>
      <w:r w:rsidRPr="00D27AAA">
        <w:rPr>
          <w:rFonts w:ascii="Arial" w:hAnsi="Arial" w:cs="Arial"/>
          <w:color w:val="000000"/>
          <w:kern w:val="0"/>
        </w:rPr>
        <w:t xml:space="preserve"> claims about consumer </w:t>
      </w:r>
      <w:proofErr w:type="spellStart"/>
      <w:r w:rsidRPr="00D27AAA">
        <w:rPr>
          <w:rFonts w:ascii="Arial" w:hAnsi="Arial" w:cs="Arial"/>
          <w:color w:val="000000"/>
          <w:kern w:val="0"/>
        </w:rPr>
        <w:t>behaviour</w:t>
      </w:r>
      <w:proofErr w:type="spellEnd"/>
      <w:r w:rsidRPr="00D27AAA">
        <w:rPr>
          <w:rFonts w:ascii="Arial" w:hAnsi="Arial" w:cs="Arial"/>
          <w:color w:val="000000"/>
          <w:kern w:val="0"/>
        </w:rPr>
        <w:t xml:space="preserve">, food waste and market trends. For future projects, I would improve my project by conducting more primary research, such as a short survey or focus group, to see how interested customers are in the extension. I would also rehearse the presentation beforehand to be better prepared </w:t>
      </w:r>
      <w:proofErr w:type="gramStart"/>
      <w:r w:rsidRPr="00D27AAA">
        <w:rPr>
          <w:rFonts w:ascii="Arial" w:hAnsi="Arial" w:cs="Arial"/>
          <w:color w:val="000000"/>
          <w:kern w:val="0"/>
        </w:rPr>
        <w:t>with regard to</w:t>
      </w:r>
      <w:proofErr w:type="gramEnd"/>
      <w:r w:rsidRPr="00D27AAA">
        <w:rPr>
          <w:rFonts w:ascii="Arial" w:hAnsi="Arial" w:cs="Arial"/>
          <w:color w:val="000000"/>
          <w:kern w:val="0"/>
        </w:rPr>
        <w:t xml:space="preserve"> timing, clarity and delivery.</w:t>
      </w:r>
    </w:p>
    <w:p w14:paraId="7EBCEC80"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p>
    <w:p w14:paraId="30C9DC51" w14:textId="77777777" w:rsidR="00660625" w:rsidRPr="00D27AAA" w:rsidRDefault="00660625" w:rsidP="00660625">
      <w:pPr>
        <w:autoSpaceDE w:val="0"/>
        <w:autoSpaceDN w:val="0"/>
        <w:adjustRightInd w:val="0"/>
        <w:spacing w:line="360" w:lineRule="auto"/>
        <w:jc w:val="both"/>
        <w:rPr>
          <w:rFonts w:ascii="Arial" w:hAnsi="Arial" w:cs="Arial"/>
          <w:color w:val="000000"/>
          <w:kern w:val="0"/>
        </w:rPr>
      </w:pPr>
    </w:p>
    <w:p w14:paraId="4B15E5F8" w14:textId="77777777" w:rsidR="00660625" w:rsidRPr="00D27AAA" w:rsidRDefault="00660625" w:rsidP="00660625">
      <w:pPr>
        <w:rPr>
          <w:rFonts w:ascii="Arial" w:eastAsiaTheme="majorEastAsia" w:hAnsi="Arial" w:cs="Arial"/>
          <w:b/>
          <w:color w:val="000000" w:themeColor="text1"/>
        </w:rPr>
      </w:pPr>
      <w:bookmarkStart w:id="3" w:name="_Toc232733577"/>
      <w:r w:rsidRPr="00D27AAA">
        <w:rPr>
          <w:rFonts w:ascii="Arial" w:hAnsi="Arial" w:cs="Arial"/>
        </w:rPr>
        <w:br w:type="page"/>
      </w:r>
    </w:p>
    <w:p w14:paraId="22242D11" w14:textId="77777777" w:rsidR="00660625" w:rsidRPr="00D27AAA" w:rsidRDefault="00660625" w:rsidP="00660625">
      <w:pPr>
        <w:pStyle w:val="Heading1"/>
        <w:spacing w:line="360" w:lineRule="auto"/>
        <w:jc w:val="both"/>
        <w:rPr>
          <w:rFonts w:ascii="Arial" w:hAnsi="Arial" w:cs="Arial"/>
          <w:szCs w:val="24"/>
        </w:rPr>
      </w:pPr>
      <w:r w:rsidRPr="00D27AAA">
        <w:rPr>
          <w:rFonts w:ascii="Arial" w:hAnsi="Arial" w:cs="Arial"/>
          <w:szCs w:val="24"/>
        </w:rPr>
        <w:lastRenderedPageBreak/>
        <w:t>References</w:t>
      </w:r>
      <w:bookmarkEnd w:id="3"/>
    </w:p>
    <w:p w14:paraId="60E1B413"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Aaker, D. (2025). The 5Bs of modern branding. </w:t>
      </w:r>
      <w:r w:rsidRPr="00D27AAA">
        <w:rPr>
          <w:rFonts w:ascii="Arial" w:hAnsi="Arial" w:cs="Arial"/>
          <w:i/>
          <w:iCs/>
          <w:color w:val="000000"/>
          <w:kern w:val="0"/>
        </w:rPr>
        <w:t>Management and Business Review</w:t>
      </w:r>
      <w:r w:rsidRPr="00D27AAA">
        <w:rPr>
          <w:rFonts w:ascii="Arial" w:hAnsi="Arial" w:cs="Arial"/>
          <w:color w:val="000000"/>
          <w:kern w:val="0"/>
        </w:rPr>
        <w:t>, </w:t>
      </w:r>
      <w:r w:rsidRPr="00D27AAA">
        <w:rPr>
          <w:rFonts w:ascii="Arial" w:hAnsi="Arial" w:cs="Arial"/>
          <w:i/>
          <w:iCs/>
          <w:color w:val="000000"/>
          <w:kern w:val="0"/>
        </w:rPr>
        <w:t>5</w:t>
      </w:r>
      <w:r w:rsidRPr="00D27AAA">
        <w:rPr>
          <w:rFonts w:ascii="Arial" w:hAnsi="Arial" w:cs="Arial"/>
          <w:color w:val="000000"/>
          <w:kern w:val="0"/>
        </w:rPr>
        <w:t>(1), 7-13.</w:t>
      </w:r>
    </w:p>
    <w:p w14:paraId="4DC62102"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Aly, A. S., and Al-Salfiti, A. (2025). Linking Consumption Values to Green Purchase Intention: Evidence from Emerging Economies. </w:t>
      </w:r>
      <w:r w:rsidRPr="00D27AAA">
        <w:rPr>
          <w:rFonts w:ascii="Arial" w:hAnsi="Arial" w:cs="Arial"/>
          <w:i/>
          <w:iCs/>
          <w:color w:val="000000"/>
          <w:kern w:val="0"/>
        </w:rPr>
        <w:t>Sustainability</w:t>
      </w:r>
      <w:r w:rsidRPr="00D27AAA">
        <w:rPr>
          <w:rFonts w:ascii="Arial" w:hAnsi="Arial" w:cs="Arial"/>
          <w:color w:val="000000"/>
          <w:kern w:val="0"/>
        </w:rPr>
        <w:t>, </w:t>
      </w:r>
      <w:r w:rsidRPr="00D27AAA">
        <w:rPr>
          <w:rFonts w:ascii="Arial" w:hAnsi="Arial" w:cs="Arial"/>
          <w:i/>
          <w:iCs/>
          <w:color w:val="000000"/>
          <w:kern w:val="0"/>
        </w:rPr>
        <w:t>17</w:t>
      </w:r>
      <w:r w:rsidRPr="00D27AAA">
        <w:rPr>
          <w:rFonts w:ascii="Arial" w:hAnsi="Arial" w:cs="Arial"/>
          <w:color w:val="000000"/>
          <w:kern w:val="0"/>
        </w:rPr>
        <w:t>(22), 10109.</w:t>
      </w:r>
    </w:p>
    <w:p w14:paraId="44ED16FA"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Azzopardi, L., and Van Der Sluis, F. (2024, March). Seeking socially responsible consumers: Exploring the intention-search-</w:t>
      </w:r>
      <w:proofErr w:type="spellStart"/>
      <w:r w:rsidRPr="00D27AAA">
        <w:rPr>
          <w:rFonts w:ascii="Arial" w:hAnsi="Arial" w:cs="Arial"/>
          <w:color w:val="000000"/>
          <w:kern w:val="0"/>
        </w:rPr>
        <w:t>behaviour</w:t>
      </w:r>
      <w:proofErr w:type="spellEnd"/>
      <w:r w:rsidRPr="00D27AAA">
        <w:rPr>
          <w:rFonts w:ascii="Arial" w:hAnsi="Arial" w:cs="Arial"/>
          <w:color w:val="000000"/>
          <w:kern w:val="0"/>
        </w:rPr>
        <w:t xml:space="preserve"> gap. In </w:t>
      </w:r>
      <w:r w:rsidRPr="00D27AAA">
        <w:rPr>
          <w:rFonts w:ascii="Arial" w:hAnsi="Arial" w:cs="Arial"/>
          <w:i/>
          <w:iCs/>
          <w:color w:val="000000"/>
          <w:kern w:val="0"/>
        </w:rPr>
        <w:t>Proceedings of the 2024 Conference on Human Information Interaction and Retrieval</w:t>
      </w:r>
      <w:r w:rsidRPr="00D27AAA">
        <w:rPr>
          <w:rFonts w:ascii="Arial" w:hAnsi="Arial" w:cs="Arial"/>
          <w:color w:val="000000"/>
          <w:kern w:val="0"/>
        </w:rPr>
        <w:t> (pp. 153-164).</w:t>
      </w:r>
    </w:p>
    <w:p w14:paraId="56975913"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British Retail Consortium (2026) </w:t>
      </w:r>
      <w:r w:rsidRPr="00D27AAA">
        <w:rPr>
          <w:rFonts w:ascii="Arial" w:hAnsi="Arial" w:cs="Arial"/>
          <w:i/>
          <w:iCs/>
          <w:color w:val="000000"/>
          <w:kern w:val="0"/>
        </w:rPr>
        <w:t>Retail sales hot up in May</w:t>
      </w:r>
      <w:r w:rsidRPr="00D27AAA">
        <w:rPr>
          <w:rFonts w:ascii="Arial" w:hAnsi="Arial" w:cs="Arial"/>
          <w:color w:val="000000"/>
          <w:kern w:val="0"/>
        </w:rPr>
        <w:t xml:space="preserve">. Available at: </w:t>
      </w:r>
      <w:hyperlink r:id="rId29" w:history="1">
        <w:r w:rsidRPr="00D27AAA">
          <w:rPr>
            <w:rFonts w:ascii="Arial" w:hAnsi="Arial" w:cs="Arial"/>
            <w:color w:val="000000"/>
            <w:kern w:val="0"/>
            <w:u w:val="single"/>
          </w:rPr>
          <w:t>https://brc.org.uk/news-and-events/news/corporate-affairs/2026/ungated/retail-sales-hot-up-in-may/</w:t>
        </w:r>
      </w:hyperlink>
      <w:r w:rsidRPr="00D27AAA">
        <w:rPr>
          <w:rFonts w:ascii="Arial" w:hAnsi="Arial" w:cs="Arial"/>
          <w:color w:val="000000"/>
          <w:kern w:val="0"/>
        </w:rPr>
        <w:t xml:space="preserve"> Accessed: 19 June 2026.</w:t>
      </w:r>
    </w:p>
    <w:p w14:paraId="07410918"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proofErr w:type="spellStart"/>
      <w:r w:rsidRPr="00D27AAA">
        <w:rPr>
          <w:rFonts w:ascii="Arial" w:hAnsi="Arial" w:cs="Arial"/>
          <w:color w:val="000000"/>
          <w:kern w:val="0"/>
        </w:rPr>
        <w:t>Calamai</w:t>
      </w:r>
      <w:proofErr w:type="spellEnd"/>
      <w:r w:rsidRPr="00D27AAA">
        <w:rPr>
          <w:rFonts w:ascii="Arial" w:hAnsi="Arial" w:cs="Arial"/>
          <w:color w:val="000000"/>
          <w:kern w:val="0"/>
        </w:rPr>
        <w:t xml:space="preserve">, T., </w:t>
      </w:r>
      <w:proofErr w:type="spellStart"/>
      <w:r w:rsidRPr="00D27AAA">
        <w:rPr>
          <w:rFonts w:ascii="Arial" w:hAnsi="Arial" w:cs="Arial"/>
          <w:color w:val="000000"/>
          <w:kern w:val="0"/>
        </w:rPr>
        <w:t>Balalau</w:t>
      </w:r>
      <w:proofErr w:type="spellEnd"/>
      <w:r w:rsidRPr="00D27AAA">
        <w:rPr>
          <w:rFonts w:ascii="Arial" w:hAnsi="Arial" w:cs="Arial"/>
          <w:color w:val="000000"/>
          <w:kern w:val="0"/>
        </w:rPr>
        <w:t xml:space="preserve">, O., </w:t>
      </w:r>
      <w:proofErr w:type="spellStart"/>
      <w:r w:rsidRPr="00D27AAA">
        <w:rPr>
          <w:rFonts w:ascii="Arial" w:hAnsi="Arial" w:cs="Arial"/>
          <w:color w:val="000000"/>
          <w:kern w:val="0"/>
        </w:rPr>
        <w:t>Guenedal</w:t>
      </w:r>
      <w:proofErr w:type="spellEnd"/>
      <w:r w:rsidRPr="00D27AAA">
        <w:rPr>
          <w:rFonts w:ascii="Arial" w:hAnsi="Arial" w:cs="Arial"/>
          <w:color w:val="000000"/>
          <w:kern w:val="0"/>
        </w:rPr>
        <w:t>, T. L., and Suchanek, F. M. (2025). Corporate Greenwashing Detection in Text--a Survey. </w:t>
      </w:r>
      <w:proofErr w:type="spellStart"/>
      <w:r w:rsidRPr="00D27AAA">
        <w:rPr>
          <w:rFonts w:ascii="Arial" w:hAnsi="Arial" w:cs="Arial"/>
          <w:i/>
          <w:iCs/>
          <w:color w:val="000000"/>
          <w:kern w:val="0"/>
        </w:rPr>
        <w:t>arXiv</w:t>
      </w:r>
      <w:proofErr w:type="spellEnd"/>
      <w:r w:rsidRPr="00D27AAA">
        <w:rPr>
          <w:rFonts w:ascii="Arial" w:hAnsi="Arial" w:cs="Arial"/>
          <w:i/>
          <w:iCs/>
          <w:color w:val="000000"/>
          <w:kern w:val="0"/>
        </w:rPr>
        <w:t xml:space="preserve"> preprint arXiv:2502.07541</w:t>
      </w:r>
      <w:r w:rsidRPr="00D27AAA">
        <w:rPr>
          <w:rFonts w:ascii="Arial" w:hAnsi="Arial" w:cs="Arial"/>
          <w:color w:val="000000"/>
          <w:kern w:val="0"/>
        </w:rPr>
        <w:t>.</w:t>
      </w:r>
    </w:p>
    <w:p w14:paraId="6506935E"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Chu, K., DeGeorge, D., Diehn, D., Galatz, A., Garza, J., McGowan, L., ... and Lammert, A. (2025). Upcycled vs. Sustainable: Identifying Consumer Segments and Recognition of Sustainable and Upcycled Foods Within the United States. </w:t>
      </w:r>
      <w:r w:rsidRPr="00D27AAA">
        <w:rPr>
          <w:rFonts w:ascii="Arial" w:hAnsi="Arial" w:cs="Arial"/>
          <w:i/>
          <w:iCs/>
          <w:color w:val="000000"/>
          <w:kern w:val="0"/>
        </w:rPr>
        <w:t>Foods</w:t>
      </w:r>
      <w:r w:rsidRPr="00D27AAA">
        <w:rPr>
          <w:rFonts w:ascii="Arial" w:hAnsi="Arial" w:cs="Arial"/>
          <w:color w:val="000000"/>
          <w:kern w:val="0"/>
        </w:rPr>
        <w:t>, </w:t>
      </w:r>
      <w:r w:rsidRPr="00D27AAA">
        <w:rPr>
          <w:rFonts w:ascii="Arial" w:hAnsi="Arial" w:cs="Arial"/>
          <w:i/>
          <w:iCs/>
          <w:color w:val="000000"/>
          <w:kern w:val="0"/>
        </w:rPr>
        <w:t>14</w:t>
      </w:r>
      <w:r w:rsidRPr="00D27AAA">
        <w:rPr>
          <w:rFonts w:ascii="Arial" w:hAnsi="Arial" w:cs="Arial"/>
          <w:color w:val="000000"/>
          <w:kern w:val="0"/>
        </w:rPr>
        <w:t>(20), 3508.</w:t>
      </w:r>
    </w:p>
    <w:p w14:paraId="48505916"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proofErr w:type="spellStart"/>
      <w:r w:rsidRPr="00D27AAA">
        <w:rPr>
          <w:rFonts w:ascii="Arial" w:hAnsi="Arial" w:cs="Arial"/>
          <w:color w:val="000000"/>
          <w:kern w:val="0"/>
        </w:rPr>
        <w:t>Coudounaris</w:t>
      </w:r>
      <w:proofErr w:type="spellEnd"/>
      <w:r w:rsidRPr="00D27AAA">
        <w:rPr>
          <w:rFonts w:ascii="Arial" w:hAnsi="Arial" w:cs="Arial"/>
          <w:color w:val="000000"/>
          <w:kern w:val="0"/>
        </w:rPr>
        <w:t xml:space="preserve">, D. N., Björk, P., Mets, T., </w:t>
      </w:r>
      <w:proofErr w:type="spellStart"/>
      <w:r w:rsidRPr="00D27AAA">
        <w:rPr>
          <w:rFonts w:ascii="Arial" w:hAnsi="Arial" w:cs="Arial"/>
          <w:color w:val="000000"/>
          <w:kern w:val="0"/>
        </w:rPr>
        <w:t>Asadli</w:t>
      </w:r>
      <w:proofErr w:type="spellEnd"/>
      <w:r w:rsidRPr="00D27AAA">
        <w:rPr>
          <w:rFonts w:ascii="Arial" w:hAnsi="Arial" w:cs="Arial"/>
          <w:color w:val="000000"/>
          <w:kern w:val="0"/>
        </w:rPr>
        <w:t xml:space="preserve">, R., and </w:t>
      </w:r>
      <w:proofErr w:type="spellStart"/>
      <w:r w:rsidRPr="00D27AAA">
        <w:rPr>
          <w:rFonts w:ascii="Arial" w:hAnsi="Arial" w:cs="Arial"/>
          <w:color w:val="000000"/>
          <w:kern w:val="0"/>
        </w:rPr>
        <w:t>Bujac</w:t>
      </w:r>
      <w:proofErr w:type="spellEnd"/>
      <w:r w:rsidRPr="00D27AAA">
        <w:rPr>
          <w:rFonts w:ascii="Arial" w:hAnsi="Arial" w:cs="Arial"/>
          <w:color w:val="000000"/>
          <w:kern w:val="0"/>
        </w:rPr>
        <w:t xml:space="preserve">, A. I. (2024). Customer-based brand equity drivers: A leading brand of beer in </w:t>
      </w:r>
      <w:proofErr w:type="spellStart"/>
      <w:r w:rsidRPr="00D27AAA">
        <w:rPr>
          <w:rFonts w:ascii="Arial" w:hAnsi="Arial" w:cs="Arial"/>
          <w:color w:val="000000"/>
          <w:kern w:val="0"/>
        </w:rPr>
        <w:t>estonia</w:t>
      </w:r>
      <w:proofErr w:type="spellEnd"/>
      <w:r w:rsidRPr="00D27AAA">
        <w:rPr>
          <w:rFonts w:ascii="Arial" w:hAnsi="Arial" w:cs="Arial"/>
          <w:color w:val="000000"/>
          <w:kern w:val="0"/>
        </w:rPr>
        <w:t>. </w:t>
      </w:r>
      <w:r w:rsidRPr="00D27AAA">
        <w:rPr>
          <w:rFonts w:ascii="Arial" w:hAnsi="Arial" w:cs="Arial"/>
          <w:i/>
          <w:iCs/>
          <w:color w:val="000000"/>
          <w:kern w:val="0"/>
        </w:rPr>
        <w:t>Administrative Sciences</w:t>
      </w:r>
      <w:r w:rsidRPr="00D27AAA">
        <w:rPr>
          <w:rFonts w:ascii="Arial" w:hAnsi="Arial" w:cs="Arial"/>
          <w:color w:val="000000"/>
          <w:kern w:val="0"/>
        </w:rPr>
        <w:t>, </w:t>
      </w:r>
      <w:r w:rsidRPr="00D27AAA">
        <w:rPr>
          <w:rFonts w:ascii="Arial" w:hAnsi="Arial" w:cs="Arial"/>
          <w:i/>
          <w:iCs/>
          <w:color w:val="000000"/>
          <w:kern w:val="0"/>
        </w:rPr>
        <w:t>14</w:t>
      </w:r>
      <w:r w:rsidRPr="00D27AAA">
        <w:rPr>
          <w:rFonts w:ascii="Arial" w:hAnsi="Arial" w:cs="Arial"/>
          <w:color w:val="000000"/>
          <w:kern w:val="0"/>
        </w:rPr>
        <w:t>(4), 61.</w:t>
      </w:r>
    </w:p>
    <w:p w14:paraId="4D7675F6"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Cui, H., Zhang, K., Ke, C., Duan, R., and Gui, Y. (2026). How Eco-Designed Retail Packaging Shapes Purchase Intention: Exploring the Mediating Role of Green Perceived Value. </w:t>
      </w:r>
      <w:r w:rsidRPr="00D27AAA">
        <w:rPr>
          <w:rFonts w:ascii="Arial" w:hAnsi="Arial" w:cs="Arial"/>
          <w:i/>
          <w:iCs/>
          <w:color w:val="000000"/>
          <w:kern w:val="0"/>
        </w:rPr>
        <w:t>Sustainability</w:t>
      </w:r>
      <w:r w:rsidRPr="00D27AAA">
        <w:rPr>
          <w:rFonts w:ascii="Arial" w:hAnsi="Arial" w:cs="Arial"/>
          <w:color w:val="000000"/>
          <w:kern w:val="0"/>
        </w:rPr>
        <w:t>, </w:t>
      </w:r>
      <w:r w:rsidRPr="00D27AAA">
        <w:rPr>
          <w:rFonts w:ascii="Arial" w:hAnsi="Arial" w:cs="Arial"/>
          <w:i/>
          <w:iCs/>
          <w:color w:val="000000"/>
          <w:kern w:val="0"/>
        </w:rPr>
        <w:t>18</w:t>
      </w:r>
      <w:r w:rsidRPr="00D27AAA">
        <w:rPr>
          <w:rFonts w:ascii="Arial" w:hAnsi="Arial" w:cs="Arial"/>
          <w:color w:val="000000"/>
          <w:kern w:val="0"/>
        </w:rPr>
        <w:t>(3), 1261.</w:t>
      </w:r>
    </w:p>
    <w:p w14:paraId="54983775"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De Cianni, R., and Caputo, V. (2026). From Food Waste to Food Value: Consumer Acceptance and Policy Support for Upcycled Foods. </w:t>
      </w:r>
      <w:r w:rsidRPr="00D27AAA">
        <w:rPr>
          <w:rFonts w:ascii="Arial" w:hAnsi="Arial" w:cs="Arial"/>
          <w:i/>
          <w:iCs/>
          <w:color w:val="000000"/>
          <w:kern w:val="0"/>
        </w:rPr>
        <w:t>Choices</w:t>
      </w:r>
      <w:r w:rsidRPr="00D27AAA">
        <w:rPr>
          <w:rFonts w:ascii="Arial" w:hAnsi="Arial" w:cs="Arial"/>
          <w:color w:val="000000"/>
          <w:kern w:val="0"/>
        </w:rPr>
        <w:t>, </w:t>
      </w:r>
      <w:r w:rsidRPr="00D27AAA">
        <w:rPr>
          <w:rFonts w:ascii="Arial" w:hAnsi="Arial" w:cs="Arial"/>
          <w:i/>
          <w:iCs/>
          <w:color w:val="000000"/>
          <w:kern w:val="0"/>
        </w:rPr>
        <w:t>41</w:t>
      </w:r>
      <w:r w:rsidRPr="00D27AAA">
        <w:rPr>
          <w:rFonts w:ascii="Arial" w:hAnsi="Arial" w:cs="Arial"/>
          <w:color w:val="000000"/>
          <w:kern w:val="0"/>
        </w:rPr>
        <w:t>(1), 1-9.</w:t>
      </w:r>
    </w:p>
    <w:p w14:paraId="6E945C37"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lastRenderedPageBreak/>
        <w:t xml:space="preserve">Food Standards Agency (2026) </w:t>
      </w:r>
      <w:r w:rsidRPr="00D27AAA">
        <w:rPr>
          <w:rFonts w:ascii="Arial" w:hAnsi="Arial" w:cs="Arial"/>
          <w:i/>
          <w:iCs/>
          <w:color w:val="000000"/>
          <w:kern w:val="0"/>
        </w:rPr>
        <w:t>FSA survey reveals public’s growing appetite for healthier and more sustainable food choices</w:t>
      </w:r>
      <w:r w:rsidRPr="00D27AAA">
        <w:rPr>
          <w:rFonts w:ascii="Arial" w:hAnsi="Arial" w:cs="Arial"/>
          <w:color w:val="000000"/>
          <w:kern w:val="0"/>
        </w:rPr>
        <w:t xml:space="preserve">. Available at: </w:t>
      </w:r>
      <w:hyperlink r:id="rId30" w:history="1">
        <w:r w:rsidRPr="00D27AAA">
          <w:rPr>
            <w:rFonts w:ascii="Arial" w:hAnsi="Arial" w:cs="Arial"/>
            <w:color w:val="000000"/>
            <w:kern w:val="0"/>
            <w:u w:val="single"/>
          </w:rPr>
          <w:t>https://www.food.gov.uk/news-alerts/news/fsa-survey-reveals-publics-growing-appetite-for-healthier-and-more-sustainable-food-choices</w:t>
        </w:r>
      </w:hyperlink>
      <w:r w:rsidRPr="00D27AAA">
        <w:rPr>
          <w:rFonts w:ascii="Arial" w:hAnsi="Arial" w:cs="Arial"/>
          <w:color w:val="000000"/>
          <w:kern w:val="0"/>
        </w:rPr>
        <w:t xml:space="preserve"> Accessed: 19 June 2026.</w:t>
      </w:r>
    </w:p>
    <w:p w14:paraId="4CA2AC94"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Halicka, E., Kaczorowska, J., Rejman, K., and Plichta, M. (2025). Investigating the consumer choices of Gen Z: A sustainable food system perspective. </w:t>
      </w:r>
      <w:r w:rsidRPr="00D27AAA">
        <w:rPr>
          <w:rFonts w:ascii="Arial" w:hAnsi="Arial" w:cs="Arial"/>
          <w:i/>
          <w:iCs/>
          <w:color w:val="000000"/>
          <w:kern w:val="0"/>
        </w:rPr>
        <w:t>Nutrients</w:t>
      </w:r>
      <w:r w:rsidRPr="00D27AAA">
        <w:rPr>
          <w:rFonts w:ascii="Arial" w:hAnsi="Arial" w:cs="Arial"/>
          <w:color w:val="000000"/>
          <w:kern w:val="0"/>
        </w:rPr>
        <w:t>, </w:t>
      </w:r>
      <w:r w:rsidRPr="00D27AAA">
        <w:rPr>
          <w:rFonts w:ascii="Arial" w:hAnsi="Arial" w:cs="Arial"/>
          <w:i/>
          <w:iCs/>
          <w:color w:val="000000"/>
          <w:kern w:val="0"/>
        </w:rPr>
        <w:t>17</w:t>
      </w:r>
      <w:r w:rsidRPr="00D27AAA">
        <w:rPr>
          <w:rFonts w:ascii="Arial" w:hAnsi="Arial" w:cs="Arial"/>
          <w:color w:val="000000"/>
          <w:kern w:val="0"/>
        </w:rPr>
        <w:t>(3), 591.</w:t>
      </w:r>
    </w:p>
    <w:p w14:paraId="17C39AAF"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Hossain, M. I., Akter, N., and </w:t>
      </w:r>
      <w:proofErr w:type="spellStart"/>
      <w:r w:rsidRPr="00D27AAA">
        <w:rPr>
          <w:rFonts w:ascii="Arial" w:hAnsi="Arial" w:cs="Arial"/>
          <w:color w:val="000000"/>
          <w:kern w:val="0"/>
        </w:rPr>
        <w:t>Muzareba</w:t>
      </w:r>
      <w:proofErr w:type="spellEnd"/>
      <w:r w:rsidRPr="00D27AAA">
        <w:rPr>
          <w:rFonts w:ascii="Arial" w:hAnsi="Arial" w:cs="Arial"/>
          <w:color w:val="000000"/>
          <w:kern w:val="0"/>
        </w:rPr>
        <w:t>, A. M. (2024). Segmentation, targeting, and positioning. In </w:t>
      </w:r>
      <w:r w:rsidRPr="00D27AAA">
        <w:rPr>
          <w:rFonts w:ascii="Arial" w:hAnsi="Arial" w:cs="Arial"/>
          <w:i/>
          <w:iCs/>
          <w:color w:val="000000"/>
          <w:kern w:val="0"/>
        </w:rPr>
        <w:t>Marketing in a Transition Economy: New Realities, Challenges, and Prospects</w:t>
      </w:r>
      <w:r w:rsidRPr="00D27AAA">
        <w:rPr>
          <w:rFonts w:ascii="Arial" w:hAnsi="Arial" w:cs="Arial"/>
          <w:color w:val="000000"/>
          <w:kern w:val="0"/>
        </w:rPr>
        <w:t> (pp. 115-154). Singapore: Springer Nature Singapore.</w:t>
      </w:r>
    </w:p>
    <w:p w14:paraId="4611FB26"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House of Commons Library (2026) </w:t>
      </w:r>
      <w:r w:rsidRPr="00D27AAA">
        <w:rPr>
          <w:rFonts w:ascii="Arial" w:hAnsi="Arial" w:cs="Arial"/>
          <w:i/>
          <w:iCs/>
          <w:color w:val="000000"/>
          <w:kern w:val="0"/>
        </w:rPr>
        <w:t>Higher education student numbers</w:t>
      </w:r>
      <w:r w:rsidRPr="00D27AAA">
        <w:rPr>
          <w:rFonts w:ascii="Arial" w:hAnsi="Arial" w:cs="Arial"/>
          <w:color w:val="000000"/>
          <w:kern w:val="0"/>
        </w:rPr>
        <w:t xml:space="preserve">. Available at: </w:t>
      </w:r>
      <w:hyperlink r:id="rId31" w:history="1">
        <w:r w:rsidRPr="00D27AAA">
          <w:rPr>
            <w:rFonts w:ascii="Arial" w:hAnsi="Arial" w:cs="Arial"/>
            <w:color w:val="000000"/>
            <w:kern w:val="0"/>
            <w:u w:val="single"/>
          </w:rPr>
          <w:t>https://commonslibrary.parliament.uk/research-briefings/cbp-7857/</w:t>
        </w:r>
      </w:hyperlink>
      <w:r w:rsidRPr="00D27AAA">
        <w:rPr>
          <w:rFonts w:ascii="Arial" w:hAnsi="Arial" w:cs="Arial"/>
          <w:color w:val="000000"/>
          <w:kern w:val="0"/>
        </w:rPr>
        <w:t xml:space="preserve"> Accessed: 19 June 2026.</w:t>
      </w:r>
    </w:p>
    <w:p w14:paraId="3ADCB6E6"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House of Commons Library (2026) </w:t>
      </w:r>
      <w:r w:rsidRPr="00D27AAA">
        <w:rPr>
          <w:rFonts w:ascii="Arial" w:hAnsi="Arial" w:cs="Arial"/>
          <w:i/>
          <w:iCs/>
          <w:color w:val="000000"/>
          <w:kern w:val="0"/>
        </w:rPr>
        <w:t>The impact of food inflation on the cost of living</w:t>
      </w:r>
      <w:r w:rsidRPr="00D27AAA">
        <w:rPr>
          <w:rFonts w:ascii="Arial" w:hAnsi="Arial" w:cs="Arial"/>
          <w:color w:val="000000"/>
          <w:kern w:val="0"/>
        </w:rPr>
        <w:t xml:space="preserve">. Available at: </w:t>
      </w:r>
      <w:hyperlink r:id="rId32" w:history="1">
        <w:r w:rsidRPr="00D27AAA">
          <w:rPr>
            <w:rFonts w:ascii="Arial" w:hAnsi="Arial" w:cs="Arial"/>
            <w:color w:val="000000"/>
            <w:kern w:val="0"/>
            <w:u w:val="single"/>
          </w:rPr>
          <w:t>https://commonslibrary.parliament.uk/research-briefings/cdp-2026-0004/</w:t>
        </w:r>
      </w:hyperlink>
      <w:r w:rsidRPr="00D27AAA">
        <w:rPr>
          <w:rFonts w:ascii="Arial" w:hAnsi="Arial" w:cs="Arial"/>
          <w:color w:val="000000"/>
          <w:kern w:val="0"/>
        </w:rPr>
        <w:t xml:space="preserve"> Accessed: 19 June 2026.</w:t>
      </w:r>
    </w:p>
    <w:p w14:paraId="40616414"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Jäger, S., Flick, A., Garcia, J. A. S., Driesch, K. V. D., Brendel, K., and Biessmann, F. (2022). </w:t>
      </w:r>
      <w:proofErr w:type="spellStart"/>
      <w:r w:rsidRPr="00D27AAA">
        <w:rPr>
          <w:rFonts w:ascii="Arial" w:hAnsi="Arial" w:cs="Arial"/>
          <w:color w:val="000000"/>
          <w:kern w:val="0"/>
        </w:rPr>
        <w:t>GreenDB</w:t>
      </w:r>
      <w:proofErr w:type="spellEnd"/>
      <w:r w:rsidRPr="00D27AAA">
        <w:rPr>
          <w:rFonts w:ascii="Arial" w:hAnsi="Arial" w:cs="Arial"/>
          <w:color w:val="000000"/>
          <w:kern w:val="0"/>
        </w:rPr>
        <w:t>--A Dataset and Benchmark for Extraction of Sustainability Information of Consumer Goods. </w:t>
      </w:r>
      <w:proofErr w:type="spellStart"/>
      <w:r w:rsidRPr="00D27AAA">
        <w:rPr>
          <w:rFonts w:ascii="Arial" w:hAnsi="Arial" w:cs="Arial"/>
          <w:i/>
          <w:iCs/>
          <w:color w:val="000000"/>
          <w:kern w:val="0"/>
        </w:rPr>
        <w:t>arXiv</w:t>
      </w:r>
      <w:proofErr w:type="spellEnd"/>
      <w:r w:rsidRPr="00D27AAA">
        <w:rPr>
          <w:rFonts w:ascii="Arial" w:hAnsi="Arial" w:cs="Arial"/>
          <w:i/>
          <w:iCs/>
          <w:color w:val="000000"/>
          <w:kern w:val="0"/>
        </w:rPr>
        <w:t xml:space="preserve"> preprint arXiv:2207.10733</w:t>
      </w:r>
      <w:r w:rsidRPr="00D27AAA">
        <w:rPr>
          <w:rFonts w:ascii="Arial" w:hAnsi="Arial" w:cs="Arial"/>
          <w:color w:val="000000"/>
          <w:kern w:val="0"/>
        </w:rPr>
        <w:t>.</w:t>
      </w:r>
    </w:p>
    <w:p w14:paraId="73493AE3"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Jakubowska, D., </w:t>
      </w:r>
      <w:proofErr w:type="spellStart"/>
      <w:r w:rsidRPr="00D27AAA">
        <w:rPr>
          <w:rFonts w:ascii="Arial" w:hAnsi="Arial" w:cs="Arial"/>
          <w:color w:val="000000"/>
          <w:kern w:val="0"/>
        </w:rPr>
        <w:t>Dąbrowska</w:t>
      </w:r>
      <w:proofErr w:type="spellEnd"/>
      <w:r w:rsidRPr="00D27AAA">
        <w:rPr>
          <w:rFonts w:ascii="Arial" w:hAnsi="Arial" w:cs="Arial"/>
          <w:color w:val="000000"/>
          <w:kern w:val="0"/>
        </w:rPr>
        <w:t xml:space="preserve">, A. Z., </w:t>
      </w:r>
      <w:proofErr w:type="spellStart"/>
      <w:r w:rsidRPr="00D27AAA">
        <w:rPr>
          <w:rFonts w:ascii="Arial" w:hAnsi="Arial" w:cs="Arial"/>
          <w:color w:val="000000"/>
          <w:kern w:val="0"/>
        </w:rPr>
        <w:t>Pachołek</w:t>
      </w:r>
      <w:proofErr w:type="spellEnd"/>
      <w:r w:rsidRPr="00D27AAA">
        <w:rPr>
          <w:rFonts w:ascii="Arial" w:hAnsi="Arial" w:cs="Arial"/>
          <w:color w:val="000000"/>
          <w:kern w:val="0"/>
        </w:rPr>
        <w:t>, B., and Sady, S. (2024). Behavioral intention to purchase sustainable food: Generation Z’s perspective. </w:t>
      </w:r>
      <w:r w:rsidRPr="00D27AAA">
        <w:rPr>
          <w:rFonts w:ascii="Arial" w:hAnsi="Arial" w:cs="Arial"/>
          <w:i/>
          <w:iCs/>
          <w:color w:val="000000"/>
          <w:kern w:val="0"/>
        </w:rPr>
        <w:t>Sustainability</w:t>
      </w:r>
      <w:r w:rsidRPr="00D27AAA">
        <w:rPr>
          <w:rFonts w:ascii="Arial" w:hAnsi="Arial" w:cs="Arial"/>
          <w:color w:val="000000"/>
          <w:kern w:val="0"/>
        </w:rPr>
        <w:t>, </w:t>
      </w:r>
      <w:r w:rsidRPr="00D27AAA">
        <w:rPr>
          <w:rFonts w:ascii="Arial" w:hAnsi="Arial" w:cs="Arial"/>
          <w:i/>
          <w:iCs/>
          <w:color w:val="000000"/>
          <w:kern w:val="0"/>
        </w:rPr>
        <w:t>16</w:t>
      </w:r>
      <w:r w:rsidRPr="00D27AAA">
        <w:rPr>
          <w:rFonts w:ascii="Arial" w:hAnsi="Arial" w:cs="Arial"/>
          <w:color w:val="000000"/>
          <w:kern w:val="0"/>
        </w:rPr>
        <w:t>(17), 7284.</w:t>
      </w:r>
    </w:p>
    <w:p w14:paraId="5B651EAF"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Kantar (2026) </w:t>
      </w:r>
      <w:r w:rsidRPr="00D27AAA">
        <w:rPr>
          <w:rFonts w:ascii="Arial" w:hAnsi="Arial" w:cs="Arial"/>
          <w:i/>
          <w:iCs/>
          <w:color w:val="000000"/>
          <w:kern w:val="0"/>
        </w:rPr>
        <w:t>Promotions, premium own label and no alcohol options inside Britain’s £13.8bn Xmas grocery shop</w:t>
      </w:r>
      <w:r w:rsidRPr="00D27AAA">
        <w:rPr>
          <w:rFonts w:ascii="Arial" w:hAnsi="Arial" w:cs="Arial"/>
          <w:color w:val="000000"/>
          <w:kern w:val="0"/>
        </w:rPr>
        <w:t xml:space="preserve">. Available at: </w:t>
      </w:r>
      <w:hyperlink r:id="rId33" w:history="1">
        <w:r w:rsidRPr="00D27AAA">
          <w:rPr>
            <w:rFonts w:ascii="Arial" w:hAnsi="Arial" w:cs="Arial"/>
            <w:color w:val="000000"/>
            <w:kern w:val="0"/>
            <w:u w:val="single"/>
          </w:rPr>
          <w:t>https://www.kantar.com/uki/inspiration/fmcg/2026-wp-promo-premium-own-label-and-no-alcohol-options-inside-britains-13-8-bn-xmas-grocery-shop</w:t>
        </w:r>
      </w:hyperlink>
      <w:r w:rsidRPr="00D27AAA">
        <w:rPr>
          <w:rFonts w:ascii="Arial" w:hAnsi="Arial" w:cs="Arial"/>
          <w:color w:val="000000"/>
          <w:kern w:val="0"/>
        </w:rPr>
        <w:t xml:space="preserve"> Accessed: 19 June 2026.</w:t>
      </w:r>
    </w:p>
    <w:p w14:paraId="515701F4"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lastRenderedPageBreak/>
        <w:t xml:space="preserve">Kotler, P., Keller, K.L. and Chernev, A. (2022) </w:t>
      </w:r>
      <w:r w:rsidRPr="00D27AAA">
        <w:rPr>
          <w:rFonts w:ascii="Arial" w:hAnsi="Arial" w:cs="Arial"/>
          <w:i/>
          <w:iCs/>
          <w:color w:val="000000"/>
          <w:kern w:val="0"/>
        </w:rPr>
        <w:t>Marketing Management</w:t>
      </w:r>
      <w:r w:rsidRPr="00D27AAA">
        <w:rPr>
          <w:rFonts w:ascii="Arial" w:hAnsi="Arial" w:cs="Arial"/>
          <w:color w:val="000000"/>
          <w:kern w:val="0"/>
        </w:rPr>
        <w:t xml:space="preserve">. 16th </w:t>
      </w:r>
      <w:proofErr w:type="spellStart"/>
      <w:r w:rsidRPr="00D27AAA">
        <w:rPr>
          <w:rFonts w:ascii="Arial" w:hAnsi="Arial" w:cs="Arial"/>
          <w:color w:val="000000"/>
          <w:kern w:val="0"/>
        </w:rPr>
        <w:t>edn</w:t>
      </w:r>
      <w:proofErr w:type="spellEnd"/>
      <w:r w:rsidRPr="00D27AAA">
        <w:rPr>
          <w:rFonts w:ascii="Arial" w:hAnsi="Arial" w:cs="Arial"/>
          <w:color w:val="000000"/>
          <w:kern w:val="0"/>
        </w:rPr>
        <w:t>. Harlow: Pearson.</w:t>
      </w:r>
    </w:p>
    <w:p w14:paraId="11F2DA71"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Kozik-</w:t>
      </w:r>
      <w:proofErr w:type="spellStart"/>
      <w:r w:rsidRPr="00D27AAA">
        <w:rPr>
          <w:rFonts w:ascii="Arial" w:hAnsi="Arial" w:cs="Arial"/>
          <w:color w:val="000000"/>
          <w:kern w:val="0"/>
        </w:rPr>
        <w:t>Kołodziej</w:t>
      </w:r>
      <w:proofErr w:type="spellEnd"/>
      <w:r w:rsidRPr="00D27AAA">
        <w:rPr>
          <w:rFonts w:ascii="Arial" w:hAnsi="Arial" w:cs="Arial"/>
          <w:color w:val="000000"/>
          <w:kern w:val="0"/>
        </w:rPr>
        <w:t>, N. (2026). Consumer Attitudes and Perceptions Toward Sustainable Packaging: A Systematic Literature Review. </w:t>
      </w:r>
      <w:r w:rsidRPr="00D27AAA">
        <w:rPr>
          <w:rFonts w:ascii="Arial" w:hAnsi="Arial" w:cs="Arial"/>
          <w:i/>
          <w:iCs/>
          <w:color w:val="000000"/>
          <w:kern w:val="0"/>
        </w:rPr>
        <w:t>Sustainability</w:t>
      </w:r>
      <w:r w:rsidRPr="00D27AAA">
        <w:rPr>
          <w:rFonts w:ascii="Arial" w:hAnsi="Arial" w:cs="Arial"/>
          <w:color w:val="000000"/>
          <w:kern w:val="0"/>
        </w:rPr>
        <w:t>, </w:t>
      </w:r>
      <w:r w:rsidRPr="00D27AAA">
        <w:rPr>
          <w:rFonts w:ascii="Arial" w:hAnsi="Arial" w:cs="Arial"/>
          <w:i/>
          <w:iCs/>
          <w:color w:val="000000"/>
          <w:kern w:val="0"/>
        </w:rPr>
        <w:t>18</w:t>
      </w:r>
      <w:r w:rsidRPr="00D27AAA">
        <w:rPr>
          <w:rFonts w:ascii="Arial" w:hAnsi="Arial" w:cs="Arial"/>
          <w:color w:val="000000"/>
          <w:kern w:val="0"/>
        </w:rPr>
        <w:t>(3), 1235.</w:t>
      </w:r>
    </w:p>
    <w:p w14:paraId="2CB2CAA3"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Market Data Forecast (2026) </w:t>
      </w:r>
      <w:r w:rsidRPr="00D27AAA">
        <w:rPr>
          <w:rFonts w:ascii="Arial" w:hAnsi="Arial" w:cs="Arial"/>
          <w:i/>
          <w:iCs/>
          <w:color w:val="000000"/>
          <w:kern w:val="0"/>
        </w:rPr>
        <w:t>UK Ready Meals Market Size, Share, and Growth</w:t>
      </w:r>
      <w:r w:rsidRPr="00D27AAA">
        <w:rPr>
          <w:rFonts w:ascii="Arial" w:hAnsi="Arial" w:cs="Arial"/>
          <w:color w:val="000000"/>
          <w:kern w:val="0"/>
        </w:rPr>
        <w:t xml:space="preserve">. Available at: </w:t>
      </w:r>
      <w:hyperlink r:id="rId34" w:history="1">
        <w:r w:rsidRPr="00D27AAA">
          <w:rPr>
            <w:rFonts w:ascii="Arial" w:hAnsi="Arial" w:cs="Arial"/>
            <w:color w:val="000000"/>
            <w:kern w:val="0"/>
            <w:u w:val="single"/>
          </w:rPr>
          <w:t>https://www.marketdataforecast.com/market-reports/united-kingdom-ready-meals-market</w:t>
        </w:r>
      </w:hyperlink>
      <w:r w:rsidRPr="00D27AAA">
        <w:rPr>
          <w:rFonts w:ascii="Arial" w:hAnsi="Arial" w:cs="Arial"/>
          <w:color w:val="000000"/>
          <w:kern w:val="0"/>
        </w:rPr>
        <w:t xml:space="preserve"> Accessed: 19 June 2026.</w:t>
      </w:r>
    </w:p>
    <w:p w14:paraId="6214A1C9"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McKinsey and Company (2026) </w:t>
      </w:r>
      <w:r w:rsidRPr="00D27AAA">
        <w:rPr>
          <w:rFonts w:ascii="Arial" w:hAnsi="Arial" w:cs="Arial"/>
          <w:i/>
          <w:iCs/>
          <w:color w:val="000000"/>
          <w:kern w:val="0"/>
        </w:rPr>
        <w:t>The state of grocery retail Europe 2026</w:t>
      </w:r>
      <w:r w:rsidRPr="00D27AAA">
        <w:rPr>
          <w:rFonts w:ascii="Arial" w:hAnsi="Arial" w:cs="Arial"/>
          <w:color w:val="000000"/>
          <w:kern w:val="0"/>
        </w:rPr>
        <w:t xml:space="preserve">. Available at: </w:t>
      </w:r>
      <w:hyperlink r:id="rId35" w:history="1">
        <w:r w:rsidRPr="00D27AAA">
          <w:rPr>
            <w:rFonts w:ascii="Arial" w:hAnsi="Arial" w:cs="Arial"/>
            <w:color w:val="000000"/>
            <w:kern w:val="0"/>
            <w:u w:val="single"/>
          </w:rPr>
          <w:t>https://www.mckinsey.com/industries/retail/our-insights/state-of-grocery-europe-report</w:t>
        </w:r>
      </w:hyperlink>
      <w:r w:rsidRPr="00D27AAA">
        <w:rPr>
          <w:rFonts w:ascii="Arial" w:hAnsi="Arial" w:cs="Arial"/>
          <w:color w:val="000000"/>
          <w:kern w:val="0"/>
        </w:rPr>
        <w:t xml:space="preserve"> Accessed: 19 June 2026.</w:t>
      </w:r>
    </w:p>
    <w:p w14:paraId="4C8F7C4D"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proofErr w:type="spellStart"/>
      <w:r w:rsidRPr="00D27AAA">
        <w:rPr>
          <w:rFonts w:ascii="Arial" w:hAnsi="Arial" w:cs="Arial"/>
          <w:color w:val="000000"/>
          <w:kern w:val="0"/>
        </w:rPr>
        <w:t>Nakavachara</w:t>
      </w:r>
      <w:proofErr w:type="spellEnd"/>
      <w:r w:rsidRPr="00D27AAA">
        <w:rPr>
          <w:rFonts w:ascii="Arial" w:hAnsi="Arial" w:cs="Arial"/>
          <w:color w:val="000000"/>
          <w:kern w:val="0"/>
        </w:rPr>
        <w:t xml:space="preserve">, V., </w:t>
      </w:r>
      <w:proofErr w:type="spellStart"/>
      <w:r w:rsidRPr="00D27AAA">
        <w:rPr>
          <w:rFonts w:ascii="Arial" w:hAnsi="Arial" w:cs="Arial"/>
          <w:color w:val="000000"/>
          <w:kern w:val="0"/>
        </w:rPr>
        <w:t>Thongtai</w:t>
      </w:r>
      <w:proofErr w:type="spellEnd"/>
      <w:r w:rsidRPr="00D27AAA">
        <w:rPr>
          <w:rFonts w:ascii="Arial" w:hAnsi="Arial" w:cs="Arial"/>
          <w:color w:val="000000"/>
          <w:kern w:val="0"/>
        </w:rPr>
        <w:t xml:space="preserve">, C., </w:t>
      </w:r>
      <w:proofErr w:type="spellStart"/>
      <w:r w:rsidRPr="00D27AAA">
        <w:rPr>
          <w:rFonts w:ascii="Arial" w:hAnsi="Arial" w:cs="Arial"/>
          <w:color w:val="000000"/>
          <w:kern w:val="0"/>
        </w:rPr>
        <w:t>Chalidabhongse</w:t>
      </w:r>
      <w:proofErr w:type="spellEnd"/>
      <w:r w:rsidRPr="00D27AAA">
        <w:rPr>
          <w:rFonts w:ascii="Arial" w:hAnsi="Arial" w:cs="Arial"/>
          <w:color w:val="000000"/>
          <w:kern w:val="0"/>
        </w:rPr>
        <w:t xml:space="preserve">, T., and </w:t>
      </w:r>
      <w:proofErr w:type="spellStart"/>
      <w:r w:rsidRPr="00D27AAA">
        <w:rPr>
          <w:rFonts w:ascii="Arial" w:hAnsi="Arial" w:cs="Arial"/>
          <w:color w:val="000000"/>
          <w:kern w:val="0"/>
        </w:rPr>
        <w:t>Pharino</w:t>
      </w:r>
      <w:proofErr w:type="spellEnd"/>
      <w:r w:rsidRPr="00D27AAA">
        <w:rPr>
          <w:rFonts w:ascii="Arial" w:hAnsi="Arial" w:cs="Arial"/>
          <w:color w:val="000000"/>
          <w:kern w:val="0"/>
        </w:rPr>
        <w:t>, C. (2025). The green premium puzzle: empirical evidence from climate-friendly food products. </w:t>
      </w:r>
      <w:r w:rsidRPr="00D27AAA">
        <w:rPr>
          <w:rFonts w:ascii="Arial" w:hAnsi="Arial" w:cs="Arial"/>
          <w:i/>
          <w:iCs/>
          <w:color w:val="000000"/>
          <w:kern w:val="0"/>
        </w:rPr>
        <w:t>Applied Economics Letters</w:t>
      </w:r>
      <w:r w:rsidRPr="00D27AAA">
        <w:rPr>
          <w:rFonts w:ascii="Arial" w:hAnsi="Arial" w:cs="Arial"/>
          <w:color w:val="000000"/>
          <w:kern w:val="0"/>
        </w:rPr>
        <w:t>, 1-8.</w:t>
      </w:r>
    </w:p>
    <w:p w14:paraId="37A07F79"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proofErr w:type="spellStart"/>
      <w:r w:rsidRPr="00D27AAA">
        <w:rPr>
          <w:rFonts w:ascii="Arial" w:hAnsi="Arial" w:cs="Arial"/>
          <w:color w:val="000000"/>
          <w:kern w:val="0"/>
        </w:rPr>
        <w:t>NielsenIQ</w:t>
      </w:r>
      <w:proofErr w:type="spellEnd"/>
      <w:r w:rsidRPr="00D27AAA">
        <w:rPr>
          <w:rFonts w:ascii="Arial" w:hAnsi="Arial" w:cs="Arial"/>
          <w:color w:val="000000"/>
          <w:kern w:val="0"/>
        </w:rPr>
        <w:t xml:space="preserve"> (2026) </w:t>
      </w:r>
      <w:r w:rsidRPr="00D27AAA">
        <w:rPr>
          <w:rFonts w:ascii="Arial" w:hAnsi="Arial" w:cs="Arial"/>
          <w:i/>
          <w:iCs/>
          <w:color w:val="000000"/>
          <w:kern w:val="0"/>
        </w:rPr>
        <w:t>Shoppers spend big: £17m boost from Mothering Sunday and early Easter build up</w:t>
      </w:r>
      <w:r w:rsidRPr="00D27AAA">
        <w:rPr>
          <w:rFonts w:ascii="Arial" w:hAnsi="Arial" w:cs="Arial"/>
          <w:color w:val="000000"/>
          <w:kern w:val="0"/>
        </w:rPr>
        <w:t xml:space="preserve">. Available at: </w:t>
      </w:r>
      <w:hyperlink r:id="rId36" w:history="1">
        <w:r w:rsidRPr="00D27AAA">
          <w:rPr>
            <w:rFonts w:ascii="Arial" w:hAnsi="Arial" w:cs="Arial"/>
            <w:color w:val="000000"/>
            <w:kern w:val="0"/>
            <w:u w:val="single"/>
          </w:rPr>
          <w:t>https://nielseniq.com/global/en/news-center/2026/shoppers-spend-big-17bn-boost-from-mothering-sunday-and-early-easter-build-up/</w:t>
        </w:r>
      </w:hyperlink>
      <w:r w:rsidRPr="00D27AAA">
        <w:rPr>
          <w:rFonts w:ascii="Arial" w:hAnsi="Arial" w:cs="Arial"/>
          <w:color w:val="000000"/>
          <w:kern w:val="0"/>
        </w:rPr>
        <w:t xml:space="preserve"> Accessed: 19 June 2026.</w:t>
      </w:r>
    </w:p>
    <w:p w14:paraId="23471535"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Office for National Statistics (2026) </w:t>
      </w:r>
      <w:r w:rsidRPr="00D27AAA">
        <w:rPr>
          <w:rFonts w:ascii="Arial" w:hAnsi="Arial" w:cs="Arial"/>
          <w:i/>
          <w:iCs/>
          <w:color w:val="000000"/>
          <w:kern w:val="0"/>
        </w:rPr>
        <w:t>Consumer price inflation, UK: May 2026</w:t>
      </w:r>
      <w:r w:rsidRPr="00D27AAA">
        <w:rPr>
          <w:rFonts w:ascii="Arial" w:hAnsi="Arial" w:cs="Arial"/>
          <w:color w:val="000000"/>
          <w:kern w:val="0"/>
        </w:rPr>
        <w:t xml:space="preserve">. Available at: </w:t>
      </w:r>
      <w:hyperlink r:id="rId37" w:history="1">
        <w:r w:rsidRPr="00D27AAA">
          <w:rPr>
            <w:rFonts w:ascii="Arial" w:hAnsi="Arial" w:cs="Arial"/>
            <w:color w:val="000000"/>
            <w:kern w:val="0"/>
            <w:u w:val="single"/>
          </w:rPr>
          <w:t>https://www.ons.gov.uk/economy/inflationandpriceindices/bulletins/consumerpriceinflation/may2026</w:t>
        </w:r>
      </w:hyperlink>
      <w:r w:rsidRPr="00D27AAA">
        <w:rPr>
          <w:rFonts w:ascii="Arial" w:hAnsi="Arial" w:cs="Arial"/>
          <w:color w:val="000000"/>
          <w:kern w:val="0"/>
        </w:rPr>
        <w:t xml:space="preserve"> Accessed: 19 June 2026.</w:t>
      </w:r>
    </w:p>
    <w:p w14:paraId="79055A55"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ONS (2025) </w:t>
      </w:r>
      <w:r w:rsidRPr="00D27AAA">
        <w:rPr>
          <w:rFonts w:ascii="Arial" w:hAnsi="Arial" w:cs="Arial"/>
          <w:i/>
          <w:iCs/>
          <w:color w:val="000000"/>
          <w:kern w:val="0"/>
        </w:rPr>
        <w:t>Population estimates for the UK, England, Wales, Scotland and Northern Ireland: mid-2024</w:t>
      </w:r>
      <w:r w:rsidRPr="00D27AAA">
        <w:rPr>
          <w:rFonts w:ascii="Arial" w:hAnsi="Arial" w:cs="Arial"/>
          <w:color w:val="000000"/>
          <w:kern w:val="0"/>
        </w:rPr>
        <w:t xml:space="preserve">. Available at: </w:t>
      </w:r>
      <w:hyperlink r:id="rId38" w:history="1">
        <w:r w:rsidRPr="00D27AAA">
          <w:rPr>
            <w:rFonts w:ascii="Arial" w:hAnsi="Arial" w:cs="Arial"/>
            <w:color w:val="000000"/>
            <w:kern w:val="0"/>
            <w:u w:val="single"/>
          </w:rPr>
          <w:t>https://www.ons.gov.uk/peoplepopulationandcommunity/populationandmigration/populationestimates/bulletins/annualmidyearpopulationestimates/mid2024</w:t>
        </w:r>
      </w:hyperlink>
      <w:r w:rsidRPr="00D27AAA">
        <w:rPr>
          <w:rFonts w:ascii="Arial" w:hAnsi="Arial" w:cs="Arial"/>
          <w:color w:val="000000"/>
          <w:kern w:val="0"/>
        </w:rPr>
        <w:t xml:space="preserve"> Accessed: 19 June 2026.</w:t>
      </w:r>
    </w:p>
    <w:p w14:paraId="5D67650A"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lastRenderedPageBreak/>
        <w:t>Prakash, G., Singh, P. K., Ahmad, A., and Kumar, G. (2023). Trust, convenience and environmental concern in consumer purchase intention for organic food. </w:t>
      </w:r>
      <w:r w:rsidRPr="00D27AAA">
        <w:rPr>
          <w:rFonts w:ascii="Arial" w:hAnsi="Arial" w:cs="Arial"/>
          <w:i/>
          <w:iCs/>
          <w:color w:val="000000"/>
          <w:kern w:val="0"/>
        </w:rPr>
        <w:t>Spanish Journal of Marketing-ESIC</w:t>
      </w:r>
      <w:r w:rsidRPr="00D27AAA">
        <w:rPr>
          <w:rFonts w:ascii="Arial" w:hAnsi="Arial" w:cs="Arial"/>
          <w:color w:val="000000"/>
          <w:kern w:val="0"/>
        </w:rPr>
        <w:t>, </w:t>
      </w:r>
      <w:r w:rsidRPr="00D27AAA">
        <w:rPr>
          <w:rFonts w:ascii="Arial" w:hAnsi="Arial" w:cs="Arial"/>
          <w:i/>
          <w:iCs/>
          <w:color w:val="000000"/>
          <w:kern w:val="0"/>
        </w:rPr>
        <w:t>27</w:t>
      </w:r>
      <w:r w:rsidRPr="00D27AAA">
        <w:rPr>
          <w:rFonts w:ascii="Arial" w:hAnsi="Arial" w:cs="Arial"/>
          <w:color w:val="000000"/>
          <w:kern w:val="0"/>
        </w:rPr>
        <w:t>(3), 367-388.</w:t>
      </w:r>
    </w:p>
    <w:p w14:paraId="629C1BB4"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Reuters (2026) </w:t>
      </w:r>
      <w:r w:rsidRPr="00D27AAA">
        <w:rPr>
          <w:rFonts w:ascii="Arial" w:hAnsi="Arial" w:cs="Arial"/>
          <w:i/>
          <w:iCs/>
          <w:color w:val="000000"/>
          <w:kern w:val="0"/>
        </w:rPr>
        <w:t>Tesco’s UK sales growth slows as Iran war weighs on consumers</w:t>
      </w:r>
      <w:r w:rsidRPr="00D27AAA">
        <w:rPr>
          <w:rFonts w:ascii="Arial" w:hAnsi="Arial" w:cs="Arial"/>
          <w:color w:val="000000"/>
          <w:kern w:val="0"/>
        </w:rPr>
        <w:t xml:space="preserve">. Available at: </w:t>
      </w:r>
      <w:hyperlink r:id="rId39" w:history="1">
        <w:r w:rsidRPr="00D27AAA">
          <w:rPr>
            <w:rFonts w:ascii="Arial" w:hAnsi="Arial" w:cs="Arial"/>
            <w:color w:val="000000"/>
            <w:kern w:val="0"/>
            <w:u w:val="single"/>
          </w:rPr>
          <w:t>https://www.reuters.com/world/uk/tescos-uk-sales-growth-slows-first-quarter-2026-06-18/</w:t>
        </w:r>
      </w:hyperlink>
      <w:r w:rsidRPr="00D27AAA">
        <w:rPr>
          <w:rFonts w:ascii="Arial" w:hAnsi="Arial" w:cs="Arial"/>
          <w:color w:val="000000"/>
          <w:kern w:val="0"/>
        </w:rPr>
        <w:t xml:space="preserve"> Accessed: 19 June 2026.</w:t>
      </w:r>
    </w:p>
    <w:p w14:paraId="19DFB7E3"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Sah, A. K., Hong, Y. M., and Huang, K. C. (2025). Enhancing brand value through circular economy service quality: The mediating roles of customer satisfaction, brand image, and customer loyalty. </w:t>
      </w:r>
      <w:r w:rsidRPr="00D27AAA">
        <w:rPr>
          <w:rFonts w:ascii="Arial" w:hAnsi="Arial" w:cs="Arial"/>
          <w:i/>
          <w:iCs/>
          <w:color w:val="000000"/>
          <w:kern w:val="0"/>
        </w:rPr>
        <w:t>Sustainability</w:t>
      </w:r>
      <w:r w:rsidRPr="00D27AAA">
        <w:rPr>
          <w:rFonts w:ascii="Arial" w:hAnsi="Arial" w:cs="Arial"/>
          <w:color w:val="000000"/>
          <w:kern w:val="0"/>
        </w:rPr>
        <w:t>, </w:t>
      </w:r>
      <w:r w:rsidRPr="00D27AAA">
        <w:rPr>
          <w:rFonts w:ascii="Arial" w:hAnsi="Arial" w:cs="Arial"/>
          <w:i/>
          <w:iCs/>
          <w:color w:val="000000"/>
          <w:kern w:val="0"/>
        </w:rPr>
        <w:t>17</w:t>
      </w:r>
      <w:r w:rsidRPr="00D27AAA">
        <w:rPr>
          <w:rFonts w:ascii="Arial" w:hAnsi="Arial" w:cs="Arial"/>
          <w:color w:val="000000"/>
          <w:kern w:val="0"/>
        </w:rPr>
        <w:t>(3), 1332.</w:t>
      </w:r>
    </w:p>
    <w:p w14:paraId="369E3DBB"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proofErr w:type="spellStart"/>
      <w:r w:rsidRPr="00D27AAA">
        <w:rPr>
          <w:rFonts w:ascii="Arial" w:hAnsi="Arial" w:cs="Arial"/>
          <w:color w:val="000000"/>
          <w:kern w:val="0"/>
        </w:rPr>
        <w:t>Schäufele</w:t>
      </w:r>
      <w:proofErr w:type="spellEnd"/>
      <w:r w:rsidRPr="00D27AAA">
        <w:rPr>
          <w:rFonts w:ascii="Arial" w:hAnsi="Arial" w:cs="Arial"/>
          <w:color w:val="000000"/>
          <w:kern w:val="0"/>
        </w:rPr>
        <w:t>-Elbers, I., and Janssen, M. (2023). Consumer segmentation based on three dimensions of sustainable food consumption: a simultaneous analysis of meat, organic food, and sweet snack purchases based on household panel data in Germany. </w:t>
      </w:r>
      <w:r w:rsidRPr="00D27AAA">
        <w:rPr>
          <w:rFonts w:ascii="Arial" w:hAnsi="Arial" w:cs="Arial"/>
          <w:i/>
          <w:iCs/>
          <w:color w:val="000000"/>
          <w:kern w:val="0"/>
        </w:rPr>
        <w:t>Frontiers in Nutrition</w:t>
      </w:r>
      <w:r w:rsidRPr="00D27AAA">
        <w:rPr>
          <w:rFonts w:ascii="Arial" w:hAnsi="Arial" w:cs="Arial"/>
          <w:color w:val="000000"/>
          <w:kern w:val="0"/>
        </w:rPr>
        <w:t>, </w:t>
      </w:r>
      <w:r w:rsidRPr="00D27AAA">
        <w:rPr>
          <w:rFonts w:ascii="Arial" w:hAnsi="Arial" w:cs="Arial"/>
          <w:i/>
          <w:iCs/>
          <w:color w:val="000000"/>
          <w:kern w:val="0"/>
        </w:rPr>
        <w:t>10</w:t>
      </w:r>
      <w:r w:rsidRPr="00D27AAA">
        <w:rPr>
          <w:rFonts w:ascii="Arial" w:hAnsi="Arial" w:cs="Arial"/>
          <w:color w:val="000000"/>
          <w:kern w:val="0"/>
        </w:rPr>
        <w:t>, 1140636.</w:t>
      </w:r>
    </w:p>
    <w:p w14:paraId="6FB30699"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Siuda, D., and </w:t>
      </w:r>
      <w:proofErr w:type="spellStart"/>
      <w:r w:rsidRPr="00D27AAA">
        <w:rPr>
          <w:rFonts w:ascii="Arial" w:hAnsi="Arial" w:cs="Arial"/>
          <w:color w:val="000000"/>
          <w:kern w:val="0"/>
        </w:rPr>
        <w:t>Grębosz</w:t>
      </w:r>
      <w:proofErr w:type="spellEnd"/>
      <w:r w:rsidRPr="00D27AAA">
        <w:rPr>
          <w:rFonts w:ascii="Arial" w:hAnsi="Arial" w:cs="Arial"/>
          <w:color w:val="000000"/>
          <w:kern w:val="0"/>
        </w:rPr>
        <w:t>-Krawczyk, M. (2025). The role of pro-ecological packaging in shaping purchase intentions and brand image in the food sector: an experimental study. </w:t>
      </w:r>
      <w:r w:rsidRPr="00D27AAA">
        <w:rPr>
          <w:rFonts w:ascii="Arial" w:hAnsi="Arial" w:cs="Arial"/>
          <w:i/>
          <w:iCs/>
          <w:color w:val="000000"/>
          <w:kern w:val="0"/>
        </w:rPr>
        <w:t>Sustainability</w:t>
      </w:r>
      <w:r w:rsidRPr="00D27AAA">
        <w:rPr>
          <w:rFonts w:ascii="Arial" w:hAnsi="Arial" w:cs="Arial"/>
          <w:color w:val="000000"/>
          <w:kern w:val="0"/>
        </w:rPr>
        <w:t>, </w:t>
      </w:r>
      <w:r w:rsidRPr="00D27AAA">
        <w:rPr>
          <w:rFonts w:ascii="Arial" w:hAnsi="Arial" w:cs="Arial"/>
          <w:i/>
          <w:iCs/>
          <w:color w:val="000000"/>
          <w:kern w:val="0"/>
        </w:rPr>
        <w:t>17</w:t>
      </w:r>
      <w:r w:rsidRPr="00D27AAA">
        <w:rPr>
          <w:rFonts w:ascii="Arial" w:hAnsi="Arial" w:cs="Arial"/>
          <w:color w:val="000000"/>
          <w:kern w:val="0"/>
        </w:rPr>
        <w:t>(4), 1744.</w:t>
      </w:r>
    </w:p>
    <w:p w14:paraId="4211095A"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Sodexo (2025) </w:t>
      </w:r>
      <w:r w:rsidRPr="00D27AAA">
        <w:rPr>
          <w:rFonts w:ascii="Arial" w:hAnsi="Arial" w:cs="Arial"/>
          <w:i/>
          <w:iCs/>
          <w:color w:val="000000"/>
          <w:kern w:val="0"/>
        </w:rPr>
        <w:t>Sustainable Food Barometer 2025</w:t>
      </w:r>
      <w:r w:rsidRPr="00D27AAA">
        <w:rPr>
          <w:rFonts w:ascii="Arial" w:hAnsi="Arial" w:cs="Arial"/>
          <w:color w:val="000000"/>
          <w:kern w:val="0"/>
        </w:rPr>
        <w:t xml:space="preserve">. Available at: </w:t>
      </w:r>
      <w:hyperlink r:id="rId40" w:history="1">
        <w:r w:rsidRPr="00D27AAA">
          <w:rPr>
            <w:rFonts w:ascii="Arial" w:hAnsi="Arial" w:cs="Arial"/>
            <w:color w:val="000000"/>
            <w:kern w:val="0"/>
            <w:u w:val="single"/>
          </w:rPr>
          <w:t>https://uk.sodexo.com/newsroom/2025/01-sustainable-food-barometer-25</w:t>
        </w:r>
      </w:hyperlink>
      <w:r w:rsidRPr="00D27AAA">
        <w:rPr>
          <w:rFonts w:ascii="Arial" w:hAnsi="Arial" w:cs="Arial"/>
          <w:color w:val="000000"/>
          <w:kern w:val="0"/>
        </w:rPr>
        <w:t xml:space="preserve">  Accessed: 19 June 2026.</w:t>
      </w:r>
    </w:p>
    <w:p w14:paraId="22A09F95"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Su, S., and Li, Y. (2024). Exploring the impact of the green marketing mix on environmental attitudes and purchase intentions: Moderating role of environmental knowledge in China’s emerging markets. </w:t>
      </w:r>
      <w:r w:rsidRPr="00D27AAA">
        <w:rPr>
          <w:rFonts w:ascii="Arial" w:hAnsi="Arial" w:cs="Arial"/>
          <w:i/>
          <w:iCs/>
          <w:color w:val="000000"/>
          <w:kern w:val="0"/>
        </w:rPr>
        <w:t>Sustainability</w:t>
      </w:r>
      <w:r w:rsidRPr="00D27AAA">
        <w:rPr>
          <w:rFonts w:ascii="Arial" w:hAnsi="Arial" w:cs="Arial"/>
          <w:color w:val="000000"/>
          <w:kern w:val="0"/>
        </w:rPr>
        <w:t>, </w:t>
      </w:r>
      <w:r w:rsidRPr="00D27AAA">
        <w:rPr>
          <w:rFonts w:ascii="Arial" w:hAnsi="Arial" w:cs="Arial"/>
          <w:i/>
          <w:iCs/>
          <w:color w:val="000000"/>
          <w:kern w:val="0"/>
        </w:rPr>
        <w:t>16</w:t>
      </w:r>
      <w:r w:rsidRPr="00D27AAA">
        <w:rPr>
          <w:rFonts w:ascii="Arial" w:hAnsi="Arial" w:cs="Arial"/>
          <w:color w:val="000000"/>
          <w:kern w:val="0"/>
        </w:rPr>
        <w:t>(24), 10934.</w:t>
      </w:r>
    </w:p>
    <w:p w14:paraId="0716E176"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proofErr w:type="spellStart"/>
      <w:r w:rsidRPr="00D27AAA">
        <w:rPr>
          <w:rFonts w:ascii="Arial" w:hAnsi="Arial" w:cs="Arial"/>
          <w:color w:val="000000"/>
          <w:kern w:val="0"/>
        </w:rPr>
        <w:t>Tikkha</w:t>
      </w:r>
      <w:proofErr w:type="spellEnd"/>
      <w:r w:rsidRPr="00D27AAA">
        <w:rPr>
          <w:rFonts w:ascii="Arial" w:hAnsi="Arial" w:cs="Arial"/>
          <w:color w:val="000000"/>
          <w:kern w:val="0"/>
        </w:rPr>
        <w:t xml:space="preserve">, V., Agarwal, P., and </w:t>
      </w:r>
      <w:proofErr w:type="spellStart"/>
      <w:r w:rsidRPr="00D27AAA">
        <w:rPr>
          <w:rFonts w:ascii="Arial" w:hAnsi="Arial" w:cs="Arial"/>
          <w:color w:val="000000"/>
          <w:kern w:val="0"/>
        </w:rPr>
        <w:t>Rajwanshi</w:t>
      </w:r>
      <w:proofErr w:type="spellEnd"/>
      <w:r w:rsidRPr="00D27AAA">
        <w:rPr>
          <w:rFonts w:ascii="Arial" w:hAnsi="Arial" w:cs="Arial"/>
          <w:color w:val="000000"/>
          <w:kern w:val="0"/>
        </w:rPr>
        <w:t>, R. (2024). Assessing greenwashing practices with special relevance to the food and beverage industry. </w:t>
      </w:r>
      <w:r w:rsidRPr="00D27AAA">
        <w:rPr>
          <w:rFonts w:ascii="Arial" w:hAnsi="Arial" w:cs="Arial"/>
          <w:i/>
          <w:iCs/>
          <w:color w:val="000000"/>
          <w:kern w:val="0"/>
        </w:rPr>
        <w:t>International Journal of Agriculture and Environmental Research</w:t>
      </w:r>
      <w:r w:rsidRPr="00D27AAA">
        <w:rPr>
          <w:rFonts w:ascii="Arial" w:hAnsi="Arial" w:cs="Arial"/>
          <w:color w:val="000000"/>
          <w:kern w:val="0"/>
        </w:rPr>
        <w:t>, </w:t>
      </w:r>
      <w:r w:rsidRPr="00D27AAA">
        <w:rPr>
          <w:rFonts w:ascii="Arial" w:hAnsi="Arial" w:cs="Arial"/>
          <w:i/>
          <w:iCs/>
          <w:color w:val="000000"/>
          <w:kern w:val="0"/>
        </w:rPr>
        <w:t>10</w:t>
      </w:r>
      <w:r w:rsidRPr="00D27AAA">
        <w:rPr>
          <w:rFonts w:ascii="Arial" w:hAnsi="Arial" w:cs="Arial"/>
          <w:color w:val="000000"/>
          <w:kern w:val="0"/>
        </w:rPr>
        <w:t>(4), 472-492.</w:t>
      </w:r>
    </w:p>
    <w:p w14:paraId="13D4268A"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lastRenderedPageBreak/>
        <w:t>Todd, E. C. D., and Faour-Klingbeil, D. (2024). Impact of food waste on society, specifically at retail and foodservice levels in developed and developing countries. </w:t>
      </w:r>
      <w:r w:rsidRPr="00D27AAA">
        <w:rPr>
          <w:rFonts w:ascii="Arial" w:hAnsi="Arial" w:cs="Arial"/>
          <w:i/>
          <w:iCs/>
          <w:color w:val="000000"/>
          <w:kern w:val="0"/>
        </w:rPr>
        <w:t>Foods</w:t>
      </w:r>
      <w:r w:rsidRPr="00D27AAA">
        <w:rPr>
          <w:rFonts w:ascii="Arial" w:hAnsi="Arial" w:cs="Arial"/>
          <w:color w:val="000000"/>
          <w:kern w:val="0"/>
        </w:rPr>
        <w:t>, </w:t>
      </w:r>
      <w:r w:rsidRPr="00D27AAA">
        <w:rPr>
          <w:rFonts w:ascii="Arial" w:hAnsi="Arial" w:cs="Arial"/>
          <w:i/>
          <w:iCs/>
          <w:color w:val="000000"/>
          <w:kern w:val="0"/>
        </w:rPr>
        <w:t>13</w:t>
      </w:r>
      <w:r w:rsidRPr="00D27AAA">
        <w:rPr>
          <w:rFonts w:ascii="Arial" w:hAnsi="Arial" w:cs="Arial"/>
          <w:color w:val="000000"/>
          <w:kern w:val="0"/>
        </w:rPr>
        <w:t>(13), 2098.</w:t>
      </w:r>
    </w:p>
    <w:p w14:paraId="4CD7383A"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Worldpanel by Numerator (2026) </w:t>
      </w:r>
      <w:r w:rsidRPr="00D27AAA">
        <w:rPr>
          <w:rFonts w:ascii="Arial" w:hAnsi="Arial" w:cs="Arial"/>
          <w:i/>
          <w:iCs/>
          <w:color w:val="000000"/>
          <w:kern w:val="0"/>
        </w:rPr>
        <w:t>UK grocery inflation eases as early May grey skies dampen sales of summer essentials</w:t>
      </w:r>
      <w:r w:rsidRPr="00D27AAA">
        <w:rPr>
          <w:rFonts w:ascii="Arial" w:hAnsi="Arial" w:cs="Arial"/>
          <w:color w:val="000000"/>
          <w:kern w:val="0"/>
        </w:rPr>
        <w:t xml:space="preserve">. Available at: </w:t>
      </w:r>
      <w:hyperlink r:id="rId41" w:history="1">
        <w:r w:rsidRPr="00D27AAA">
          <w:rPr>
            <w:rFonts w:ascii="Arial" w:hAnsi="Arial" w:cs="Arial"/>
            <w:color w:val="000000"/>
            <w:kern w:val="0"/>
            <w:u w:val="single"/>
          </w:rPr>
          <w:t>https://worldpanelbynumerator.com/insights/grocery-inflation-eases-amid-slower-summer-demand</w:t>
        </w:r>
      </w:hyperlink>
      <w:r w:rsidRPr="00D27AAA">
        <w:rPr>
          <w:rFonts w:ascii="Arial" w:hAnsi="Arial" w:cs="Arial"/>
          <w:color w:val="000000"/>
          <w:kern w:val="0"/>
        </w:rPr>
        <w:t xml:space="preserve"> Accessed: 19 June 2026.</w:t>
      </w:r>
    </w:p>
    <w:p w14:paraId="7794D678" w14:textId="77777777" w:rsidR="00660625" w:rsidRPr="00D27AAA" w:rsidRDefault="00660625" w:rsidP="00660625">
      <w:pPr>
        <w:autoSpaceDE w:val="0"/>
        <w:autoSpaceDN w:val="0"/>
        <w:adjustRightInd w:val="0"/>
        <w:spacing w:line="360" w:lineRule="auto"/>
        <w:ind w:left="540" w:hanging="540"/>
        <w:jc w:val="both"/>
        <w:rPr>
          <w:rFonts w:ascii="Arial" w:hAnsi="Arial" w:cs="Arial"/>
          <w:color w:val="1A1A1A"/>
          <w:kern w:val="0"/>
        </w:rPr>
      </w:pPr>
      <w:r w:rsidRPr="00D27AAA">
        <w:rPr>
          <w:rFonts w:ascii="Arial" w:hAnsi="Arial" w:cs="Arial"/>
          <w:color w:val="1A1A1A"/>
          <w:kern w:val="0"/>
        </w:rPr>
        <w:t>Yadav, R., Tripathi, S., and Shukla, S. S. (2025). AIDA model for social media marketing. </w:t>
      </w:r>
      <w:r w:rsidRPr="00D27AAA">
        <w:rPr>
          <w:rFonts w:ascii="Arial" w:hAnsi="Arial" w:cs="Arial"/>
          <w:i/>
          <w:iCs/>
          <w:color w:val="1A1A1A"/>
          <w:kern w:val="0"/>
        </w:rPr>
        <w:t>Journal of Data Analysis and Critical Management</w:t>
      </w:r>
      <w:r w:rsidRPr="00D27AAA">
        <w:rPr>
          <w:rFonts w:ascii="Arial" w:hAnsi="Arial" w:cs="Arial"/>
          <w:color w:val="1A1A1A"/>
          <w:kern w:val="0"/>
        </w:rPr>
        <w:t>, </w:t>
      </w:r>
      <w:r w:rsidRPr="00D27AAA">
        <w:rPr>
          <w:rFonts w:ascii="Arial" w:hAnsi="Arial" w:cs="Arial"/>
          <w:i/>
          <w:iCs/>
          <w:color w:val="1A1A1A"/>
          <w:kern w:val="0"/>
        </w:rPr>
        <w:t>1</w:t>
      </w:r>
      <w:r w:rsidRPr="00D27AAA">
        <w:rPr>
          <w:rFonts w:ascii="Arial" w:hAnsi="Arial" w:cs="Arial"/>
          <w:color w:val="1A1A1A"/>
          <w:kern w:val="0"/>
        </w:rPr>
        <w:t>(02), 1-4.</w:t>
      </w:r>
    </w:p>
    <w:p w14:paraId="23F4ABC9" w14:textId="77777777" w:rsidR="00660625" w:rsidRPr="00D27AAA" w:rsidRDefault="00660625" w:rsidP="00660625">
      <w:pPr>
        <w:autoSpaceDE w:val="0"/>
        <w:autoSpaceDN w:val="0"/>
        <w:adjustRightInd w:val="0"/>
        <w:spacing w:after="240" w:line="360" w:lineRule="auto"/>
        <w:ind w:left="540" w:hanging="540"/>
        <w:jc w:val="both"/>
        <w:rPr>
          <w:rFonts w:ascii="Arial" w:hAnsi="Arial" w:cs="Arial"/>
          <w:color w:val="000000"/>
          <w:kern w:val="0"/>
        </w:rPr>
      </w:pPr>
      <w:r w:rsidRPr="00D27AAA">
        <w:rPr>
          <w:rFonts w:ascii="Arial" w:hAnsi="Arial" w:cs="Arial"/>
          <w:color w:val="000000"/>
          <w:kern w:val="0"/>
        </w:rPr>
        <w:t xml:space="preserve">YouGov (2024) </w:t>
      </w:r>
      <w:r w:rsidRPr="00D27AAA">
        <w:rPr>
          <w:rFonts w:ascii="Arial" w:hAnsi="Arial" w:cs="Arial"/>
          <w:i/>
          <w:iCs/>
          <w:color w:val="000000"/>
          <w:kern w:val="0"/>
        </w:rPr>
        <w:t>Sustainability premium: 53% of consumers willing to pay 10% extra for sustainable food and drink</w:t>
      </w:r>
      <w:r w:rsidRPr="00D27AAA">
        <w:rPr>
          <w:rFonts w:ascii="Arial" w:hAnsi="Arial" w:cs="Arial"/>
          <w:color w:val="000000"/>
          <w:kern w:val="0"/>
        </w:rPr>
        <w:t xml:space="preserve">. Available at: </w:t>
      </w:r>
      <w:hyperlink r:id="rId42" w:history="1">
        <w:r w:rsidRPr="00D27AAA">
          <w:rPr>
            <w:rFonts w:ascii="Arial" w:hAnsi="Arial" w:cs="Arial"/>
            <w:color w:val="000000"/>
            <w:kern w:val="0"/>
            <w:u w:val="single"/>
          </w:rPr>
          <w:t>https://yougov.co.uk/consumer/articles/49155-sustainability-premium-53-of-consumers-willing-to-pay-10-extra-for-sustainable-food-and-drink</w:t>
        </w:r>
      </w:hyperlink>
      <w:r w:rsidRPr="00D27AAA">
        <w:rPr>
          <w:rFonts w:ascii="Arial" w:hAnsi="Arial" w:cs="Arial"/>
          <w:color w:val="000000"/>
          <w:kern w:val="0"/>
        </w:rPr>
        <w:t xml:space="preserve"> Accessed: 19 June 2026.</w:t>
      </w:r>
    </w:p>
    <w:p w14:paraId="7C6F10F6" w14:textId="77777777" w:rsidR="00660625" w:rsidRPr="00D27AAA" w:rsidRDefault="00660625" w:rsidP="00660625">
      <w:pPr>
        <w:spacing w:line="360" w:lineRule="auto"/>
        <w:ind w:left="540" w:hanging="540"/>
        <w:jc w:val="both"/>
        <w:rPr>
          <w:rFonts w:ascii="Arial" w:hAnsi="Arial" w:cs="Arial"/>
        </w:rPr>
      </w:pPr>
      <w:r w:rsidRPr="00D27AAA">
        <w:rPr>
          <w:rFonts w:ascii="Arial" w:hAnsi="Arial" w:cs="Arial"/>
          <w:color w:val="000000"/>
          <w:kern w:val="0"/>
        </w:rPr>
        <w:t xml:space="preserve">Zhou, R., Zhang, Z., Han, J., Peng, Y., and Zhang, X. (2026). Cold-Start Forecasting of New Product </w:t>
      </w:r>
      <w:proofErr w:type="gramStart"/>
      <w:r w:rsidRPr="00D27AAA">
        <w:rPr>
          <w:rFonts w:ascii="Arial" w:hAnsi="Arial" w:cs="Arial"/>
          <w:color w:val="000000"/>
          <w:kern w:val="0"/>
        </w:rPr>
        <w:t>Life-Cycles</w:t>
      </w:r>
      <w:proofErr w:type="gramEnd"/>
      <w:r w:rsidRPr="00D27AAA">
        <w:rPr>
          <w:rFonts w:ascii="Arial" w:hAnsi="Arial" w:cs="Arial"/>
          <w:color w:val="000000"/>
          <w:kern w:val="0"/>
        </w:rPr>
        <w:t xml:space="preserve"> via Conditional Diffusion Models. </w:t>
      </w:r>
      <w:proofErr w:type="spellStart"/>
      <w:r w:rsidRPr="00D27AAA">
        <w:rPr>
          <w:rFonts w:ascii="Arial" w:hAnsi="Arial" w:cs="Arial"/>
          <w:i/>
          <w:iCs/>
          <w:color w:val="000000"/>
          <w:kern w:val="0"/>
        </w:rPr>
        <w:t>arXiv</w:t>
      </w:r>
      <w:proofErr w:type="spellEnd"/>
      <w:r w:rsidRPr="00D27AAA">
        <w:rPr>
          <w:rFonts w:ascii="Arial" w:hAnsi="Arial" w:cs="Arial"/>
          <w:i/>
          <w:iCs/>
          <w:color w:val="000000"/>
          <w:kern w:val="0"/>
        </w:rPr>
        <w:t xml:space="preserve"> preprint arXiv:2604.20370</w:t>
      </w:r>
      <w:r w:rsidRPr="00D27AAA">
        <w:rPr>
          <w:rFonts w:ascii="Arial" w:hAnsi="Arial" w:cs="Arial"/>
          <w:color w:val="000000"/>
          <w:kern w:val="0"/>
        </w:rPr>
        <w:t>.</w:t>
      </w:r>
    </w:p>
    <w:p w14:paraId="59370E95" w14:textId="77777777" w:rsidR="00660625" w:rsidRDefault="00660625"/>
    <w:sectPr w:rsidR="00660625" w:rsidSect="00660625">
      <w:footerReference w:type="even" r:id="rId43"/>
      <w:footerReference w:type="default" r:id="rId4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186EA73" w14:textId="77777777" w:rsidR="00AF180A" w:rsidRDefault="00AF180A" w:rsidP="00E05C6E">
      <w:r>
        <w:separator/>
      </w:r>
    </w:p>
  </w:endnote>
  <w:endnote w:type="continuationSeparator" w:id="0">
    <w:p w14:paraId="3191E68B" w14:textId="77777777" w:rsidR="00AF180A" w:rsidRDefault="00AF180A" w:rsidP="00E05C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08877704"/>
      <w:docPartObj>
        <w:docPartGallery w:val="Page Numbers (Bottom of Page)"/>
        <w:docPartUnique/>
      </w:docPartObj>
    </w:sdtPr>
    <w:sdtContent>
      <w:p w14:paraId="0EDF6F87" w14:textId="77777777" w:rsidR="00660625" w:rsidRDefault="00660625" w:rsidP="000D1C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C63515" w14:textId="77777777" w:rsidR="00660625" w:rsidRDefault="00660625" w:rsidP="00A911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52748029"/>
      <w:docPartObj>
        <w:docPartGallery w:val="Page Numbers (Bottom of Page)"/>
        <w:docPartUnique/>
      </w:docPartObj>
    </w:sdtPr>
    <w:sdtContent>
      <w:p w14:paraId="556F8573" w14:textId="77777777" w:rsidR="00660625" w:rsidRDefault="00660625" w:rsidP="000D1C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325F698A" w14:textId="77777777" w:rsidR="00660625" w:rsidRDefault="00660625" w:rsidP="00A911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9E1BD07" w14:textId="77777777" w:rsidR="00AF180A" w:rsidRDefault="00AF180A" w:rsidP="00E05C6E">
      <w:r>
        <w:separator/>
      </w:r>
    </w:p>
  </w:footnote>
  <w:footnote w:type="continuationSeparator" w:id="0">
    <w:p w14:paraId="627ED5CF" w14:textId="77777777" w:rsidR="00AF180A" w:rsidRDefault="00AF180A" w:rsidP="00E05C6E">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625"/>
    <w:rsid w:val="00660625"/>
    <w:rsid w:val="006C2FE1"/>
    <w:rsid w:val="00A215CC"/>
    <w:rsid w:val="00AF180A"/>
    <w:rsid w:val="00E05C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F7661"/>
  <w15:chartTrackingRefBased/>
  <w15:docId w15:val="{9FE3579E-D669-BF49-85AA-7DF7A8DB6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625"/>
    <w:pPr>
      <w:spacing w:after="0" w:line="240" w:lineRule="auto"/>
    </w:pPr>
    <w:rPr>
      <w:rFonts w:ascii="Times New Roman" w:hAnsi="Times New Roman" w:cs="Times New Roman"/>
      <w:lang w:val="en-US"/>
    </w:rPr>
  </w:style>
  <w:style w:type="paragraph" w:styleId="Heading1">
    <w:name w:val="heading 1"/>
    <w:basedOn w:val="Normal"/>
    <w:next w:val="Normal"/>
    <w:link w:val="Heading1Char"/>
    <w:uiPriority w:val="9"/>
    <w:qFormat/>
    <w:rsid w:val="00660625"/>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val="en-IN"/>
    </w:rPr>
  </w:style>
  <w:style w:type="paragraph" w:styleId="Heading2">
    <w:name w:val="heading 2"/>
    <w:basedOn w:val="Normal"/>
    <w:next w:val="Normal"/>
    <w:link w:val="Heading2Char"/>
    <w:uiPriority w:val="9"/>
    <w:semiHidden/>
    <w:unhideWhenUsed/>
    <w:qFormat/>
    <w:rsid w:val="00660625"/>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val="en-IN"/>
    </w:rPr>
  </w:style>
  <w:style w:type="paragraph" w:styleId="Heading3">
    <w:name w:val="heading 3"/>
    <w:basedOn w:val="Normal"/>
    <w:next w:val="Normal"/>
    <w:link w:val="Heading3Char"/>
    <w:uiPriority w:val="9"/>
    <w:semiHidden/>
    <w:unhideWhenUsed/>
    <w:qFormat/>
    <w:rsid w:val="00660625"/>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lang w:val="en-IN"/>
    </w:rPr>
  </w:style>
  <w:style w:type="paragraph" w:styleId="Heading4">
    <w:name w:val="heading 4"/>
    <w:basedOn w:val="Normal"/>
    <w:next w:val="Normal"/>
    <w:link w:val="Heading4Char"/>
    <w:uiPriority w:val="9"/>
    <w:semiHidden/>
    <w:unhideWhenUsed/>
    <w:qFormat/>
    <w:rsid w:val="00660625"/>
    <w:pPr>
      <w:keepNext/>
      <w:keepLines/>
      <w:spacing w:before="80" w:after="40" w:line="278" w:lineRule="auto"/>
      <w:outlineLvl w:val="3"/>
    </w:pPr>
    <w:rPr>
      <w:rFonts w:asciiTheme="minorHAnsi" w:eastAsiaTheme="majorEastAsia" w:hAnsiTheme="minorHAnsi" w:cstheme="majorBidi"/>
      <w:i/>
      <w:iCs/>
      <w:color w:val="0F4761" w:themeColor="accent1" w:themeShade="BF"/>
      <w:lang w:val="en-IN"/>
    </w:rPr>
  </w:style>
  <w:style w:type="paragraph" w:styleId="Heading5">
    <w:name w:val="heading 5"/>
    <w:basedOn w:val="Normal"/>
    <w:next w:val="Normal"/>
    <w:link w:val="Heading5Char"/>
    <w:uiPriority w:val="9"/>
    <w:semiHidden/>
    <w:unhideWhenUsed/>
    <w:qFormat/>
    <w:rsid w:val="00660625"/>
    <w:pPr>
      <w:keepNext/>
      <w:keepLines/>
      <w:spacing w:before="80" w:after="40" w:line="278" w:lineRule="auto"/>
      <w:outlineLvl w:val="4"/>
    </w:pPr>
    <w:rPr>
      <w:rFonts w:asciiTheme="minorHAnsi" w:eastAsiaTheme="majorEastAsia" w:hAnsiTheme="minorHAnsi" w:cstheme="majorBidi"/>
      <w:color w:val="0F4761" w:themeColor="accent1" w:themeShade="BF"/>
      <w:lang w:val="en-IN"/>
    </w:rPr>
  </w:style>
  <w:style w:type="paragraph" w:styleId="Heading6">
    <w:name w:val="heading 6"/>
    <w:basedOn w:val="Normal"/>
    <w:next w:val="Normal"/>
    <w:link w:val="Heading6Char"/>
    <w:uiPriority w:val="9"/>
    <w:semiHidden/>
    <w:unhideWhenUsed/>
    <w:qFormat/>
    <w:rsid w:val="00660625"/>
    <w:pPr>
      <w:keepNext/>
      <w:keepLines/>
      <w:spacing w:before="40" w:line="278" w:lineRule="auto"/>
      <w:outlineLvl w:val="5"/>
    </w:pPr>
    <w:rPr>
      <w:rFonts w:asciiTheme="minorHAnsi" w:eastAsiaTheme="majorEastAsia" w:hAnsiTheme="minorHAnsi" w:cstheme="majorBidi"/>
      <w:i/>
      <w:iCs/>
      <w:color w:val="595959" w:themeColor="text1" w:themeTint="A6"/>
      <w:lang w:val="en-IN"/>
    </w:rPr>
  </w:style>
  <w:style w:type="paragraph" w:styleId="Heading7">
    <w:name w:val="heading 7"/>
    <w:basedOn w:val="Normal"/>
    <w:next w:val="Normal"/>
    <w:link w:val="Heading7Char"/>
    <w:uiPriority w:val="9"/>
    <w:semiHidden/>
    <w:unhideWhenUsed/>
    <w:qFormat/>
    <w:rsid w:val="00660625"/>
    <w:pPr>
      <w:keepNext/>
      <w:keepLines/>
      <w:spacing w:before="40" w:line="278" w:lineRule="auto"/>
      <w:outlineLvl w:val="6"/>
    </w:pPr>
    <w:rPr>
      <w:rFonts w:asciiTheme="minorHAnsi" w:eastAsiaTheme="majorEastAsia" w:hAnsiTheme="minorHAnsi" w:cstheme="majorBidi"/>
      <w:color w:val="595959" w:themeColor="text1" w:themeTint="A6"/>
      <w:lang w:val="en-IN"/>
    </w:rPr>
  </w:style>
  <w:style w:type="paragraph" w:styleId="Heading8">
    <w:name w:val="heading 8"/>
    <w:basedOn w:val="Normal"/>
    <w:next w:val="Normal"/>
    <w:link w:val="Heading8Char"/>
    <w:uiPriority w:val="9"/>
    <w:semiHidden/>
    <w:unhideWhenUsed/>
    <w:qFormat/>
    <w:rsid w:val="00660625"/>
    <w:pPr>
      <w:keepNext/>
      <w:keepLines/>
      <w:spacing w:line="278" w:lineRule="auto"/>
      <w:outlineLvl w:val="7"/>
    </w:pPr>
    <w:rPr>
      <w:rFonts w:asciiTheme="minorHAnsi" w:eastAsiaTheme="majorEastAsia" w:hAnsiTheme="minorHAnsi" w:cstheme="majorBidi"/>
      <w:i/>
      <w:iCs/>
      <w:color w:val="272727" w:themeColor="text1" w:themeTint="D8"/>
      <w:lang w:val="en-IN"/>
    </w:rPr>
  </w:style>
  <w:style w:type="paragraph" w:styleId="Heading9">
    <w:name w:val="heading 9"/>
    <w:basedOn w:val="Normal"/>
    <w:next w:val="Normal"/>
    <w:link w:val="Heading9Char"/>
    <w:uiPriority w:val="9"/>
    <w:semiHidden/>
    <w:unhideWhenUsed/>
    <w:qFormat/>
    <w:rsid w:val="00660625"/>
    <w:pPr>
      <w:keepNext/>
      <w:keepLines/>
      <w:spacing w:line="278" w:lineRule="auto"/>
      <w:outlineLvl w:val="8"/>
    </w:pPr>
    <w:rPr>
      <w:rFonts w:asciiTheme="minorHAnsi" w:eastAsiaTheme="majorEastAsia" w:hAnsiTheme="minorHAnsi" w:cstheme="majorBidi"/>
      <w:color w:val="272727" w:themeColor="text1" w:themeTint="D8"/>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6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06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06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06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06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06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06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06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0625"/>
    <w:rPr>
      <w:rFonts w:eastAsiaTheme="majorEastAsia" w:cstheme="majorBidi"/>
      <w:color w:val="272727" w:themeColor="text1" w:themeTint="D8"/>
    </w:rPr>
  </w:style>
  <w:style w:type="paragraph" w:styleId="Title">
    <w:name w:val="Title"/>
    <w:basedOn w:val="Normal"/>
    <w:next w:val="Normal"/>
    <w:link w:val="TitleChar"/>
    <w:uiPriority w:val="10"/>
    <w:qFormat/>
    <w:rsid w:val="00660625"/>
    <w:pPr>
      <w:spacing w:after="80"/>
      <w:contextualSpacing/>
    </w:pPr>
    <w:rPr>
      <w:rFonts w:asciiTheme="majorHAnsi" w:eastAsiaTheme="majorEastAsia" w:hAnsiTheme="majorHAnsi" w:cstheme="majorBidi"/>
      <w:spacing w:val="-10"/>
      <w:kern w:val="28"/>
      <w:sz w:val="56"/>
      <w:szCs w:val="56"/>
      <w:lang w:val="en-IN"/>
    </w:rPr>
  </w:style>
  <w:style w:type="character" w:customStyle="1" w:styleId="TitleChar">
    <w:name w:val="Title Char"/>
    <w:basedOn w:val="DefaultParagraphFont"/>
    <w:link w:val="Title"/>
    <w:uiPriority w:val="10"/>
    <w:rsid w:val="006606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0625"/>
    <w:pPr>
      <w:numPr>
        <w:ilvl w:val="1"/>
      </w:numPr>
      <w:spacing w:after="160" w:line="278" w:lineRule="auto"/>
    </w:pPr>
    <w:rPr>
      <w:rFonts w:asciiTheme="minorHAnsi" w:eastAsiaTheme="majorEastAsia" w:hAnsiTheme="minorHAnsi" w:cstheme="majorBidi"/>
      <w:color w:val="595959" w:themeColor="text1" w:themeTint="A6"/>
      <w:spacing w:val="15"/>
      <w:sz w:val="28"/>
      <w:szCs w:val="28"/>
      <w:lang w:val="en-IN"/>
    </w:rPr>
  </w:style>
  <w:style w:type="character" w:customStyle="1" w:styleId="SubtitleChar">
    <w:name w:val="Subtitle Char"/>
    <w:basedOn w:val="DefaultParagraphFont"/>
    <w:link w:val="Subtitle"/>
    <w:uiPriority w:val="11"/>
    <w:rsid w:val="006606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0625"/>
    <w:pPr>
      <w:spacing w:before="160" w:after="160" w:line="278" w:lineRule="auto"/>
      <w:jc w:val="center"/>
    </w:pPr>
    <w:rPr>
      <w:rFonts w:asciiTheme="minorHAnsi" w:hAnsiTheme="minorHAnsi" w:cstheme="minorBidi"/>
      <w:i/>
      <w:iCs/>
      <w:color w:val="404040" w:themeColor="text1" w:themeTint="BF"/>
      <w:lang w:val="en-IN"/>
    </w:rPr>
  </w:style>
  <w:style w:type="character" w:customStyle="1" w:styleId="QuoteChar">
    <w:name w:val="Quote Char"/>
    <w:basedOn w:val="DefaultParagraphFont"/>
    <w:link w:val="Quote"/>
    <w:uiPriority w:val="29"/>
    <w:rsid w:val="00660625"/>
    <w:rPr>
      <w:i/>
      <w:iCs/>
      <w:color w:val="404040" w:themeColor="text1" w:themeTint="BF"/>
    </w:rPr>
  </w:style>
  <w:style w:type="paragraph" w:styleId="ListParagraph">
    <w:name w:val="List Paragraph"/>
    <w:basedOn w:val="Normal"/>
    <w:uiPriority w:val="34"/>
    <w:qFormat/>
    <w:rsid w:val="00660625"/>
    <w:pPr>
      <w:spacing w:after="160" w:line="278" w:lineRule="auto"/>
      <w:ind w:left="720"/>
      <w:contextualSpacing/>
    </w:pPr>
    <w:rPr>
      <w:rFonts w:asciiTheme="minorHAnsi" w:hAnsiTheme="minorHAnsi" w:cstheme="minorBidi"/>
      <w:lang w:val="en-IN"/>
    </w:rPr>
  </w:style>
  <w:style w:type="character" w:styleId="IntenseEmphasis">
    <w:name w:val="Intense Emphasis"/>
    <w:basedOn w:val="DefaultParagraphFont"/>
    <w:uiPriority w:val="21"/>
    <w:qFormat/>
    <w:rsid w:val="00660625"/>
    <w:rPr>
      <w:i/>
      <w:iCs/>
      <w:color w:val="0F4761" w:themeColor="accent1" w:themeShade="BF"/>
    </w:rPr>
  </w:style>
  <w:style w:type="paragraph" w:styleId="IntenseQuote">
    <w:name w:val="Intense Quote"/>
    <w:basedOn w:val="Normal"/>
    <w:next w:val="Normal"/>
    <w:link w:val="IntenseQuoteChar"/>
    <w:uiPriority w:val="30"/>
    <w:qFormat/>
    <w:rsid w:val="0066062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cstheme="minorBidi"/>
      <w:i/>
      <w:iCs/>
      <w:color w:val="0F4761" w:themeColor="accent1" w:themeShade="BF"/>
      <w:lang w:val="en-IN"/>
    </w:rPr>
  </w:style>
  <w:style w:type="character" w:customStyle="1" w:styleId="IntenseQuoteChar">
    <w:name w:val="Intense Quote Char"/>
    <w:basedOn w:val="DefaultParagraphFont"/>
    <w:link w:val="IntenseQuote"/>
    <w:uiPriority w:val="30"/>
    <w:rsid w:val="00660625"/>
    <w:rPr>
      <w:i/>
      <w:iCs/>
      <w:color w:val="0F4761" w:themeColor="accent1" w:themeShade="BF"/>
    </w:rPr>
  </w:style>
  <w:style w:type="character" w:styleId="IntenseReference">
    <w:name w:val="Intense Reference"/>
    <w:basedOn w:val="DefaultParagraphFont"/>
    <w:uiPriority w:val="32"/>
    <w:qFormat/>
    <w:rsid w:val="00660625"/>
    <w:rPr>
      <w:b/>
      <w:bCs/>
      <w:smallCaps/>
      <w:color w:val="0F4761" w:themeColor="accent1" w:themeShade="BF"/>
      <w:spacing w:val="5"/>
    </w:rPr>
  </w:style>
  <w:style w:type="paragraph" w:styleId="Footer">
    <w:name w:val="footer"/>
    <w:basedOn w:val="Normal"/>
    <w:link w:val="FooterChar"/>
    <w:uiPriority w:val="99"/>
    <w:unhideWhenUsed/>
    <w:rsid w:val="00660625"/>
    <w:pPr>
      <w:tabs>
        <w:tab w:val="center" w:pos="4680"/>
        <w:tab w:val="right" w:pos="9360"/>
      </w:tabs>
    </w:pPr>
  </w:style>
  <w:style w:type="character" w:customStyle="1" w:styleId="FooterChar">
    <w:name w:val="Footer Char"/>
    <w:basedOn w:val="DefaultParagraphFont"/>
    <w:link w:val="Footer"/>
    <w:uiPriority w:val="99"/>
    <w:rsid w:val="00660625"/>
    <w:rPr>
      <w:rFonts w:ascii="Times New Roman" w:hAnsi="Times New Roman" w:cs="Times New Roman"/>
      <w:lang w:val="en-US"/>
    </w:rPr>
  </w:style>
  <w:style w:type="character" w:styleId="PageNumber">
    <w:name w:val="page number"/>
    <w:basedOn w:val="DefaultParagraphFont"/>
    <w:uiPriority w:val="99"/>
    <w:semiHidden/>
    <w:unhideWhenUsed/>
    <w:rsid w:val="00660625"/>
  </w:style>
  <w:style w:type="paragraph" w:styleId="TOC1">
    <w:name w:val="toc 1"/>
    <w:basedOn w:val="Normal"/>
    <w:next w:val="Normal"/>
    <w:autoRedefine/>
    <w:uiPriority w:val="39"/>
    <w:unhideWhenUsed/>
    <w:rsid w:val="00660625"/>
    <w:pPr>
      <w:spacing w:before="240" w:after="120"/>
    </w:pPr>
    <w:rPr>
      <w:rFonts w:asciiTheme="minorHAnsi" w:hAnsiTheme="minorHAnsi" w:cstheme="minorHAnsi"/>
      <w:b/>
      <w:bCs/>
      <w:sz w:val="20"/>
    </w:rPr>
  </w:style>
  <w:style w:type="character" w:styleId="Hyperlink">
    <w:name w:val="Hyperlink"/>
    <w:basedOn w:val="DefaultParagraphFont"/>
    <w:uiPriority w:val="99"/>
    <w:unhideWhenUsed/>
    <w:rsid w:val="00660625"/>
    <w:rPr>
      <w:color w:val="467886" w:themeColor="hyperlink"/>
      <w:u w:val="single"/>
    </w:rPr>
  </w:style>
  <w:style w:type="paragraph" w:styleId="Header">
    <w:name w:val="header"/>
    <w:basedOn w:val="Normal"/>
    <w:link w:val="HeaderChar"/>
    <w:uiPriority w:val="99"/>
    <w:unhideWhenUsed/>
    <w:rsid w:val="00E05C6E"/>
    <w:pPr>
      <w:tabs>
        <w:tab w:val="center" w:pos="4513"/>
        <w:tab w:val="right" w:pos="9026"/>
      </w:tabs>
    </w:pPr>
  </w:style>
  <w:style w:type="character" w:customStyle="1" w:styleId="HeaderChar">
    <w:name w:val="Header Char"/>
    <w:basedOn w:val="DefaultParagraphFont"/>
    <w:link w:val="Header"/>
    <w:uiPriority w:val="99"/>
    <w:rsid w:val="00E05C6E"/>
    <w:rPr>
      <w:rFonts w:ascii="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www.reuters.com/world/uk/tescos-uk-sales-growth-slows-first-quarter-2026-06-18/" TargetMode="External"/><Relationship Id="rId21" Type="http://schemas.openxmlformats.org/officeDocument/2006/relationships/image" Target="media/image16.png"/><Relationship Id="rId34" Type="http://schemas.openxmlformats.org/officeDocument/2006/relationships/hyperlink" Target="https://www.marketdataforecast.com/market-reports/united-kingdom-ready-meals-market" TargetMode="External"/><Relationship Id="rId42" Type="http://schemas.openxmlformats.org/officeDocument/2006/relationships/hyperlink" Target="https://yougov.co.uk/consumer/articles/49155-sustainability-premium-53-of-consumers-willing-to-pay-10-extra-for-sustainable-food-and-drink"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hyperlink" Target="https://brc.org.uk/news-and-events/news/corporate-affairs/2026/ungated/retail-sales-hot-up-in-may/"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commonslibrary.parliament.uk/research-briefings/cdp-2026-0004/" TargetMode="External"/><Relationship Id="rId37" Type="http://schemas.openxmlformats.org/officeDocument/2006/relationships/hyperlink" Target="https://www.ons.gov.uk/economy/inflationandpriceindices/bulletins/consumerpriceinflation/may2026" TargetMode="External"/><Relationship Id="rId40" Type="http://schemas.openxmlformats.org/officeDocument/2006/relationships/hyperlink" Target="https://uk.sodexo.com/newsroom/2025/01-sustainable-food-barometer-25"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nielseniq.com/global/en/news-center/2026/shoppers-spend-big-17bn-boost-from-mothering-sunday-and-early-easter-build-up/"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commonslibrary.parliament.uk/research-briefings/cbp-7857/" TargetMode="External"/><Relationship Id="rId44"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www.food.gov.uk/news-alerts/news/fsa-survey-reveals-publics-growing-appetite-for-healthier-and-more-sustainable-food-choices" TargetMode="External"/><Relationship Id="rId35" Type="http://schemas.openxmlformats.org/officeDocument/2006/relationships/hyperlink" Target="https://www.mckinsey.com/industries/retail/our-insights/state-of-grocery-europe-report" TargetMode="External"/><Relationship Id="rId43" Type="http://schemas.openxmlformats.org/officeDocument/2006/relationships/footer" Target="footer1.xm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ww.kantar.com/uki/inspiration/fmcg/2026-wp-promo-premium-own-label-and-no-alcohol-options-inside-britains-13-8-bn-xmas-grocery-shop" TargetMode="External"/><Relationship Id="rId38" Type="http://schemas.openxmlformats.org/officeDocument/2006/relationships/hyperlink" Target="https://www.ons.gov.uk/peoplepopulationandcommunity/populationandmigration/populationestimates/bulletins/annualmidyearpopulationestimates/mid2024" TargetMode="External"/><Relationship Id="rId46"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hyperlink" Target="https://worldpanelbynumerator.com/insights/grocery-inflation-eases-amid-slower-summer-dem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19</TotalTime>
  <Pages>26</Pages>
  <Words>4020</Words>
  <Characters>22918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Ishan Arvindbhai Kevadiya (2541464)</dc:creator>
  <cp:keywords/>
  <dc:description/>
  <cp:lastModifiedBy>Ishan Arvindbhai Kevadiya (2541464)</cp:lastModifiedBy>
  <cp:revision>1</cp:revision>
  <dcterms:created xsi:type="dcterms:W3CDTF">2026-07-29T22:44:00Z</dcterms:created>
  <dcterms:modified xsi:type="dcterms:W3CDTF">2026-07-29T23:10:00Z</dcterms:modified>
</cp:coreProperties>
</file>