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7A6342" w14:textId="77777777" w:rsidR="003F6A08" w:rsidRDefault="003F6A08" w:rsidP="003F6A08">
      <w:pPr>
        <w:spacing w:line="360" w:lineRule="auto"/>
        <w:jc w:val="center"/>
        <w:rPr>
          <w:rFonts w:ascii="Arial" w:hAnsi="Arial" w:cs="Arial"/>
          <w:b/>
          <w:bCs/>
          <w:sz w:val="24"/>
          <w:szCs w:val="24"/>
        </w:rPr>
      </w:pPr>
      <w:bookmarkStart w:id="0" w:name="_Hlk137188855"/>
    </w:p>
    <w:p w14:paraId="06136DDC" w14:textId="77777777" w:rsidR="003F6A08" w:rsidRDefault="003F6A08" w:rsidP="003F6A08">
      <w:pPr>
        <w:spacing w:line="360" w:lineRule="auto"/>
        <w:jc w:val="center"/>
        <w:rPr>
          <w:rFonts w:ascii="Arial" w:hAnsi="Arial" w:cs="Arial"/>
          <w:b/>
          <w:bCs/>
          <w:sz w:val="24"/>
          <w:szCs w:val="24"/>
        </w:rPr>
      </w:pPr>
    </w:p>
    <w:p w14:paraId="30A0FC4F" w14:textId="77777777" w:rsidR="003F6A08" w:rsidRDefault="003F6A08" w:rsidP="003F6A08">
      <w:pPr>
        <w:spacing w:line="360" w:lineRule="auto"/>
        <w:jc w:val="center"/>
        <w:rPr>
          <w:rFonts w:ascii="Arial" w:hAnsi="Arial" w:cs="Arial"/>
          <w:b/>
          <w:bCs/>
          <w:sz w:val="24"/>
          <w:szCs w:val="24"/>
        </w:rPr>
      </w:pPr>
    </w:p>
    <w:p w14:paraId="25755C4E" w14:textId="77777777" w:rsidR="003F6A08" w:rsidRDefault="003F6A08" w:rsidP="003F6A08">
      <w:pPr>
        <w:spacing w:line="360" w:lineRule="auto"/>
        <w:jc w:val="center"/>
        <w:rPr>
          <w:rFonts w:ascii="Arial" w:hAnsi="Arial" w:cs="Arial"/>
          <w:b/>
          <w:bCs/>
          <w:sz w:val="24"/>
          <w:szCs w:val="24"/>
        </w:rPr>
      </w:pPr>
    </w:p>
    <w:p w14:paraId="455ABE42" w14:textId="77777777" w:rsidR="003F6A08" w:rsidRDefault="003F6A08" w:rsidP="003F6A08">
      <w:pPr>
        <w:spacing w:line="360" w:lineRule="auto"/>
        <w:jc w:val="center"/>
        <w:rPr>
          <w:rFonts w:ascii="Arial" w:hAnsi="Arial" w:cs="Arial"/>
          <w:b/>
          <w:bCs/>
          <w:sz w:val="24"/>
          <w:szCs w:val="24"/>
        </w:rPr>
      </w:pPr>
    </w:p>
    <w:p w14:paraId="43A914D5" w14:textId="52BEEC82" w:rsidR="003F6A08" w:rsidRPr="003F6A08" w:rsidRDefault="003F6A08" w:rsidP="003F6A08">
      <w:pPr>
        <w:spacing w:line="360" w:lineRule="auto"/>
        <w:jc w:val="center"/>
        <w:rPr>
          <w:rFonts w:ascii="Arial" w:hAnsi="Arial" w:cs="Arial"/>
          <w:b/>
          <w:bCs/>
          <w:sz w:val="24"/>
          <w:szCs w:val="24"/>
        </w:rPr>
      </w:pPr>
      <w:r w:rsidRPr="003F6A08">
        <w:rPr>
          <w:rFonts w:ascii="Arial" w:hAnsi="Arial" w:cs="Arial"/>
          <w:b/>
          <w:bCs/>
          <w:sz w:val="24"/>
          <w:szCs w:val="24"/>
        </w:rPr>
        <w:t>AUDIT REPORT: HILTON HOTEL GROUP</w:t>
      </w:r>
    </w:p>
    <w:bookmarkEnd w:id="0"/>
    <w:p w14:paraId="79A82F6D" w14:textId="77777777" w:rsidR="00EB2A54" w:rsidRDefault="00EB2A54"/>
    <w:p w14:paraId="3955A386" w14:textId="77777777" w:rsidR="003F6A08" w:rsidRDefault="003F6A08"/>
    <w:p w14:paraId="04C2B6AF" w14:textId="77777777" w:rsidR="003F6A08" w:rsidRDefault="003F6A08"/>
    <w:p w14:paraId="096E6311" w14:textId="77777777" w:rsidR="003F6A08" w:rsidRDefault="003F6A08"/>
    <w:p w14:paraId="02FB01B3" w14:textId="77777777" w:rsidR="003F6A08" w:rsidRDefault="003F6A08"/>
    <w:p w14:paraId="34A1EDA8" w14:textId="77777777" w:rsidR="003F6A08" w:rsidRDefault="003F6A08"/>
    <w:p w14:paraId="41BED7AA" w14:textId="77777777" w:rsidR="003F6A08" w:rsidRPr="003F6A08" w:rsidRDefault="003F6A08" w:rsidP="003F6A08">
      <w:pPr>
        <w:spacing w:line="360" w:lineRule="auto"/>
        <w:rPr>
          <w:rFonts w:ascii="Arial" w:hAnsi="Arial" w:cs="Arial"/>
          <w:b/>
          <w:bCs/>
          <w:kern w:val="0"/>
          <w:sz w:val="24"/>
          <w:szCs w:val="24"/>
          <w:lang w:val="fr-FR"/>
        </w:rPr>
      </w:pPr>
      <w:r w:rsidRPr="003F6A08">
        <w:rPr>
          <w:rFonts w:ascii="Arial" w:hAnsi="Arial" w:cs="Arial"/>
          <w:b/>
          <w:bCs/>
          <w:kern w:val="0"/>
          <w:sz w:val="24"/>
          <w:szCs w:val="24"/>
          <w:lang w:val="fr-FR"/>
        </w:rPr>
        <w:t>Student Name : MARIUS CIOCEA</w:t>
      </w:r>
    </w:p>
    <w:p w14:paraId="516474D1" w14:textId="77777777" w:rsidR="003F6A08" w:rsidRPr="003F6A08" w:rsidRDefault="003F6A08" w:rsidP="003F6A08">
      <w:pPr>
        <w:spacing w:line="360" w:lineRule="auto"/>
        <w:rPr>
          <w:rFonts w:ascii="Arial" w:hAnsi="Arial" w:cs="Arial"/>
          <w:b/>
          <w:bCs/>
          <w:kern w:val="0"/>
          <w:sz w:val="24"/>
          <w:szCs w:val="24"/>
          <w:lang w:val="fr-FR"/>
        </w:rPr>
      </w:pPr>
      <w:r w:rsidRPr="003F6A08">
        <w:rPr>
          <w:rFonts w:ascii="Arial" w:hAnsi="Arial" w:cs="Arial"/>
          <w:b/>
          <w:bCs/>
          <w:kern w:val="0"/>
          <w:sz w:val="24"/>
          <w:szCs w:val="24"/>
          <w:lang w:val="fr-FR"/>
        </w:rPr>
        <w:t>Student ID Number : 2111529</w:t>
      </w:r>
    </w:p>
    <w:p w14:paraId="15E24A86" w14:textId="029417C5" w:rsidR="003F6A08" w:rsidRPr="003F6A08" w:rsidRDefault="003F6A08" w:rsidP="003F6A08">
      <w:pPr>
        <w:spacing w:line="360" w:lineRule="auto"/>
        <w:rPr>
          <w:rFonts w:ascii="Arial" w:hAnsi="Arial" w:cs="Arial"/>
          <w:b/>
          <w:bCs/>
          <w:kern w:val="0"/>
          <w:sz w:val="24"/>
          <w:szCs w:val="24"/>
          <w:lang w:val="fr-FR"/>
        </w:rPr>
      </w:pPr>
      <w:r w:rsidRPr="003F6A08">
        <w:rPr>
          <w:rFonts w:ascii="Arial" w:hAnsi="Arial" w:cs="Arial"/>
          <w:b/>
          <w:bCs/>
          <w:kern w:val="0"/>
          <w:sz w:val="24"/>
          <w:szCs w:val="24"/>
          <w:lang w:val="fr-FR"/>
        </w:rPr>
        <w:t>Personal Resourcing and Development (BMIH500</w:t>
      </w:r>
      <w:r>
        <w:rPr>
          <w:rFonts w:ascii="Arial" w:hAnsi="Arial" w:cs="Arial"/>
          <w:b/>
          <w:bCs/>
          <w:kern w:val="0"/>
          <w:sz w:val="24"/>
          <w:szCs w:val="24"/>
          <w:lang w:val="fr-FR"/>
        </w:rPr>
        <w:t>6</w:t>
      </w:r>
      <w:r w:rsidRPr="003F6A08">
        <w:rPr>
          <w:rFonts w:ascii="Arial" w:hAnsi="Arial" w:cs="Arial"/>
          <w:b/>
          <w:bCs/>
          <w:kern w:val="0"/>
          <w:sz w:val="24"/>
          <w:szCs w:val="24"/>
          <w:lang w:val="fr-FR"/>
        </w:rPr>
        <w:t>)</w:t>
      </w:r>
    </w:p>
    <w:p w14:paraId="4E3B087A" w14:textId="2C83E930" w:rsidR="003F6A08" w:rsidRDefault="003F6A08" w:rsidP="003F6A08">
      <w:pPr>
        <w:rPr>
          <w:rFonts w:ascii="Arial" w:hAnsi="Arial" w:cs="Arial"/>
          <w:b/>
          <w:bCs/>
          <w:kern w:val="0"/>
          <w:sz w:val="24"/>
          <w:szCs w:val="24"/>
          <w:lang w:val="fr-FR"/>
        </w:rPr>
      </w:pPr>
      <w:r w:rsidRPr="003F6A08">
        <w:rPr>
          <w:rFonts w:ascii="Arial" w:hAnsi="Arial" w:cs="Arial"/>
          <w:b/>
          <w:bCs/>
          <w:kern w:val="0"/>
          <w:sz w:val="24"/>
          <w:szCs w:val="24"/>
          <w:lang w:val="fr-FR"/>
        </w:rPr>
        <w:t xml:space="preserve">Lecturer : </w:t>
      </w:r>
      <w:r>
        <w:rPr>
          <w:rFonts w:ascii="Arial" w:hAnsi="Arial" w:cs="Arial"/>
          <w:b/>
          <w:bCs/>
          <w:kern w:val="0"/>
          <w:sz w:val="24"/>
          <w:szCs w:val="24"/>
          <w:lang w:val="fr-FR"/>
        </w:rPr>
        <w:t>Ruth Taylor-Davies</w:t>
      </w:r>
    </w:p>
    <w:p w14:paraId="1997FC3D" w14:textId="77777777" w:rsidR="003F6A08" w:rsidRDefault="003F6A08" w:rsidP="003F6A08">
      <w:pPr>
        <w:rPr>
          <w:rFonts w:ascii="Arial" w:hAnsi="Arial" w:cs="Arial"/>
          <w:b/>
          <w:bCs/>
          <w:kern w:val="0"/>
          <w:sz w:val="24"/>
          <w:szCs w:val="24"/>
          <w:lang w:val="fr-FR"/>
        </w:rPr>
      </w:pPr>
    </w:p>
    <w:p w14:paraId="01B57203" w14:textId="77777777" w:rsidR="003F6A08" w:rsidRDefault="003F6A08" w:rsidP="003F6A08">
      <w:pPr>
        <w:rPr>
          <w:rFonts w:ascii="Arial" w:hAnsi="Arial" w:cs="Arial"/>
          <w:b/>
          <w:bCs/>
          <w:kern w:val="0"/>
          <w:sz w:val="24"/>
          <w:szCs w:val="24"/>
          <w:lang w:val="fr-FR"/>
        </w:rPr>
      </w:pPr>
    </w:p>
    <w:p w14:paraId="3BD4EBDF" w14:textId="77777777" w:rsidR="003F6A08" w:rsidRDefault="003F6A08" w:rsidP="003F6A08">
      <w:pPr>
        <w:rPr>
          <w:rFonts w:ascii="Arial" w:hAnsi="Arial" w:cs="Arial"/>
          <w:b/>
          <w:bCs/>
          <w:kern w:val="0"/>
          <w:sz w:val="24"/>
          <w:szCs w:val="24"/>
          <w:lang w:val="fr-FR"/>
        </w:rPr>
      </w:pPr>
    </w:p>
    <w:p w14:paraId="56C03665" w14:textId="77777777" w:rsidR="003F6A08" w:rsidRDefault="003F6A08" w:rsidP="003F6A08">
      <w:pPr>
        <w:rPr>
          <w:rFonts w:ascii="Arial" w:hAnsi="Arial" w:cs="Arial"/>
          <w:b/>
          <w:bCs/>
          <w:kern w:val="0"/>
          <w:sz w:val="24"/>
          <w:szCs w:val="24"/>
          <w:lang w:val="fr-FR"/>
        </w:rPr>
      </w:pPr>
    </w:p>
    <w:p w14:paraId="6E58F896" w14:textId="77777777" w:rsidR="003F6A08" w:rsidRDefault="003F6A08" w:rsidP="003F6A08">
      <w:pPr>
        <w:rPr>
          <w:rFonts w:ascii="Arial" w:hAnsi="Arial" w:cs="Arial"/>
          <w:b/>
          <w:bCs/>
          <w:kern w:val="0"/>
          <w:sz w:val="24"/>
          <w:szCs w:val="24"/>
          <w:lang w:val="fr-FR"/>
        </w:rPr>
      </w:pPr>
    </w:p>
    <w:p w14:paraId="164D4616" w14:textId="77777777" w:rsidR="003F6A08" w:rsidRDefault="003F6A08" w:rsidP="003F6A08">
      <w:pPr>
        <w:rPr>
          <w:rFonts w:ascii="Arial" w:hAnsi="Arial" w:cs="Arial"/>
          <w:b/>
          <w:bCs/>
          <w:kern w:val="0"/>
          <w:sz w:val="24"/>
          <w:szCs w:val="24"/>
          <w:lang w:val="fr-FR"/>
        </w:rPr>
      </w:pPr>
    </w:p>
    <w:p w14:paraId="1A7E369F" w14:textId="77777777" w:rsidR="003F6A08" w:rsidRDefault="003F6A08" w:rsidP="003F6A08">
      <w:pPr>
        <w:rPr>
          <w:rFonts w:ascii="Arial" w:hAnsi="Arial" w:cs="Arial"/>
          <w:b/>
          <w:bCs/>
          <w:kern w:val="0"/>
          <w:sz w:val="24"/>
          <w:szCs w:val="24"/>
          <w:lang w:val="fr-FR"/>
        </w:rPr>
      </w:pPr>
    </w:p>
    <w:p w14:paraId="284D077B" w14:textId="77777777" w:rsidR="003F6A08" w:rsidRDefault="003F6A08" w:rsidP="003F6A08">
      <w:pPr>
        <w:rPr>
          <w:rFonts w:ascii="Arial" w:hAnsi="Arial" w:cs="Arial"/>
          <w:b/>
          <w:bCs/>
          <w:kern w:val="0"/>
          <w:sz w:val="24"/>
          <w:szCs w:val="24"/>
          <w:lang w:val="fr-FR"/>
        </w:rPr>
      </w:pPr>
    </w:p>
    <w:p w14:paraId="45025AF9" w14:textId="77777777" w:rsidR="00B92E8A" w:rsidRDefault="00B92E8A" w:rsidP="003F6A08">
      <w:pPr>
        <w:pStyle w:val="NormalWeb"/>
        <w:spacing w:before="0" w:beforeAutospacing="0" w:after="0" w:afterAutospacing="0" w:line="360" w:lineRule="auto"/>
        <w:jc w:val="both"/>
        <w:rPr>
          <w:rStyle w:val="Strong"/>
          <w:rFonts w:ascii="Arial" w:hAnsi="Arial" w:cs="Arial"/>
          <w:color w:val="0E101A"/>
        </w:rPr>
      </w:pPr>
    </w:p>
    <w:p w14:paraId="02844281" w14:textId="77777777" w:rsidR="00B92E8A" w:rsidRDefault="00B92E8A" w:rsidP="003F6A08">
      <w:pPr>
        <w:pStyle w:val="NormalWeb"/>
        <w:spacing w:before="0" w:beforeAutospacing="0" w:after="0" w:afterAutospacing="0" w:line="360" w:lineRule="auto"/>
        <w:jc w:val="both"/>
        <w:rPr>
          <w:rStyle w:val="Strong"/>
          <w:rFonts w:ascii="Arial" w:hAnsi="Arial" w:cs="Arial"/>
          <w:color w:val="0E101A"/>
        </w:rPr>
      </w:pPr>
    </w:p>
    <w:p w14:paraId="15EB7959" w14:textId="77777777" w:rsidR="00B92E8A" w:rsidRDefault="00B92E8A" w:rsidP="003F6A08">
      <w:pPr>
        <w:pStyle w:val="NormalWeb"/>
        <w:spacing w:before="0" w:beforeAutospacing="0" w:after="0" w:afterAutospacing="0" w:line="360" w:lineRule="auto"/>
        <w:jc w:val="both"/>
        <w:rPr>
          <w:rStyle w:val="Strong"/>
          <w:rFonts w:ascii="Arial" w:hAnsi="Arial" w:cs="Arial"/>
          <w:color w:val="0E101A"/>
        </w:rPr>
      </w:pPr>
    </w:p>
    <w:p w14:paraId="28646365" w14:textId="77777777" w:rsidR="00B92E8A" w:rsidRDefault="00B92E8A" w:rsidP="003F6A08">
      <w:pPr>
        <w:pStyle w:val="NormalWeb"/>
        <w:spacing w:before="0" w:beforeAutospacing="0" w:after="0" w:afterAutospacing="0" w:line="360" w:lineRule="auto"/>
        <w:jc w:val="both"/>
        <w:rPr>
          <w:rStyle w:val="Strong"/>
          <w:rFonts w:ascii="Arial" w:hAnsi="Arial" w:cs="Arial"/>
          <w:color w:val="0E101A"/>
        </w:rPr>
      </w:pPr>
    </w:p>
    <w:p w14:paraId="4B9CA596" w14:textId="77777777" w:rsidR="00B92E8A" w:rsidRDefault="00B92E8A" w:rsidP="003F6A08">
      <w:pPr>
        <w:pStyle w:val="NormalWeb"/>
        <w:spacing w:before="0" w:beforeAutospacing="0" w:after="0" w:afterAutospacing="0" w:line="360" w:lineRule="auto"/>
        <w:jc w:val="both"/>
        <w:rPr>
          <w:rStyle w:val="Strong"/>
          <w:rFonts w:ascii="Arial" w:hAnsi="Arial" w:cs="Arial"/>
          <w:color w:val="0E101A"/>
        </w:rPr>
      </w:pPr>
    </w:p>
    <w:p w14:paraId="2B161D0C" w14:textId="2E45ECDD" w:rsidR="003F6A08" w:rsidRPr="003F6A08" w:rsidRDefault="003F6A08" w:rsidP="003F6A08">
      <w:pPr>
        <w:pStyle w:val="NormalWeb"/>
        <w:spacing w:before="0" w:beforeAutospacing="0" w:after="0" w:afterAutospacing="0" w:line="360" w:lineRule="auto"/>
        <w:jc w:val="both"/>
        <w:rPr>
          <w:rFonts w:ascii="Arial" w:hAnsi="Arial" w:cs="Arial"/>
          <w:color w:val="0E101A"/>
        </w:rPr>
      </w:pPr>
      <w:r w:rsidRPr="003F6A08">
        <w:rPr>
          <w:rStyle w:val="Strong"/>
          <w:rFonts w:ascii="Arial" w:hAnsi="Arial" w:cs="Arial"/>
          <w:color w:val="0E101A"/>
        </w:rPr>
        <w:lastRenderedPageBreak/>
        <w:t>Introduction </w:t>
      </w:r>
    </w:p>
    <w:p w14:paraId="0A650EC2" w14:textId="77777777" w:rsidR="003F6A08" w:rsidRPr="003F6A08" w:rsidRDefault="003F6A08" w:rsidP="003F6A08">
      <w:pPr>
        <w:pStyle w:val="NormalWeb"/>
        <w:spacing w:before="0" w:beforeAutospacing="0" w:after="0" w:afterAutospacing="0" w:line="360" w:lineRule="auto"/>
        <w:ind w:firstLine="720"/>
        <w:jc w:val="both"/>
        <w:rPr>
          <w:rFonts w:ascii="Arial" w:hAnsi="Arial" w:cs="Arial"/>
          <w:color w:val="0E101A"/>
        </w:rPr>
      </w:pPr>
      <w:r w:rsidRPr="003F6A08">
        <w:rPr>
          <w:rFonts w:ascii="Arial" w:hAnsi="Arial" w:cs="Arial"/>
          <w:color w:val="0E101A"/>
        </w:rPr>
        <w:t>According to Tien et al. (2019), strategic management is central to enhancing business growth and profitability in the wake of dynamics in a business environment. The hotel and tourism industry has faced significant challenges, especially during the coronavirus pandemic. Corporate leaders and managers are keen on promoting green and sustainable business practices to drive growth and profitability. The success of Hilton Hotel Group is a transnational business which has attained exponential growth over the years (Reidhead, 2020). The Company was founded in 1919 by its founder, Conrad Hilton, who bought the Mowbray Inn in Texas. This report will explore various aspects of strategic management of the chosen business organisation. </w:t>
      </w:r>
    </w:p>
    <w:p w14:paraId="4F1AC664" w14:textId="77777777" w:rsidR="003F6A08" w:rsidRPr="003F6A08" w:rsidRDefault="003F6A08" w:rsidP="003F6A08">
      <w:pPr>
        <w:pStyle w:val="NormalWeb"/>
        <w:spacing w:before="0" w:beforeAutospacing="0" w:after="0" w:afterAutospacing="0" w:line="360" w:lineRule="auto"/>
        <w:ind w:firstLine="720"/>
        <w:jc w:val="both"/>
        <w:rPr>
          <w:rFonts w:ascii="Arial" w:hAnsi="Arial" w:cs="Arial"/>
          <w:color w:val="0E101A"/>
        </w:rPr>
      </w:pPr>
    </w:p>
    <w:p w14:paraId="61F3E132" w14:textId="77777777" w:rsidR="003F6A08" w:rsidRPr="003F6A08" w:rsidRDefault="003F6A08" w:rsidP="003F6A08">
      <w:pPr>
        <w:pStyle w:val="NormalWeb"/>
        <w:spacing w:before="0" w:beforeAutospacing="0" w:after="0" w:afterAutospacing="0" w:line="360" w:lineRule="auto"/>
        <w:jc w:val="both"/>
        <w:rPr>
          <w:rFonts w:ascii="Arial" w:hAnsi="Arial" w:cs="Arial"/>
          <w:color w:val="0E101A"/>
        </w:rPr>
      </w:pPr>
      <w:r w:rsidRPr="003F6A08">
        <w:rPr>
          <w:rStyle w:val="Strong"/>
          <w:rFonts w:ascii="Arial" w:hAnsi="Arial" w:cs="Arial"/>
          <w:color w:val="0E101A"/>
        </w:rPr>
        <w:t>Organisation Structure, Culture and Goals</w:t>
      </w:r>
    </w:p>
    <w:p w14:paraId="64132842" w14:textId="77777777" w:rsidR="003F6A08" w:rsidRPr="003F6A08" w:rsidRDefault="003F6A08" w:rsidP="003F6A08">
      <w:pPr>
        <w:pStyle w:val="NormalWeb"/>
        <w:spacing w:before="0" w:beforeAutospacing="0" w:after="0" w:afterAutospacing="0" w:line="360" w:lineRule="auto"/>
        <w:ind w:firstLine="720"/>
        <w:jc w:val="both"/>
        <w:rPr>
          <w:rFonts w:ascii="Arial" w:hAnsi="Arial" w:cs="Arial"/>
          <w:color w:val="0E101A"/>
        </w:rPr>
      </w:pPr>
      <w:r w:rsidRPr="003F6A08">
        <w:rPr>
          <w:rFonts w:ascii="Arial" w:hAnsi="Arial" w:cs="Arial"/>
          <w:color w:val="0E101A"/>
        </w:rPr>
        <w:t>According to Pathiranage et al. (2020), effective organisational structure and supportive corporate culture are crucial in attaining short-term and long-term goals. Hilton was established about a century ago and has become a major player in the tourism and hospitality sector. The business manages a portfolio of world-class brands, including the Embassy Suites Hotels, Hilton Garden Inn, and Hampton Inn Hotel (Andersson et al., 2019). Other important ventures include Waldorf Astoria and DoubleTree by Hilton. Currently, the Company has about 4322 hotels, timeshare properties, and resorts in 94 countries globally. Hilton Hotel Group is one of the major employers in the hospitality industry, with about 157000 employees in its various properties and corporate offices across the globe. According to Zeng (2021), approximately 50 million customers enjoy various customer loyalty programs. The business organisation prides itself on excellent leadership and management based on effective corporate culture—at the heart of seamless processes in change implementation (Spina, 2020). Evaluating organisational structure concerning the organisational culture is imperative to determine opportunities and challenges for its future growth and profitability. </w:t>
      </w:r>
    </w:p>
    <w:p w14:paraId="3664DAE6" w14:textId="77777777" w:rsidR="003F6A08" w:rsidRPr="003F6A08" w:rsidRDefault="003F6A08" w:rsidP="003F6A08">
      <w:pPr>
        <w:pStyle w:val="NormalWeb"/>
        <w:spacing w:before="0" w:beforeAutospacing="0" w:after="0" w:afterAutospacing="0" w:line="360" w:lineRule="auto"/>
        <w:ind w:firstLine="720"/>
        <w:jc w:val="both"/>
        <w:rPr>
          <w:rFonts w:ascii="Arial" w:hAnsi="Arial" w:cs="Arial"/>
          <w:color w:val="0E101A"/>
        </w:rPr>
      </w:pPr>
    </w:p>
    <w:p w14:paraId="4DFC57CC" w14:textId="77777777" w:rsidR="003F6A08" w:rsidRPr="003F6A08" w:rsidRDefault="003F6A08" w:rsidP="003F6A08">
      <w:pPr>
        <w:pStyle w:val="NormalWeb"/>
        <w:spacing w:before="0" w:beforeAutospacing="0" w:after="0" w:afterAutospacing="0" w:line="360" w:lineRule="auto"/>
        <w:jc w:val="both"/>
        <w:rPr>
          <w:rFonts w:ascii="Arial" w:hAnsi="Arial" w:cs="Arial"/>
          <w:color w:val="0E101A"/>
        </w:rPr>
      </w:pPr>
      <w:r w:rsidRPr="003F6A08">
        <w:rPr>
          <w:rStyle w:val="Strong"/>
          <w:rFonts w:ascii="Arial" w:hAnsi="Arial" w:cs="Arial"/>
          <w:color w:val="0E101A"/>
        </w:rPr>
        <w:t>Organisational Structure</w:t>
      </w:r>
    </w:p>
    <w:p w14:paraId="4F4CF17D" w14:textId="77777777" w:rsidR="003F6A08" w:rsidRPr="003F6A08" w:rsidRDefault="003F6A08" w:rsidP="003F6A08">
      <w:pPr>
        <w:pStyle w:val="NormalWeb"/>
        <w:spacing w:before="0" w:beforeAutospacing="0" w:after="0" w:afterAutospacing="0" w:line="360" w:lineRule="auto"/>
        <w:ind w:firstLine="720"/>
        <w:jc w:val="both"/>
        <w:rPr>
          <w:rFonts w:ascii="Arial" w:hAnsi="Arial" w:cs="Arial"/>
          <w:color w:val="0E101A"/>
        </w:rPr>
      </w:pPr>
      <w:r w:rsidRPr="003F6A08">
        <w:rPr>
          <w:rFonts w:ascii="Arial" w:hAnsi="Arial" w:cs="Arial"/>
          <w:color w:val="0E101A"/>
        </w:rPr>
        <w:t xml:space="preserve">Hilton Hotel Group’s organisational structure is divisional. Divisional organisational structure describes a system where the business organisation segments its team members based on the products or market rather than their assigned roles and responsibilities (Hilton.Com, 2023). Divisional units include sales, </w:t>
      </w:r>
      <w:r w:rsidRPr="003F6A08">
        <w:rPr>
          <w:rFonts w:ascii="Arial" w:hAnsi="Arial" w:cs="Arial"/>
          <w:color w:val="0E101A"/>
        </w:rPr>
        <w:lastRenderedPageBreak/>
        <w:t>communication, and marketing. The choice of organisational structure largely depends on the business strategy and corporate culture. The organisation's C-suite is largely responsible for managing various functional units and geographic divisions, including the business itself divides its properties and operational activities into three main categories—ownership, management and franchise, and Timeshare. The ownership, management and franchise are under the management of Hilton Hotels and Resorts, while the Timeshare is under the Grand Vacation. The Grand Vacations has been a separate unit since 2008 when the Hilton Hotels and Resorts traded publicly. The current chief executive officer of the business company is Christopher J. Nassetta (2007-23). The top leadership and management of the organisation have made significant contributions in providing direction and guidance to team members to achieve the organisational goals. </w:t>
      </w:r>
    </w:p>
    <w:p w14:paraId="55D93AC0" w14:textId="77777777" w:rsidR="003F6A08" w:rsidRPr="003F6A08" w:rsidRDefault="003F6A08" w:rsidP="003F6A08">
      <w:pPr>
        <w:pStyle w:val="NormalWeb"/>
        <w:spacing w:before="0" w:beforeAutospacing="0" w:after="0" w:afterAutospacing="0" w:line="360" w:lineRule="auto"/>
        <w:jc w:val="both"/>
        <w:rPr>
          <w:rFonts w:ascii="Arial" w:hAnsi="Arial" w:cs="Arial"/>
          <w:color w:val="0E101A"/>
        </w:rPr>
      </w:pPr>
      <w:r w:rsidRPr="003F6A08">
        <w:rPr>
          <w:rStyle w:val="Strong"/>
          <w:rFonts w:ascii="Arial" w:hAnsi="Arial" w:cs="Arial"/>
          <w:color w:val="0E101A"/>
        </w:rPr>
        <w:t>Corporate Culture </w:t>
      </w:r>
    </w:p>
    <w:p w14:paraId="09AFB8A3" w14:textId="77777777" w:rsidR="003F6A08" w:rsidRPr="003F6A08" w:rsidRDefault="003F6A08" w:rsidP="003F6A08">
      <w:pPr>
        <w:pStyle w:val="NormalWeb"/>
        <w:spacing w:before="0" w:beforeAutospacing="0" w:after="0" w:afterAutospacing="0" w:line="360" w:lineRule="auto"/>
        <w:ind w:firstLine="720"/>
        <w:jc w:val="both"/>
        <w:rPr>
          <w:rFonts w:ascii="Arial" w:hAnsi="Arial" w:cs="Arial"/>
          <w:color w:val="0E101A"/>
        </w:rPr>
      </w:pPr>
      <w:r w:rsidRPr="003F6A08">
        <w:rPr>
          <w:rFonts w:ascii="Arial" w:hAnsi="Arial" w:cs="Arial"/>
          <w:color w:val="0E101A"/>
        </w:rPr>
        <w:t>Supportive corporate cultures are crucial in establishing a productive workplace environment for all employees, irrespective of their cultural backgrounds. It entails the shared values, traditions, and acceptable behaviours that guide the actions of various stakeholders, including the employees. The Company's corporate culture is based on the concept of the "business of people serving people" It entails providing conducive and supportive work environments for all employees to facilitate the attainment of desired experiences among the guests. The management provides regular rewards, awards, and events to recognise and acknowledge employees with exceptional skills and competencies. The overarching values include integrity, leadership, ownership, and teamwork. </w:t>
      </w:r>
    </w:p>
    <w:p w14:paraId="43690A4F" w14:textId="77777777" w:rsidR="003F6A08" w:rsidRPr="003F6A08" w:rsidRDefault="003F6A08" w:rsidP="003F6A08">
      <w:pPr>
        <w:pStyle w:val="NormalWeb"/>
        <w:spacing w:before="0" w:beforeAutospacing="0" w:after="0" w:afterAutospacing="0" w:line="360" w:lineRule="auto"/>
        <w:ind w:firstLine="720"/>
        <w:jc w:val="both"/>
        <w:rPr>
          <w:rFonts w:ascii="Arial" w:hAnsi="Arial" w:cs="Arial"/>
          <w:color w:val="0E101A"/>
        </w:rPr>
      </w:pPr>
      <w:r w:rsidRPr="003F6A08">
        <w:rPr>
          <w:rFonts w:ascii="Arial" w:hAnsi="Arial" w:cs="Arial"/>
          <w:color w:val="0E101A"/>
        </w:rPr>
        <w:t>Since the advent of rapid technological advancement and globalisation, most companies have culturally multifaceted workplace settings. Managing cultural diversity and inherent challenges can be problematic, especially without effective leadership and management. The management is committed to promoting diversity and inclusivity at the Hilton Hotel Group. It entails understanding and integrating employees' unique perspectives and voices from diverse cultural backgrounds to promote the organisation's growth. </w:t>
      </w:r>
    </w:p>
    <w:p w14:paraId="2FBD4D98" w14:textId="77777777" w:rsidR="003F6A08" w:rsidRPr="003F6A08" w:rsidRDefault="003F6A08" w:rsidP="003F6A08">
      <w:pPr>
        <w:pStyle w:val="NormalWeb"/>
        <w:spacing w:before="0" w:beforeAutospacing="0" w:after="0" w:afterAutospacing="0" w:line="360" w:lineRule="auto"/>
        <w:jc w:val="both"/>
        <w:rPr>
          <w:rFonts w:ascii="Arial" w:hAnsi="Arial" w:cs="Arial"/>
          <w:color w:val="0E101A"/>
        </w:rPr>
      </w:pPr>
      <w:r w:rsidRPr="003F6A08">
        <w:rPr>
          <w:rStyle w:val="Strong"/>
          <w:rFonts w:ascii="Arial" w:hAnsi="Arial" w:cs="Arial"/>
          <w:color w:val="0E101A"/>
        </w:rPr>
        <w:t>Goals </w:t>
      </w:r>
    </w:p>
    <w:p w14:paraId="0C569258" w14:textId="77777777" w:rsidR="003F6A08" w:rsidRPr="003F6A08" w:rsidRDefault="003F6A08" w:rsidP="003F6A08">
      <w:pPr>
        <w:pStyle w:val="NormalWeb"/>
        <w:spacing w:before="0" w:beforeAutospacing="0" w:after="0" w:afterAutospacing="0" w:line="360" w:lineRule="auto"/>
        <w:ind w:firstLine="720"/>
        <w:jc w:val="both"/>
        <w:rPr>
          <w:rFonts w:ascii="Arial" w:hAnsi="Arial" w:cs="Arial"/>
          <w:color w:val="0E101A"/>
        </w:rPr>
      </w:pPr>
      <w:r w:rsidRPr="003F6A08">
        <w:rPr>
          <w:rFonts w:ascii="Arial" w:hAnsi="Arial" w:cs="Arial"/>
          <w:color w:val="0E101A"/>
        </w:rPr>
        <w:t xml:space="preserve">Effective management entails creating goals and objectives to serve and direct team members towards achieving the mission and vision of the organisation. Hilton Hotel Group is anchored on creating value for its constituents where the hotels are </w:t>
      </w:r>
      <w:r w:rsidRPr="003F6A08">
        <w:rPr>
          <w:rFonts w:ascii="Arial" w:hAnsi="Arial" w:cs="Arial"/>
          <w:color w:val="0E101A"/>
        </w:rPr>
        <w:lastRenderedPageBreak/>
        <w:t>established. Key constituents include strategic partners, host communities, customers, shareholders, and owners. </w:t>
      </w:r>
    </w:p>
    <w:p w14:paraId="1DBE91E6" w14:textId="77777777" w:rsidR="003F6A08" w:rsidRPr="003F6A08" w:rsidRDefault="003F6A08" w:rsidP="003F6A08">
      <w:pPr>
        <w:pStyle w:val="NormalWeb"/>
        <w:spacing w:before="0" w:beforeAutospacing="0" w:after="0" w:afterAutospacing="0" w:line="360" w:lineRule="auto"/>
        <w:ind w:firstLine="720"/>
        <w:jc w:val="both"/>
        <w:rPr>
          <w:rFonts w:ascii="Arial" w:hAnsi="Arial" w:cs="Arial"/>
          <w:color w:val="0E101A"/>
        </w:rPr>
      </w:pPr>
    </w:p>
    <w:p w14:paraId="7038F070" w14:textId="77777777" w:rsidR="003F6A08" w:rsidRPr="003F6A08" w:rsidRDefault="003F6A08" w:rsidP="003F6A08">
      <w:pPr>
        <w:pStyle w:val="NormalWeb"/>
        <w:spacing w:before="0" w:beforeAutospacing="0" w:after="0" w:afterAutospacing="0" w:line="360" w:lineRule="auto"/>
        <w:jc w:val="both"/>
        <w:rPr>
          <w:rFonts w:ascii="Arial" w:hAnsi="Arial" w:cs="Arial"/>
          <w:color w:val="0E101A"/>
        </w:rPr>
      </w:pPr>
      <w:r w:rsidRPr="003F6A08">
        <w:rPr>
          <w:rStyle w:val="Strong"/>
          <w:rFonts w:ascii="Arial" w:hAnsi="Arial" w:cs="Arial"/>
          <w:color w:val="0E101A"/>
        </w:rPr>
        <w:t>Recent Change Initiatives</w:t>
      </w:r>
    </w:p>
    <w:p w14:paraId="536CFAE9" w14:textId="77777777" w:rsidR="003F6A08" w:rsidRPr="003F6A08" w:rsidRDefault="003F6A08" w:rsidP="003F6A08">
      <w:pPr>
        <w:pStyle w:val="NormalWeb"/>
        <w:spacing w:before="0" w:beforeAutospacing="0" w:after="0" w:afterAutospacing="0" w:line="360" w:lineRule="auto"/>
        <w:ind w:firstLine="720"/>
        <w:jc w:val="both"/>
        <w:rPr>
          <w:rFonts w:ascii="Arial" w:hAnsi="Arial" w:cs="Arial"/>
          <w:color w:val="0E101A"/>
        </w:rPr>
      </w:pPr>
      <w:r w:rsidRPr="003F6A08">
        <w:rPr>
          <w:rFonts w:ascii="Arial" w:hAnsi="Arial" w:cs="Arial"/>
          <w:color w:val="0E101A"/>
        </w:rPr>
        <w:t>Practice changes are inevitable as far as managing business organisations is concerned. Tourism and hospitality businesses tend to witness insurmountable dynamics that affect various business operations. The management and leadership of the business organisations must create effective approaches to dealing with the change implementation-related feedback. Change management models are useful in ensuring seamless processes when implementing organisational changes. Passive and active resistance from the team members can lead to change implementation errors or non-attainment of the desired organisational outcomes. It is imperative to evaluate opportunities for change implementation, including potential setbacks that can impede the processes associated with the adoption of recommended changes. Corporate cultures are central as far as change implementation processes are concerned. Hilton Hotel Group has experienced significant changes in the past—which have greatly impacted the operations of the business company.</w:t>
      </w:r>
    </w:p>
    <w:p w14:paraId="3217C878" w14:textId="77777777" w:rsidR="003F6A08" w:rsidRPr="003F6A08" w:rsidRDefault="003F6A08" w:rsidP="003F6A08">
      <w:pPr>
        <w:pStyle w:val="NormalWeb"/>
        <w:spacing w:before="0" w:beforeAutospacing="0" w:after="0" w:afterAutospacing="0" w:line="360" w:lineRule="auto"/>
        <w:ind w:firstLine="720"/>
        <w:jc w:val="both"/>
        <w:rPr>
          <w:rFonts w:ascii="Arial" w:hAnsi="Arial" w:cs="Arial"/>
          <w:color w:val="0E101A"/>
        </w:rPr>
      </w:pPr>
      <w:r w:rsidRPr="003F6A08">
        <w:rPr>
          <w:rFonts w:ascii="Arial" w:hAnsi="Arial" w:cs="Arial"/>
          <w:color w:val="0E101A"/>
        </w:rPr>
        <w:t>The outbreak of COVID-19 had far-reaching implications on the operations of business activities. For instance, the Company had faced the need to deal with the fallout from increased cancellations due to travel bans to contain the spread of the novel virus. Although the impacts of the pandemic have been devastating across the board, the travel and hospitality industry experienced the brunt of the outbreak of COVID-19. However, the management of Hilton Hotel Group adopted unique strategies to deal with significant changes occasioned by uncertainties in the industry. Product innovation, marketing creativity and customer connection were useful approaches to restoring trust and confidence among the targeted customers. The management adopted renewed diligence and care in improving the cleaning of hotel rooms by forming a partnership with a trusted household cleaning brand—Lysol. The cleaning brand has been engaged in various hotel rooms to enhance customers' safety in the wake of the coronavirus pandemic.</w:t>
      </w:r>
    </w:p>
    <w:p w14:paraId="55727DE2" w14:textId="77777777" w:rsidR="003F6A08" w:rsidRPr="003F6A08" w:rsidRDefault="003F6A08" w:rsidP="003F6A08">
      <w:pPr>
        <w:pStyle w:val="NormalWeb"/>
        <w:spacing w:before="0" w:beforeAutospacing="0" w:after="0" w:afterAutospacing="0" w:line="360" w:lineRule="auto"/>
        <w:ind w:firstLine="720"/>
        <w:jc w:val="both"/>
        <w:rPr>
          <w:rFonts w:ascii="Arial" w:hAnsi="Arial" w:cs="Arial"/>
          <w:color w:val="0E101A"/>
        </w:rPr>
      </w:pPr>
      <w:r w:rsidRPr="003F6A08">
        <w:rPr>
          <w:rFonts w:ascii="Arial" w:hAnsi="Arial" w:cs="Arial"/>
          <w:color w:val="0E101A"/>
        </w:rPr>
        <w:t xml:space="preserve">Secondly, the management leveraged social media to collect views and inputs from the targeted customers. It entails collecting the views on the cleaning brands most households trust the most based on the information gathered from social listening. Thirdly, the Company adopted marketing creativity to address the challenges </w:t>
      </w:r>
      <w:r w:rsidRPr="003F6A08">
        <w:rPr>
          <w:rFonts w:ascii="Arial" w:hAnsi="Arial" w:cs="Arial"/>
          <w:color w:val="0E101A"/>
        </w:rPr>
        <w:lastRenderedPageBreak/>
        <w:t>arising from increased cancellations. The management announced the introduction of a global marketing campaign (2020). The initiative aimed at collecting the views of the customers by conducting surveys. The proposed campaign became an effective tool for reigniting customers' passion for travel by popularising various offers and promotional programs. The announcements appealed to the people, especially in the wake of increased implementation of containment measures which denied people the opportunity to travel. </w:t>
      </w:r>
    </w:p>
    <w:p w14:paraId="24541C39" w14:textId="77777777" w:rsidR="003F6A08" w:rsidRPr="003F6A08" w:rsidRDefault="003F6A08" w:rsidP="003F6A08">
      <w:pPr>
        <w:pStyle w:val="NormalWeb"/>
        <w:spacing w:before="0" w:beforeAutospacing="0" w:after="0" w:afterAutospacing="0" w:line="360" w:lineRule="auto"/>
        <w:ind w:firstLine="720"/>
        <w:jc w:val="both"/>
        <w:rPr>
          <w:rFonts w:ascii="Arial" w:hAnsi="Arial" w:cs="Arial"/>
          <w:color w:val="0E101A"/>
        </w:rPr>
      </w:pPr>
      <w:r w:rsidRPr="003F6A08">
        <w:rPr>
          <w:rFonts w:ascii="Arial" w:hAnsi="Arial" w:cs="Arial"/>
          <w:color w:val="0E101A"/>
        </w:rPr>
        <w:t>Other significant change initiatives include broadening marketing strategy to promote the Company's brands. The Company has continued to face stiff competition from rival companies, making it challenging to popularise its new brands in the market. The management of the Company increased financial allocation of over $100 million to enhance advertisement (2019). Hilton Hotel Group enhanced its marketing strategy by leveraging all media channels to reach its customers. The management engages in brand and whole company marketing to achieve the set goals and objectives. The most notable brands include Waldorf Astoria and Hampton Inn. Enterprise marketing is crucial in popularising a broad base of clients and esteemed customers who are members. Therefore, the identified change initiatives have been instrumental in revamping the business growth and profitability of the Hilton Hotel Group—which are crucial in countering stiff competition in the travel and hospitality industry. </w:t>
      </w:r>
    </w:p>
    <w:p w14:paraId="4F1670D4" w14:textId="77777777" w:rsidR="003F6A08" w:rsidRPr="003F6A08" w:rsidRDefault="003F6A08" w:rsidP="003F6A08">
      <w:pPr>
        <w:pStyle w:val="NormalWeb"/>
        <w:spacing w:before="0" w:beforeAutospacing="0" w:after="0" w:afterAutospacing="0" w:line="360" w:lineRule="auto"/>
        <w:ind w:firstLine="720"/>
        <w:jc w:val="both"/>
        <w:rPr>
          <w:rFonts w:ascii="Arial" w:hAnsi="Arial" w:cs="Arial"/>
          <w:color w:val="0E101A"/>
        </w:rPr>
      </w:pPr>
    </w:p>
    <w:p w14:paraId="172E4664" w14:textId="77777777" w:rsidR="003F6A08" w:rsidRPr="003F6A08" w:rsidRDefault="003F6A08" w:rsidP="003F6A08">
      <w:pPr>
        <w:spacing w:line="360" w:lineRule="auto"/>
        <w:jc w:val="both"/>
        <w:rPr>
          <w:rStyle w:val="Strong"/>
          <w:rFonts w:ascii="Arial" w:hAnsi="Arial" w:cs="Arial"/>
          <w:color w:val="0E101A"/>
          <w:sz w:val="24"/>
          <w:szCs w:val="24"/>
        </w:rPr>
      </w:pPr>
      <w:r w:rsidRPr="003F6A08">
        <w:rPr>
          <w:rStyle w:val="Strong"/>
          <w:rFonts w:ascii="Arial" w:hAnsi="Arial" w:cs="Arial"/>
          <w:color w:val="0E101A"/>
          <w:sz w:val="24"/>
          <w:szCs w:val="24"/>
        </w:rPr>
        <w:t>Strategic Direction and Current Business Performance</w:t>
      </w:r>
    </w:p>
    <w:p w14:paraId="79C27859" w14:textId="7FE69568" w:rsidR="003F6A08" w:rsidRPr="003F6A08" w:rsidRDefault="003F6A08" w:rsidP="003F6A08">
      <w:pPr>
        <w:spacing w:line="360" w:lineRule="auto"/>
        <w:jc w:val="both"/>
        <w:rPr>
          <w:rFonts w:ascii="Arial" w:hAnsi="Arial" w:cs="Arial"/>
          <w:b/>
          <w:bCs/>
          <w:color w:val="0E101A"/>
          <w:sz w:val="24"/>
          <w:szCs w:val="24"/>
        </w:rPr>
      </w:pPr>
      <w:r w:rsidRPr="003F6A08">
        <w:rPr>
          <w:rStyle w:val="Strong"/>
          <w:rFonts w:ascii="Arial" w:hAnsi="Arial" w:cs="Arial"/>
          <w:color w:val="0E101A"/>
          <w:sz w:val="24"/>
          <w:szCs w:val="24"/>
        </w:rPr>
        <w:t xml:space="preserve">            </w:t>
      </w:r>
      <w:r w:rsidRPr="003F6A08">
        <w:rPr>
          <w:rFonts w:ascii="Arial" w:hAnsi="Arial" w:cs="Arial"/>
          <w:color w:val="0E101A"/>
          <w:sz w:val="24"/>
          <w:szCs w:val="24"/>
        </w:rPr>
        <w:t>Effective strategic direction is crucial in promoting sustainability while enhancing business performance. The management of business organisations must find excellent and sustainable ways of managing scarce resources to protect the environment and enhance business growth (Achmad &amp; Yulianah, 2022; Al</w:t>
      </w:r>
      <w:r w:rsidRPr="003F6A08">
        <w:rPr>
          <w:rFonts w:ascii="Cambria Math" w:hAnsi="Cambria Math" w:cs="Cambria Math"/>
          <w:color w:val="0E101A"/>
          <w:sz w:val="24"/>
          <w:szCs w:val="24"/>
        </w:rPr>
        <w:t>‐</w:t>
      </w:r>
      <w:r w:rsidRPr="003F6A08">
        <w:rPr>
          <w:rFonts w:ascii="Arial" w:hAnsi="Arial" w:cs="Arial"/>
          <w:color w:val="0E101A"/>
          <w:sz w:val="24"/>
          <w:szCs w:val="24"/>
        </w:rPr>
        <w:t>Ghussain, 2019). Excellent leadership and management at Hilton Hotel Group have been responsible for sustained business growth and profitability. </w:t>
      </w:r>
    </w:p>
    <w:p w14:paraId="1FC9E853" w14:textId="77777777" w:rsidR="003F6A08" w:rsidRPr="003F6A08" w:rsidRDefault="003F6A08" w:rsidP="003F6A08">
      <w:pPr>
        <w:pStyle w:val="NormalWeb"/>
        <w:spacing w:before="0" w:beforeAutospacing="0" w:after="0" w:afterAutospacing="0" w:line="360" w:lineRule="auto"/>
        <w:ind w:firstLine="720"/>
        <w:jc w:val="both"/>
        <w:rPr>
          <w:rFonts w:ascii="Arial" w:hAnsi="Arial" w:cs="Arial"/>
          <w:color w:val="0E101A"/>
        </w:rPr>
      </w:pPr>
    </w:p>
    <w:p w14:paraId="348FF19B" w14:textId="77777777" w:rsidR="003F6A08" w:rsidRPr="003F6A08" w:rsidRDefault="003F6A08" w:rsidP="003F6A08">
      <w:pPr>
        <w:pStyle w:val="NormalWeb"/>
        <w:spacing w:before="0" w:beforeAutospacing="0" w:after="0" w:afterAutospacing="0" w:line="360" w:lineRule="auto"/>
        <w:jc w:val="both"/>
        <w:rPr>
          <w:rFonts w:ascii="Arial" w:hAnsi="Arial" w:cs="Arial"/>
          <w:color w:val="0E101A"/>
        </w:rPr>
      </w:pPr>
      <w:r w:rsidRPr="003F6A08">
        <w:rPr>
          <w:rStyle w:val="Strong"/>
          <w:rFonts w:ascii="Arial" w:hAnsi="Arial" w:cs="Arial"/>
          <w:color w:val="0E101A"/>
        </w:rPr>
        <w:t>Strategic Direction</w:t>
      </w:r>
    </w:p>
    <w:p w14:paraId="1134AA24" w14:textId="77777777" w:rsidR="003F6A08" w:rsidRPr="003F6A08" w:rsidRDefault="003F6A08" w:rsidP="003F6A08">
      <w:pPr>
        <w:pStyle w:val="NormalWeb"/>
        <w:spacing w:before="0" w:beforeAutospacing="0" w:after="0" w:afterAutospacing="0" w:line="360" w:lineRule="auto"/>
        <w:ind w:firstLine="720"/>
        <w:jc w:val="both"/>
        <w:rPr>
          <w:rFonts w:ascii="Arial" w:hAnsi="Arial" w:cs="Arial"/>
          <w:color w:val="0E101A"/>
        </w:rPr>
      </w:pPr>
      <w:r w:rsidRPr="003F6A08">
        <w:rPr>
          <w:rFonts w:ascii="Arial" w:hAnsi="Arial" w:cs="Arial"/>
          <w:color w:val="0E101A"/>
        </w:rPr>
        <w:t xml:space="preserve">Hilton Hotel Group is committed to sustainable business practices in response to three pillars of sustainability—social, economic, and environmental. The business exists to provide employment opportunities and corporate social responsibility (CSR) programs to benefit host communities (Bianchi &amp; de Man, 2021; Johann, 2022). The </w:t>
      </w:r>
      <w:r w:rsidRPr="003F6A08">
        <w:rPr>
          <w:rFonts w:ascii="Arial" w:hAnsi="Arial" w:cs="Arial"/>
          <w:color w:val="0E101A"/>
        </w:rPr>
        <w:lastRenderedPageBreak/>
        <w:t>business organisation is committed to reducing waste and driving towards a circular economy. Other interventions include waste prevention, recycling, and food upcycling and donation, all key management strategy components to create a greener hospitality industry. The management pledged to reduce waste by approximately 50% by 2030 (Hilton.Com, 2023; Bianchi &amp; de Man, 2021). Innovative solutions have been crucial in addressing the concerns associated with global warming. </w:t>
      </w:r>
    </w:p>
    <w:p w14:paraId="2C6FF0F5" w14:textId="77777777" w:rsidR="003F6A08" w:rsidRPr="003F6A08" w:rsidRDefault="003F6A08" w:rsidP="003F6A08">
      <w:pPr>
        <w:pStyle w:val="NormalWeb"/>
        <w:spacing w:before="0" w:beforeAutospacing="0" w:after="0" w:afterAutospacing="0" w:line="360" w:lineRule="auto"/>
        <w:ind w:firstLine="720"/>
        <w:jc w:val="both"/>
        <w:rPr>
          <w:rFonts w:ascii="Arial" w:hAnsi="Arial" w:cs="Arial"/>
          <w:color w:val="0E101A"/>
        </w:rPr>
      </w:pPr>
      <w:r w:rsidRPr="003F6A08">
        <w:rPr>
          <w:rFonts w:ascii="Arial" w:hAnsi="Arial" w:cs="Arial"/>
          <w:color w:val="0E101A"/>
        </w:rPr>
        <w:t>The business is also implementing outsourcing housekeeping services to cut costs and improve efficiencies. According to Johnson and Jaehrling (2021), cost savings are the primary reason for outsourcing. Due to the pandemic outbreak, the business renewed its commitment to cost-cutting measures to improve the sustainability of business operations in the long run. Successful implementation of outsourcing is crucial in relieving the management from the escalating costs of providing essential services to its guests, especially during off-peak. The housekeeping department tends to experience higher turnover rates than other departments (Pesonen, 2015). According to Mori and Mori (2020), the strategy entails engaging in a contract and providing fixed monthly costs to eliminate or reduce potential fluctuations in operating costs. The management has realised about a 25% reduction in the expenses of human resources. </w:t>
      </w:r>
    </w:p>
    <w:p w14:paraId="5773823B" w14:textId="24BCF472" w:rsidR="003F6A08" w:rsidRPr="003F6A08" w:rsidRDefault="003F6A08" w:rsidP="003F6A08">
      <w:pPr>
        <w:pStyle w:val="NormalWeb"/>
        <w:spacing w:before="0" w:beforeAutospacing="0" w:after="0" w:afterAutospacing="0" w:line="360" w:lineRule="auto"/>
        <w:jc w:val="both"/>
        <w:rPr>
          <w:rFonts w:ascii="Arial" w:hAnsi="Arial" w:cs="Arial"/>
          <w:color w:val="0E101A"/>
        </w:rPr>
      </w:pPr>
      <w:r w:rsidRPr="003F6A08">
        <w:rPr>
          <w:rFonts w:ascii="Arial" w:hAnsi="Arial" w:cs="Arial"/>
          <w:color w:val="0E101A"/>
        </w:rPr>
        <w:t>In 2021, the management of Hilton Hotel Group announced the changes associated with the use of daily housekeeping services when needed, especially in the US. (Sharma &amp; Kaushik, 2021) The cleaning services will be automated on a specific day of a stay to reduce operating expenses. However, the Hilton luxury brands are exempted from the new directive (Chan et al., 2021). The Company has demonstrated commitment to enhancing socioeconomic impact while reducing the environmental footprint due to productive activities.</w:t>
      </w:r>
    </w:p>
    <w:p w14:paraId="2286D30A" w14:textId="77777777" w:rsidR="003F6A08" w:rsidRPr="003F6A08" w:rsidRDefault="003F6A08" w:rsidP="003F6A08">
      <w:pPr>
        <w:pStyle w:val="NormalWeb"/>
        <w:spacing w:before="0" w:beforeAutospacing="0" w:after="0" w:afterAutospacing="0" w:line="360" w:lineRule="auto"/>
        <w:jc w:val="both"/>
        <w:rPr>
          <w:rFonts w:ascii="Arial" w:hAnsi="Arial" w:cs="Arial"/>
          <w:color w:val="0E101A"/>
        </w:rPr>
      </w:pPr>
    </w:p>
    <w:p w14:paraId="0557ED4D" w14:textId="77777777" w:rsidR="003F6A08" w:rsidRPr="003F6A08" w:rsidRDefault="003F6A08" w:rsidP="003F6A08">
      <w:pPr>
        <w:pStyle w:val="NormalWeb"/>
        <w:spacing w:before="0" w:beforeAutospacing="0" w:after="0" w:afterAutospacing="0" w:line="360" w:lineRule="auto"/>
        <w:jc w:val="both"/>
        <w:rPr>
          <w:rFonts w:ascii="Arial" w:hAnsi="Arial" w:cs="Arial"/>
          <w:color w:val="0E101A"/>
        </w:rPr>
      </w:pPr>
      <w:r w:rsidRPr="003F6A08">
        <w:rPr>
          <w:rStyle w:val="Strong"/>
          <w:rFonts w:ascii="Arial" w:hAnsi="Arial" w:cs="Arial"/>
          <w:color w:val="0E101A"/>
        </w:rPr>
        <w:t>Current Business Performance</w:t>
      </w:r>
    </w:p>
    <w:p w14:paraId="19374A9D" w14:textId="77777777" w:rsidR="003F6A08" w:rsidRPr="003F6A08" w:rsidRDefault="003F6A08" w:rsidP="003F6A08">
      <w:pPr>
        <w:pStyle w:val="NormalWeb"/>
        <w:spacing w:before="0" w:beforeAutospacing="0" w:after="0" w:afterAutospacing="0" w:line="360" w:lineRule="auto"/>
        <w:ind w:firstLine="720"/>
        <w:jc w:val="both"/>
        <w:rPr>
          <w:rFonts w:ascii="Arial" w:hAnsi="Arial" w:cs="Arial"/>
          <w:color w:val="0E101A"/>
        </w:rPr>
      </w:pPr>
      <w:r w:rsidRPr="003F6A08">
        <w:rPr>
          <w:rFonts w:ascii="Arial" w:hAnsi="Arial" w:cs="Arial"/>
          <w:color w:val="0E101A"/>
        </w:rPr>
        <w:t>Hilton Hotel Group has continued to experience significant improvement in its overall business performance. The Company's annual revenue in 2022 was $ 8.773B, representing a 51.57% increase from the previous year (Macrotrends.Net, 2022). The annual gross profit was $ 5.109B (2022), representing a 38.57% increase from 2020 (Macrotrends.Net, 2022). The annual gross profit for 2020 was $3.687B, representing approximately a 55.03% decline from the previous year. </w:t>
      </w:r>
    </w:p>
    <w:p w14:paraId="79361FE1" w14:textId="77777777" w:rsidR="003F6A08" w:rsidRPr="003F6A08" w:rsidRDefault="003F6A08" w:rsidP="003F6A08">
      <w:pPr>
        <w:pStyle w:val="NormalWeb"/>
        <w:spacing w:before="0" w:beforeAutospacing="0" w:after="0" w:afterAutospacing="0" w:line="360" w:lineRule="auto"/>
        <w:ind w:firstLine="720"/>
        <w:jc w:val="both"/>
        <w:rPr>
          <w:rFonts w:ascii="Arial" w:hAnsi="Arial" w:cs="Arial"/>
          <w:color w:val="0E101A"/>
        </w:rPr>
      </w:pPr>
      <w:r w:rsidRPr="003F6A08">
        <w:rPr>
          <w:rFonts w:ascii="Arial" w:hAnsi="Arial" w:cs="Arial"/>
          <w:color w:val="0E101A"/>
        </w:rPr>
        <w:lastRenderedPageBreak/>
        <w:t>More critically, the Company has attained significant growth in sales volume due to the adoption of loyalty programs to improve customer satisfaction. Hilton Honors represent the program. Under the program, customers are rewarded with points when they utilise services provided by the Hilton hotels and resorts located in various countries across the globe (Fu, 2023). The points are redeemable for free hotel nights and other exciting services (Jones &amp; Wynn, 2023). Implementing the loyalty program has enabled the Company to attract and retain customers by enhancing its market penetration and size (Lee et al., 2023). The Hilton Honors members represent about 56% of system-wide occupancy and account for $17.0B in hotel-level revenues (2016). However, the decline in occupancy was largely associated with the coronavirus outbreak (2019-2020). </w:t>
      </w:r>
    </w:p>
    <w:p w14:paraId="2C71F972" w14:textId="77777777" w:rsidR="003F6A08" w:rsidRPr="003F6A08" w:rsidRDefault="003F6A08" w:rsidP="003F6A08">
      <w:pPr>
        <w:pStyle w:val="NormalWeb"/>
        <w:spacing w:before="0" w:beforeAutospacing="0" w:after="0" w:afterAutospacing="0" w:line="360" w:lineRule="auto"/>
        <w:jc w:val="both"/>
        <w:rPr>
          <w:rFonts w:ascii="Arial" w:hAnsi="Arial" w:cs="Arial"/>
          <w:color w:val="0E101A"/>
        </w:rPr>
      </w:pPr>
      <w:r w:rsidRPr="003F6A08">
        <w:rPr>
          <w:rStyle w:val="Strong"/>
          <w:rFonts w:ascii="Arial" w:hAnsi="Arial" w:cs="Arial"/>
          <w:color w:val="0E101A"/>
        </w:rPr>
        <w:t>Conclusion </w:t>
      </w:r>
    </w:p>
    <w:p w14:paraId="0B12F904" w14:textId="45EB2719" w:rsidR="003F6A08" w:rsidRDefault="003F6A08" w:rsidP="003F6A08">
      <w:pPr>
        <w:spacing w:line="360" w:lineRule="auto"/>
        <w:jc w:val="both"/>
        <w:rPr>
          <w:rFonts w:ascii="Arial" w:hAnsi="Arial" w:cs="Arial"/>
          <w:color w:val="0E101A"/>
          <w:sz w:val="24"/>
          <w:szCs w:val="24"/>
        </w:rPr>
      </w:pPr>
      <w:r w:rsidRPr="003F6A08">
        <w:rPr>
          <w:rFonts w:ascii="Arial" w:hAnsi="Arial" w:cs="Arial"/>
          <w:color w:val="0E101A"/>
          <w:sz w:val="24"/>
          <w:szCs w:val="24"/>
        </w:rPr>
        <w:t>            Therefore, it is imperative to note the Hilton Hotel Group's exponential business growth and profitability. The supportive corporate culture of the Company has contributed to creating a productive workplace environment for all employees, irrespective of their cultural backgrounds. Hilton Hotel Group's organisational structure is divisional—which has been crucial for the success of the business organisation. The choice of organisational structure depends on the business strategy and corporate culture. Although the outbreak of COVID-19 had negative implications on the operations of the business activities, Hilton Hotel Group has navigated such challenges through strategic management and leadership. The Company is committed to sustainable business practices in response to three pillars of sustainability—social, economic, and environmental.</w:t>
      </w:r>
    </w:p>
    <w:p w14:paraId="601D8264" w14:textId="77777777" w:rsidR="003F6A08" w:rsidRDefault="003F6A08" w:rsidP="003F6A08">
      <w:pPr>
        <w:spacing w:line="360" w:lineRule="auto"/>
        <w:jc w:val="both"/>
        <w:rPr>
          <w:rFonts w:ascii="Arial" w:hAnsi="Arial" w:cs="Arial"/>
          <w:color w:val="0E101A"/>
          <w:sz w:val="24"/>
          <w:szCs w:val="24"/>
        </w:rPr>
      </w:pPr>
    </w:p>
    <w:p w14:paraId="58B67E24" w14:textId="77777777" w:rsidR="003F6A08" w:rsidRDefault="003F6A08" w:rsidP="003F6A08">
      <w:pPr>
        <w:spacing w:line="360" w:lineRule="auto"/>
        <w:jc w:val="both"/>
        <w:rPr>
          <w:rFonts w:ascii="Arial" w:hAnsi="Arial" w:cs="Arial"/>
          <w:color w:val="0E101A"/>
          <w:sz w:val="24"/>
          <w:szCs w:val="24"/>
        </w:rPr>
      </w:pPr>
    </w:p>
    <w:p w14:paraId="0964E7C8" w14:textId="77777777" w:rsidR="003F6A08" w:rsidRDefault="003F6A08" w:rsidP="003F6A08">
      <w:pPr>
        <w:spacing w:line="360" w:lineRule="auto"/>
        <w:jc w:val="both"/>
        <w:rPr>
          <w:rFonts w:ascii="Arial" w:hAnsi="Arial" w:cs="Arial"/>
          <w:color w:val="0E101A"/>
          <w:sz w:val="24"/>
          <w:szCs w:val="24"/>
        </w:rPr>
      </w:pPr>
    </w:p>
    <w:p w14:paraId="0654CB3C" w14:textId="77777777" w:rsidR="003F6A08" w:rsidRDefault="003F6A08" w:rsidP="003F6A08">
      <w:pPr>
        <w:spacing w:line="360" w:lineRule="auto"/>
        <w:jc w:val="both"/>
        <w:rPr>
          <w:rFonts w:ascii="Arial" w:hAnsi="Arial" w:cs="Arial"/>
          <w:color w:val="0E101A"/>
          <w:sz w:val="24"/>
          <w:szCs w:val="24"/>
        </w:rPr>
      </w:pPr>
    </w:p>
    <w:p w14:paraId="328B7546" w14:textId="77777777" w:rsidR="003F6A08" w:rsidRDefault="003F6A08" w:rsidP="003F6A08">
      <w:pPr>
        <w:spacing w:line="360" w:lineRule="auto"/>
        <w:jc w:val="both"/>
        <w:rPr>
          <w:rFonts w:ascii="Arial" w:hAnsi="Arial" w:cs="Arial"/>
          <w:color w:val="0E101A"/>
          <w:sz w:val="24"/>
          <w:szCs w:val="24"/>
        </w:rPr>
      </w:pPr>
    </w:p>
    <w:p w14:paraId="585EAC1E" w14:textId="77777777" w:rsidR="003F6A08" w:rsidRDefault="003F6A08" w:rsidP="003F6A08">
      <w:pPr>
        <w:spacing w:line="360" w:lineRule="auto"/>
        <w:jc w:val="both"/>
        <w:rPr>
          <w:rFonts w:ascii="Arial" w:hAnsi="Arial" w:cs="Arial"/>
          <w:color w:val="0E101A"/>
          <w:sz w:val="24"/>
          <w:szCs w:val="24"/>
        </w:rPr>
      </w:pPr>
    </w:p>
    <w:p w14:paraId="2160CB1B" w14:textId="77777777" w:rsidR="003F6A08" w:rsidRDefault="003F6A08" w:rsidP="003F6A08">
      <w:pPr>
        <w:spacing w:line="360" w:lineRule="auto"/>
        <w:jc w:val="both"/>
        <w:rPr>
          <w:rFonts w:ascii="Arial" w:hAnsi="Arial" w:cs="Arial"/>
          <w:color w:val="0E101A"/>
          <w:sz w:val="24"/>
          <w:szCs w:val="24"/>
        </w:rPr>
      </w:pPr>
    </w:p>
    <w:sdt>
      <w:sdtPr>
        <w:rPr>
          <w:rFonts w:ascii="Arial" w:hAnsi="Arial" w:cs="Arial"/>
          <w:sz w:val="24"/>
          <w:szCs w:val="24"/>
        </w:rPr>
        <w:id w:val="5632957"/>
        <w:docPartObj>
          <w:docPartGallery w:val="Bibliographies"/>
          <w:docPartUnique/>
        </w:docPartObj>
      </w:sdtPr>
      <w:sdtEndPr/>
      <w:sdtContent>
        <w:p w14:paraId="039CF966" w14:textId="057A4540" w:rsidR="003F6A08" w:rsidRPr="003F6A08" w:rsidRDefault="003F6A08" w:rsidP="003F6A08">
          <w:pPr>
            <w:keepNext/>
            <w:keepLines/>
            <w:spacing w:before="240" w:after="0" w:line="360" w:lineRule="auto"/>
            <w:jc w:val="center"/>
            <w:outlineLvl w:val="0"/>
            <w:rPr>
              <w:rFonts w:ascii="Arial" w:eastAsiaTheme="majorEastAsia" w:hAnsi="Arial" w:cs="Arial"/>
              <w:b/>
              <w:bCs/>
              <w:kern w:val="0"/>
              <w:sz w:val="24"/>
              <w:szCs w:val="24"/>
              <w:lang w:val="en-US"/>
            </w:rPr>
          </w:pPr>
        </w:p>
        <w:sdt>
          <w:sdtPr>
            <w:rPr>
              <w:rFonts w:ascii="Arial" w:hAnsi="Arial" w:cs="Arial"/>
              <w:sz w:val="24"/>
              <w:szCs w:val="24"/>
            </w:rPr>
            <w:id w:val="-573587230"/>
            <w:bibliography/>
          </w:sdtPr>
          <w:sdtEndPr/>
          <w:sdtContent>
            <w:p w14:paraId="381875F4" w14:textId="3DC3394E" w:rsidR="006F61CF" w:rsidRDefault="006F61CF" w:rsidP="006F61CF">
              <w:pPr>
                <w:spacing w:line="360" w:lineRule="auto"/>
              </w:pPr>
            </w:p>
            <w:p w14:paraId="107BD91F" w14:textId="27B750FE" w:rsidR="003F6A08" w:rsidRPr="006F61CF" w:rsidRDefault="006F61CF" w:rsidP="006F61CF">
              <w:pPr>
                <w:spacing w:line="360" w:lineRule="auto"/>
                <w:rPr>
                  <w:rFonts w:ascii="Arial" w:hAnsi="Arial" w:cs="Arial"/>
                  <w:sz w:val="24"/>
                  <w:szCs w:val="24"/>
                </w:rPr>
              </w:pPr>
            </w:p>
          </w:sdtContent>
        </w:sdt>
      </w:sdtContent>
    </w:sdt>
    <w:p w14:paraId="531BECA6" w14:textId="77777777" w:rsidR="003F6A08" w:rsidRPr="003F6A08" w:rsidRDefault="003F6A08" w:rsidP="003F6A08">
      <w:pPr>
        <w:spacing w:line="360" w:lineRule="auto"/>
        <w:jc w:val="both"/>
        <w:rPr>
          <w:rFonts w:ascii="Arial" w:hAnsi="Arial" w:cs="Arial"/>
          <w:b/>
          <w:bCs/>
          <w:kern w:val="0"/>
          <w:sz w:val="24"/>
          <w:szCs w:val="24"/>
          <w:lang w:val="fr-FR"/>
        </w:rPr>
      </w:pPr>
    </w:p>
    <w:p w14:paraId="03743C27" w14:textId="77777777" w:rsidR="003F6A08" w:rsidRPr="003F6A08" w:rsidRDefault="003F6A08" w:rsidP="003F6A08">
      <w:pPr>
        <w:spacing w:line="360" w:lineRule="auto"/>
        <w:jc w:val="both"/>
        <w:rPr>
          <w:rFonts w:ascii="Arial" w:hAnsi="Arial" w:cs="Arial"/>
          <w:sz w:val="24"/>
          <w:szCs w:val="24"/>
        </w:rPr>
      </w:pPr>
    </w:p>
    <w:sectPr w:rsidR="003F6A08" w:rsidRPr="003F6A08" w:rsidSect="00CF5D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Q0MzYyMjG2NDEzNjNV0lEKTi0uzszPAykwrAUAWNsEOywAAAA="/>
  </w:docVars>
  <w:rsids>
    <w:rsidRoot w:val="003F6A08"/>
    <w:rsid w:val="003F6A08"/>
    <w:rsid w:val="005B07AD"/>
    <w:rsid w:val="006F61CF"/>
    <w:rsid w:val="00B92E8A"/>
    <w:rsid w:val="00CF5DE3"/>
    <w:rsid w:val="00EB2A5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878E58"/>
  <w15:chartTrackingRefBased/>
  <w15:docId w15:val="{E5C17FE5-B470-4989-955F-D341E3E8EA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6A08"/>
    <w:pPr>
      <w:spacing w:line="256" w:lineRule="auto"/>
    </w:pPr>
    <w:rPr>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F6A08"/>
    <w:pPr>
      <w:spacing w:before="100" w:beforeAutospacing="1" w:after="100" w:afterAutospacing="1" w:line="240" w:lineRule="auto"/>
    </w:pPr>
    <w:rPr>
      <w:rFonts w:ascii="Times New Roman" w:eastAsia="Times New Roman" w:hAnsi="Times New Roman" w:cs="Times New Roman"/>
      <w:kern w:val="0"/>
      <w:sz w:val="24"/>
      <w:szCs w:val="24"/>
      <w:lang w:val="en-US"/>
    </w:rPr>
  </w:style>
  <w:style w:type="character" w:styleId="Strong">
    <w:name w:val="Strong"/>
    <w:basedOn w:val="DefaultParagraphFont"/>
    <w:uiPriority w:val="22"/>
    <w:qFormat/>
    <w:rsid w:val="003F6A0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5936A88-6802-4CFA-BBC6-7680EF5DB254}">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Tie191</b:Tag>
    <b:SourceType>JournalArticle</b:SourceType>
    <b:Guid>{9EB83348-9A8E-44B9-9B20-312581494D0C}</b:Guid>
    <b:Title>The role of international marketing in international business strategy</b:Title>
    <b:JournalName>International journal of research in marketing management and sales</b:JournalName>
    <b:Year>2019</b:Year>
    <b:Pages>134-138</b:Pages>
    <b:Author>
      <b:Author>
        <b:NameList>
          <b:Person>
            <b:Last>Tien</b:Last>
            <b:First>N.</b:First>
            <b:Middle>H</b:Middle>
          </b:Person>
          <b:Person>
            <b:Last>Phu</b:Last>
            <b:First>P.</b:First>
            <b:Middle>P</b:Middle>
          </b:Person>
          <b:Person>
            <b:Last>Chi</b:Last>
            <b:First>D.</b:First>
            <b:Middle>T. P</b:Middle>
          </b:Person>
        </b:NameList>
      </b:Author>
    </b:Author>
    <b:Volume>1</b:Volume>
    <b:Issue>2</b:Issue>
    <b:DOI>https://www.researchgate.net/profile/Nguyen-Tien-32/publication/338752307_The_role_of_international_marketing_in_international_business_strategy/links/632c5662873eca0c00a8f7ae/The-role-of-international-marketing-in-international-business-strategy.pdf</b:DOI>
    <b:RefOrder>2</b:RefOrder>
  </b:Source>
  <b:Source>
    <b:Tag>Rei20</b:Tag>
    <b:SourceType>JournalArticle</b:SourceType>
    <b:Guid>{77DB03BD-8BEC-4712-8C42-30FBCB30F099}</b:Guid>
    <b:Author>
      <b:Author>
        <b:NameList>
          <b:Person>
            <b:Last>Reidhead</b:Last>
            <b:First>C</b:First>
          </b:Person>
        </b:NameList>
      </b:Author>
    </b:Author>
    <b:Title>Impact of organizational culture on employee satisfaction: A case of Hilton hotel, United Kingdom</b:Title>
    <b:JournalName>Journal of Economics and Business</b:JournalName>
    <b:Year>2020</b:Year>
    <b:Volume>3</b:Volume>
    <b:Issue>1</b:Issue>
    <b:DOI>https://papers.ssrn.com/sol3/papers.cfm?abstract_id=3563546</b:DOI>
    <b:RefOrder>3</b:RefOrder>
  </b:Source>
  <b:Source>
    <b:Tag>Pat201</b:Tag>
    <b:SourceType>JournalArticle</b:SourceType>
    <b:Guid>{7F73A78C-6478-4AA7-8D9B-057F69122BF3}</b:Guid>
    <b:Author>
      <b:Author>
        <b:NameList>
          <b:Person>
            <b:Last>Pathiranage</b:Last>
            <b:First>Y.</b:First>
            <b:Middle>L</b:Middle>
          </b:Person>
          <b:Person>
            <b:Last>Jayatilake</b:Last>
            <b:First>L.</b:First>
            <b:Middle>V</b:Middle>
          </b:Person>
          <b:Person>
            <b:Last>Abeysekera</b:Last>
            <b:First>R</b:First>
          </b:Person>
        </b:NameList>
      </b:Author>
    </b:Author>
    <b:Title>A literature review on organizational culture towards corporate performance</b:Title>
    <b:JournalName>International journal of management, accounting and economics</b:JournalName>
    <b:Year>2020</b:Year>
    <b:Pages>522-544</b:Pages>
    <b:Volume>7</b:Volume>
    <b:Issue>9</b:Issue>
    <b:DOI>https://www.researchgate.net/profile/Yasas-Pathiranage-2/publication/344667769_A_Literature_Review_on_Organizational_Culture_towards_Corporate_Performance/links/5f881848299bf1b53e28f228/A-Literature-Review-on-Organizational-Culture-towards-Corporate-Perfo</b:DOI>
    <b:RefOrder>4</b:RefOrder>
  </b:Source>
  <b:Source>
    <b:Tag>And19</b:Tag>
    <b:SourceType>JournalArticle</b:SourceType>
    <b:Guid>{C37760F8-47A6-4AE2-8090-DF082122C2B6}</b:Guid>
    <b:Author>
      <b:Author>
        <b:NameList>
          <b:Person>
            <b:Last>Andersson</b:Last>
            <b:First>T</b:First>
          </b:Person>
          <b:Person>
            <b:Last>Cäker</b:Last>
            <b:First>M</b:First>
          </b:Person>
          <b:Person>
            <b:Last>Tengblad</b:Last>
            <b:First>S</b:First>
          </b:Person>
          <b:Person>
            <b:Last>Wickelgren</b:Last>
            <b:First>M</b:First>
          </b:Person>
        </b:NameList>
      </b:Author>
    </b:Author>
    <b:Title>Building traits for organizational resilience through balancing organizational structures</b:Title>
    <b:JournalName>Scandinavian Journal of Management</b:JournalName>
    <b:Year>2019</b:Year>
    <b:Pages>36-45</b:Pages>
    <b:Volume>35</b:Volume>
    <b:Issue>1</b:Issue>
    <b:DOI>https://doi.org/10.1016/j.scaman.2019.01.001</b:DOI>
    <b:RefOrder>5</b:RefOrder>
  </b:Source>
  <b:Source>
    <b:Tag>Zen21</b:Tag>
    <b:SourceType>JournalArticle</b:SourceType>
    <b:Guid>{007A8B17-834E-4E57-88CE-A3FD2957059E}</b:Guid>
    <b:Author>
      <b:Author>
        <b:NameList>
          <b:Person>
            <b:Last>Zeng</b:Last>
            <b:First>L</b:First>
          </b:Person>
        </b:NameList>
      </b:Author>
    </b:Author>
    <b:Title>Analysis of Hilton Worldwide Hotel Group’s Transnational Operation Strategy</b:Title>
    <b:JournalName>Academic Journal of Business &amp; Management</b:JournalName>
    <b:Year>2021</b:Year>
    <b:Pages>20-27</b:Pages>
    <b:Volume>3</b:Volume>
    <b:Issue>11</b:Issue>
    <b:DOI>DOI: 10.25236/AJBM.2021.031</b:DOI>
    <b:RefOrder>6</b:RefOrder>
  </b:Source>
  <b:Source>
    <b:Tag>Spi20</b:Tag>
    <b:SourceType>JournalArticle</b:SourceType>
    <b:Guid>{6B0F376E-7E24-4E21-BB33-ABEA6BF31D35}</b:Guid>
    <b:Author>
      <b:Author>
        <b:NameList>
          <b:Person>
            <b:Last>Spina</b:Last>
            <b:First>D</b:First>
          </b:Person>
        </b:NameList>
      </b:Author>
    </b:Author>
    <b:Title>Grand Hotel</b:Title>
    <b:JournalName>Grand Gestures</b:JournalName>
    <b:Year>2020</b:Year>
    <b:Pages>127-151.</b:Pages>
    <b:Volume>4</b:Volume>
    <b:DOI>https://www.research-collection.ethz.ch/bitstream/handle/20.500.11850/465558/1/Spina-GrandHotel.pdf</b:DOI>
    <b:RefOrder>7</b:RefOrder>
  </b:Source>
  <b:Source>
    <b:Tag>Hil23</b:Tag>
    <b:SourceType>InternetSite</b:SourceType>
    <b:Guid>{929731B9-7830-415D-AB72-F87BF203EBA9}</b:Guid>
    <b:Title>Hilton</b:Title>
    <b:Year>2023</b:Year>
    <b:Author>
      <b:Author>
        <b:Corporate>Hilton.Com</b:Corporate>
      </b:Author>
    </b:Author>
    <b:YearAccessed>2023</b:YearAccessed>
    <b:MonthAccessed>Jun</b:MonthAccessed>
    <b:DayAccessed>9</b:DayAccessed>
    <b:URL>https://www.hilton.com/en/corporate/</b:URL>
    <b:RefOrder>8</b:RefOrder>
  </b:Source>
  <b:Source>
    <b:Tag>Joh21</b:Tag>
    <b:SourceType>Book</b:SourceType>
    <b:Guid>{51FE0E10-C997-40E8-ACBC-A26BEF01C797}</b:Guid>
    <b:Title>Wages and working conditions in outsourced services in Europe. In The Living Wage (pp. 107-119)</b:Title>
    <b:Year>2021</b:Year>
    <b:Author>
      <b:Author>
        <b:NameList>
          <b:Person>
            <b:Last>Johnson</b:Last>
            <b:First>M</b:First>
          </b:Person>
          <b:Person>
            <b:Last>Jaehrling</b:Last>
            <b:First>K</b:First>
          </b:Person>
        </b:NameList>
      </b:Author>
    </b:Author>
    <b:Publisher>Routledge</b:Publisher>
    <b:DOI>https://www.taylorfrancis.com/chapters/edit/10.4324/9781003054078-11/wages-working-conditions-outsourced-services-europe-mathew-johnson-karen-jaehrling</b:DOI>
    <b:RefOrder>9</b:RefOrder>
  </b:Source>
  <b:Source>
    <b:Tag>Mor202</b:Tag>
    <b:SourceType>JournalArticle</b:SourceType>
    <b:Guid>{4C3298B8-299D-4AA6-B599-0B6FA09968C8}</b:Guid>
    <b:Author>
      <b:Author>
        <b:NameList>
          <b:Person>
            <b:Last>Mori</b:Last>
            <b:First>A</b:First>
          </b:Person>
          <b:Person>
            <b:Last>Mori</b:Last>
            <b:First>A</b:First>
          </b:Person>
        </b:NameList>
      </b:Author>
    </b:Author>
    <b:Title>Market-Embedding and Inclusion: Implications for Labour and Employment Relations</b:Title>
    <b:Year>2020</b:Year>
    <b:JournalName>Employment Relations in Outsourced Public Services: Working Between Market and State</b:JournalName>
    <b:Pages>115-141</b:Pages>
    <b:DOI>https://doi.org/10.1007/978-3-030-24627-3_5</b:DOI>
    <b:RefOrder>10</b:RefOrder>
  </b:Source>
  <b:Source>
    <b:Tag>Pes15</b:Tag>
    <b:SourceType>Book</b:SourceType>
    <b:Guid>{45AF4A02-1311-430E-B029-55ACCA40B7B0}</b:Guid>
    <b:Title>Internal Housekeeping Versus Outsourced Housekeeping</b:Title>
    <b:Year>2015</b:Year>
    <b:Author>
      <b:Author>
        <b:NameList>
          <b:Person>
            <b:Last>Pesonen</b:Last>
            <b:First>J</b:First>
          </b:Person>
        </b:NameList>
      </b:Author>
    </b:Author>
    <b:DOI>https://www.theseus.fi/bitstream/handle/10024/90439/Pesonen_Janet.pdf?sequence=1</b:DOI>
    <b:RefOrder>11</b:RefOrder>
  </b:Source>
  <b:Source>
    <b:Tag>Ach22</b:Tag>
    <b:SourceType>JournalArticle</b:SourceType>
    <b:Guid>{371F868E-1D17-431E-872D-FC179D94A15A}</b:Guid>
    <b:Title>Corporate social responsibility of the hospitality industry in realizing sustainable tourism development. Enrichment</b:Title>
    <b:Year>2022</b:Year>
    <b:Author>
      <b:Author>
        <b:NameList>
          <b:Person>
            <b:Last>Achmad</b:Last>
            <b:First>W</b:First>
          </b:Person>
          <b:Person>
            <b:Last>Yulianah</b:Last>
            <b:First>Y</b:First>
          </b:Person>
        </b:NameList>
      </b:Author>
    </b:Author>
    <b:JournalName>Journal of Management</b:JournalName>
    <b:Pages>1610-1616</b:Pages>
    <b:Volume>12</b:Volume>
    <b:Issue>2</b:Issue>
    <b:DOI>https://doi.org/10.35335/enrichment.v12i2.447</b:DOI>
    <b:RefOrder>12</b:RefOrder>
  </b:Source>
  <b:Source>
    <b:Tag>Bia21</b:Tag>
    <b:SourceType>JournalArticle</b:SourceType>
    <b:Guid>{6F635AAB-633A-4001-B425-937165C46703}</b:Guid>
    <b:Author>
      <b:Author>
        <b:NameList>
          <b:Person>
            <b:Last>Bianchi</b:Last>
            <b:First>R.</b:First>
            <b:Middle>V</b:Middle>
          </b:Person>
          <b:Person>
            <b:Last>de Man</b:Last>
            <b:First>F</b:First>
          </b:Person>
        </b:NameList>
      </b:Author>
    </b:Author>
    <b:Title>Tourism, inclusive growth and decent work: A political economy critique</b:Title>
    <b:JournalName>Journal of Sustainable Tourism</b:JournalName>
    <b:Year>2021</b:Year>
    <b:Pages>353-371</b:Pages>
    <b:Volume>29</b:Volume>
    <b:Issue>2-3)</b:Issue>
    <b:DOI>https://doi.org/10.1080/09669582.2020.1730862</b:DOI>
    <b:RefOrder>13</b:RefOrder>
  </b:Source>
  <b:Source>
    <b:Tag>Sha212</b:Tag>
    <b:SourceType>JournalArticle</b:SourceType>
    <b:Guid>{9C2C3371-9420-4B8E-89B0-96394FE42706}</b:Guid>
    <b:Title>Aesthetically clean to clinically clean–A study on new housekeeping practices in Delhi hotels beyond COVID-19 pandemic</b:Title>
    <b:Year>2021</b:Year>
    <b:Author>
      <b:Author>
        <b:NameList>
          <b:Person>
            <b:Last>Sharma</b:Last>
            <b:First>S</b:First>
          </b:Person>
          <b:Person>
            <b:Last>Kaushik</b:Last>
            <b:First>T</b:First>
          </b:Person>
        </b:NameList>
      </b:Author>
    </b:Author>
    <b:JournalName>Worldwide Hospitality and Tourism Themes</b:JournalName>
    <b:Pages>646-659</b:Pages>
    <b:Volume>13</b:Volume>
    <b:Issue>5</b:Issue>
    <b:DOI> https://doi.org/10.1108/WHATT-05-2021-0069</b:DOI>
    <b:RefOrder>14</b:RefOrder>
  </b:Source>
  <b:Source>
    <b:Tag>Cha21</b:Tag>
    <b:SourceType>JournalArticle</b:SourceType>
    <b:Guid>{CE392D97-4FB9-4A39-A43B-4BA9C1E7BBEF}</b:Guid>
    <b:Author>
      <b:Author>
        <b:NameList>
          <b:Person>
            <b:Last>Chan</b:Last>
            <b:First>J</b:First>
          </b:Person>
          <b:Person>
            <b:Last>Gao</b:Last>
            <b:First>Y.</b:First>
            <b:Middle>L</b:Middle>
          </b:Person>
          <b:Person>
            <b:Last>McGinley</b:Last>
            <b:First>S</b:First>
          </b:Person>
        </b:NameList>
      </b:Author>
    </b:Author>
    <b:Title>Updates in service standards in hotels: how COVID-19 changed operations</b:Title>
    <b:JournalName>International Journal of Contemporary Hospitality Management</b:JournalName>
    <b:Year>2021</b:Year>
    <b:Pages>1668-1687</b:Pages>
    <b:Volume>33</b:Volume>
    <b:Issue>5</b:Issue>
    <b:DOI>https://www.emerald.com/insight/content/doi/10.1108/IJCHM-09-2020-1013/full/html</b:DOI>
    <b:RefOrder>15</b:RefOrder>
  </b:Source>
  <b:Source>
    <b:Tag>Joh223</b:Tag>
    <b:SourceType>JournalArticle</b:SourceType>
    <b:Guid>{024C1E3B-57BE-4F7E-806B-266DBC010895}</b:Guid>
    <b:Author>
      <b:Author>
        <b:NameList>
          <b:Person>
            <b:Last>Johann</b:Last>
            <b:First>M</b:First>
          </b:Person>
        </b:NameList>
      </b:Author>
    </b:Author>
    <b:Title>CSR strategy in the hospitality industry: From the COVID-19 pandemic crisis to recovery</b:Title>
    <b:JournalName>International Journal of Contemporary Management</b:JournalName>
    <b:Year>2022</b:Year>
    <b:DOI> https://doi.org/10.2478/ijcm-2022-0012</b:DOI>
    <b:RefOrder>16</b:RefOrder>
  </b:Source>
  <b:Source>
    <b:Tag>Lee23</b:Tag>
    <b:SourceType>JournalArticle</b:SourceType>
    <b:Guid>{882FAEA7-79B3-4D9E-978C-AE1395EDCAFD}</b:Guid>
    <b:Author>
      <b:Author>
        <b:NameList>
          <b:Person>
            <b:Last>Lee</b:Last>
            <b:First>M</b:First>
          </b:Person>
          <b:Person>
            <b:Last>Sisson</b:Last>
            <b:First>A.</b:First>
            <b:Middle>D</b:Middle>
          </b:Person>
          <b:Person>
            <b:Last>Costa</b:Last>
            <b:First>R</b:First>
          </b:Person>
          <b:Person>
            <b:Last>Bai</b:Last>
            <b:First>B</b:First>
          </b:Person>
        </b:NameList>
      </b:Author>
    </b:Author>
    <b:Title>Disruptive technologies and innovation in hospitality: A computer-assisted qualitative data analysis approach</b:Title>
    <b:JournalName>Journal of Hospitality &amp; Tourism Research</b:JournalName>
    <b:Year>2023</b:Year>
    <b:Pages>NP47-NP61</b:Pages>
    <b:Volume>47</b:Volume>
    <b:Issue>4</b:Issue>
    <b:DOI>https://doi.org/10.1177/1096348023115608</b:DOI>
    <b:RefOrder>17</b:RefOrder>
  </b:Source>
  <b:Source>
    <b:Tag>Mac22</b:Tag>
    <b:SourceType>InternetSite</b:SourceType>
    <b:Guid>{419B8D74-CC2E-43E0-9837-09F71BEF5384}</b:Guid>
    <b:Title> Hilton Worldwide Holdings Financial Statements 2010-2023 | HLT </b:Title>
    <b:Year>2022</b:Year>
    <b:YearAccessed>2023</b:YearAccessed>
    <b:MonthAccessed>Jun</b:MonthAccessed>
    <b:DayAccessed>9</b:DayAccessed>
    <b:URL>https://www.macrotrends.net/stocks/charts/HLT/hilton-worldwide-holdings/financial-statements</b:URL>
    <b:Author>
      <b:Author>
        <b:Corporate>Macrotrends.Net</b:Corporate>
      </b:Author>
    </b:Author>
    <b:RefOrder>18</b:RefOrder>
  </b:Source>
  <b:Source>
    <b:Tag>Jon23</b:Tag>
    <b:SourceType>JournalArticle</b:SourceType>
    <b:Guid>{FE705AD9-47CB-4CBA-8DB3-BFA572DF7EC8}</b:Guid>
    <b:Title>The circular economy and natural capital in the tourism and hospitality industry</b:Title>
    <b:Year>2023</b:Year>
    <b:Author>
      <b:Author>
        <b:NameList>
          <b:Person>
            <b:Last>Jones</b:Last>
            <b:First>P</b:First>
          </b:Person>
          <b:Person>
            <b:Last>Wynn</b:Last>
            <b:First>M.</b:First>
            <b:Middle>G</b:Middle>
          </b:Person>
        </b:NameList>
      </b:Author>
    </b:Author>
    <b:JournalName>Circular Economy</b:JournalName>
    <b:Pages>1-12</b:Pages>
    <b:Volume>1</b:Volume>
    <b:Issue>1</b:Issue>
    <b:DOI>https://eprints.glos.ac.uk/11732/</b:DOI>
    <b:RefOrder>19</b:RefOrder>
  </b:Source>
  <b:Source>
    <b:Tag>FuL23</b:Tag>
    <b:SourceType>JournalArticle</b:SourceType>
    <b:Guid>{2DBE729A-A5D2-4C56-9C2E-154362A2748F}</b:Guid>
    <b:Author>
      <b:Author>
        <b:NameList>
          <b:Person>
            <b:Last>Fu</b:Last>
            <b:First>L</b:First>
          </b:Person>
        </b:NameList>
      </b:Author>
    </b:Author>
    <b:Title>COVID-19 Impacts on and Responses of the Hotel Industry.</b:Title>
    <b:JournalName>Journal of Education, Humanities and Social Sciences</b:JournalName>
    <b:Year>2023</b:Year>
    <b:Pages>320-323</b:Pages>
    <b:Volume>7</b:Volume>
    <b:DOI>https://drpress.org/ojs/index.php/EHSS/article/view/4697</b:DOI>
    <b:RefOrder>20</b:RefOrder>
  </b:Source>
  <b:Source>
    <b:Tag>AlG19</b:Tag>
    <b:SourceType>JournalArticle</b:SourceType>
    <b:Guid>{B3484BA4-5029-48A3-B20B-D1B3C4EF26A5}</b:Guid>
    <b:Author>
      <b:Author>
        <b:NameList>
          <b:Person>
            <b:Last>Al‐Ghussain</b:Last>
            <b:First>L</b:First>
          </b:Person>
        </b:NameList>
      </b:Author>
    </b:Author>
    <b:Title>Global warming: Review on driving forces and mitigation</b:Title>
    <b:JournalName>Environmental Progress &amp; Sustainable Energy</b:JournalName>
    <b:Year>2019</b:Year>
    <b:Pages>13-21</b:Pages>
    <b:Volume>38</b:Volume>
    <b:Issue>1</b:Issue>
    <b:DOI>https://aiche.onlinelibrary.wiley.com/doi/abs/10.1002/ep.13041</b:DOI>
    <b:RefOrder>1</b:RefOrder>
  </b:Source>
</b:Sources>
</file>

<file path=customXml/itemProps1.xml><?xml version="1.0" encoding="utf-8"?>
<ds:datastoreItem xmlns:ds="http://schemas.openxmlformats.org/officeDocument/2006/customXml" ds:itemID="{6303A779-7C80-4AE0-9D55-95EED44133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2101</Words>
  <Characters>11982</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marius</dc:creator>
  <cp:keywords/>
  <dc:description/>
  <cp:lastModifiedBy>marius marius</cp:lastModifiedBy>
  <cp:revision>2</cp:revision>
  <dcterms:created xsi:type="dcterms:W3CDTF">2023-06-13T20:54:00Z</dcterms:created>
  <dcterms:modified xsi:type="dcterms:W3CDTF">2023-06-13T20:54:00Z</dcterms:modified>
</cp:coreProperties>
</file>