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051" w:rsidRPr="00A9616E" w:rsidRDefault="00683051" w:rsidP="00683051">
      <w:pPr>
        <w:rPr>
          <w:rFonts w:ascii="Tahoma" w:hAnsi="Tahoma" w:cs="Tahoma"/>
          <w:b/>
          <w:iCs/>
          <w:sz w:val="32"/>
        </w:rPr>
      </w:pPr>
      <w:r w:rsidRPr="009F54BA">
        <w:rPr>
          <w:rFonts w:ascii="Tahoma" w:hAnsi="Tahoma" w:cs="Tahoma"/>
          <w:b/>
          <w:sz w:val="32"/>
          <w:szCs w:val="32"/>
        </w:rPr>
        <w:t xml:space="preserve">Unit </w:t>
      </w:r>
      <w:r w:rsidRPr="007732E6">
        <w:rPr>
          <w:rFonts w:ascii="Tahoma" w:hAnsi="Tahoma" w:cs="Tahoma"/>
          <w:b/>
          <w:sz w:val="32"/>
        </w:rPr>
        <w:t>2</w:t>
      </w:r>
      <w:r>
        <w:rPr>
          <w:rFonts w:ascii="Tahoma" w:hAnsi="Tahoma" w:cs="Tahoma"/>
          <w:b/>
          <w:sz w:val="32"/>
        </w:rPr>
        <w:t>:</w:t>
      </w:r>
      <w:r w:rsidRPr="00A9616E">
        <w:rPr>
          <w:rFonts w:ascii="Tahoma" w:hAnsi="Tahoma" w:cs="Tahoma"/>
          <w:b/>
          <w:iCs/>
          <w:sz w:val="32"/>
        </w:rPr>
        <w:t xml:space="preserve"> Participant Observation</w:t>
      </w:r>
    </w:p>
    <w:p w:rsidR="00683051" w:rsidRPr="00F57DA2" w:rsidRDefault="00683051" w:rsidP="00683051">
      <w:pPr>
        <w:rPr>
          <w:rFonts w:ascii="Tahoma" w:hAnsi="Tahoma" w:cs="Tahoma"/>
        </w:rPr>
      </w:pPr>
    </w:p>
    <w:p w:rsidR="00683051" w:rsidRPr="00F57DA2" w:rsidRDefault="00683051" w:rsidP="00683051">
      <w:pPr>
        <w:rPr>
          <w:rFonts w:ascii="Tahoma" w:hAnsi="Tahoma" w:cs="Tahoma"/>
        </w:rPr>
      </w:pPr>
      <w:r w:rsidRPr="00F57DA2">
        <w:rPr>
          <w:rFonts w:ascii="Tahoma" w:hAnsi="Tahoma" w:cs="Tahoma"/>
        </w:rPr>
        <w:t>Participant observation is the method of data collection used most commonly by social anthropologists. It entails immersing oneself in a group or community, participating in the group’s everyday activities, and observing at close quarters every detail of the lif</w:t>
      </w:r>
      <w:r>
        <w:rPr>
          <w:rFonts w:ascii="Tahoma" w:hAnsi="Tahoma" w:cs="Tahoma"/>
        </w:rPr>
        <w:t>e in the group.  I</w:t>
      </w:r>
      <w:r w:rsidRPr="00F57DA2">
        <w:rPr>
          <w:rFonts w:ascii="Tahoma" w:hAnsi="Tahoma" w:cs="Tahoma"/>
        </w:rPr>
        <w:t xml:space="preserve">deally </w:t>
      </w:r>
      <w:r>
        <w:rPr>
          <w:rFonts w:ascii="Tahoma" w:hAnsi="Tahoma" w:cs="Tahoma"/>
        </w:rPr>
        <w:t>the researcher is neither a full participant nor a full observer, but manages to strike a balance between participating in, and observing, the group’s activities.</w:t>
      </w:r>
      <w:r w:rsidRPr="00F57DA2">
        <w:rPr>
          <w:rFonts w:ascii="Tahoma" w:hAnsi="Tahoma" w:cs="Tahoma"/>
        </w:rPr>
        <w:t xml:space="preserve"> One of the crucial challenges in participant observation has to do with negotiating the right balance, </w:t>
      </w:r>
      <w:proofErr w:type="spellStart"/>
      <w:r w:rsidRPr="00F57DA2">
        <w:rPr>
          <w:rFonts w:ascii="Tahoma" w:hAnsi="Tahoma" w:cs="Tahoma"/>
        </w:rPr>
        <w:t>vis</w:t>
      </w:r>
      <w:proofErr w:type="spellEnd"/>
      <w:r w:rsidRPr="00F57DA2">
        <w:rPr>
          <w:rFonts w:ascii="Tahoma" w:hAnsi="Tahoma" w:cs="Tahoma"/>
        </w:rPr>
        <w:t>-a-</w:t>
      </w:r>
      <w:proofErr w:type="spellStart"/>
      <w:r w:rsidRPr="00F57DA2">
        <w:rPr>
          <w:rFonts w:ascii="Tahoma" w:hAnsi="Tahoma" w:cs="Tahoma"/>
        </w:rPr>
        <w:t>vis</w:t>
      </w:r>
      <w:proofErr w:type="spellEnd"/>
      <w:r w:rsidRPr="00F57DA2">
        <w:rPr>
          <w:rFonts w:ascii="Tahoma" w:hAnsi="Tahoma" w:cs="Tahoma"/>
        </w:rPr>
        <w:t xml:space="preserve"> the group, between being a complete insider, and being a total outsider. It is by striking the right balance between the two extremes, and succeeding in both participating and observing simultaneously, that the researcher can use this method of data collection most fruitfully and effectively.</w:t>
      </w:r>
    </w:p>
    <w:p w:rsidR="00683051" w:rsidRPr="00F57DA2" w:rsidRDefault="00683051" w:rsidP="00683051">
      <w:pPr>
        <w:rPr>
          <w:rFonts w:ascii="Tahoma" w:hAnsi="Tahoma" w:cs="Tahoma"/>
        </w:rPr>
      </w:pPr>
    </w:p>
    <w:p w:rsidR="00683051" w:rsidRPr="00F57DA2" w:rsidRDefault="00683051" w:rsidP="00683051">
      <w:pPr>
        <w:rPr>
          <w:rFonts w:ascii="Tahoma" w:hAnsi="Tahoma" w:cs="Tahoma"/>
          <w:color w:val="FF0000"/>
        </w:rPr>
      </w:pPr>
      <w:r w:rsidRPr="00F57DA2">
        <w:rPr>
          <w:rFonts w:ascii="Tahoma" w:hAnsi="Tahoma" w:cs="Tahoma"/>
        </w:rPr>
        <w:t>There are several crucial issues to consider while planning one’s data collection as a participant observer. Important among these are issues relating to selecting the fieldwork site, negotiating access to the chosen site and determining the length of time for participant observation in the field.  Researchers also require skills in negotiating relations with members of the group, recording data, and making crucial decisions, such as when to exit the field.</w:t>
      </w:r>
    </w:p>
    <w:p w:rsidR="00683051" w:rsidRPr="00F57DA2" w:rsidRDefault="00683051" w:rsidP="00683051">
      <w:pPr>
        <w:rPr>
          <w:rFonts w:ascii="Tahoma" w:hAnsi="Tahoma" w:cs="Tahoma"/>
        </w:rPr>
      </w:pPr>
    </w:p>
    <w:p w:rsidR="00683051" w:rsidRPr="00F57DA2" w:rsidRDefault="00683051" w:rsidP="00683051">
      <w:pPr>
        <w:rPr>
          <w:rFonts w:ascii="Tahoma" w:hAnsi="Tahoma" w:cs="Tahoma"/>
        </w:rPr>
      </w:pPr>
      <w:r w:rsidRPr="00F57DA2">
        <w:rPr>
          <w:rFonts w:ascii="Tahoma" w:hAnsi="Tahoma" w:cs="Tahoma"/>
        </w:rPr>
        <w:t xml:space="preserve">In selecting the fieldwork site, one has to identify different sorts of setting that would be most appropriate for the investigation of the research problem. Possible research sites need to be investigated to determine their suitability, the feasibility of carrying out research, and the level of access. Selecting the setting </w:t>
      </w:r>
      <w:proofErr w:type="gramStart"/>
      <w:r w:rsidRPr="00F57DA2">
        <w:rPr>
          <w:rFonts w:ascii="Tahoma" w:hAnsi="Tahoma" w:cs="Tahoma"/>
        </w:rPr>
        <w:t>itself</w:t>
      </w:r>
      <w:proofErr w:type="gramEnd"/>
      <w:r w:rsidRPr="00F57DA2">
        <w:rPr>
          <w:rFonts w:ascii="Tahoma" w:hAnsi="Tahoma" w:cs="Tahoma"/>
        </w:rPr>
        <w:t xml:space="preserve"> thus requires some preliminary research. It always helps to get all the information possible about a setting prior to embarking on one’s research, meeting people who have been there and experienced the place, and making trips there oneself to assess feasibility. In some cases, one might opt for multi-sited fieldwork, choosing not one but more settings to carry out participant observation. It is important to bear in mind, however, that the more settings studied, the less time one can spend in each. Multi-sited fieldwork always entails a trade-off between depth and breadth of research.</w:t>
      </w:r>
    </w:p>
    <w:p w:rsidR="00683051" w:rsidRPr="00F57DA2" w:rsidRDefault="00683051" w:rsidP="00683051">
      <w:pPr>
        <w:rPr>
          <w:rFonts w:ascii="Tahoma" w:hAnsi="Tahoma" w:cs="Tahoma"/>
        </w:rPr>
      </w:pPr>
    </w:p>
    <w:p w:rsidR="00683051" w:rsidRPr="00F57DA2" w:rsidRDefault="00683051" w:rsidP="00683051">
      <w:pPr>
        <w:rPr>
          <w:rFonts w:ascii="Tahoma" w:hAnsi="Tahoma" w:cs="Tahoma"/>
        </w:rPr>
      </w:pPr>
      <w:r w:rsidRPr="00F57DA2">
        <w:rPr>
          <w:rFonts w:ascii="Tahoma" w:hAnsi="Tahoma" w:cs="Tahoma"/>
        </w:rPr>
        <w:t>If the fieldwork is to take place in a formal or private setting, the researcher will usually encounter gate</w:t>
      </w:r>
      <w:r>
        <w:rPr>
          <w:rFonts w:ascii="Tahoma" w:hAnsi="Tahoma" w:cs="Tahoma"/>
        </w:rPr>
        <w:t>keep</w:t>
      </w:r>
      <w:r w:rsidRPr="00F57DA2">
        <w:rPr>
          <w:rFonts w:ascii="Tahoma" w:hAnsi="Tahoma" w:cs="Tahoma"/>
        </w:rPr>
        <w:t>ers (officials or persons in positions of authority within the group or organisation) who must be approached for official permission to conduct research. Where permission is granted, gatekeepers will normally be concerned that the researcher should present them and their fellows in a favourable light, and may therefore attempt to control the research, often by blocking off certain lines of enquiry, or by shepherding the researcher in particular directions. This is something the researcher will have to negotiate with care and sensitivity. In all cases, deception of any sort should be avoided, and the researcher should make every effort to build trust and confidence. In negotiating access to different areas within the field, diplomacy, tact, and patience are often of the essence.</w:t>
      </w:r>
      <w:r>
        <w:rPr>
          <w:rFonts w:ascii="Tahoma" w:hAnsi="Tahoma" w:cs="Tahoma"/>
        </w:rPr>
        <w:t xml:space="preserve"> Particular care needs to be taken when seeking access to vulnerable groups such as disabled </w:t>
      </w:r>
      <w:r>
        <w:rPr>
          <w:rFonts w:ascii="Tahoma" w:hAnsi="Tahoma" w:cs="Tahoma"/>
        </w:rPr>
        <w:lastRenderedPageBreak/>
        <w:t xml:space="preserve">persons and children, and the researcher must make sure to be well aware of the legal restrictions that apply in these cases. </w:t>
      </w:r>
    </w:p>
    <w:p w:rsidR="00683051" w:rsidRPr="00F57DA2" w:rsidRDefault="00683051" w:rsidP="00683051">
      <w:pPr>
        <w:rPr>
          <w:rFonts w:ascii="Tahoma" w:hAnsi="Tahoma" w:cs="Tahoma"/>
        </w:rPr>
      </w:pPr>
    </w:p>
    <w:p w:rsidR="00683051" w:rsidRPr="00F57DA2" w:rsidRDefault="00683051" w:rsidP="00683051">
      <w:pPr>
        <w:rPr>
          <w:rFonts w:ascii="Tahoma" w:hAnsi="Tahoma" w:cs="Tahoma"/>
        </w:rPr>
      </w:pPr>
      <w:r w:rsidRPr="00F57DA2">
        <w:rPr>
          <w:rFonts w:ascii="Tahoma" w:hAnsi="Tahoma" w:cs="Tahoma"/>
        </w:rPr>
        <w:t>People in the field are likely to be curious about the researcher and to try and locate him/her within familiar categories. Their reactions may vary from suspicion and hostility to the expectation that the researcher possesses some kind of expert knowledge. Most importantly, they will want to ascertain that the researcher can be trusted.</w:t>
      </w:r>
    </w:p>
    <w:p w:rsidR="00683051" w:rsidRPr="00F57DA2" w:rsidRDefault="00683051" w:rsidP="00683051">
      <w:pPr>
        <w:rPr>
          <w:rFonts w:ascii="Tahoma" w:hAnsi="Tahoma" w:cs="Tahoma"/>
        </w:rPr>
      </w:pPr>
    </w:p>
    <w:p w:rsidR="00683051" w:rsidRPr="00F57DA2" w:rsidRDefault="00683051" w:rsidP="00683051">
      <w:pPr>
        <w:rPr>
          <w:rFonts w:ascii="Tahoma" w:hAnsi="Tahoma" w:cs="Tahoma"/>
        </w:rPr>
      </w:pPr>
      <w:r w:rsidRPr="00F57DA2">
        <w:rPr>
          <w:rFonts w:ascii="Tahoma" w:hAnsi="Tahoma" w:cs="Tahoma"/>
        </w:rPr>
        <w:t>Normal social intercourse, sensitivity to the needs and expectations of group members, and sociability are all good for building trust. However, one cannot rely only on those one finds most congenial for information; one cannot choose one’s research subjects on the same basis that one chooses friends. Ideally the researcher should never feel entirely at home in the fieldwork setting, Intellectually (s)he should be poised between familiarity and strangeness, between being a stranger and friend to those being studied, allowing just enough distance for the researcher’s analytical work to get done. Over</w:t>
      </w:r>
      <w:r>
        <w:rPr>
          <w:rFonts w:ascii="Tahoma" w:hAnsi="Tahoma" w:cs="Tahoma"/>
        </w:rPr>
        <w:t>-</w:t>
      </w:r>
      <w:r w:rsidRPr="00F57DA2">
        <w:rPr>
          <w:rFonts w:ascii="Tahoma" w:hAnsi="Tahoma" w:cs="Tahoma"/>
        </w:rPr>
        <w:t>familiarity can often cloud this analytical judgement, while excessive distance can result in the researcher failing to understand the perspectives of those being studied.</w:t>
      </w:r>
    </w:p>
    <w:p w:rsidR="00683051" w:rsidRPr="00F57DA2" w:rsidRDefault="00683051" w:rsidP="00683051">
      <w:pPr>
        <w:rPr>
          <w:rFonts w:ascii="Tahoma" w:hAnsi="Tahoma" w:cs="Tahoma"/>
        </w:rPr>
      </w:pPr>
    </w:p>
    <w:p w:rsidR="00683051" w:rsidRPr="00F57DA2" w:rsidRDefault="00683051" w:rsidP="00683051">
      <w:pPr>
        <w:rPr>
          <w:rFonts w:ascii="Tahoma" w:hAnsi="Tahoma" w:cs="Tahoma"/>
        </w:rPr>
      </w:pPr>
      <w:r w:rsidRPr="00F57DA2">
        <w:rPr>
          <w:rFonts w:ascii="Tahoma" w:hAnsi="Tahoma" w:cs="Tahoma"/>
        </w:rPr>
        <w:t xml:space="preserve">Impression management is crucial in the field. How the researcher manages the impressions (s)he gives others is crucial to determining how those being studied  react to his/her presence in their midst. Factors such as clothing, personal appearance, speech and demeanour all have a crucial role to play in impression management. There are no universal prescriptions for these; the crucial thing is for the researcher to have a high degree of awareness about these issues and about the kind of responses being elicited by different modes of self-representation. There are of course aspects of </w:t>
      </w:r>
      <w:proofErr w:type="gramStart"/>
      <w:r w:rsidRPr="00F57DA2">
        <w:rPr>
          <w:rFonts w:ascii="Tahoma" w:hAnsi="Tahoma" w:cs="Tahoma"/>
        </w:rPr>
        <w:t>one’s</w:t>
      </w:r>
      <w:proofErr w:type="gramEnd"/>
      <w:r w:rsidRPr="00F57DA2">
        <w:rPr>
          <w:rFonts w:ascii="Tahoma" w:hAnsi="Tahoma" w:cs="Tahoma"/>
        </w:rPr>
        <w:t xml:space="preserve"> self that are not open to ‘management’ – these include sex, age, ethnic and religious background. All these influence the research process and open up or block off particular avenues of research. Again, it is vital that the researcher be aware of these issues, and be in a position to discuss their implications for his/her research findings. It is often advisable to try and contribute in some way to the group one is studying, in order to reciprocate any kindness or generosity or favours extended by members to the researcher, but only where this can be arranged in ways that do not compromise the research itself. </w:t>
      </w:r>
    </w:p>
    <w:p w:rsidR="00683051" w:rsidRPr="00F57DA2" w:rsidRDefault="00683051" w:rsidP="00683051">
      <w:pPr>
        <w:rPr>
          <w:rFonts w:ascii="Tahoma" w:hAnsi="Tahoma" w:cs="Tahoma"/>
        </w:rPr>
      </w:pPr>
    </w:p>
    <w:p w:rsidR="00683051" w:rsidRPr="00F57DA2" w:rsidRDefault="00683051" w:rsidP="00683051">
      <w:pPr>
        <w:rPr>
          <w:rFonts w:ascii="Tahoma" w:hAnsi="Tahoma" w:cs="Tahoma"/>
        </w:rPr>
      </w:pPr>
      <w:r w:rsidRPr="00F57DA2">
        <w:rPr>
          <w:rFonts w:ascii="Tahoma" w:hAnsi="Tahoma" w:cs="Tahoma"/>
        </w:rPr>
        <w:t>Data collected during participant observation is usually recorded in the form of field</w:t>
      </w:r>
      <w:r>
        <w:rPr>
          <w:rFonts w:ascii="Tahoma" w:hAnsi="Tahoma" w:cs="Tahoma"/>
        </w:rPr>
        <w:t>-</w:t>
      </w:r>
      <w:r w:rsidRPr="00F57DA2">
        <w:rPr>
          <w:rFonts w:ascii="Tahoma" w:hAnsi="Tahoma" w:cs="Tahoma"/>
        </w:rPr>
        <w:t xml:space="preserve">notes. Interviews and focus group discussions, discussed in the following unit, are often a very important part of one’s research at the fieldwork site. It is important to take, where possible, audio recordings of these, which can be transcribed at a later stage. Today researchers collecting data through participant observation often rely to a considerable extent on photography and even video recording, if such methods of data collection and recording are permissible. </w:t>
      </w:r>
      <w:r>
        <w:rPr>
          <w:rFonts w:ascii="Tahoma" w:hAnsi="Tahoma" w:cs="Tahoma"/>
        </w:rPr>
        <w:t xml:space="preserve">In all such cases, it is vital to get the informed consent of those being taped/ filmed. All such data is now subject to data protection legislation and to the conditions set out in the Freedom of Information Act. </w:t>
      </w:r>
    </w:p>
    <w:p w:rsidR="00683051" w:rsidRPr="00F57DA2" w:rsidRDefault="00683051" w:rsidP="00683051">
      <w:pPr>
        <w:rPr>
          <w:rFonts w:ascii="Tahoma" w:hAnsi="Tahoma" w:cs="Tahoma"/>
        </w:rPr>
      </w:pPr>
    </w:p>
    <w:p w:rsidR="00683051" w:rsidRPr="00F57DA2" w:rsidRDefault="00683051" w:rsidP="00683051">
      <w:pPr>
        <w:rPr>
          <w:rFonts w:ascii="Tahoma" w:hAnsi="Tahoma" w:cs="Tahoma"/>
        </w:rPr>
      </w:pPr>
      <w:r w:rsidRPr="00F57DA2">
        <w:rPr>
          <w:rFonts w:ascii="Tahoma" w:hAnsi="Tahoma" w:cs="Tahoma"/>
        </w:rPr>
        <w:lastRenderedPageBreak/>
        <w:t>When the required data has been collected, the researcher has to decide on an appropriate time to quit the field. Even after leaving the field, it is always useful to keep open the channels of contact and communication with one’s research subjects, so that it becomes possible to return at a later date for further participant observation and data collection in case the need arises. In some cases the researcher may seek respondent validation (confirmation from informants that the findings of the study are accurate);</w:t>
      </w:r>
      <w:r w:rsidRPr="00F57DA2">
        <w:rPr>
          <w:rFonts w:ascii="Tahoma" w:hAnsi="Tahoma" w:cs="Tahoma"/>
          <w:color w:val="FF0000"/>
        </w:rPr>
        <w:t xml:space="preserve"> </w:t>
      </w:r>
      <w:r w:rsidRPr="00F57DA2">
        <w:rPr>
          <w:rFonts w:ascii="Tahoma" w:hAnsi="Tahoma" w:cs="Tahoma"/>
        </w:rPr>
        <w:t xml:space="preserve">here again sustained contact and communication are important.  </w:t>
      </w:r>
    </w:p>
    <w:p w:rsidR="00683051" w:rsidRPr="00F57DA2" w:rsidRDefault="00683051" w:rsidP="00683051">
      <w:pPr>
        <w:rPr>
          <w:rFonts w:ascii="Tahoma" w:hAnsi="Tahoma" w:cs="Tahoma"/>
        </w:rPr>
      </w:pPr>
    </w:p>
    <w:p w:rsidR="00683051" w:rsidRPr="00A9616E" w:rsidRDefault="00683051" w:rsidP="00683051">
      <w:pPr>
        <w:pStyle w:val="Heading1"/>
        <w:rPr>
          <w:rFonts w:ascii="Tahoma" w:hAnsi="Tahoma" w:cs="Tahoma"/>
          <w:sz w:val="28"/>
        </w:rPr>
      </w:pPr>
      <w:r w:rsidRPr="00A9616E">
        <w:rPr>
          <w:rFonts w:ascii="Tahoma" w:hAnsi="Tahoma" w:cs="Tahoma"/>
          <w:sz w:val="28"/>
        </w:rPr>
        <w:t xml:space="preserve">Task </w:t>
      </w:r>
    </w:p>
    <w:p w:rsidR="00683051" w:rsidRPr="00F57DA2" w:rsidRDefault="00683051" w:rsidP="00683051">
      <w:pPr>
        <w:rPr>
          <w:rFonts w:ascii="Tahoma" w:hAnsi="Tahoma" w:cs="Tahoma"/>
          <w:b/>
        </w:rPr>
      </w:pPr>
    </w:p>
    <w:p w:rsidR="00683051" w:rsidRPr="00F57DA2" w:rsidRDefault="00683051" w:rsidP="00683051">
      <w:pPr>
        <w:numPr>
          <w:ilvl w:val="0"/>
          <w:numId w:val="1"/>
        </w:numPr>
        <w:rPr>
          <w:rFonts w:ascii="Tahoma" w:hAnsi="Tahoma" w:cs="Tahoma"/>
        </w:rPr>
      </w:pPr>
      <w:r w:rsidRPr="00F57DA2">
        <w:rPr>
          <w:rFonts w:ascii="Tahoma" w:hAnsi="Tahoma" w:cs="Tahoma"/>
          <w:b/>
        </w:rPr>
        <w:t xml:space="preserve">Read </w:t>
      </w:r>
      <w:r>
        <w:rPr>
          <w:rFonts w:ascii="Tahoma" w:hAnsi="Tahoma" w:cs="Tahoma"/>
          <w:b/>
        </w:rPr>
        <w:t xml:space="preserve">chapter 14 of </w:t>
      </w:r>
      <w:proofErr w:type="spellStart"/>
      <w:r w:rsidRPr="00F57DA2">
        <w:rPr>
          <w:rFonts w:ascii="Tahoma" w:hAnsi="Tahoma" w:cs="Tahoma"/>
          <w:b/>
        </w:rPr>
        <w:t>Bryman</w:t>
      </w:r>
      <w:proofErr w:type="spellEnd"/>
      <w:r w:rsidRPr="00F57DA2">
        <w:rPr>
          <w:rFonts w:ascii="Tahoma" w:hAnsi="Tahoma" w:cs="Tahoma"/>
          <w:b/>
        </w:rPr>
        <w:t xml:space="preserve">. </w:t>
      </w:r>
      <w:r w:rsidRPr="00F57DA2">
        <w:rPr>
          <w:rFonts w:ascii="Tahoma" w:hAnsi="Tahoma" w:cs="Tahoma"/>
        </w:rPr>
        <w:t xml:space="preserve">Also </w:t>
      </w:r>
      <w:r>
        <w:rPr>
          <w:rFonts w:ascii="Tahoma" w:hAnsi="Tahoma" w:cs="Tahoma"/>
        </w:rPr>
        <w:t xml:space="preserve">look at the following articles, </w:t>
      </w:r>
      <w:r w:rsidRPr="00F57DA2">
        <w:rPr>
          <w:rFonts w:ascii="Tahoma" w:hAnsi="Tahoma" w:cs="Tahoma"/>
        </w:rPr>
        <w:t>wh</w:t>
      </w:r>
      <w:r>
        <w:rPr>
          <w:rFonts w:ascii="Tahoma" w:hAnsi="Tahoma" w:cs="Tahoma"/>
        </w:rPr>
        <w:t>ere the respective authors</w:t>
      </w:r>
      <w:r w:rsidRPr="00F57DA2">
        <w:rPr>
          <w:rFonts w:ascii="Tahoma" w:hAnsi="Tahoma" w:cs="Tahoma"/>
        </w:rPr>
        <w:t xml:space="preserve"> study pilgrimage using the method of participant observation in two completely different religious traditions. </w:t>
      </w:r>
    </w:p>
    <w:p w:rsidR="00683051" w:rsidRPr="00F57DA2" w:rsidRDefault="00683051" w:rsidP="00683051">
      <w:pPr>
        <w:ind w:left="360"/>
        <w:rPr>
          <w:rFonts w:ascii="Tahoma" w:hAnsi="Tahoma" w:cs="Tahoma"/>
        </w:rPr>
      </w:pPr>
    </w:p>
    <w:p w:rsidR="00683051" w:rsidRDefault="00683051" w:rsidP="00683051">
      <w:pPr>
        <w:ind w:left="360"/>
        <w:rPr>
          <w:rFonts w:ascii="Tahoma" w:hAnsi="Tahoma" w:cs="Tahoma"/>
        </w:rPr>
      </w:pPr>
      <w:r>
        <w:rPr>
          <w:rFonts w:ascii="Tahoma" w:hAnsi="Tahoma" w:cs="Tahoma"/>
        </w:rPr>
        <w:t xml:space="preserve">Dahlberg, Andrea. ‘The body as a principle of holism: three pilgrimages’ in </w:t>
      </w:r>
      <w:proofErr w:type="spellStart"/>
      <w:r>
        <w:rPr>
          <w:rFonts w:ascii="Tahoma" w:hAnsi="Tahoma" w:cs="Tahoma"/>
        </w:rPr>
        <w:t>Eade</w:t>
      </w:r>
      <w:proofErr w:type="spellEnd"/>
      <w:r>
        <w:rPr>
          <w:rFonts w:ascii="Tahoma" w:hAnsi="Tahoma" w:cs="Tahoma"/>
        </w:rPr>
        <w:t xml:space="preserve">, J. and M. </w:t>
      </w:r>
      <w:proofErr w:type="spellStart"/>
      <w:r>
        <w:rPr>
          <w:rFonts w:ascii="Tahoma" w:hAnsi="Tahoma" w:cs="Tahoma"/>
        </w:rPr>
        <w:t>Sallnow</w:t>
      </w:r>
      <w:proofErr w:type="spellEnd"/>
      <w:r>
        <w:rPr>
          <w:rFonts w:ascii="Tahoma" w:hAnsi="Tahoma" w:cs="Tahoma"/>
        </w:rPr>
        <w:t xml:space="preserve"> (</w:t>
      </w:r>
      <w:proofErr w:type="spellStart"/>
      <w:r>
        <w:rPr>
          <w:rFonts w:ascii="Tahoma" w:hAnsi="Tahoma" w:cs="Tahoma"/>
        </w:rPr>
        <w:t>eds</w:t>
      </w:r>
      <w:proofErr w:type="spellEnd"/>
      <w:r>
        <w:rPr>
          <w:rFonts w:ascii="Tahoma" w:hAnsi="Tahoma" w:cs="Tahoma"/>
        </w:rPr>
        <w:t xml:space="preserve">) </w:t>
      </w:r>
      <w:r w:rsidRPr="00625DBD">
        <w:rPr>
          <w:rFonts w:ascii="Tahoma" w:hAnsi="Tahoma" w:cs="Tahoma"/>
          <w:i/>
        </w:rPr>
        <w:t>Contesting the Sacred</w:t>
      </w:r>
      <w:r>
        <w:rPr>
          <w:rFonts w:ascii="Tahoma" w:hAnsi="Tahoma" w:cs="Tahoma"/>
        </w:rPr>
        <w:t xml:space="preserve"> (London and New York: Routledge, 1991)</w:t>
      </w:r>
    </w:p>
    <w:p w:rsidR="00683051" w:rsidRDefault="00683051" w:rsidP="00683051">
      <w:pPr>
        <w:ind w:left="360"/>
        <w:rPr>
          <w:rFonts w:ascii="Tahoma" w:hAnsi="Tahoma" w:cs="Tahoma"/>
        </w:rPr>
      </w:pPr>
    </w:p>
    <w:p w:rsidR="00683051" w:rsidRPr="00F57DA2" w:rsidRDefault="00683051" w:rsidP="00683051">
      <w:pPr>
        <w:ind w:left="360"/>
        <w:rPr>
          <w:rFonts w:ascii="Tahoma" w:hAnsi="Tahoma" w:cs="Tahoma"/>
        </w:rPr>
      </w:pPr>
      <w:proofErr w:type="gramStart"/>
      <w:r>
        <w:rPr>
          <w:rFonts w:ascii="Tahoma" w:hAnsi="Tahoma" w:cs="Tahoma"/>
        </w:rPr>
        <w:t xml:space="preserve">Gold, Ann </w:t>
      </w:r>
      <w:proofErr w:type="spellStart"/>
      <w:r>
        <w:rPr>
          <w:rFonts w:ascii="Tahoma" w:hAnsi="Tahoma" w:cs="Tahoma"/>
        </w:rPr>
        <w:t>Grodzins</w:t>
      </w:r>
      <w:proofErr w:type="spellEnd"/>
      <w:r>
        <w:rPr>
          <w:rFonts w:ascii="Tahoma" w:hAnsi="Tahoma" w:cs="Tahoma"/>
        </w:rPr>
        <w:t>.</w:t>
      </w:r>
      <w:proofErr w:type="gramEnd"/>
      <w:r>
        <w:rPr>
          <w:rFonts w:ascii="Tahoma" w:hAnsi="Tahoma" w:cs="Tahoma"/>
        </w:rPr>
        <w:t xml:space="preserve"> </w:t>
      </w:r>
      <w:r w:rsidRPr="00F57DA2">
        <w:rPr>
          <w:rFonts w:ascii="Tahoma" w:hAnsi="Tahoma" w:cs="Tahoma"/>
        </w:rPr>
        <w:t xml:space="preserve"> </w:t>
      </w:r>
      <w:r w:rsidRPr="00F57DA2">
        <w:rPr>
          <w:rFonts w:ascii="Tahoma" w:hAnsi="Tahoma" w:cs="Tahoma"/>
          <w:i/>
        </w:rPr>
        <w:t xml:space="preserve">Fruitful Journeys: The Ways of </w:t>
      </w:r>
      <w:proofErr w:type="spellStart"/>
      <w:r w:rsidRPr="00F57DA2">
        <w:rPr>
          <w:rFonts w:ascii="Tahoma" w:hAnsi="Tahoma" w:cs="Tahoma"/>
          <w:i/>
        </w:rPr>
        <w:t>Rajasthani</w:t>
      </w:r>
      <w:proofErr w:type="spellEnd"/>
      <w:r w:rsidRPr="00F57DA2">
        <w:rPr>
          <w:rFonts w:ascii="Tahoma" w:hAnsi="Tahoma" w:cs="Tahoma"/>
          <w:i/>
        </w:rPr>
        <w:t xml:space="preserve"> Pilgrims.</w:t>
      </w:r>
      <w:r w:rsidRPr="00F57DA2">
        <w:rPr>
          <w:rFonts w:ascii="Tahoma" w:hAnsi="Tahoma" w:cs="Tahoma"/>
        </w:rPr>
        <w:t xml:space="preserve"> </w:t>
      </w:r>
      <w:r>
        <w:rPr>
          <w:rFonts w:ascii="Tahoma" w:hAnsi="Tahoma" w:cs="Tahoma"/>
        </w:rPr>
        <w:t>(</w:t>
      </w:r>
      <w:r w:rsidRPr="00F57DA2">
        <w:rPr>
          <w:rFonts w:ascii="Tahoma" w:hAnsi="Tahoma" w:cs="Tahoma"/>
        </w:rPr>
        <w:t>Illinois: Waveland Press</w:t>
      </w:r>
      <w:r>
        <w:rPr>
          <w:rFonts w:ascii="Tahoma" w:hAnsi="Tahoma" w:cs="Tahoma"/>
        </w:rPr>
        <w:t>, 2000 [1998]; Chapter 5)</w:t>
      </w:r>
    </w:p>
    <w:p w:rsidR="00683051" w:rsidRPr="00F57DA2" w:rsidRDefault="00683051" w:rsidP="00683051">
      <w:pPr>
        <w:ind w:left="360"/>
        <w:rPr>
          <w:rFonts w:ascii="Tahoma" w:hAnsi="Tahoma" w:cs="Tahoma"/>
        </w:rPr>
      </w:pPr>
    </w:p>
    <w:p w:rsidR="00683051" w:rsidRPr="00F57DA2" w:rsidRDefault="00683051" w:rsidP="00683051">
      <w:pPr>
        <w:ind w:left="360"/>
        <w:rPr>
          <w:rFonts w:ascii="Tahoma" w:hAnsi="Tahoma" w:cs="Tahoma"/>
        </w:rPr>
      </w:pPr>
      <w:r w:rsidRPr="00F57DA2">
        <w:rPr>
          <w:rFonts w:ascii="Tahoma" w:hAnsi="Tahoma" w:cs="Tahoma"/>
        </w:rPr>
        <w:t>Both are based on extended periods of fieldwork in settings which are fairly fluid and changing. Can you try and identify the main strengths and weaknesses of the research methods used in the respective studies?</w:t>
      </w:r>
    </w:p>
    <w:p w:rsidR="00683051" w:rsidRPr="00F57DA2" w:rsidRDefault="00683051" w:rsidP="00683051">
      <w:pPr>
        <w:rPr>
          <w:rFonts w:ascii="Tahoma" w:hAnsi="Tahoma" w:cs="Tahoma"/>
        </w:rPr>
      </w:pPr>
    </w:p>
    <w:p w:rsidR="00683051" w:rsidRPr="00F57DA2" w:rsidRDefault="00683051" w:rsidP="00683051">
      <w:pPr>
        <w:numPr>
          <w:ilvl w:val="0"/>
          <w:numId w:val="2"/>
        </w:numPr>
        <w:rPr>
          <w:rFonts w:ascii="Tahoma" w:hAnsi="Tahoma" w:cs="Tahoma"/>
        </w:rPr>
      </w:pPr>
      <w:r w:rsidRPr="00F57DA2">
        <w:rPr>
          <w:rFonts w:ascii="Tahoma" w:hAnsi="Tahoma" w:cs="Tahoma"/>
        </w:rPr>
        <w:t xml:space="preserve">Can participant observation be conducted on cyberspace? Read the relevant sections of </w:t>
      </w:r>
      <w:proofErr w:type="spellStart"/>
      <w:r w:rsidRPr="00F57DA2">
        <w:rPr>
          <w:rFonts w:ascii="Tahoma" w:hAnsi="Tahoma" w:cs="Tahoma"/>
        </w:rPr>
        <w:t>Bryman</w:t>
      </w:r>
      <w:proofErr w:type="spellEnd"/>
      <w:r w:rsidRPr="00F57DA2">
        <w:rPr>
          <w:rFonts w:ascii="Tahoma" w:hAnsi="Tahoma" w:cs="Tahoma"/>
        </w:rPr>
        <w:t xml:space="preserve"> Chapter 23 to explore the possibilities for on-line participant observation.</w:t>
      </w:r>
    </w:p>
    <w:p w:rsidR="00A425CC" w:rsidRDefault="00A425CC"/>
    <w:sectPr w:rsidR="00A425CC" w:rsidSect="00A425CC">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61A3" w:rsidRDefault="009C61A3" w:rsidP="00683051">
      <w:r>
        <w:separator/>
      </w:r>
    </w:p>
  </w:endnote>
  <w:endnote w:type="continuationSeparator" w:id="0">
    <w:p w:rsidR="009C61A3" w:rsidRDefault="009C61A3" w:rsidP="006830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50033"/>
      <w:docPartObj>
        <w:docPartGallery w:val="Page Numbers (Bottom of Page)"/>
        <w:docPartUnique/>
      </w:docPartObj>
    </w:sdtPr>
    <w:sdtContent>
      <w:p w:rsidR="00683051" w:rsidRDefault="00683051">
        <w:pPr>
          <w:pStyle w:val="Footer"/>
          <w:jc w:val="right"/>
        </w:pPr>
        <w:fldSimple w:instr=" PAGE   \* MERGEFORMAT ">
          <w:r>
            <w:rPr>
              <w:noProof/>
            </w:rPr>
            <w:t>3</w:t>
          </w:r>
        </w:fldSimple>
      </w:p>
    </w:sdtContent>
  </w:sdt>
  <w:p w:rsidR="00683051" w:rsidRDefault="006830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61A3" w:rsidRDefault="009C61A3" w:rsidP="00683051">
      <w:r>
        <w:separator/>
      </w:r>
    </w:p>
  </w:footnote>
  <w:footnote w:type="continuationSeparator" w:id="0">
    <w:p w:rsidR="009C61A3" w:rsidRDefault="009C61A3" w:rsidP="006830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1303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65647DAC"/>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83051"/>
    <w:rsid w:val="00683051"/>
    <w:rsid w:val="009C61A3"/>
    <w:rsid w:val="00A425C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051"/>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683051"/>
    <w:pPr>
      <w:keepNext/>
      <w:outlineLvl w:val="0"/>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3051"/>
    <w:rPr>
      <w:rFonts w:ascii="Times New Roman" w:eastAsia="Times New Roman" w:hAnsi="Times New Roman" w:cs="Times New Roman"/>
      <w:b/>
      <w:bCs/>
      <w:sz w:val="24"/>
      <w:szCs w:val="24"/>
      <w:lang w:eastAsia="zh-CN"/>
    </w:rPr>
  </w:style>
  <w:style w:type="paragraph" w:styleId="Header">
    <w:name w:val="header"/>
    <w:basedOn w:val="Normal"/>
    <w:link w:val="HeaderChar"/>
    <w:uiPriority w:val="99"/>
    <w:semiHidden/>
    <w:unhideWhenUsed/>
    <w:rsid w:val="00683051"/>
    <w:pPr>
      <w:tabs>
        <w:tab w:val="center" w:pos="4513"/>
        <w:tab w:val="right" w:pos="9026"/>
      </w:tabs>
    </w:pPr>
  </w:style>
  <w:style w:type="character" w:customStyle="1" w:styleId="HeaderChar">
    <w:name w:val="Header Char"/>
    <w:basedOn w:val="DefaultParagraphFont"/>
    <w:link w:val="Header"/>
    <w:uiPriority w:val="99"/>
    <w:semiHidden/>
    <w:rsid w:val="00683051"/>
    <w:rPr>
      <w:rFonts w:ascii="Times New Roman" w:eastAsia="SimSun" w:hAnsi="Times New Roman" w:cs="Times New Roman"/>
      <w:sz w:val="24"/>
      <w:szCs w:val="24"/>
      <w:lang w:eastAsia="zh-CN"/>
    </w:rPr>
  </w:style>
  <w:style w:type="paragraph" w:styleId="Footer">
    <w:name w:val="footer"/>
    <w:basedOn w:val="Normal"/>
    <w:link w:val="FooterChar"/>
    <w:uiPriority w:val="99"/>
    <w:unhideWhenUsed/>
    <w:rsid w:val="00683051"/>
    <w:pPr>
      <w:tabs>
        <w:tab w:val="center" w:pos="4513"/>
        <w:tab w:val="right" w:pos="9026"/>
      </w:tabs>
    </w:pPr>
  </w:style>
  <w:style w:type="character" w:customStyle="1" w:styleId="FooterChar">
    <w:name w:val="Footer Char"/>
    <w:basedOn w:val="DefaultParagraphFont"/>
    <w:link w:val="Footer"/>
    <w:uiPriority w:val="99"/>
    <w:rsid w:val="00683051"/>
    <w:rPr>
      <w:rFonts w:ascii="Times New Roman" w:eastAsia="SimSu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1192</Words>
  <Characters>6798</Characters>
  <Application>Microsoft Office Word</Application>
  <DocSecurity>0</DocSecurity>
  <Lines>56</Lines>
  <Paragraphs>15</Paragraphs>
  <ScaleCrop>false</ScaleCrop>
  <Company/>
  <LinksUpToDate>false</LinksUpToDate>
  <CharactersWithSpaces>7975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sw040</dc:creator>
  <cp:lastModifiedBy>sw040</cp:lastModifiedBy>
  <cp:revision>1</cp:revision>
  <dcterms:created xsi:type="dcterms:W3CDTF">2013-01-14T15:06:00Z</dcterms:created>
  <dcterms:modified xsi:type="dcterms:W3CDTF">2013-01-14T15:07:00Z</dcterms:modified>
</cp:coreProperties>
</file>