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8F4FEC" w14:textId="77777777" w:rsidR="00ED290A" w:rsidRPr="00FE195C" w:rsidRDefault="00ED290A" w:rsidP="001C4B03">
      <w:pPr>
        <w:jc w:val="center"/>
        <w:rPr>
          <w:sz w:val="28"/>
          <w:szCs w:val="24"/>
          <w:lang w:bidi="bn-IN"/>
        </w:rPr>
      </w:pPr>
      <w:r w:rsidRPr="00FE195C">
        <w:rPr>
          <w:sz w:val="28"/>
          <w:szCs w:val="24"/>
          <w:lang w:bidi="bn-IN"/>
        </w:rPr>
        <w:t>BA (Hons) Business Management</w:t>
      </w:r>
    </w:p>
    <w:p w14:paraId="01F9ED20" w14:textId="77777777" w:rsidR="00ED290A" w:rsidRPr="00FE195C" w:rsidRDefault="00ED290A" w:rsidP="001C4B03">
      <w:pPr>
        <w:jc w:val="center"/>
        <w:rPr>
          <w:sz w:val="28"/>
          <w:szCs w:val="24"/>
          <w:lang w:bidi="bn-IN"/>
        </w:rPr>
      </w:pPr>
      <w:r w:rsidRPr="00FE195C">
        <w:rPr>
          <w:sz w:val="28"/>
          <w:szCs w:val="24"/>
          <w:lang w:bidi="bn-IN"/>
        </w:rPr>
        <w:t>Strategic Management and Sustainability</w:t>
      </w:r>
    </w:p>
    <w:p w14:paraId="6C0A96AD" w14:textId="252781A4" w:rsidR="00ED290A" w:rsidRDefault="00ED290A" w:rsidP="001C4B03">
      <w:pPr>
        <w:jc w:val="center"/>
        <w:rPr>
          <w:sz w:val="28"/>
          <w:szCs w:val="24"/>
          <w:lang w:bidi="bn-IN"/>
        </w:rPr>
      </w:pPr>
      <w:r w:rsidRPr="00FE195C">
        <w:rPr>
          <w:sz w:val="28"/>
          <w:szCs w:val="24"/>
          <w:lang w:bidi="bn-IN"/>
        </w:rPr>
        <w:t>Module Code: LCBB 6015</w:t>
      </w:r>
    </w:p>
    <w:p w14:paraId="21B9793C" w14:textId="77A532F6" w:rsidR="005662C2" w:rsidRPr="00FE195C" w:rsidRDefault="005662C2" w:rsidP="001C4B03">
      <w:pPr>
        <w:jc w:val="center"/>
        <w:rPr>
          <w:sz w:val="28"/>
          <w:szCs w:val="24"/>
          <w:lang w:bidi="bn-IN"/>
        </w:rPr>
      </w:pPr>
      <w:r>
        <w:rPr>
          <w:noProof/>
        </w:rPr>
        <w:drawing>
          <wp:anchor distT="0" distB="0" distL="114300" distR="114300" simplePos="0" relativeHeight="251663360" behindDoc="0" locked="0" layoutInCell="1" allowOverlap="1" wp14:anchorId="04C6C3DA" wp14:editId="1FC40F6D">
            <wp:simplePos x="0" y="0"/>
            <wp:positionH relativeFrom="margin">
              <wp:align>center</wp:align>
            </wp:positionH>
            <wp:positionV relativeFrom="paragraph">
              <wp:posOffset>337185</wp:posOffset>
            </wp:positionV>
            <wp:extent cx="3114040" cy="962025"/>
            <wp:effectExtent l="0" t="0" r="0"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3114040" cy="962025"/>
                    </a:xfrm>
                    <a:prstGeom prst="rect">
                      <a:avLst/>
                    </a:prstGeom>
                  </pic:spPr>
                </pic:pic>
              </a:graphicData>
            </a:graphic>
          </wp:anchor>
        </w:drawing>
      </w:r>
    </w:p>
    <w:p w14:paraId="06ADB898" w14:textId="77777777" w:rsidR="00ED290A" w:rsidRPr="00FE195C" w:rsidRDefault="00ED290A" w:rsidP="001C4B03">
      <w:pPr>
        <w:jc w:val="center"/>
        <w:rPr>
          <w:b/>
          <w:bCs/>
          <w:sz w:val="32"/>
          <w:szCs w:val="28"/>
          <w:lang w:bidi="bn-IN"/>
        </w:rPr>
      </w:pPr>
    </w:p>
    <w:p w14:paraId="1B92EB29" w14:textId="4BCCB0F6" w:rsidR="003D3622" w:rsidRPr="00FE195C" w:rsidRDefault="003D3622" w:rsidP="001C4B03">
      <w:pPr>
        <w:jc w:val="center"/>
        <w:rPr>
          <w:b/>
          <w:bCs/>
          <w:sz w:val="32"/>
          <w:szCs w:val="28"/>
          <w:lang w:bidi="bn-IN"/>
        </w:rPr>
      </w:pPr>
      <w:r w:rsidRPr="00FE195C">
        <w:rPr>
          <w:b/>
          <w:bCs/>
          <w:sz w:val="32"/>
          <w:szCs w:val="28"/>
          <w:lang w:bidi="bn-IN"/>
        </w:rPr>
        <w:t>Sustaining Competitive Advantage in the Transition to Electrified and Software-Defined Mobility</w:t>
      </w:r>
    </w:p>
    <w:p w14:paraId="72F79E19" w14:textId="77777777" w:rsidR="00ED290A" w:rsidRPr="00FE195C" w:rsidRDefault="00ED290A" w:rsidP="001C4B03">
      <w:pPr>
        <w:jc w:val="center"/>
        <w:rPr>
          <w:b/>
          <w:bCs/>
          <w:sz w:val="32"/>
          <w:szCs w:val="28"/>
          <w:lang w:bidi="bn-IN"/>
        </w:rPr>
      </w:pPr>
    </w:p>
    <w:p w14:paraId="5EF02047" w14:textId="5CED0BA1" w:rsidR="003D3622" w:rsidRPr="00FE195C" w:rsidRDefault="003D3622" w:rsidP="001C4B03">
      <w:pPr>
        <w:jc w:val="center"/>
        <w:rPr>
          <w:b/>
          <w:bCs/>
          <w:sz w:val="40"/>
          <w:szCs w:val="40"/>
          <w:lang w:bidi="bn-IN"/>
        </w:rPr>
      </w:pPr>
      <w:r w:rsidRPr="00FE195C">
        <w:rPr>
          <w:b/>
          <w:bCs/>
          <w:sz w:val="40"/>
          <w:szCs w:val="40"/>
          <w:lang w:bidi="bn-IN"/>
        </w:rPr>
        <w:t>Report on</w:t>
      </w:r>
    </w:p>
    <w:p w14:paraId="1A2A9D0C" w14:textId="62F62370" w:rsidR="003D3622" w:rsidRPr="00FE195C" w:rsidRDefault="00F50FDC" w:rsidP="001C4B03">
      <w:pPr>
        <w:jc w:val="center"/>
        <w:rPr>
          <w:sz w:val="28"/>
          <w:szCs w:val="24"/>
          <w:lang w:bidi="bn-IN"/>
        </w:rPr>
      </w:pPr>
      <w:r w:rsidRPr="00FE195C">
        <w:rPr>
          <w:sz w:val="28"/>
          <w:szCs w:val="24"/>
          <w:lang w:bidi="bn-IN"/>
        </w:rPr>
        <w:t>Strategy Formulation for Toyota Motor Corporation</w:t>
      </w:r>
    </w:p>
    <w:p w14:paraId="25110CF3" w14:textId="77777777" w:rsidR="003D3622" w:rsidRPr="00FE195C" w:rsidRDefault="003D3622" w:rsidP="001C4B03">
      <w:pPr>
        <w:jc w:val="center"/>
        <w:rPr>
          <w:lang w:bidi="bn-IN"/>
        </w:rPr>
      </w:pPr>
    </w:p>
    <w:p w14:paraId="762B26D7" w14:textId="77777777" w:rsidR="003D3622" w:rsidRPr="00FE195C" w:rsidRDefault="003D3622" w:rsidP="001C4B03">
      <w:pPr>
        <w:jc w:val="center"/>
        <w:rPr>
          <w:lang w:bidi="bn-IN"/>
        </w:rPr>
      </w:pPr>
      <w:r w:rsidRPr="00FE195C">
        <w:rPr>
          <w:lang w:bidi="bn-IN"/>
        </w:rPr>
        <w:t>Lecturer: Mr. Nadeem Mirza</w:t>
      </w:r>
    </w:p>
    <w:p w14:paraId="6CF05D1E" w14:textId="77777777" w:rsidR="00ED290A" w:rsidRPr="00FE195C" w:rsidRDefault="00ED290A" w:rsidP="001C4B03">
      <w:pPr>
        <w:jc w:val="center"/>
        <w:rPr>
          <w:lang w:bidi="bn-IN"/>
        </w:rPr>
      </w:pPr>
    </w:p>
    <w:p w14:paraId="69BEDE28" w14:textId="77777777" w:rsidR="00ED290A" w:rsidRPr="00FE195C" w:rsidRDefault="00ED290A" w:rsidP="001C4B03">
      <w:pPr>
        <w:jc w:val="center"/>
        <w:rPr>
          <w:lang w:bidi="bn-IN"/>
        </w:rPr>
      </w:pPr>
    </w:p>
    <w:p w14:paraId="3E089F11" w14:textId="5D7D2A15" w:rsidR="00FE195C" w:rsidRPr="00FE195C" w:rsidRDefault="00FE195C" w:rsidP="00FE195C">
      <w:pPr>
        <w:jc w:val="center"/>
        <w:rPr>
          <w:lang w:bidi="bn-IN"/>
        </w:rPr>
      </w:pPr>
      <w:r w:rsidRPr="00FE195C">
        <w:rPr>
          <w:lang w:bidi="bn-IN"/>
        </w:rPr>
        <w:t>Student Name:</w:t>
      </w:r>
      <w:r>
        <w:rPr>
          <w:lang w:bidi="bn-IN"/>
        </w:rPr>
        <w:t xml:space="preserve"> </w:t>
      </w:r>
      <w:r w:rsidRPr="00FE195C">
        <w:rPr>
          <w:lang w:bidi="bn-IN"/>
        </w:rPr>
        <w:t>Razvan Vasile</w:t>
      </w:r>
    </w:p>
    <w:p w14:paraId="518EDF9F" w14:textId="6BCB1768" w:rsidR="00ED290A" w:rsidRPr="00FE195C" w:rsidRDefault="00FE195C" w:rsidP="00FE195C">
      <w:pPr>
        <w:jc w:val="center"/>
        <w:rPr>
          <w:lang w:bidi="bn-IN"/>
        </w:rPr>
      </w:pPr>
      <w:r w:rsidRPr="00FE195C">
        <w:rPr>
          <w:lang w:bidi="bn-IN"/>
        </w:rPr>
        <w:t>Student ID:2439123</w:t>
      </w:r>
    </w:p>
    <w:p w14:paraId="4D6DBBB2" w14:textId="77777777" w:rsidR="00ED290A" w:rsidRPr="00FE195C" w:rsidRDefault="00ED290A" w:rsidP="001C4B03">
      <w:pPr>
        <w:jc w:val="center"/>
        <w:rPr>
          <w:lang w:bidi="bn-IN"/>
        </w:rPr>
      </w:pPr>
    </w:p>
    <w:p w14:paraId="29D024F3" w14:textId="77777777" w:rsidR="00ED290A" w:rsidRPr="00FE195C" w:rsidRDefault="00ED290A" w:rsidP="001C4B03">
      <w:pPr>
        <w:jc w:val="center"/>
        <w:rPr>
          <w:lang w:bidi="bn-IN"/>
        </w:rPr>
      </w:pPr>
    </w:p>
    <w:p w14:paraId="2623932D" w14:textId="77777777" w:rsidR="00ED290A" w:rsidRPr="00FE195C" w:rsidRDefault="00ED290A" w:rsidP="001C4B03">
      <w:pPr>
        <w:jc w:val="center"/>
        <w:rPr>
          <w:lang w:bidi="bn-IN"/>
        </w:rPr>
      </w:pPr>
    </w:p>
    <w:p w14:paraId="5E55EA2A" w14:textId="77777777" w:rsidR="003D3622" w:rsidRPr="00FE195C" w:rsidRDefault="003D3622" w:rsidP="001C4B03">
      <w:pPr>
        <w:jc w:val="center"/>
        <w:rPr>
          <w:lang w:bidi="bn-IN"/>
        </w:rPr>
      </w:pPr>
      <w:r w:rsidRPr="00FE195C">
        <w:rPr>
          <w:lang w:bidi="bn-IN"/>
        </w:rPr>
        <w:t>Submission Date: 17 August 2026</w:t>
      </w:r>
    </w:p>
    <w:p w14:paraId="6B36FCD3" w14:textId="77777777" w:rsidR="003D3622" w:rsidRPr="00FE195C" w:rsidRDefault="003D3622" w:rsidP="001C4B03">
      <w:pPr>
        <w:rPr>
          <w:rFonts w:asciiTheme="majorBidi" w:hAnsiTheme="majorBidi" w:cstheme="majorBidi"/>
          <w:szCs w:val="24"/>
          <w:lang w:bidi="bn-IN"/>
        </w:rPr>
      </w:pPr>
      <w:r w:rsidRPr="00FE195C">
        <w:rPr>
          <w:rFonts w:asciiTheme="majorBidi" w:hAnsiTheme="majorBidi" w:cstheme="majorBidi"/>
          <w:szCs w:val="24"/>
          <w:lang w:bidi="bn-IN"/>
        </w:rPr>
        <w:br w:type="page"/>
      </w:r>
    </w:p>
    <w:p w14:paraId="4E6F9E50" w14:textId="360B5134" w:rsidR="003D3622" w:rsidRPr="00FE195C" w:rsidRDefault="003D3622" w:rsidP="001C4B03">
      <w:pPr>
        <w:pStyle w:val="Heading1"/>
        <w:pBdr>
          <w:bottom w:val="single" w:sz="4" w:space="1" w:color="auto"/>
        </w:pBdr>
        <w:spacing w:before="0"/>
        <w:jc w:val="center"/>
        <w:rPr>
          <w:lang w:bidi="bn-IN"/>
        </w:rPr>
      </w:pPr>
      <w:bookmarkStart w:id="0" w:name="_Toc237856883"/>
      <w:r w:rsidRPr="00FE195C">
        <w:rPr>
          <w:lang w:bidi="bn-IN"/>
        </w:rPr>
        <w:lastRenderedPageBreak/>
        <w:t>Executive Summary</w:t>
      </w:r>
      <w:bookmarkEnd w:id="0"/>
    </w:p>
    <w:p w14:paraId="7CB2429A" w14:textId="3B48878F" w:rsidR="005D564C" w:rsidRPr="00FE195C" w:rsidRDefault="003D3622" w:rsidP="001C4B03">
      <w:pPr>
        <w:rPr>
          <w:rFonts w:asciiTheme="majorBidi" w:hAnsiTheme="majorBidi" w:cstheme="majorBidi"/>
          <w:szCs w:val="24"/>
          <w:lang w:bidi="bn-IN"/>
        </w:rPr>
      </w:pPr>
      <w:r w:rsidRPr="00FE195C">
        <w:rPr>
          <w:rFonts w:asciiTheme="majorBidi" w:hAnsiTheme="majorBidi" w:cstheme="majorBidi"/>
          <w:szCs w:val="24"/>
          <w:lang w:bidi="bn-IN"/>
        </w:rPr>
        <w:t xml:space="preserve">Toyota Motor Corporation remains a strong carmaker, </w:t>
      </w:r>
      <w:r w:rsidR="005D564C" w:rsidRPr="00FE195C">
        <w:rPr>
          <w:rFonts w:asciiTheme="majorBidi" w:hAnsiTheme="majorBidi" w:cstheme="majorBidi"/>
          <w:szCs w:val="24"/>
          <w:lang w:bidi="bn-IN"/>
        </w:rPr>
        <w:t xml:space="preserve">but it's a fast-changing market. The value of an EV is changing, </w:t>
      </w:r>
      <w:r w:rsidR="00570C72" w:rsidRPr="00FE195C">
        <w:rPr>
          <w:rFonts w:asciiTheme="majorBidi" w:hAnsiTheme="majorBidi" w:cstheme="majorBidi"/>
          <w:szCs w:val="24"/>
          <w:lang w:bidi="bn-IN"/>
        </w:rPr>
        <w:t>shifting from hardware alone toward batteries, software and digital services, while China has become a major centre of EV production and sales</w:t>
      </w:r>
      <w:r w:rsidR="005D564C" w:rsidRPr="00FE195C">
        <w:rPr>
          <w:rFonts w:asciiTheme="majorBidi" w:hAnsiTheme="majorBidi" w:cstheme="majorBidi"/>
          <w:szCs w:val="24"/>
          <w:lang w:bidi="bn-IN"/>
        </w:rPr>
        <w:t xml:space="preserve">. The total sales of EVs in the world reached 20 million in 2025, representing one quarter of all new car sales, and China accounted for 60% of global sales of electric cars. Toyota continues to enjoy scale, hybrid leadership, the Toyota Production System and a supplier network. However, if EV and software-based services grow faster, then these benefits could diminish. The analysis indicates that Toyota can invest, but with profit pressure and a less competitive BEV position, strategic risks exist. It has a multi-pathway approach that mitigates the risk of demand across </w:t>
      </w:r>
      <w:proofErr w:type="gramStart"/>
      <w:r w:rsidR="005D564C" w:rsidRPr="00FE195C">
        <w:rPr>
          <w:rFonts w:asciiTheme="majorBidi" w:hAnsiTheme="majorBidi" w:cstheme="majorBidi"/>
          <w:szCs w:val="24"/>
          <w:lang w:bidi="bn-IN"/>
        </w:rPr>
        <w:t>regions, but</w:t>
      </w:r>
      <w:proofErr w:type="gramEnd"/>
      <w:r w:rsidR="005D564C" w:rsidRPr="00FE195C">
        <w:rPr>
          <w:rFonts w:asciiTheme="majorBidi" w:hAnsiTheme="majorBidi" w:cstheme="majorBidi"/>
          <w:szCs w:val="24"/>
          <w:lang w:bidi="bn-IN"/>
        </w:rPr>
        <w:t xml:space="preserve"> may spread investment too thin across too many technologies. The report suggests a Regional Accelerated Electric and Software Mobility Strategy. Toyota needs to accelerate BEV growth in growth markets, </w:t>
      </w:r>
      <w:r w:rsidR="007D344C" w:rsidRPr="00FE195C">
        <w:rPr>
          <w:rFonts w:asciiTheme="majorBidi" w:hAnsiTheme="majorBidi" w:cstheme="majorBidi"/>
          <w:szCs w:val="24"/>
          <w:lang w:bidi="bn-IN"/>
        </w:rPr>
        <w:t>increase battery production capacity</w:t>
      </w:r>
      <w:r w:rsidR="005D564C" w:rsidRPr="00FE195C">
        <w:rPr>
          <w:rFonts w:asciiTheme="majorBidi" w:hAnsiTheme="majorBidi" w:cstheme="majorBidi"/>
          <w:szCs w:val="24"/>
          <w:lang w:bidi="bn-IN"/>
        </w:rPr>
        <w:t xml:space="preserve"> and enhance software and AI. Hybrids need to continue to be a significant part of the mix where charging, affordability and customer demand </w:t>
      </w:r>
      <w:proofErr w:type="gramStart"/>
      <w:r w:rsidR="005D564C" w:rsidRPr="00FE195C">
        <w:rPr>
          <w:rFonts w:asciiTheme="majorBidi" w:hAnsiTheme="majorBidi" w:cstheme="majorBidi"/>
          <w:szCs w:val="24"/>
          <w:lang w:bidi="bn-IN"/>
        </w:rPr>
        <w:t>allow</w:t>
      </w:r>
      <w:proofErr w:type="gramEnd"/>
      <w:r w:rsidR="005D564C" w:rsidRPr="00FE195C">
        <w:rPr>
          <w:rFonts w:asciiTheme="majorBidi" w:hAnsiTheme="majorBidi" w:cstheme="majorBidi"/>
          <w:szCs w:val="24"/>
          <w:lang w:bidi="bn-IN"/>
        </w:rPr>
        <w:t>. This approach is a compromise which safeguards cash and develops the skills required for competition.</w:t>
      </w:r>
    </w:p>
    <w:p w14:paraId="14AFFB38" w14:textId="77777777" w:rsidR="005D564C" w:rsidRPr="00FE195C" w:rsidRDefault="005D564C" w:rsidP="001C4B03">
      <w:pPr>
        <w:rPr>
          <w:rFonts w:asciiTheme="majorBidi" w:hAnsiTheme="majorBidi" w:cstheme="majorBidi"/>
          <w:szCs w:val="24"/>
          <w:lang w:bidi="bn-IN"/>
        </w:rPr>
      </w:pPr>
      <w:r w:rsidRPr="00FE195C">
        <w:rPr>
          <w:rFonts w:asciiTheme="majorBidi" w:hAnsiTheme="majorBidi" w:cstheme="majorBidi"/>
          <w:szCs w:val="24"/>
          <w:lang w:bidi="bn-IN"/>
        </w:rPr>
        <w:br w:type="page"/>
      </w:r>
    </w:p>
    <w:sdt>
      <w:sdtPr>
        <w:rPr>
          <w:rFonts w:ascii="Times New Roman" w:eastAsia="Times New Roman" w:hAnsi="Times New Roman" w:cs="Times New Roman"/>
          <w:color w:val="auto"/>
          <w:sz w:val="24"/>
          <w:szCs w:val="22"/>
        </w:rPr>
        <w:id w:val="54215190"/>
        <w:docPartObj>
          <w:docPartGallery w:val="Table of Contents"/>
          <w:docPartUnique/>
        </w:docPartObj>
      </w:sdtPr>
      <w:sdtEndPr>
        <w:rPr>
          <w:b/>
          <w:bCs/>
          <w:noProof/>
        </w:rPr>
      </w:sdtEndPr>
      <w:sdtContent>
        <w:p w14:paraId="78B15086" w14:textId="7F12719F" w:rsidR="00301C3E" w:rsidRPr="00FE195C" w:rsidRDefault="00301C3E" w:rsidP="001C4B03">
          <w:pPr>
            <w:pStyle w:val="TOCHeading"/>
            <w:spacing w:before="0"/>
            <w:rPr>
              <w:rFonts w:ascii="Times New Roman" w:hAnsi="Times New Roman" w:cs="Times New Roman"/>
              <w:b/>
              <w:bCs/>
            </w:rPr>
          </w:pPr>
          <w:r w:rsidRPr="00FE195C">
            <w:rPr>
              <w:rFonts w:ascii="Times New Roman" w:hAnsi="Times New Roman" w:cs="Times New Roman"/>
              <w:b/>
              <w:bCs/>
            </w:rPr>
            <w:t>Contents</w:t>
          </w:r>
        </w:p>
        <w:p w14:paraId="59638CDA" w14:textId="2DE17CE9" w:rsidR="00301C3E" w:rsidRPr="00FE195C" w:rsidRDefault="00301C3E" w:rsidP="001C4B03">
          <w:pPr>
            <w:pStyle w:val="TOC1"/>
            <w:rPr>
              <w:rFonts w:asciiTheme="minorHAnsi" w:eastAsiaTheme="minorEastAsia" w:hAnsiTheme="minorHAnsi" w:cstheme="minorBidi"/>
              <w:b w:val="0"/>
              <w:bCs w:val="0"/>
              <w:kern w:val="2"/>
              <w:szCs w:val="30"/>
              <w:lang w:bidi="bn-IN"/>
              <w14:ligatures w14:val="standardContextual"/>
            </w:rPr>
          </w:pPr>
          <w:r w:rsidRPr="00FE195C">
            <w:fldChar w:fldCharType="begin"/>
          </w:r>
          <w:r w:rsidRPr="00FE195C">
            <w:instrText xml:space="preserve"> TOC \o "1-3" \h \z \u </w:instrText>
          </w:r>
          <w:r w:rsidRPr="00FE195C">
            <w:fldChar w:fldCharType="separate"/>
          </w:r>
          <w:hyperlink w:anchor="_Toc237856883" w:history="1">
            <w:r w:rsidRPr="00FE195C">
              <w:rPr>
                <w:rStyle w:val="Hyperlink"/>
                <w:u w:val="none"/>
              </w:rPr>
              <w:t>Executive Summary</w:t>
            </w:r>
            <w:r w:rsidRPr="00FE195C">
              <w:rPr>
                <w:webHidden/>
              </w:rPr>
              <w:tab/>
            </w:r>
            <w:r w:rsidRPr="00FE195C">
              <w:rPr>
                <w:webHidden/>
              </w:rPr>
              <w:fldChar w:fldCharType="begin"/>
            </w:r>
            <w:r w:rsidRPr="00FE195C">
              <w:rPr>
                <w:webHidden/>
              </w:rPr>
              <w:instrText xml:space="preserve"> PAGEREF _Toc237856883 \h </w:instrText>
            </w:r>
            <w:r w:rsidRPr="00FE195C">
              <w:rPr>
                <w:webHidden/>
              </w:rPr>
            </w:r>
            <w:r w:rsidRPr="00FE195C">
              <w:rPr>
                <w:webHidden/>
              </w:rPr>
              <w:fldChar w:fldCharType="separate"/>
            </w:r>
            <w:r w:rsidRPr="00FE195C">
              <w:rPr>
                <w:webHidden/>
              </w:rPr>
              <w:t>2</w:t>
            </w:r>
            <w:r w:rsidRPr="00FE195C">
              <w:rPr>
                <w:webHidden/>
              </w:rPr>
              <w:fldChar w:fldCharType="end"/>
            </w:r>
          </w:hyperlink>
        </w:p>
        <w:p w14:paraId="5B1F64C8" w14:textId="139E2870" w:rsidR="00301C3E" w:rsidRPr="00FE195C" w:rsidRDefault="00301C3E" w:rsidP="001C4B03">
          <w:pPr>
            <w:pStyle w:val="TOC1"/>
            <w:rPr>
              <w:rFonts w:asciiTheme="minorHAnsi" w:eastAsiaTheme="minorEastAsia" w:hAnsiTheme="minorHAnsi" w:cstheme="minorBidi"/>
              <w:b w:val="0"/>
              <w:bCs w:val="0"/>
              <w:kern w:val="2"/>
              <w:szCs w:val="30"/>
              <w:lang w:bidi="bn-IN"/>
              <w14:ligatures w14:val="standardContextual"/>
            </w:rPr>
          </w:pPr>
          <w:hyperlink w:anchor="_Toc237856884" w:history="1">
            <w:r w:rsidRPr="00FE195C">
              <w:rPr>
                <w:rStyle w:val="Hyperlink"/>
                <w:u w:val="none"/>
              </w:rPr>
              <w:t>Introduction to Strategy</w:t>
            </w:r>
            <w:r w:rsidRPr="00FE195C">
              <w:rPr>
                <w:webHidden/>
              </w:rPr>
              <w:tab/>
            </w:r>
            <w:r w:rsidRPr="00FE195C">
              <w:rPr>
                <w:webHidden/>
              </w:rPr>
              <w:fldChar w:fldCharType="begin"/>
            </w:r>
            <w:r w:rsidRPr="00FE195C">
              <w:rPr>
                <w:webHidden/>
              </w:rPr>
              <w:instrText xml:space="preserve"> PAGEREF _Toc237856884 \h </w:instrText>
            </w:r>
            <w:r w:rsidRPr="00FE195C">
              <w:rPr>
                <w:webHidden/>
              </w:rPr>
            </w:r>
            <w:r w:rsidRPr="00FE195C">
              <w:rPr>
                <w:webHidden/>
              </w:rPr>
              <w:fldChar w:fldCharType="separate"/>
            </w:r>
            <w:r w:rsidRPr="00FE195C">
              <w:rPr>
                <w:webHidden/>
              </w:rPr>
              <w:t>4</w:t>
            </w:r>
            <w:r w:rsidRPr="00FE195C">
              <w:rPr>
                <w:webHidden/>
              </w:rPr>
              <w:fldChar w:fldCharType="end"/>
            </w:r>
          </w:hyperlink>
        </w:p>
        <w:p w14:paraId="5E6A2179" w14:textId="5BF4423E" w:rsidR="00301C3E" w:rsidRPr="00FE195C" w:rsidRDefault="00301C3E" w:rsidP="001C4B03">
          <w:pPr>
            <w:pStyle w:val="TOC1"/>
            <w:rPr>
              <w:rFonts w:asciiTheme="minorHAnsi" w:eastAsiaTheme="minorEastAsia" w:hAnsiTheme="minorHAnsi" w:cstheme="minorBidi"/>
              <w:b w:val="0"/>
              <w:bCs w:val="0"/>
              <w:kern w:val="2"/>
              <w:szCs w:val="30"/>
              <w:lang w:bidi="bn-IN"/>
              <w14:ligatures w14:val="standardContextual"/>
            </w:rPr>
          </w:pPr>
          <w:hyperlink w:anchor="_Toc237856885" w:history="1">
            <w:r w:rsidRPr="00FE195C">
              <w:rPr>
                <w:rStyle w:val="Hyperlink"/>
                <w:u w:val="none"/>
              </w:rPr>
              <w:t>Background of Toyota</w:t>
            </w:r>
            <w:r w:rsidRPr="00FE195C">
              <w:rPr>
                <w:webHidden/>
              </w:rPr>
              <w:tab/>
            </w:r>
            <w:r w:rsidRPr="00FE195C">
              <w:rPr>
                <w:webHidden/>
              </w:rPr>
              <w:fldChar w:fldCharType="begin"/>
            </w:r>
            <w:r w:rsidRPr="00FE195C">
              <w:rPr>
                <w:webHidden/>
              </w:rPr>
              <w:instrText xml:space="preserve"> PAGEREF _Toc237856885 \h </w:instrText>
            </w:r>
            <w:r w:rsidRPr="00FE195C">
              <w:rPr>
                <w:webHidden/>
              </w:rPr>
            </w:r>
            <w:r w:rsidRPr="00FE195C">
              <w:rPr>
                <w:webHidden/>
              </w:rPr>
              <w:fldChar w:fldCharType="separate"/>
            </w:r>
            <w:r w:rsidRPr="00FE195C">
              <w:rPr>
                <w:webHidden/>
              </w:rPr>
              <w:t>5</w:t>
            </w:r>
            <w:r w:rsidRPr="00FE195C">
              <w:rPr>
                <w:webHidden/>
              </w:rPr>
              <w:fldChar w:fldCharType="end"/>
            </w:r>
          </w:hyperlink>
        </w:p>
        <w:p w14:paraId="2893107A" w14:textId="023339A0" w:rsidR="00301C3E" w:rsidRPr="00FE195C" w:rsidRDefault="00301C3E" w:rsidP="001C4B03">
          <w:pPr>
            <w:pStyle w:val="TOC1"/>
            <w:rPr>
              <w:rFonts w:asciiTheme="minorHAnsi" w:eastAsiaTheme="minorEastAsia" w:hAnsiTheme="minorHAnsi" w:cstheme="minorBidi"/>
              <w:b w:val="0"/>
              <w:bCs w:val="0"/>
              <w:kern w:val="2"/>
              <w:szCs w:val="30"/>
              <w:lang w:bidi="bn-IN"/>
              <w14:ligatures w14:val="standardContextual"/>
            </w:rPr>
          </w:pPr>
          <w:hyperlink w:anchor="_Toc237856886" w:history="1">
            <w:r w:rsidRPr="00FE195C">
              <w:rPr>
                <w:rStyle w:val="Hyperlink"/>
                <w:u w:val="none"/>
              </w:rPr>
              <w:t>Strategic Intent</w:t>
            </w:r>
            <w:r w:rsidRPr="00FE195C">
              <w:rPr>
                <w:webHidden/>
              </w:rPr>
              <w:tab/>
            </w:r>
            <w:r w:rsidRPr="00FE195C">
              <w:rPr>
                <w:webHidden/>
              </w:rPr>
              <w:fldChar w:fldCharType="begin"/>
            </w:r>
            <w:r w:rsidRPr="00FE195C">
              <w:rPr>
                <w:webHidden/>
              </w:rPr>
              <w:instrText xml:space="preserve"> PAGEREF _Toc237856886 \h </w:instrText>
            </w:r>
            <w:r w:rsidRPr="00FE195C">
              <w:rPr>
                <w:webHidden/>
              </w:rPr>
            </w:r>
            <w:r w:rsidRPr="00FE195C">
              <w:rPr>
                <w:webHidden/>
              </w:rPr>
              <w:fldChar w:fldCharType="separate"/>
            </w:r>
            <w:r w:rsidRPr="00FE195C">
              <w:rPr>
                <w:webHidden/>
              </w:rPr>
              <w:t>6</w:t>
            </w:r>
            <w:r w:rsidRPr="00FE195C">
              <w:rPr>
                <w:webHidden/>
              </w:rPr>
              <w:fldChar w:fldCharType="end"/>
            </w:r>
          </w:hyperlink>
        </w:p>
        <w:p w14:paraId="2CEBD2EA" w14:textId="7889011D" w:rsidR="00301C3E" w:rsidRPr="00FE195C" w:rsidRDefault="00301C3E" w:rsidP="001C4B03">
          <w:pPr>
            <w:pStyle w:val="TOC1"/>
            <w:rPr>
              <w:rFonts w:asciiTheme="minorHAnsi" w:eastAsiaTheme="minorEastAsia" w:hAnsiTheme="minorHAnsi" w:cstheme="minorBidi"/>
              <w:b w:val="0"/>
              <w:bCs w:val="0"/>
              <w:kern w:val="2"/>
              <w:szCs w:val="30"/>
              <w:lang w:bidi="bn-IN"/>
              <w14:ligatures w14:val="standardContextual"/>
            </w:rPr>
          </w:pPr>
          <w:hyperlink w:anchor="_Toc237856887" w:history="1">
            <w:r w:rsidRPr="00FE195C">
              <w:rPr>
                <w:rStyle w:val="Hyperlink"/>
                <w:u w:val="none"/>
              </w:rPr>
              <w:t>Current Performance</w:t>
            </w:r>
            <w:r w:rsidRPr="00FE195C">
              <w:rPr>
                <w:webHidden/>
              </w:rPr>
              <w:tab/>
            </w:r>
            <w:r w:rsidRPr="00FE195C">
              <w:rPr>
                <w:webHidden/>
              </w:rPr>
              <w:fldChar w:fldCharType="begin"/>
            </w:r>
            <w:r w:rsidRPr="00FE195C">
              <w:rPr>
                <w:webHidden/>
              </w:rPr>
              <w:instrText xml:space="preserve"> PAGEREF _Toc237856887 \h </w:instrText>
            </w:r>
            <w:r w:rsidRPr="00FE195C">
              <w:rPr>
                <w:webHidden/>
              </w:rPr>
            </w:r>
            <w:r w:rsidRPr="00FE195C">
              <w:rPr>
                <w:webHidden/>
              </w:rPr>
              <w:fldChar w:fldCharType="separate"/>
            </w:r>
            <w:r w:rsidRPr="00FE195C">
              <w:rPr>
                <w:webHidden/>
              </w:rPr>
              <w:t>7</w:t>
            </w:r>
            <w:r w:rsidRPr="00FE195C">
              <w:rPr>
                <w:webHidden/>
              </w:rPr>
              <w:fldChar w:fldCharType="end"/>
            </w:r>
          </w:hyperlink>
        </w:p>
        <w:p w14:paraId="6E07367E" w14:textId="08709E76" w:rsidR="00301C3E" w:rsidRPr="00FE195C" w:rsidRDefault="00301C3E" w:rsidP="001C4B03">
          <w:pPr>
            <w:pStyle w:val="TOC1"/>
            <w:rPr>
              <w:rFonts w:asciiTheme="minorHAnsi" w:eastAsiaTheme="minorEastAsia" w:hAnsiTheme="minorHAnsi" w:cstheme="minorBidi"/>
              <w:b w:val="0"/>
              <w:bCs w:val="0"/>
              <w:kern w:val="2"/>
              <w:szCs w:val="30"/>
              <w:lang w:bidi="bn-IN"/>
              <w14:ligatures w14:val="standardContextual"/>
            </w:rPr>
          </w:pPr>
          <w:hyperlink w:anchor="_Toc237856888" w:history="1">
            <w:r w:rsidRPr="00FE195C">
              <w:rPr>
                <w:rStyle w:val="Hyperlink"/>
                <w:u w:val="none"/>
              </w:rPr>
              <w:t>Strategy Analysis</w:t>
            </w:r>
            <w:r w:rsidRPr="00FE195C">
              <w:rPr>
                <w:webHidden/>
              </w:rPr>
              <w:tab/>
            </w:r>
            <w:r w:rsidRPr="00FE195C">
              <w:rPr>
                <w:webHidden/>
              </w:rPr>
              <w:fldChar w:fldCharType="begin"/>
            </w:r>
            <w:r w:rsidRPr="00FE195C">
              <w:rPr>
                <w:webHidden/>
              </w:rPr>
              <w:instrText xml:space="preserve"> PAGEREF _Toc237856888 \h </w:instrText>
            </w:r>
            <w:r w:rsidRPr="00FE195C">
              <w:rPr>
                <w:webHidden/>
              </w:rPr>
            </w:r>
            <w:r w:rsidRPr="00FE195C">
              <w:rPr>
                <w:webHidden/>
              </w:rPr>
              <w:fldChar w:fldCharType="separate"/>
            </w:r>
            <w:r w:rsidRPr="00FE195C">
              <w:rPr>
                <w:webHidden/>
              </w:rPr>
              <w:t>8</w:t>
            </w:r>
            <w:r w:rsidRPr="00FE195C">
              <w:rPr>
                <w:webHidden/>
              </w:rPr>
              <w:fldChar w:fldCharType="end"/>
            </w:r>
          </w:hyperlink>
        </w:p>
        <w:p w14:paraId="25C277A9" w14:textId="1F3D4415" w:rsidR="00301C3E" w:rsidRPr="00FE195C" w:rsidRDefault="00301C3E" w:rsidP="001C4B03">
          <w:pPr>
            <w:pStyle w:val="TOC2"/>
            <w:tabs>
              <w:tab w:val="right" w:leader="dot" w:pos="9016"/>
            </w:tabs>
            <w:spacing w:after="0"/>
            <w:rPr>
              <w:rFonts w:asciiTheme="minorHAnsi" w:eastAsiaTheme="minorEastAsia" w:hAnsiTheme="minorHAnsi" w:cstheme="minorBidi"/>
              <w:noProof/>
              <w:kern w:val="2"/>
              <w:szCs w:val="30"/>
              <w:lang w:bidi="bn-IN"/>
              <w14:ligatures w14:val="standardContextual"/>
            </w:rPr>
          </w:pPr>
          <w:hyperlink w:anchor="_Toc237856889" w:history="1">
            <w:r w:rsidRPr="00FE195C">
              <w:rPr>
                <w:rStyle w:val="Hyperlink"/>
                <w:noProof/>
                <w:u w:val="none"/>
              </w:rPr>
              <w:t>External Environmental Audit</w:t>
            </w:r>
            <w:r w:rsidRPr="00FE195C">
              <w:rPr>
                <w:noProof/>
                <w:webHidden/>
              </w:rPr>
              <w:tab/>
            </w:r>
            <w:r w:rsidRPr="00FE195C">
              <w:rPr>
                <w:noProof/>
                <w:webHidden/>
              </w:rPr>
              <w:fldChar w:fldCharType="begin"/>
            </w:r>
            <w:r w:rsidRPr="00FE195C">
              <w:rPr>
                <w:noProof/>
                <w:webHidden/>
              </w:rPr>
              <w:instrText xml:space="preserve"> PAGEREF _Toc237856889 \h </w:instrText>
            </w:r>
            <w:r w:rsidRPr="00FE195C">
              <w:rPr>
                <w:noProof/>
                <w:webHidden/>
              </w:rPr>
            </w:r>
            <w:r w:rsidRPr="00FE195C">
              <w:rPr>
                <w:noProof/>
                <w:webHidden/>
              </w:rPr>
              <w:fldChar w:fldCharType="separate"/>
            </w:r>
            <w:r w:rsidRPr="00FE195C">
              <w:rPr>
                <w:noProof/>
                <w:webHidden/>
              </w:rPr>
              <w:t>8</w:t>
            </w:r>
            <w:r w:rsidRPr="00FE195C">
              <w:rPr>
                <w:noProof/>
                <w:webHidden/>
              </w:rPr>
              <w:fldChar w:fldCharType="end"/>
            </w:r>
          </w:hyperlink>
        </w:p>
        <w:p w14:paraId="307559D9" w14:textId="4A765E0A" w:rsidR="00301C3E" w:rsidRPr="00FE195C" w:rsidRDefault="00301C3E" w:rsidP="001C4B03">
          <w:pPr>
            <w:pStyle w:val="TOC3"/>
            <w:tabs>
              <w:tab w:val="right" w:leader="dot" w:pos="9016"/>
            </w:tabs>
            <w:spacing w:after="0"/>
            <w:rPr>
              <w:rFonts w:asciiTheme="minorHAnsi" w:eastAsiaTheme="minorEastAsia" w:hAnsiTheme="minorHAnsi" w:cstheme="minorBidi"/>
              <w:noProof/>
              <w:kern w:val="2"/>
              <w:szCs w:val="30"/>
              <w:lang w:bidi="bn-IN"/>
              <w14:ligatures w14:val="standardContextual"/>
            </w:rPr>
          </w:pPr>
          <w:hyperlink w:anchor="_Toc237856890" w:history="1">
            <w:r w:rsidRPr="00FE195C">
              <w:rPr>
                <w:rStyle w:val="Hyperlink"/>
                <w:noProof/>
                <w:u w:val="none"/>
              </w:rPr>
              <w:t>PESTEL Analysis</w:t>
            </w:r>
            <w:r w:rsidRPr="00FE195C">
              <w:rPr>
                <w:noProof/>
                <w:webHidden/>
              </w:rPr>
              <w:tab/>
            </w:r>
            <w:r w:rsidRPr="00FE195C">
              <w:rPr>
                <w:noProof/>
                <w:webHidden/>
              </w:rPr>
              <w:fldChar w:fldCharType="begin"/>
            </w:r>
            <w:r w:rsidRPr="00FE195C">
              <w:rPr>
                <w:noProof/>
                <w:webHidden/>
              </w:rPr>
              <w:instrText xml:space="preserve"> PAGEREF _Toc237856890 \h </w:instrText>
            </w:r>
            <w:r w:rsidRPr="00FE195C">
              <w:rPr>
                <w:noProof/>
                <w:webHidden/>
              </w:rPr>
            </w:r>
            <w:r w:rsidRPr="00FE195C">
              <w:rPr>
                <w:noProof/>
                <w:webHidden/>
              </w:rPr>
              <w:fldChar w:fldCharType="separate"/>
            </w:r>
            <w:r w:rsidRPr="00FE195C">
              <w:rPr>
                <w:noProof/>
                <w:webHidden/>
              </w:rPr>
              <w:t>8</w:t>
            </w:r>
            <w:r w:rsidRPr="00FE195C">
              <w:rPr>
                <w:noProof/>
                <w:webHidden/>
              </w:rPr>
              <w:fldChar w:fldCharType="end"/>
            </w:r>
          </w:hyperlink>
        </w:p>
        <w:p w14:paraId="2104B04D" w14:textId="0B124B74" w:rsidR="00301C3E" w:rsidRPr="00FE195C" w:rsidRDefault="00301C3E" w:rsidP="001C4B03">
          <w:pPr>
            <w:pStyle w:val="TOC3"/>
            <w:tabs>
              <w:tab w:val="right" w:leader="dot" w:pos="9016"/>
            </w:tabs>
            <w:spacing w:after="0"/>
            <w:rPr>
              <w:rFonts w:asciiTheme="minorHAnsi" w:eastAsiaTheme="minorEastAsia" w:hAnsiTheme="minorHAnsi" w:cstheme="minorBidi"/>
              <w:noProof/>
              <w:kern w:val="2"/>
              <w:szCs w:val="30"/>
              <w:lang w:bidi="bn-IN"/>
              <w14:ligatures w14:val="standardContextual"/>
            </w:rPr>
          </w:pPr>
          <w:hyperlink w:anchor="_Toc237856891" w:history="1">
            <w:r w:rsidRPr="00FE195C">
              <w:rPr>
                <w:rStyle w:val="Hyperlink"/>
                <w:noProof/>
                <w:u w:val="none"/>
              </w:rPr>
              <w:t>Porter's Five Forces</w:t>
            </w:r>
            <w:r w:rsidRPr="00FE195C">
              <w:rPr>
                <w:noProof/>
                <w:webHidden/>
              </w:rPr>
              <w:tab/>
            </w:r>
            <w:r w:rsidRPr="00FE195C">
              <w:rPr>
                <w:noProof/>
                <w:webHidden/>
              </w:rPr>
              <w:fldChar w:fldCharType="begin"/>
            </w:r>
            <w:r w:rsidRPr="00FE195C">
              <w:rPr>
                <w:noProof/>
                <w:webHidden/>
              </w:rPr>
              <w:instrText xml:space="preserve"> PAGEREF _Toc237856891 \h </w:instrText>
            </w:r>
            <w:r w:rsidRPr="00FE195C">
              <w:rPr>
                <w:noProof/>
                <w:webHidden/>
              </w:rPr>
            </w:r>
            <w:r w:rsidRPr="00FE195C">
              <w:rPr>
                <w:noProof/>
                <w:webHidden/>
              </w:rPr>
              <w:fldChar w:fldCharType="separate"/>
            </w:r>
            <w:r w:rsidRPr="00FE195C">
              <w:rPr>
                <w:noProof/>
                <w:webHidden/>
              </w:rPr>
              <w:t>8</w:t>
            </w:r>
            <w:r w:rsidRPr="00FE195C">
              <w:rPr>
                <w:noProof/>
                <w:webHidden/>
              </w:rPr>
              <w:fldChar w:fldCharType="end"/>
            </w:r>
          </w:hyperlink>
        </w:p>
        <w:p w14:paraId="4BEC44FA" w14:textId="158CD052" w:rsidR="00301C3E" w:rsidRPr="00FE195C" w:rsidRDefault="00301C3E" w:rsidP="001C4B03">
          <w:pPr>
            <w:pStyle w:val="TOC2"/>
            <w:tabs>
              <w:tab w:val="right" w:leader="dot" w:pos="9016"/>
            </w:tabs>
            <w:spacing w:after="0"/>
            <w:rPr>
              <w:rFonts w:asciiTheme="minorHAnsi" w:eastAsiaTheme="minorEastAsia" w:hAnsiTheme="minorHAnsi" w:cstheme="minorBidi"/>
              <w:noProof/>
              <w:kern w:val="2"/>
              <w:szCs w:val="30"/>
              <w:lang w:bidi="bn-IN"/>
              <w14:ligatures w14:val="standardContextual"/>
            </w:rPr>
          </w:pPr>
          <w:hyperlink w:anchor="_Toc237856892" w:history="1">
            <w:r w:rsidRPr="00FE195C">
              <w:rPr>
                <w:rStyle w:val="Hyperlink"/>
                <w:noProof/>
                <w:u w:val="none"/>
              </w:rPr>
              <w:t>Internal Environmental Audit</w:t>
            </w:r>
            <w:r w:rsidRPr="00FE195C">
              <w:rPr>
                <w:noProof/>
                <w:webHidden/>
              </w:rPr>
              <w:tab/>
            </w:r>
            <w:r w:rsidRPr="00FE195C">
              <w:rPr>
                <w:noProof/>
                <w:webHidden/>
              </w:rPr>
              <w:fldChar w:fldCharType="begin"/>
            </w:r>
            <w:r w:rsidRPr="00FE195C">
              <w:rPr>
                <w:noProof/>
                <w:webHidden/>
              </w:rPr>
              <w:instrText xml:space="preserve"> PAGEREF _Toc237856892 \h </w:instrText>
            </w:r>
            <w:r w:rsidRPr="00FE195C">
              <w:rPr>
                <w:noProof/>
                <w:webHidden/>
              </w:rPr>
            </w:r>
            <w:r w:rsidRPr="00FE195C">
              <w:rPr>
                <w:noProof/>
                <w:webHidden/>
              </w:rPr>
              <w:fldChar w:fldCharType="separate"/>
            </w:r>
            <w:r w:rsidRPr="00FE195C">
              <w:rPr>
                <w:noProof/>
                <w:webHidden/>
              </w:rPr>
              <w:t>9</w:t>
            </w:r>
            <w:r w:rsidRPr="00FE195C">
              <w:rPr>
                <w:noProof/>
                <w:webHidden/>
              </w:rPr>
              <w:fldChar w:fldCharType="end"/>
            </w:r>
          </w:hyperlink>
        </w:p>
        <w:p w14:paraId="421EFDD7" w14:textId="3C36C016" w:rsidR="00301C3E" w:rsidRPr="00FE195C" w:rsidRDefault="00301C3E" w:rsidP="001C4B03">
          <w:pPr>
            <w:pStyle w:val="TOC3"/>
            <w:tabs>
              <w:tab w:val="right" w:leader="dot" w:pos="9016"/>
            </w:tabs>
            <w:spacing w:after="0"/>
            <w:rPr>
              <w:rFonts w:asciiTheme="minorHAnsi" w:eastAsiaTheme="minorEastAsia" w:hAnsiTheme="minorHAnsi" w:cstheme="minorBidi"/>
              <w:noProof/>
              <w:kern w:val="2"/>
              <w:szCs w:val="30"/>
              <w:lang w:bidi="bn-IN"/>
              <w14:ligatures w14:val="standardContextual"/>
            </w:rPr>
          </w:pPr>
          <w:hyperlink w:anchor="_Toc237856893" w:history="1">
            <w:r w:rsidRPr="00FE195C">
              <w:rPr>
                <w:rStyle w:val="Hyperlink"/>
                <w:noProof/>
                <w:u w:val="none"/>
              </w:rPr>
              <w:t>VRIO Analysis</w:t>
            </w:r>
            <w:r w:rsidRPr="00FE195C">
              <w:rPr>
                <w:noProof/>
                <w:webHidden/>
              </w:rPr>
              <w:tab/>
            </w:r>
            <w:r w:rsidRPr="00FE195C">
              <w:rPr>
                <w:noProof/>
                <w:webHidden/>
              </w:rPr>
              <w:fldChar w:fldCharType="begin"/>
            </w:r>
            <w:r w:rsidRPr="00FE195C">
              <w:rPr>
                <w:noProof/>
                <w:webHidden/>
              </w:rPr>
              <w:instrText xml:space="preserve"> PAGEREF _Toc237856893 \h </w:instrText>
            </w:r>
            <w:r w:rsidRPr="00FE195C">
              <w:rPr>
                <w:noProof/>
                <w:webHidden/>
              </w:rPr>
            </w:r>
            <w:r w:rsidRPr="00FE195C">
              <w:rPr>
                <w:noProof/>
                <w:webHidden/>
              </w:rPr>
              <w:fldChar w:fldCharType="separate"/>
            </w:r>
            <w:r w:rsidRPr="00FE195C">
              <w:rPr>
                <w:noProof/>
                <w:webHidden/>
              </w:rPr>
              <w:t>9</w:t>
            </w:r>
            <w:r w:rsidRPr="00FE195C">
              <w:rPr>
                <w:noProof/>
                <w:webHidden/>
              </w:rPr>
              <w:fldChar w:fldCharType="end"/>
            </w:r>
          </w:hyperlink>
        </w:p>
        <w:p w14:paraId="39FD04D6" w14:textId="4A1F38B6" w:rsidR="00301C3E" w:rsidRPr="00FE195C" w:rsidRDefault="00301C3E" w:rsidP="001C4B03">
          <w:pPr>
            <w:pStyle w:val="TOC3"/>
            <w:tabs>
              <w:tab w:val="right" w:leader="dot" w:pos="9016"/>
            </w:tabs>
            <w:spacing w:after="0"/>
            <w:rPr>
              <w:rFonts w:asciiTheme="minorHAnsi" w:eastAsiaTheme="minorEastAsia" w:hAnsiTheme="minorHAnsi" w:cstheme="minorBidi"/>
              <w:noProof/>
              <w:kern w:val="2"/>
              <w:szCs w:val="30"/>
              <w:lang w:bidi="bn-IN"/>
              <w14:ligatures w14:val="standardContextual"/>
            </w:rPr>
          </w:pPr>
          <w:hyperlink w:anchor="_Toc237856894" w:history="1">
            <w:r w:rsidRPr="00FE195C">
              <w:rPr>
                <w:rStyle w:val="Hyperlink"/>
                <w:noProof/>
                <w:u w:val="none"/>
              </w:rPr>
              <w:t>Value Chain and BCG Analysis</w:t>
            </w:r>
            <w:r w:rsidRPr="00FE195C">
              <w:rPr>
                <w:noProof/>
                <w:webHidden/>
              </w:rPr>
              <w:tab/>
            </w:r>
            <w:r w:rsidRPr="00FE195C">
              <w:rPr>
                <w:noProof/>
                <w:webHidden/>
              </w:rPr>
              <w:fldChar w:fldCharType="begin"/>
            </w:r>
            <w:r w:rsidRPr="00FE195C">
              <w:rPr>
                <w:noProof/>
                <w:webHidden/>
              </w:rPr>
              <w:instrText xml:space="preserve"> PAGEREF _Toc237856894 \h </w:instrText>
            </w:r>
            <w:r w:rsidRPr="00FE195C">
              <w:rPr>
                <w:noProof/>
                <w:webHidden/>
              </w:rPr>
            </w:r>
            <w:r w:rsidRPr="00FE195C">
              <w:rPr>
                <w:noProof/>
                <w:webHidden/>
              </w:rPr>
              <w:fldChar w:fldCharType="separate"/>
            </w:r>
            <w:r w:rsidRPr="00FE195C">
              <w:rPr>
                <w:noProof/>
                <w:webHidden/>
              </w:rPr>
              <w:t>9</w:t>
            </w:r>
            <w:r w:rsidRPr="00FE195C">
              <w:rPr>
                <w:noProof/>
                <w:webHidden/>
              </w:rPr>
              <w:fldChar w:fldCharType="end"/>
            </w:r>
          </w:hyperlink>
        </w:p>
        <w:p w14:paraId="3AAF5684" w14:textId="75BDD237" w:rsidR="00301C3E" w:rsidRPr="00FE195C" w:rsidRDefault="00301C3E" w:rsidP="001C4B03">
          <w:pPr>
            <w:pStyle w:val="TOC3"/>
            <w:tabs>
              <w:tab w:val="right" w:leader="dot" w:pos="9016"/>
            </w:tabs>
            <w:spacing w:after="0"/>
            <w:rPr>
              <w:rFonts w:asciiTheme="minorHAnsi" w:eastAsiaTheme="minorEastAsia" w:hAnsiTheme="minorHAnsi" w:cstheme="minorBidi"/>
              <w:noProof/>
              <w:kern w:val="2"/>
              <w:szCs w:val="30"/>
              <w:lang w:bidi="bn-IN"/>
              <w14:ligatures w14:val="standardContextual"/>
            </w:rPr>
          </w:pPr>
          <w:hyperlink w:anchor="_Toc237856895" w:history="1">
            <w:r w:rsidRPr="00FE195C">
              <w:rPr>
                <w:rStyle w:val="Hyperlink"/>
                <w:noProof/>
                <w:u w:val="none"/>
              </w:rPr>
              <w:t>SWOT Synthesis</w:t>
            </w:r>
            <w:r w:rsidRPr="00FE195C">
              <w:rPr>
                <w:noProof/>
                <w:webHidden/>
              </w:rPr>
              <w:tab/>
            </w:r>
            <w:r w:rsidRPr="00FE195C">
              <w:rPr>
                <w:noProof/>
                <w:webHidden/>
              </w:rPr>
              <w:fldChar w:fldCharType="begin"/>
            </w:r>
            <w:r w:rsidRPr="00FE195C">
              <w:rPr>
                <w:noProof/>
                <w:webHidden/>
              </w:rPr>
              <w:instrText xml:space="preserve"> PAGEREF _Toc237856895 \h </w:instrText>
            </w:r>
            <w:r w:rsidRPr="00FE195C">
              <w:rPr>
                <w:noProof/>
                <w:webHidden/>
              </w:rPr>
            </w:r>
            <w:r w:rsidRPr="00FE195C">
              <w:rPr>
                <w:noProof/>
                <w:webHidden/>
              </w:rPr>
              <w:fldChar w:fldCharType="separate"/>
            </w:r>
            <w:r w:rsidRPr="00FE195C">
              <w:rPr>
                <w:noProof/>
                <w:webHidden/>
              </w:rPr>
              <w:t>9</w:t>
            </w:r>
            <w:r w:rsidRPr="00FE195C">
              <w:rPr>
                <w:noProof/>
                <w:webHidden/>
              </w:rPr>
              <w:fldChar w:fldCharType="end"/>
            </w:r>
          </w:hyperlink>
        </w:p>
        <w:p w14:paraId="7396D872" w14:textId="5A1F46C2" w:rsidR="00301C3E" w:rsidRPr="00FE195C" w:rsidRDefault="00301C3E" w:rsidP="001C4B03">
          <w:pPr>
            <w:pStyle w:val="TOC1"/>
            <w:rPr>
              <w:rFonts w:asciiTheme="minorHAnsi" w:eastAsiaTheme="minorEastAsia" w:hAnsiTheme="minorHAnsi" w:cstheme="minorBidi"/>
              <w:b w:val="0"/>
              <w:bCs w:val="0"/>
              <w:kern w:val="2"/>
              <w:szCs w:val="30"/>
              <w:lang w:bidi="bn-IN"/>
              <w14:ligatures w14:val="standardContextual"/>
            </w:rPr>
          </w:pPr>
          <w:hyperlink w:anchor="_Toc237856896" w:history="1">
            <w:r w:rsidRPr="00FE195C">
              <w:rPr>
                <w:rStyle w:val="Hyperlink"/>
                <w:u w:val="none"/>
              </w:rPr>
              <w:t>Strategy Formulation</w:t>
            </w:r>
            <w:r w:rsidRPr="00FE195C">
              <w:rPr>
                <w:webHidden/>
              </w:rPr>
              <w:tab/>
            </w:r>
            <w:r w:rsidRPr="00FE195C">
              <w:rPr>
                <w:webHidden/>
              </w:rPr>
              <w:fldChar w:fldCharType="begin"/>
            </w:r>
            <w:r w:rsidRPr="00FE195C">
              <w:rPr>
                <w:webHidden/>
              </w:rPr>
              <w:instrText xml:space="preserve"> PAGEREF _Toc237856896 \h </w:instrText>
            </w:r>
            <w:r w:rsidRPr="00FE195C">
              <w:rPr>
                <w:webHidden/>
              </w:rPr>
            </w:r>
            <w:r w:rsidRPr="00FE195C">
              <w:rPr>
                <w:webHidden/>
              </w:rPr>
              <w:fldChar w:fldCharType="separate"/>
            </w:r>
            <w:r w:rsidRPr="00FE195C">
              <w:rPr>
                <w:webHidden/>
              </w:rPr>
              <w:t>11</w:t>
            </w:r>
            <w:r w:rsidRPr="00FE195C">
              <w:rPr>
                <w:webHidden/>
              </w:rPr>
              <w:fldChar w:fldCharType="end"/>
            </w:r>
          </w:hyperlink>
        </w:p>
        <w:p w14:paraId="7CFA8D17" w14:textId="46F93731" w:rsidR="00301C3E" w:rsidRPr="00FE195C" w:rsidRDefault="00301C3E" w:rsidP="001C4B03">
          <w:pPr>
            <w:pStyle w:val="TOC1"/>
            <w:rPr>
              <w:rFonts w:asciiTheme="minorHAnsi" w:eastAsiaTheme="minorEastAsia" w:hAnsiTheme="minorHAnsi" w:cstheme="minorBidi"/>
              <w:b w:val="0"/>
              <w:bCs w:val="0"/>
              <w:kern w:val="2"/>
              <w:szCs w:val="30"/>
              <w:lang w:bidi="bn-IN"/>
              <w14:ligatures w14:val="standardContextual"/>
            </w:rPr>
          </w:pPr>
          <w:hyperlink w:anchor="_Toc237856897" w:history="1">
            <w:r w:rsidRPr="00FE195C">
              <w:rPr>
                <w:rStyle w:val="Hyperlink"/>
                <w:u w:val="none"/>
              </w:rPr>
              <w:t>Conclusion and Recommendations</w:t>
            </w:r>
            <w:r w:rsidRPr="00FE195C">
              <w:rPr>
                <w:webHidden/>
              </w:rPr>
              <w:tab/>
            </w:r>
            <w:r w:rsidRPr="00FE195C">
              <w:rPr>
                <w:webHidden/>
              </w:rPr>
              <w:fldChar w:fldCharType="begin"/>
            </w:r>
            <w:r w:rsidRPr="00FE195C">
              <w:rPr>
                <w:webHidden/>
              </w:rPr>
              <w:instrText xml:space="preserve"> PAGEREF _Toc237856897 \h </w:instrText>
            </w:r>
            <w:r w:rsidRPr="00FE195C">
              <w:rPr>
                <w:webHidden/>
              </w:rPr>
            </w:r>
            <w:r w:rsidRPr="00FE195C">
              <w:rPr>
                <w:webHidden/>
              </w:rPr>
              <w:fldChar w:fldCharType="separate"/>
            </w:r>
            <w:r w:rsidRPr="00FE195C">
              <w:rPr>
                <w:webHidden/>
              </w:rPr>
              <w:t>12</w:t>
            </w:r>
            <w:r w:rsidRPr="00FE195C">
              <w:rPr>
                <w:webHidden/>
              </w:rPr>
              <w:fldChar w:fldCharType="end"/>
            </w:r>
          </w:hyperlink>
        </w:p>
        <w:p w14:paraId="330398FA" w14:textId="2FC0AFFF" w:rsidR="00301C3E" w:rsidRPr="00FE195C" w:rsidRDefault="00301C3E" w:rsidP="001C4B03">
          <w:pPr>
            <w:pStyle w:val="TOC2"/>
            <w:tabs>
              <w:tab w:val="right" w:leader="dot" w:pos="9016"/>
            </w:tabs>
            <w:spacing w:after="0"/>
            <w:rPr>
              <w:rFonts w:asciiTheme="minorHAnsi" w:eastAsiaTheme="minorEastAsia" w:hAnsiTheme="minorHAnsi" w:cstheme="minorBidi"/>
              <w:noProof/>
              <w:kern w:val="2"/>
              <w:szCs w:val="30"/>
              <w:lang w:bidi="bn-IN"/>
              <w14:ligatures w14:val="standardContextual"/>
            </w:rPr>
          </w:pPr>
          <w:hyperlink w:anchor="_Toc237856898" w:history="1">
            <w:r w:rsidRPr="00FE195C">
              <w:rPr>
                <w:rStyle w:val="Hyperlink"/>
                <w:noProof/>
                <w:u w:val="none"/>
              </w:rPr>
              <w:t>Conclusion</w:t>
            </w:r>
            <w:r w:rsidRPr="00FE195C">
              <w:rPr>
                <w:noProof/>
                <w:webHidden/>
              </w:rPr>
              <w:tab/>
            </w:r>
            <w:r w:rsidRPr="00FE195C">
              <w:rPr>
                <w:noProof/>
                <w:webHidden/>
              </w:rPr>
              <w:fldChar w:fldCharType="begin"/>
            </w:r>
            <w:r w:rsidRPr="00FE195C">
              <w:rPr>
                <w:noProof/>
                <w:webHidden/>
              </w:rPr>
              <w:instrText xml:space="preserve"> PAGEREF _Toc237856898 \h </w:instrText>
            </w:r>
            <w:r w:rsidRPr="00FE195C">
              <w:rPr>
                <w:noProof/>
                <w:webHidden/>
              </w:rPr>
            </w:r>
            <w:r w:rsidRPr="00FE195C">
              <w:rPr>
                <w:noProof/>
                <w:webHidden/>
              </w:rPr>
              <w:fldChar w:fldCharType="separate"/>
            </w:r>
            <w:r w:rsidRPr="00FE195C">
              <w:rPr>
                <w:noProof/>
                <w:webHidden/>
              </w:rPr>
              <w:t>12</w:t>
            </w:r>
            <w:r w:rsidRPr="00FE195C">
              <w:rPr>
                <w:noProof/>
                <w:webHidden/>
              </w:rPr>
              <w:fldChar w:fldCharType="end"/>
            </w:r>
          </w:hyperlink>
        </w:p>
        <w:p w14:paraId="2C107EC5" w14:textId="5D2183B0" w:rsidR="00301C3E" w:rsidRPr="00FE195C" w:rsidRDefault="00301C3E" w:rsidP="001C4B03">
          <w:pPr>
            <w:pStyle w:val="TOC2"/>
            <w:tabs>
              <w:tab w:val="right" w:leader="dot" w:pos="9016"/>
            </w:tabs>
            <w:spacing w:after="0"/>
            <w:rPr>
              <w:rFonts w:asciiTheme="minorHAnsi" w:eastAsiaTheme="minorEastAsia" w:hAnsiTheme="minorHAnsi" w:cstheme="minorBidi"/>
              <w:noProof/>
              <w:kern w:val="2"/>
              <w:szCs w:val="30"/>
              <w:lang w:bidi="bn-IN"/>
              <w14:ligatures w14:val="standardContextual"/>
            </w:rPr>
          </w:pPr>
          <w:hyperlink w:anchor="_Toc237856899" w:history="1">
            <w:r w:rsidRPr="00FE195C">
              <w:rPr>
                <w:rStyle w:val="Hyperlink"/>
                <w:noProof/>
                <w:u w:val="none"/>
              </w:rPr>
              <w:t>Recommendations</w:t>
            </w:r>
            <w:r w:rsidRPr="00FE195C">
              <w:rPr>
                <w:noProof/>
                <w:webHidden/>
              </w:rPr>
              <w:tab/>
            </w:r>
            <w:r w:rsidRPr="00FE195C">
              <w:rPr>
                <w:noProof/>
                <w:webHidden/>
              </w:rPr>
              <w:fldChar w:fldCharType="begin"/>
            </w:r>
            <w:r w:rsidRPr="00FE195C">
              <w:rPr>
                <w:noProof/>
                <w:webHidden/>
              </w:rPr>
              <w:instrText xml:space="preserve"> PAGEREF _Toc237856899 \h </w:instrText>
            </w:r>
            <w:r w:rsidRPr="00FE195C">
              <w:rPr>
                <w:noProof/>
                <w:webHidden/>
              </w:rPr>
            </w:r>
            <w:r w:rsidRPr="00FE195C">
              <w:rPr>
                <w:noProof/>
                <w:webHidden/>
              </w:rPr>
              <w:fldChar w:fldCharType="separate"/>
            </w:r>
            <w:r w:rsidRPr="00FE195C">
              <w:rPr>
                <w:noProof/>
                <w:webHidden/>
              </w:rPr>
              <w:t>12</w:t>
            </w:r>
            <w:r w:rsidRPr="00FE195C">
              <w:rPr>
                <w:noProof/>
                <w:webHidden/>
              </w:rPr>
              <w:fldChar w:fldCharType="end"/>
            </w:r>
          </w:hyperlink>
        </w:p>
        <w:p w14:paraId="0FDC1E24" w14:textId="6576ED7F" w:rsidR="00301C3E" w:rsidRPr="00FE195C" w:rsidRDefault="00301C3E" w:rsidP="001C4B03">
          <w:pPr>
            <w:pStyle w:val="TOC1"/>
            <w:rPr>
              <w:rFonts w:asciiTheme="minorHAnsi" w:eastAsiaTheme="minorEastAsia" w:hAnsiTheme="minorHAnsi" w:cstheme="minorBidi"/>
              <w:b w:val="0"/>
              <w:bCs w:val="0"/>
              <w:kern w:val="2"/>
              <w:szCs w:val="30"/>
              <w:lang w:bidi="bn-IN"/>
              <w14:ligatures w14:val="standardContextual"/>
            </w:rPr>
          </w:pPr>
          <w:hyperlink w:anchor="_Toc237856900" w:history="1">
            <w:r w:rsidRPr="00FE195C">
              <w:rPr>
                <w:rStyle w:val="Hyperlink"/>
                <w:u w:val="none"/>
              </w:rPr>
              <w:t>References</w:t>
            </w:r>
            <w:r w:rsidRPr="00FE195C">
              <w:rPr>
                <w:webHidden/>
              </w:rPr>
              <w:tab/>
            </w:r>
            <w:r w:rsidRPr="00FE195C">
              <w:rPr>
                <w:webHidden/>
              </w:rPr>
              <w:fldChar w:fldCharType="begin"/>
            </w:r>
            <w:r w:rsidRPr="00FE195C">
              <w:rPr>
                <w:webHidden/>
              </w:rPr>
              <w:instrText xml:space="preserve"> PAGEREF _Toc237856900 \h </w:instrText>
            </w:r>
            <w:r w:rsidRPr="00FE195C">
              <w:rPr>
                <w:webHidden/>
              </w:rPr>
            </w:r>
            <w:r w:rsidRPr="00FE195C">
              <w:rPr>
                <w:webHidden/>
              </w:rPr>
              <w:fldChar w:fldCharType="separate"/>
            </w:r>
            <w:r w:rsidRPr="00FE195C">
              <w:rPr>
                <w:webHidden/>
              </w:rPr>
              <w:t>13</w:t>
            </w:r>
            <w:r w:rsidRPr="00FE195C">
              <w:rPr>
                <w:webHidden/>
              </w:rPr>
              <w:fldChar w:fldCharType="end"/>
            </w:r>
          </w:hyperlink>
        </w:p>
        <w:p w14:paraId="456B1F7D" w14:textId="1E8212A8" w:rsidR="00301C3E" w:rsidRPr="00FE195C" w:rsidRDefault="00301C3E" w:rsidP="001C4B03">
          <w:r w:rsidRPr="00FE195C">
            <w:rPr>
              <w:b/>
              <w:bCs/>
              <w:noProof/>
            </w:rPr>
            <w:fldChar w:fldCharType="end"/>
          </w:r>
        </w:p>
      </w:sdtContent>
    </w:sdt>
    <w:p w14:paraId="14572CC1" w14:textId="77777777" w:rsidR="00301C3E" w:rsidRPr="00FE195C" w:rsidRDefault="00301C3E" w:rsidP="001C4B03">
      <w:pPr>
        <w:spacing w:line="240" w:lineRule="auto"/>
        <w:jc w:val="left"/>
        <w:rPr>
          <w:rFonts w:eastAsiaTheme="majorEastAsia" w:cstheme="majorBidi"/>
          <w:b/>
          <w:color w:val="0F243E" w:themeColor="text2" w:themeShade="80"/>
          <w:sz w:val="36"/>
          <w:szCs w:val="32"/>
          <w:lang w:bidi="bn-IN"/>
        </w:rPr>
      </w:pPr>
      <w:r w:rsidRPr="00FE195C">
        <w:rPr>
          <w:lang w:bidi="bn-IN"/>
        </w:rPr>
        <w:br w:type="page"/>
      </w:r>
    </w:p>
    <w:p w14:paraId="400E052E" w14:textId="28A9C77F" w:rsidR="003D3622" w:rsidRPr="00FE195C" w:rsidRDefault="003D3622" w:rsidP="001C4B03">
      <w:pPr>
        <w:pStyle w:val="Heading1"/>
        <w:pBdr>
          <w:bottom w:val="single" w:sz="4" w:space="1" w:color="auto"/>
        </w:pBdr>
        <w:spacing w:before="0"/>
        <w:jc w:val="center"/>
        <w:rPr>
          <w:lang w:bidi="bn-IN"/>
        </w:rPr>
      </w:pPr>
      <w:bookmarkStart w:id="1" w:name="_Toc237856884"/>
      <w:r w:rsidRPr="00FE195C">
        <w:rPr>
          <w:lang w:bidi="bn-IN"/>
        </w:rPr>
        <w:lastRenderedPageBreak/>
        <w:t>Introduction to Strategy</w:t>
      </w:r>
      <w:bookmarkEnd w:id="1"/>
    </w:p>
    <w:p w14:paraId="64C2862B" w14:textId="68E9D79D" w:rsidR="006136DD" w:rsidRPr="00FE195C" w:rsidRDefault="003D3622" w:rsidP="001C4B03">
      <w:pPr>
        <w:rPr>
          <w:rFonts w:asciiTheme="majorBidi" w:hAnsiTheme="majorBidi" w:cstheme="majorBidi"/>
          <w:szCs w:val="24"/>
          <w:lang w:bidi="bn-IN"/>
        </w:rPr>
      </w:pPr>
      <w:r w:rsidRPr="00FE195C">
        <w:rPr>
          <w:rFonts w:asciiTheme="majorBidi" w:hAnsiTheme="majorBidi" w:cstheme="majorBidi"/>
          <w:szCs w:val="24"/>
          <w:lang w:bidi="bn-IN"/>
        </w:rPr>
        <w:t xml:space="preserve">Strategic management links a firm's long-term choices with changes outside the business and the resources inside it. </w:t>
      </w:r>
      <w:r w:rsidR="006136DD" w:rsidRPr="00FE195C">
        <w:rPr>
          <w:rFonts w:asciiTheme="majorBidi" w:hAnsiTheme="majorBidi" w:cstheme="majorBidi"/>
          <w:szCs w:val="24"/>
          <w:lang w:bidi="bn-IN"/>
        </w:rPr>
        <w:t xml:space="preserve">It is relevant because shifting technology, policy or customer needs can </w:t>
      </w:r>
      <w:proofErr w:type="gramStart"/>
      <w:r w:rsidR="006136DD" w:rsidRPr="00FE195C">
        <w:rPr>
          <w:rFonts w:asciiTheme="majorBidi" w:hAnsiTheme="majorBidi" w:cstheme="majorBidi"/>
          <w:szCs w:val="24"/>
          <w:lang w:bidi="bn-IN"/>
        </w:rPr>
        <w:t>impact</w:t>
      </w:r>
      <w:proofErr w:type="gramEnd"/>
      <w:r w:rsidR="006136DD" w:rsidRPr="00FE195C">
        <w:rPr>
          <w:rFonts w:asciiTheme="majorBidi" w:hAnsiTheme="majorBidi" w:cstheme="majorBidi"/>
          <w:szCs w:val="24"/>
          <w:lang w:bidi="bn-IN"/>
        </w:rPr>
        <w:t xml:space="preserve"> an organi</w:t>
      </w:r>
      <w:r w:rsidR="007A68A2" w:rsidRPr="00FE195C">
        <w:rPr>
          <w:rFonts w:asciiTheme="majorBidi" w:hAnsiTheme="majorBidi" w:cstheme="majorBidi"/>
          <w:szCs w:val="24"/>
          <w:lang w:bidi="bn-IN"/>
        </w:rPr>
        <w:t>s</w:t>
      </w:r>
      <w:r w:rsidR="006136DD" w:rsidRPr="00FE195C">
        <w:rPr>
          <w:rFonts w:asciiTheme="majorBidi" w:hAnsiTheme="majorBidi" w:cstheme="majorBidi"/>
          <w:szCs w:val="24"/>
          <w:lang w:bidi="bn-IN"/>
        </w:rPr>
        <w:t>ation's position (Whittington et al., 2023). This risk is evident in the car business. Products and cost structures are evolving with electrification, software</w:t>
      </w:r>
      <w:r w:rsidR="007A68A2" w:rsidRPr="00FE195C">
        <w:rPr>
          <w:rFonts w:asciiTheme="majorBidi" w:hAnsiTheme="majorBidi" w:cstheme="majorBidi"/>
          <w:szCs w:val="24"/>
          <w:lang w:bidi="bn-IN"/>
        </w:rPr>
        <w:t>-</w:t>
      </w:r>
      <w:r w:rsidR="006136DD" w:rsidRPr="00FE195C">
        <w:rPr>
          <w:rFonts w:asciiTheme="majorBidi" w:hAnsiTheme="majorBidi" w:cstheme="majorBidi"/>
          <w:szCs w:val="24"/>
          <w:lang w:bidi="bn-IN"/>
        </w:rPr>
        <w:t xml:space="preserve">defined vehicles, AI and tightened carbon. They also alter the skills that give </w:t>
      </w:r>
      <w:r w:rsidR="007A68A2" w:rsidRPr="00FE195C">
        <w:rPr>
          <w:rFonts w:asciiTheme="majorBidi" w:hAnsiTheme="majorBidi" w:cstheme="majorBidi"/>
          <w:szCs w:val="24"/>
          <w:lang w:bidi="bn-IN"/>
        </w:rPr>
        <w:t xml:space="preserve">an </w:t>
      </w:r>
      <w:r w:rsidR="006136DD" w:rsidRPr="00FE195C">
        <w:rPr>
          <w:rFonts w:asciiTheme="majorBidi" w:hAnsiTheme="majorBidi" w:cstheme="majorBidi"/>
          <w:szCs w:val="24"/>
          <w:lang w:bidi="bn-IN"/>
        </w:rPr>
        <w:t xml:space="preserve">advantage. Toyota can't just stick with </w:t>
      </w:r>
      <w:r w:rsidR="007A68A2" w:rsidRPr="00FE195C">
        <w:rPr>
          <w:rFonts w:asciiTheme="majorBidi" w:hAnsiTheme="majorBidi" w:cstheme="majorBidi"/>
          <w:szCs w:val="24"/>
          <w:lang w:bidi="bn-IN"/>
        </w:rPr>
        <w:t>its</w:t>
      </w:r>
      <w:r w:rsidR="006136DD" w:rsidRPr="00FE195C">
        <w:rPr>
          <w:rFonts w:asciiTheme="majorBidi" w:hAnsiTheme="majorBidi" w:cstheme="majorBidi"/>
          <w:szCs w:val="24"/>
          <w:lang w:bidi="bn-IN"/>
        </w:rPr>
        <w:t xml:space="preserve"> current strengths - lean production, hybrid leadership. But are those strengths still relevant to the next round of competition? This report evaluates Toyota Motor Corp. and formulates a growth strategy. It first examines the firm's history, vision and performance. It then evaluates external pressure through PESTEL, and internal strengths and gaps through VRIO, Value Chain, BCG and SWOT. The value of Porter's framework is that it considers competition not only from direct competition but </w:t>
      </w:r>
      <w:r w:rsidR="007A68A2" w:rsidRPr="00FE195C">
        <w:rPr>
          <w:rFonts w:asciiTheme="majorBidi" w:hAnsiTheme="majorBidi" w:cstheme="majorBidi"/>
          <w:szCs w:val="24"/>
          <w:lang w:bidi="bn-IN"/>
        </w:rPr>
        <w:t>also</w:t>
      </w:r>
      <w:r w:rsidR="006136DD" w:rsidRPr="00FE195C">
        <w:rPr>
          <w:rFonts w:asciiTheme="majorBidi" w:hAnsiTheme="majorBidi" w:cstheme="majorBidi"/>
          <w:szCs w:val="24"/>
          <w:lang w:bidi="bn-IN"/>
        </w:rPr>
        <w:t xml:space="preserve"> from suppliers, buyers, substitutes and entrants (Porter, 2008). A key question is whether Toyota's multi-pathway strategy can sustain advantage in the face of </w:t>
      </w:r>
      <w:r w:rsidR="007D344C" w:rsidRPr="00FE195C">
        <w:rPr>
          <w:rFonts w:asciiTheme="majorBidi" w:hAnsiTheme="majorBidi" w:cstheme="majorBidi"/>
          <w:szCs w:val="24"/>
          <w:lang w:bidi="bn-IN"/>
        </w:rPr>
        <w:t>strategic value shifts toward batteries and software in BEVs.</w:t>
      </w:r>
    </w:p>
    <w:p w14:paraId="025370E3" w14:textId="77777777" w:rsidR="006136DD" w:rsidRPr="00FE195C" w:rsidRDefault="006136DD" w:rsidP="001C4B03">
      <w:pPr>
        <w:rPr>
          <w:rFonts w:asciiTheme="majorBidi" w:hAnsiTheme="majorBidi" w:cstheme="majorBidi"/>
          <w:szCs w:val="24"/>
          <w:lang w:bidi="bn-IN"/>
        </w:rPr>
      </w:pPr>
      <w:r w:rsidRPr="00FE195C">
        <w:rPr>
          <w:rFonts w:asciiTheme="majorBidi" w:hAnsiTheme="majorBidi" w:cstheme="majorBidi"/>
          <w:szCs w:val="24"/>
          <w:lang w:bidi="bn-IN"/>
        </w:rPr>
        <w:br w:type="page"/>
      </w:r>
    </w:p>
    <w:p w14:paraId="2D860AAD" w14:textId="10D11239" w:rsidR="003D3622" w:rsidRPr="00FE195C" w:rsidRDefault="003D3622" w:rsidP="001C4B03">
      <w:pPr>
        <w:pStyle w:val="Heading1"/>
        <w:pBdr>
          <w:bottom w:val="single" w:sz="4" w:space="1" w:color="auto"/>
        </w:pBdr>
        <w:spacing w:before="0"/>
        <w:jc w:val="center"/>
        <w:rPr>
          <w:lang w:bidi="bn-IN"/>
        </w:rPr>
      </w:pPr>
      <w:bookmarkStart w:id="2" w:name="_Toc237856885"/>
      <w:r w:rsidRPr="00FE195C">
        <w:rPr>
          <w:lang w:bidi="bn-IN"/>
        </w:rPr>
        <w:lastRenderedPageBreak/>
        <w:t>Background of Toyota</w:t>
      </w:r>
      <w:bookmarkEnd w:id="2"/>
    </w:p>
    <w:p w14:paraId="65DC889F" w14:textId="1F760B83" w:rsidR="00EA257E" w:rsidRPr="00FE195C" w:rsidRDefault="003D3622" w:rsidP="001C4B03">
      <w:pPr>
        <w:rPr>
          <w:rFonts w:asciiTheme="majorBidi" w:hAnsiTheme="majorBidi" w:cstheme="majorBidi"/>
          <w:szCs w:val="24"/>
          <w:lang w:bidi="bn-IN"/>
        </w:rPr>
      </w:pPr>
      <w:r w:rsidRPr="00FE195C">
        <w:rPr>
          <w:rFonts w:asciiTheme="majorBidi" w:hAnsiTheme="majorBidi" w:cstheme="majorBidi"/>
          <w:szCs w:val="24"/>
          <w:lang w:bidi="bn-IN"/>
        </w:rPr>
        <w:t xml:space="preserve">Toyota Motor Corporation is headquartered in </w:t>
      </w:r>
      <w:r w:rsidR="00EA257E" w:rsidRPr="00FE195C">
        <w:rPr>
          <w:rFonts w:asciiTheme="majorBidi" w:hAnsiTheme="majorBidi" w:cstheme="majorBidi"/>
          <w:szCs w:val="24"/>
          <w:lang w:bidi="bn-IN"/>
        </w:rPr>
        <w:t xml:space="preserve">Toyota City, Aichi, Japan and is present in the global vehicle markets (Toyota Motor Corporation, 2026a). It has an automotive division including passenger and commercial vehicles, and </w:t>
      </w:r>
      <w:r w:rsidR="00AA52C1" w:rsidRPr="00FE195C">
        <w:rPr>
          <w:rFonts w:asciiTheme="majorBidi" w:hAnsiTheme="majorBidi" w:cstheme="majorBidi"/>
          <w:szCs w:val="24"/>
          <w:lang w:bidi="bn-IN"/>
        </w:rPr>
        <w:t>a vehicle portfolio that includes internal-combustion, hybrid-electric, plug-in hybrid, battery-electric and fuel-cell vehicles</w:t>
      </w:r>
      <w:r w:rsidR="00EA257E" w:rsidRPr="00FE195C">
        <w:rPr>
          <w:rFonts w:asciiTheme="majorBidi" w:hAnsiTheme="majorBidi" w:cstheme="majorBidi"/>
          <w:szCs w:val="24"/>
          <w:lang w:bidi="bn-IN"/>
        </w:rPr>
        <w:t xml:space="preserve">. Toyota is also rolling out connected and mobility services. A wide portfolio that would decrease reliance on any single </w:t>
      </w:r>
      <w:proofErr w:type="gramStart"/>
      <w:r w:rsidR="00EA257E" w:rsidRPr="00FE195C">
        <w:rPr>
          <w:rFonts w:asciiTheme="majorBidi" w:hAnsiTheme="majorBidi" w:cstheme="majorBidi"/>
          <w:szCs w:val="24"/>
          <w:lang w:bidi="bn-IN"/>
        </w:rPr>
        <w:t>technology, but</w:t>
      </w:r>
      <w:proofErr w:type="gramEnd"/>
      <w:r w:rsidR="00EA257E" w:rsidRPr="00FE195C">
        <w:rPr>
          <w:rFonts w:asciiTheme="majorBidi" w:hAnsiTheme="majorBidi" w:cstheme="majorBidi"/>
          <w:szCs w:val="24"/>
          <w:lang w:bidi="bn-IN"/>
        </w:rPr>
        <w:t xml:space="preserve"> also complicate capital allocation due to the need for multiple systems to be built simultaneously. Efficient manufacturing, quality</w:t>
      </w:r>
      <w:r w:rsidR="007A68A2" w:rsidRPr="00FE195C">
        <w:rPr>
          <w:rFonts w:asciiTheme="majorBidi" w:hAnsiTheme="majorBidi" w:cstheme="majorBidi"/>
          <w:szCs w:val="24"/>
          <w:lang w:bidi="bn-IN"/>
        </w:rPr>
        <w:t>,</w:t>
      </w:r>
      <w:r w:rsidR="00EA257E" w:rsidRPr="00FE195C">
        <w:rPr>
          <w:rFonts w:asciiTheme="majorBidi" w:hAnsiTheme="majorBidi" w:cstheme="majorBidi"/>
          <w:szCs w:val="24"/>
          <w:lang w:bidi="bn-IN"/>
        </w:rPr>
        <w:t xml:space="preserve"> scale and supplier coordination are Toyota's forte. The importance of the Toyota Production System is that it is a process of routine that connects the reduction of waste, problem-solving, and continuous improvement together. Toyota </w:t>
      </w:r>
      <w:r w:rsidR="007A68A2" w:rsidRPr="00FE195C">
        <w:rPr>
          <w:rFonts w:asciiTheme="majorBidi" w:hAnsiTheme="majorBidi" w:cstheme="majorBidi"/>
          <w:szCs w:val="24"/>
          <w:lang w:bidi="bn-IN"/>
        </w:rPr>
        <w:t>has als</w:t>
      </w:r>
      <w:r w:rsidR="00EA257E" w:rsidRPr="00FE195C">
        <w:rPr>
          <w:rFonts w:asciiTheme="majorBidi" w:hAnsiTheme="majorBidi" w:cstheme="majorBidi"/>
          <w:szCs w:val="24"/>
          <w:lang w:bidi="bn-IN"/>
        </w:rPr>
        <w:t xml:space="preserve">o developed a solid base in hybrid technology, providing a practical path to reducing fuel consumption prior to the widespread availability of BEVs (Toyota Motor Corporation, 2025). However, the basis of competition is moving. More of the value of the vehicle is now determined by its batteries, software, data, and digital services. </w:t>
      </w:r>
      <w:r w:rsidR="00AA52C1" w:rsidRPr="00FE195C">
        <w:rPr>
          <w:rFonts w:asciiTheme="majorBidi" w:hAnsiTheme="majorBidi" w:cstheme="majorBidi"/>
          <w:szCs w:val="24"/>
          <w:lang w:bidi="bn-IN"/>
        </w:rPr>
        <w:t>Toyota's manufacturing strength remains valuable, but it must also be applied to batteries and software rather than treated as a sufficient advantage on its own.</w:t>
      </w:r>
    </w:p>
    <w:p w14:paraId="622A2627" w14:textId="4586F7C8" w:rsidR="003D3622" w:rsidRPr="00FE195C" w:rsidRDefault="003D3622" w:rsidP="001C4B03">
      <w:pPr>
        <w:rPr>
          <w:rFonts w:asciiTheme="majorBidi" w:hAnsiTheme="majorBidi" w:cstheme="majorBidi"/>
          <w:szCs w:val="24"/>
          <w:lang w:bidi="bn-IN"/>
        </w:rPr>
      </w:pPr>
      <w:r w:rsidRPr="00FE195C">
        <w:rPr>
          <w:rFonts w:asciiTheme="majorBidi" w:hAnsiTheme="majorBidi" w:cstheme="majorBidi"/>
          <w:szCs w:val="24"/>
          <w:lang w:bidi="bn-IN"/>
        </w:rPr>
        <w:t>.</w:t>
      </w:r>
    </w:p>
    <w:p w14:paraId="3EB8E8C9" w14:textId="77777777" w:rsidR="00EA257E" w:rsidRPr="00FE195C" w:rsidRDefault="00EA257E" w:rsidP="001C4B03">
      <w:pPr>
        <w:rPr>
          <w:rFonts w:asciiTheme="majorBidi" w:hAnsiTheme="majorBidi" w:cstheme="majorBidi"/>
          <w:b/>
          <w:bCs/>
          <w:szCs w:val="24"/>
          <w:lang w:bidi="bn-IN"/>
        </w:rPr>
      </w:pPr>
      <w:r w:rsidRPr="00FE195C">
        <w:rPr>
          <w:rFonts w:asciiTheme="majorBidi" w:hAnsiTheme="majorBidi" w:cstheme="majorBidi"/>
          <w:b/>
          <w:bCs/>
          <w:szCs w:val="24"/>
          <w:lang w:bidi="bn-IN"/>
        </w:rPr>
        <w:br w:type="page"/>
      </w:r>
    </w:p>
    <w:p w14:paraId="06068FAC" w14:textId="77B3906F" w:rsidR="003D3622" w:rsidRPr="00FE195C" w:rsidRDefault="003D3622" w:rsidP="001C4B03">
      <w:pPr>
        <w:pStyle w:val="Heading1"/>
        <w:pBdr>
          <w:bottom w:val="single" w:sz="4" w:space="1" w:color="auto"/>
        </w:pBdr>
        <w:spacing w:before="0"/>
        <w:jc w:val="center"/>
        <w:rPr>
          <w:lang w:bidi="bn-IN"/>
        </w:rPr>
      </w:pPr>
      <w:bookmarkStart w:id="3" w:name="_Toc237856886"/>
      <w:r w:rsidRPr="00FE195C">
        <w:rPr>
          <w:lang w:bidi="bn-IN"/>
        </w:rPr>
        <w:lastRenderedPageBreak/>
        <w:t>Strategic Intent</w:t>
      </w:r>
      <w:bookmarkEnd w:id="3"/>
    </w:p>
    <w:p w14:paraId="63DF3BF3" w14:textId="7356EEC0" w:rsidR="001C4B03" w:rsidRPr="00FE195C" w:rsidRDefault="001C4B03" w:rsidP="001C4B03">
      <w:pPr>
        <w:jc w:val="center"/>
        <w:rPr>
          <w:lang w:bidi="bn-IN"/>
        </w:rPr>
      </w:pPr>
      <w:r w:rsidRPr="00FE195C">
        <w:rPr>
          <w:noProof/>
        </w:rPr>
        <w:drawing>
          <wp:inline distT="0" distB="0" distL="0" distR="0" wp14:anchorId="6E690B62" wp14:editId="26450772">
            <wp:extent cx="4107180" cy="2310232"/>
            <wp:effectExtent l="0" t="0" r="7620" b="0"/>
            <wp:docPr id="318382935" name="Picture 4" descr="Toyota Generic Competitive Strategy and Growth Strateg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oyota Generic Competitive Strategy and Growth Strategi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16710" cy="2315592"/>
                    </a:xfrm>
                    <a:prstGeom prst="rect">
                      <a:avLst/>
                    </a:prstGeom>
                    <a:noFill/>
                    <a:ln>
                      <a:noFill/>
                    </a:ln>
                  </pic:spPr>
                </pic:pic>
              </a:graphicData>
            </a:graphic>
          </wp:inline>
        </w:drawing>
      </w:r>
    </w:p>
    <w:p w14:paraId="30348DAB" w14:textId="1BF66E5A" w:rsidR="001C4B03" w:rsidRPr="00FE195C" w:rsidRDefault="001C4B03" w:rsidP="001C4B03">
      <w:pPr>
        <w:pStyle w:val="Caption"/>
        <w:spacing w:after="0"/>
        <w:jc w:val="center"/>
        <w:rPr>
          <w:rFonts w:asciiTheme="majorBidi" w:hAnsiTheme="majorBidi" w:cstheme="majorBidi"/>
          <w:i w:val="0"/>
          <w:iCs w:val="0"/>
          <w:lang w:bidi="bn-IN"/>
        </w:rPr>
      </w:pPr>
      <w:r w:rsidRPr="00FE195C">
        <w:rPr>
          <w:i w:val="0"/>
          <w:iCs w:val="0"/>
        </w:rPr>
        <w:t xml:space="preserve">Figure </w:t>
      </w:r>
      <w:r w:rsidRPr="00FE195C">
        <w:rPr>
          <w:i w:val="0"/>
          <w:iCs w:val="0"/>
        </w:rPr>
        <w:fldChar w:fldCharType="begin"/>
      </w:r>
      <w:r w:rsidRPr="00FE195C">
        <w:rPr>
          <w:i w:val="0"/>
          <w:iCs w:val="0"/>
        </w:rPr>
        <w:instrText xml:space="preserve"> SEQ Figure \* ARABIC </w:instrText>
      </w:r>
      <w:r w:rsidRPr="00FE195C">
        <w:rPr>
          <w:i w:val="0"/>
          <w:iCs w:val="0"/>
        </w:rPr>
        <w:fldChar w:fldCharType="separate"/>
      </w:r>
      <w:r w:rsidRPr="00FE195C">
        <w:rPr>
          <w:i w:val="0"/>
          <w:iCs w:val="0"/>
          <w:noProof/>
        </w:rPr>
        <w:t>1</w:t>
      </w:r>
      <w:r w:rsidRPr="00FE195C">
        <w:rPr>
          <w:i w:val="0"/>
          <w:iCs w:val="0"/>
          <w:noProof/>
        </w:rPr>
        <w:fldChar w:fldCharType="end"/>
      </w:r>
      <w:r w:rsidRPr="00FE195C">
        <w:rPr>
          <w:i w:val="0"/>
          <w:iCs w:val="0"/>
        </w:rPr>
        <w:t xml:space="preserve">: Toyota’s Strategic Intent </w:t>
      </w:r>
      <w:r w:rsidRPr="00FE195C">
        <w:rPr>
          <w:rFonts w:asciiTheme="majorBidi" w:hAnsiTheme="majorBidi" w:cstheme="majorBidi"/>
          <w:i w:val="0"/>
          <w:iCs w:val="0"/>
          <w:lang w:bidi="bn-IN"/>
        </w:rPr>
        <w:t>(Toyota Motor Corporation, 2025).</w:t>
      </w:r>
    </w:p>
    <w:p w14:paraId="75795EA7" w14:textId="0E1768FB" w:rsidR="000137F3" w:rsidRPr="00FE195C" w:rsidRDefault="003D3622" w:rsidP="001C4B03">
      <w:pPr>
        <w:rPr>
          <w:rFonts w:asciiTheme="majorBidi" w:hAnsiTheme="majorBidi" w:cstheme="majorBidi"/>
          <w:szCs w:val="24"/>
          <w:lang w:bidi="bn-IN"/>
        </w:rPr>
      </w:pPr>
      <w:r w:rsidRPr="00FE195C">
        <w:rPr>
          <w:rFonts w:asciiTheme="majorBidi" w:hAnsiTheme="majorBidi" w:cstheme="majorBidi"/>
          <w:szCs w:val="24"/>
          <w:lang w:bidi="bn-IN"/>
        </w:rPr>
        <w:t xml:space="preserve">Toyota's intent is broader than selling cars. </w:t>
      </w:r>
      <w:r w:rsidR="000137F3" w:rsidRPr="00FE195C">
        <w:rPr>
          <w:rFonts w:asciiTheme="majorBidi" w:hAnsiTheme="majorBidi" w:cstheme="majorBidi"/>
          <w:szCs w:val="24"/>
          <w:lang w:bidi="bn-IN"/>
        </w:rPr>
        <w:t>It has a mission of “Producing Happiness for All” and a vision of “Creating Mobility for All”, contributing to its transformation from a “car</w:t>
      </w:r>
      <w:r w:rsidR="007A68A2" w:rsidRPr="00FE195C">
        <w:rPr>
          <w:rFonts w:asciiTheme="majorBidi" w:hAnsiTheme="majorBidi" w:cstheme="majorBidi"/>
          <w:szCs w:val="24"/>
          <w:lang w:bidi="bn-IN"/>
        </w:rPr>
        <w:t xml:space="preserve"> </w:t>
      </w:r>
      <w:r w:rsidR="009D5F5F" w:rsidRPr="00FE195C">
        <w:rPr>
          <w:rFonts w:asciiTheme="majorBidi" w:hAnsiTheme="majorBidi" w:cstheme="majorBidi"/>
          <w:szCs w:val="24"/>
          <w:lang w:bidi="bn-IN"/>
        </w:rPr>
        <w:t>company</w:t>
      </w:r>
      <w:r w:rsidR="000137F3" w:rsidRPr="00FE195C">
        <w:rPr>
          <w:rFonts w:asciiTheme="majorBidi" w:hAnsiTheme="majorBidi" w:cstheme="majorBidi"/>
          <w:szCs w:val="24"/>
          <w:lang w:bidi="bn-IN"/>
        </w:rPr>
        <w:t xml:space="preserve">” to a “mobility company” (Toyota Motor Corporation, 2025). It is a direction that adapts to changing trends in connected, automated, shared and electrified mobility. It provides Toyota with space for meeting markets' needs. However, it is a broad vision. While a broad purpose can help to inspire innovation, there is a danger that a broad purpose can be diluted by managers funding a lot of technologies without a regional focus. Its goals include becoming carbon neutral, safer mobility, electrification, battery development, and </w:t>
      </w:r>
      <w:r w:rsidR="0039738D" w:rsidRPr="00FE195C">
        <w:rPr>
          <w:rFonts w:asciiTheme="majorBidi" w:hAnsiTheme="majorBidi" w:cstheme="majorBidi"/>
          <w:szCs w:val="24"/>
          <w:lang w:bidi="bn-IN"/>
        </w:rPr>
        <w:t>battery and software capabilities</w:t>
      </w:r>
      <w:r w:rsidR="000137F3" w:rsidRPr="00FE195C">
        <w:rPr>
          <w:rFonts w:asciiTheme="majorBidi" w:hAnsiTheme="majorBidi" w:cstheme="majorBidi"/>
          <w:szCs w:val="24"/>
          <w:lang w:bidi="bn-IN"/>
        </w:rPr>
        <w:t xml:space="preserve"> (Toyota Motor Corporation, 2026c). These goals are achieved through Toyota's multi-pathway strategy, which provides HEVs, PHEVs, BEVs and fuel-cell vehicles for local conditions. This makes sense in situations with limited charging infrastructure or financial issues. This, however, comes with a catch. As EV demand increases, the distribution of resources might dampen BEV and software growth relative to that of other players that are advancing more rapidly (IEA, 2026). Toyota's plans are believable, but it will have to make decisions about location and rate of expansion for each pathway.</w:t>
      </w:r>
    </w:p>
    <w:p w14:paraId="13F26B97" w14:textId="77777777" w:rsidR="000137F3" w:rsidRPr="00FE195C" w:rsidRDefault="000137F3" w:rsidP="001C4B03">
      <w:pPr>
        <w:rPr>
          <w:rFonts w:asciiTheme="majorBidi" w:hAnsiTheme="majorBidi" w:cstheme="majorBidi"/>
          <w:szCs w:val="24"/>
          <w:lang w:bidi="bn-IN"/>
        </w:rPr>
      </w:pPr>
      <w:r w:rsidRPr="00FE195C">
        <w:rPr>
          <w:rFonts w:asciiTheme="majorBidi" w:hAnsiTheme="majorBidi" w:cstheme="majorBidi"/>
          <w:szCs w:val="24"/>
          <w:lang w:bidi="bn-IN"/>
        </w:rPr>
        <w:br w:type="page"/>
      </w:r>
    </w:p>
    <w:p w14:paraId="5342C604" w14:textId="3ADC55E8" w:rsidR="003D3622" w:rsidRPr="00FE195C" w:rsidRDefault="003D3622" w:rsidP="001C4B03">
      <w:pPr>
        <w:pStyle w:val="Heading1"/>
        <w:pBdr>
          <w:bottom w:val="single" w:sz="4" w:space="1" w:color="auto"/>
        </w:pBdr>
        <w:spacing w:before="0"/>
        <w:jc w:val="center"/>
        <w:rPr>
          <w:lang w:bidi="bn-IN"/>
        </w:rPr>
      </w:pPr>
      <w:bookmarkStart w:id="4" w:name="_Toc237856887"/>
      <w:r w:rsidRPr="00FE195C">
        <w:rPr>
          <w:lang w:bidi="bn-IN"/>
        </w:rPr>
        <w:lastRenderedPageBreak/>
        <w:t>Current Performance</w:t>
      </w:r>
      <w:bookmarkEnd w:id="4"/>
    </w:p>
    <w:p w14:paraId="7502121B" w14:textId="560269A8" w:rsidR="00C61118" w:rsidRPr="00FE195C" w:rsidRDefault="0075093F" w:rsidP="001C4B03">
      <w:pPr>
        <w:rPr>
          <w:rFonts w:asciiTheme="majorBidi" w:hAnsiTheme="majorBidi" w:cstheme="majorBidi"/>
          <w:szCs w:val="24"/>
          <w:lang w:bidi="bn-IN"/>
        </w:rPr>
      </w:pPr>
      <w:r w:rsidRPr="00FE195C">
        <w:rPr>
          <w:noProof/>
        </w:rPr>
        <w:drawing>
          <wp:anchor distT="0" distB="0" distL="114300" distR="114300" simplePos="0" relativeHeight="251659264" behindDoc="0" locked="0" layoutInCell="1" allowOverlap="1" wp14:anchorId="3977D322" wp14:editId="20D8BFA3">
            <wp:simplePos x="0" y="0"/>
            <wp:positionH relativeFrom="margin">
              <wp:align>center</wp:align>
            </wp:positionH>
            <wp:positionV relativeFrom="paragraph">
              <wp:posOffset>1851660</wp:posOffset>
            </wp:positionV>
            <wp:extent cx="4655820" cy="2362200"/>
            <wp:effectExtent l="0" t="0" r="11430" b="0"/>
            <wp:wrapTopAndBottom/>
            <wp:docPr id="410801856" name="Chart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r w:rsidR="003D3622" w:rsidRPr="00FE195C">
        <w:rPr>
          <w:rFonts w:asciiTheme="majorBidi" w:hAnsiTheme="majorBidi" w:cstheme="majorBidi"/>
          <w:szCs w:val="24"/>
          <w:lang w:bidi="bn-IN"/>
        </w:rPr>
        <w:t xml:space="preserve">Toyota entered FY2027 with strong revenue but weaker operating profit. </w:t>
      </w:r>
      <w:r w:rsidR="00C61118" w:rsidRPr="00FE195C">
        <w:rPr>
          <w:rFonts w:asciiTheme="majorBidi" w:hAnsiTheme="majorBidi" w:cstheme="majorBidi"/>
          <w:szCs w:val="24"/>
          <w:lang w:bidi="bn-IN"/>
        </w:rPr>
        <w:t xml:space="preserve">The sales revenue for the </w:t>
      </w:r>
      <w:r w:rsidR="00124834" w:rsidRPr="00FE195C">
        <w:rPr>
          <w:rFonts w:asciiTheme="majorBidi" w:hAnsiTheme="majorBidi" w:cstheme="majorBidi"/>
          <w:szCs w:val="24"/>
          <w:lang w:bidi="bn-IN"/>
        </w:rPr>
        <w:t>FY2027 first quarter was ¥13.53 trillion, up 10.4% year-on-year</w:t>
      </w:r>
      <w:r w:rsidR="00C61118" w:rsidRPr="00FE195C">
        <w:rPr>
          <w:rFonts w:asciiTheme="majorBidi" w:hAnsiTheme="majorBidi" w:cstheme="majorBidi"/>
          <w:szCs w:val="24"/>
          <w:lang w:bidi="bn-IN"/>
        </w:rPr>
        <w:t xml:space="preserve">, and operating income was ¥1.06 trillion, a decrease of 8.8% (Toyota Motor Corporation, 2026b). </w:t>
      </w:r>
      <w:r w:rsidR="009D61CD" w:rsidRPr="00FE195C">
        <w:rPr>
          <w:rFonts w:asciiTheme="majorBidi" w:hAnsiTheme="majorBidi" w:cstheme="majorBidi"/>
          <w:szCs w:val="24"/>
          <w:lang w:bidi="bn-IN"/>
        </w:rPr>
        <w:t>Automotive revenue increased by 8.8% to ¥12.01 trillion, while automotive operating income fell by 21.0% to ¥719.9 billion.</w:t>
      </w:r>
      <w:r w:rsidR="00C61118" w:rsidRPr="00FE195C">
        <w:rPr>
          <w:rFonts w:asciiTheme="majorBidi" w:hAnsiTheme="majorBidi" w:cstheme="majorBidi"/>
          <w:szCs w:val="24"/>
          <w:lang w:bidi="bn-IN"/>
        </w:rPr>
        <w:t xml:space="preserve"> This gap matters. With its higher costs, the company is not enjoying as much profit as it used to</w:t>
      </w:r>
      <w:r w:rsidR="007A68A2" w:rsidRPr="00FE195C">
        <w:rPr>
          <w:rFonts w:asciiTheme="majorBidi" w:hAnsiTheme="majorBidi" w:cstheme="majorBidi"/>
          <w:szCs w:val="24"/>
          <w:lang w:bidi="bn-IN"/>
        </w:rPr>
        <w:t>, based</w:t>
      </w:r>
      <w:r w:rsidR="00C61118" w:rsidRPr="00FE195C">
        <w:rPr>
          <w:rFonts w:asciiTheme="majorBidi" w:hAnsiTheme="majorBidi" w:cstheme="majorBidi"/>
          <w:szCs w:val="24"/>
          <w:lang w:bidi="bn-IN"/>
        </w:rPr>
        <w:t xml:space="preserve"> on its sales revenue. Toyota has financial scale</w:t>
      </w:r>
      <w:r w:rsidR="007A68A2" w:rsidRPr="00FE195C">
        <w:rPr>
          <w:rFonts w:asciiTheme="majorBidi" w:hAnsiTheme="majorBidi" w:cstheme="majorBidi"/>
          <w:szCs w:val="24"/>
          <w:lang w:bidi="bn-IN"/>
        </w:rPr>
        <w:t>,</w:t>
      </w:r>
      <w:r w:rsidR="00C61118" w:rsidRPr="00FE195C">
        <w:rPr>
          <w:rFonts w:asciiTheme="majorBidi" w:hAnsiTheme="majorBidi" w:cstheme="majorBidi"/>
          <w:szCs w:val="24"/>
          <w:lang w:bidi="bn-IN"/>
        </w:rPr>
        <w:t xml:space="preserve"> but gains in efficiency are falling short in terms of margins.</w:t>
      </w:r>
    </w:p>
    <w:p w14:paraId="00BCB93D" w14:textId="2A838E09" w:rsidR="0075093F" w:rsidRPr="00FE195C" w:rsidRDefault="0075093F" w:rsidP="001C4B03">
      <w:pPr>
        <w:pStyle w:val="Caption"/>
        <w:spacing w:after="0"/>
        <w:jc w:val="center"/>
        <w:rPr>
          <w:i w:val="0"/>
          <w:iCs w:val="0"/>
        </w:rPr>
      </w:pPr>
      <w:r w:rsidRPr="00FE195C">
        <w:rPr>
          <w:i w:val="0"/>
          <w:iCs w:val="0"/>
        </w:rPr>
        <w:t xml:space="preserve">Figure </w:t>
      </w:r>
      <w:r w:rsidR="001C4B03" w:rsidRPr="00FE195C">
        <w:rPr>
          <w:i w:val="0"/>
          <w:iCs w:val="0"/>
        </w:rPr>
        <w:fldChar w:fldCharType="begin"/>
      </w:r>
      <w:r w:rsidR="001C4B03" w:rsidRPr="00FE195C">
        <w:rPr>
          <w:i w:val="0"/>
          <w:iCs w:val="0"/>
        </w:rPr>
        <w:instrText xml:space="preserve"> SEQ Figure \* ARABIC </w:instrText>
      </w:r>
      <w:r w:rsidR="001C4B03" w:rsidRPr="00FE195C">
        <w:rPr>
          <w:i w:val="0"/>
          <w:iCs w:val="0"/>
        </w:rPr>
        <w:fldChar w:fldCharType="separate"/>
      </w:r>
      <w:r w:rsidR="001C4B03" w:rsidRPr="00FE195C">
        <w:rPr>
          <w:i w:val="0"/>
          <w:iCs w:val="0"/>
          <w:noProof/>
        </w:rPr>
        <w:t>2</w:t>
      </w:r>
      <w:r w:rsidR="001C4B03" w:rsidRPr="00FE195C">
        <w:rPr>
          <w:i w:val="0"/>
          <w:iCs w:val="0"/>
          <w:noProof/>
        </w:rPr>
        <w:fldChar w:fldCharType="end"/>
      </w:r>
      <w:r w:rsidRPr="00FE195C">
        <w:rPr>
          <w:i w:val="0"/>
          <w:iCs w:val="0"/>
        </w:rPr>
        <w:t xml:space="preserve">: Toyota Q1 FY2027 Year-on-Year Change </w:t>
      </w:r>
      <w:r w:rsidRPr="00FE195C">
        <w:rPr>
          <w:rFonts w:asciiTheme="majorBidi" w:hAnsiTheme="majorBidi" w:cstheme="majorBidi"/>
          <w:i w:val="0"/>
          <w:iCs w:val="0"/>
          <w:lang w:bidi="bn-IN"/>
        </w:rPr>
        <w:t>(IEA, 2026).</w:t>
      </w:r>
    </w:p>
    <w:p w14:paraId="6B7D9B54" w14:textId="39455CFD" w:rsidR="00C61118" w:rsidRPr="00FE195C" w:rsidRDefault="00C61118" w:rsidP="001C4B03">
      <w:pPr>
        <w:rPr>
          <w:rFonts w:asciiTheme="majorBidi" w:hAnsiTheme="majorBidi" w:cstheme="majorBidi"/>
          <w:szCs w:val="24"/>
          <w:lang w:bidi="bn-IN"/>
        </w:rPr>
      </w:pPr>
      <w:r w:rsidRPr="00FE195C">
        <w:rPr>
          <w:rFonts w:asciiTheme="majorBidi" w:hAnsiTheme="majorBidi" w:cstheme="majorBidi"/>
          <w:szCs w:val="24"/>
          <w:lang w:bidi="bn-IN"/>
        </w:rPr>
        <w:t>There is another concern</w:t>
      </w:r>
      <w:r w:rsidR="007A68A2" w:rsidRPr="00FE195C">
        <w:rPr>
          <w:rFonts w:asciiTheme="majorBidi" w:hAnsiTheme="majorBidi" w:cstheme="majorBidi"/>
          <w:szCs w:val="24"/>
          <w:lang w:bidi="bn-IN"/>
        </w:rPr>
        <w:t>:</w:t>
      </w:r>
      <w:r w:rsidRPr="00FE195C">
        <w:rPr>
          <w:rFonts w:asciiTheme="majorBidi" w:hAnsiTheme="majorBidi" w:cstheme="majorBidi"/>
          <w:szCs w:val="24"/>
          <w:lang w:bidi="bn-IN"/>
        </w:rPr>
        <w:t xml:space="preserve"> the wider market. In 2025, sales of electric cars passed the </w:t>
      </w:r>
      <w:proofErr w:type="gramStart"/>
      <w:r w:rsidRPr="00FE195C">
        <w:rPr>
          <w:rFonts w:asciiTheme="majorBidi" w:hAnsiTheme="majorBidi" w:cstheme="majorBidi"/>
          <w:szCs w:val="24"/>
          <w:lang w:bidi="bn-IN"/>
        </w:rPr>
        <w:t>20 million mark</w:t>
      </w:r>
      <w:proofErr w:type="gramEnd"/>
      <w:r w:rsidRPr="00FE195C">
        <w:rPr>
          <w:rFonts w:asciiTheme="majorBidi" w:hAnsiTheme="majorBidi" w:cstheme="majorBidi"/>
          <w:szCs w:val="24"/>
          <w:lang w:bidi="bn-IN"/>
        </w:rPr>
        <w:t>, accounting for 25% of new car sales (IEA, 2026). China accounted for almost 75% of electric car production</w:t>
      </w:r>
      <w:r w:rsidR="007A68A2" w:rsidRPr="00FE195C">
        <w:rPr>
          <w:rFonts w:asciiTheme="majorBidi" w:hAnsiTheme="majorBidi" w:cstheme="majorBidi"/>
          <w:szCs w:val="24"/>
          <w:lang w:bidi="bn-IN"/>
        </w:rPr>
        <w:t>,</w:t>
      </w:r>
      <w:r w:rsidRPr="00FE195C">
        <w:rPr>
          <w:rFonts w:asciiTheme="majorBidi" w:hAnsiTheme="majorBidi" w:cstheme="majorBidi"/>
          <w:szCs w:val="24"/>
          <w:lang w:bidi="bn-IN"/>
        </w:rPr>
        <w:t xml:space="preserve"> and Chinese manufacturers account for 60% of global sales of electric cars. Toyota's sales strength is quite evident in hybrids, and in general on a global scale, but less pronounced in BEVs </w:t>
      </w:r>
      <w:proofErr w:type="gramStart"/>
      <w:r w:rsidRPr="00FE195C">
        <w:rPr>
          <w:rFonts w:asciiTheme="majorBidi" w:hAnsiTheme="majorBidi" w:cstheme="majorBidi"/>
          <w:szCs w:val="24"/>
          <w:lang w:bidi="bn-IN"/>
        </w:rPr>
        <w:t>The</w:t>
      </w:r>
      <w:proofErr w:type="gramEnd"/>
      <w:r w:rsidRPr="00FE195C">
        <w:rPr>
          <w:rFonts w:asciiTheme="majorBidi" w:hAnsiTheme="majorBidi" w:cstheme="majorBidi"/>
          <w:szCs w:val="24"/>
          <w:lang w:bidi="bn-IN"/>
        </w:rPr>
        <w:t xml:space="preserve"> difference is strategic. In the future, </w:t>
      </w:r>
      <w:r w:rsidR="0013022D" w:rsidRPr="00FE195C">
        <w:rPr>
          <w:rFonts w:asciiTheme="majorBidi" w:hAnsiTheme="majorBidi" w:cstheme="majorBidi"/>
          <w:szCs w:val="24"/>
          <w:lang w:bidi="bn-IN"/>
        </w:rPr>
        <w:t>software and batteries may account for a larger share of vehicle value, and Toyota could lose ground in these areas if its capabilities develop too slowly</w:t>
      </w:r>
      <w:r w:rsidRPr="00FE195C">
        <w:rPr>
          <w:rFonts w:asciiTheme="majorBidi" w:hAnsiTheme="majorBidi" w:cstheme="majorBidi"/>
          <w:szCs w:val="24"/>
          <w:lang w:bidi="bn-IN"/>
        </w:rPr>
        <w:t>, while retaining high sales if industry growth and learning go towards BEVs</w:t>
      </w:r>
    </w:p>
    <w:p w14:paraId="174A2AC2" w14:textId="15B55099" w:rsidR="00C61118" w:rsidRPr="00FE195C" w:rsidRDefault="00C61118" w:rsidP="001C4B03">
      <w:pPr>
        <w:rPr>
          <w:rFonts w:asciiTheme="majorBidi" w:hAnsiTheme="majorBidi" w:cstheme="majorBidi"/>
          <w:szCs w:val="24"/>
          <w:lang w:bidi="bn-IN"/>
        </w:rPr>
      </w:pPr>
      <w:r w:rsidRPr="00FE195C">
        <w:rPr>
          <w:rFonts w:asciiTheme="majorBidi" w:hAnsiTheme="majorBidi" w:cstheme="majorBidi"/>
          <w:szCs w:val="24"/>
          <w:lang w:bidi="bn-IN"/>
        </w:rPr>
        <w:t xml:space="preserve">Toyota is </w:t>
      </w:r>
      <w:r w:rsidR="007A68A2" w:rsidRPr="00FE195C">
        <w:rPr>
          <w:rFonts w:asciiTheme="majorBidi" w:hAnsiTheme="majorBidi" w:cstheme="majorBidi"/>
          <w:szCs w:val="24"/>
          <w:lang w:bidi="bn-IN"/>
        </w:rPr>
        <w:t>investing</w:t>
      </w:r>
      <w:r w:rsidRPr="00FE195C">
        <w:rPr>
          <w:rFonts w:asciiTheme="majorBidi" w:hAnsiTheme="majorBidi" w:cstheme="majorBidi"/>
          <w:szCs w:val="24"/>
          <w:lang w:bidi="bn-IN"/>
        </w:rPr>
        <w:t xml:space="preserve"> to fill that shortfall. In 2025, its battery plant in North Carolina started to supply batteries, contributing to the growth of battery supply from the region and reduc</w:t>
      </w:r>
      <w:r w:rsidR="007A68A2" w:rsidRPr="00FE195C">
        <w:rPr>
          <w:rFonts w:asciiTheme="majorBidi" w:hAnsiTheme="majorBidi" w:cstheme="majorBidi"/>
          <w:szCs w:val="24"/>
          <w:lang w:bidi="bn-IN"/>
        </w:rPr>
        <w:t>ing</w:t>
      </w:r>
      <w:r w:rsidRPr="00FE195C">
        <w:rPr>
          <w:rFonts w:asciiTheme="majorBidi" w:hAnsiTheme="majorBidi" w:cstheme="majorBidi"/>
          <w:szCs w:val="24"/>
          <w:lang w:bidi="bn-IN"/>
        </w:rPr>
        <w:t xml:space="preserve"> the dependence on external batteries, which will enable HEV, PHEV and BEV production (Toyota Motor Corporation, 2026a). Toyota and </w:t>
      </w:r>
      <w:proofErr w:type="gramStart"/>
      <w:r w:rsidRPr="00FE195C">
        <w:rPr>
          <w:rFonts w:asciiTheme="majorBidi" w:hAnsiTheme="majorBidi" w:cstheme="majorBidi"/>
          <w:szCs w:val="24"/>
          <w:lang w:bidi="bn-IN"/>
        </w:rPr>
        <w:t>Woven</w:t>
      </w:r>
      <w:proofErr w:type="gramEnd"/>
      <w:r w:rsidRPr="00FE195C">
        <w:rPr>
          <w:rFonts w:asciiTheme="majorBidi" w:hAnsiTheme="majorBidi" w:cstheme="majorBidi"/>
          <w:szCs w:val="24"/>
          <w:lang w:bidi="bn-IN"/>
        </w:rPr>
        <w:t xml:space="preserve"> by Toyota are developing software, AI and connected mobility functionality. Toyota's actions indicate that it has the means to change. But the current performance doesn't guarantee a complete transition. The question is whether the investment is quick and targeted enough to be in line with market changes over the years</w:t>
      </w:r>
      <w:r w:rsidR="00014730" w:rsidRPr="00FE195C">
        <w:rPr>
          <w:rFonts w:asciiTheme="majorBidi" w:hAnsiTheme="majorBidi" w:cstheme="majorBidi"/>
          <w:szCs w:val="24"/>
          <w:lang w:bidi="bn-IN"/>
        </w:rPr>
        <w:t>.</w:t>
      </w:r>
    </w:p>
    <w:p w14:paraId="7811C8B3" w14:textId="124AF8B7" w:rsidR="003D3622" w:rsidRPr="00FE195C" w:rsidRDefault="003D3622" w:rsidP="001C4B03">
      <w:pPr>
        <w:pStyle w:val="Heading1"/>
        <w:pBdr>
          <w:bottom w:val="single" w:sz="4" w:space="1" w:color="auto"/>
        </w:pBdr>
        <w:spacing w:before="0"/>
        <w:jc w:val="center"/>
        <w:rPr>
          <w:lang w:bidi="bn-IN"/>
        </w:rPr>
      </w:pPr>
      <w:bookmarkStart w:id="5" w:name="_Toc237856888"/>
      <w:r w:rsidRPr="00FE195C">
        <w:rPr>
          <w:lang w:bidi="bn-IN"/>
        </w:rPr>
        <w:lastRenderedPageBreak/>
        <w:t>Strategy Analysis</w:t>
      </w:r>
      <w:bookmarkEnd w:id="5"/>
    </w:p>
    <w:p w14:paraId="5D4D68CC" w14:textId="2E37C1CB" w:rsidR="003D3622" w:rsidRPr="00FE195C" w:rsidRDefault="003D3622" w:rsidP="001C4B03">
      <w:pPr>
        <w:pStyle w:val="Heading2"/>
        <w:spacing w:before="0" w:beforeAutospacing="0" w:after="0" w:afterAutospacing="0"/>
      </w:pPr>
      <w:bookmarkStart w:id="6" w:name="_Toc237856889"/>
      <w:r w:rsidRPr="00FE195C">
        <w:t>External Environmental Audit</w:t>
      </w:r>
      <w:bookmarkEnd w:id="6"/>
    </w:p>
    <w:p w14:paraId="7DBA37FE" w14:textId="34B3FE05" w:rsidR="003D3622" w:rsidRPr="00FE195C" w:rsidRDefault="003D3622" w:rsidP="001C4B03">
      <w:pPr>
        <w:pStyle w:val="Heading3"/>
        <w:spacing w:before="0" w:beforeAutospacing="0" w:after="0" w:afterAutospacing="0"/>
      </w:pPr>
      <w:bookmarkStart w:id="7" w:name="_Toc237856890"/>
      <w:r w:rsidRPr="00FE195C">
        <w:t>PESTEL Analysis</w:t>
      </w:r>
      <w:bookmarkEnd w:id="7"/>
    </w:p>
    <w:p w14:paraId="2CDB80EF" w14:textId="51D5C811" w:rsidR="00301C3E" w:rsidRPr="00FE195C" w:rsidRDefault="00301C3E" w:rsidP="001C4B03">
      <w:pPr>
        <w:jc w:val="center"/>
      </w:pPr>
      <w:r w:rsidRPr="00FE195C">
        <w:rPr>
          <w:noProof/>
        </w:rPr>
        <w:drawing>
          <wp:inline distT="0" distB="0" distL="0" distR="0" wp14:anchorId="5FB5528C" wp14:editId="3F9084D7">
            <wp:extent cx="4411980" cy="2481678"/>
            <wp:effectExtent l="0" t="0" r="7620" b="0"/>
            <wp:docPr id="175493402" name="Picture 3" descr="PESTEL Analysis PowerPoint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ESTEL Analysis PowerPoint Templa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19869" cy="2486115"/>
                    </a:xfrm>
                    <a:prstGeom prst="rect">
                      <a:avLst/>
                    </a:prstGeom>
                    <a:noFill/>
                    <a:ln>
                      <a:noFill/>
                    </a:ln>
                  </pic:spPr>
                </pic:pic>
              </a:graphicData>
            </a:graphic>
          </wp:inline>
        </w:drawing>
      </w:r>
    </w:p>
    <w:p w14:paraId="587E5C40" w14:textId="1399CE26" w:rsidR="00301C3E" w:rsidRPr="00FE195C" w:rsidRDefault="00301C3E" w:rsidP="001C4B03">
      <w:pPr>
        <w:pStyle w:val="Caption"/>
        <w:spacing w:after="0"/>
        <w:jc w:val="center"/>
        <w:rPr>
          <w:rFonts w:asciiTheme="majorBidi" w:hAnsiTheme="majorBidi" w:cstheme="majorBidi"/>
          <w:i w:val="0"/>
          <w:iCs w:val="0"/>
          <w:lang w:bidi="bn-IN"/>
        </w:rPr>
      </w:pPr>
      <w:r w:rsidRPr="00FE195C">
        <w:rPr>
          <w:i w:val="0"/>
          <w:iCs w:val="0"/>
        </w:rPr>
        <w:t xml:space="preserve">Figure </w:t>
      </w:r>
      <w:r w:rsidR="001C4B03" w:rsidRPr="00FE195C">
        <w:rPr>
          <w:i w:val="0"/>
          <w:iCs w:val="0"/>
        </w:rPr>
        <w:fldChar w:fldCharType="begin"/>
      </w:r>
      <w:r w:rsidR="001C4B03" w:rsidRPr="00FE195C">
        <w:rPr>
          <w:i w:val="0"/>
          <w:iCs w:val="0"/>
        </w:rPr>
        <w:instrText xml:space="preserve"> SEQ Figure \* ARABIC </w:instrText>
      </w:r>
      <w:r w:rsidR="001C4B03" w:rsidRPr="00FE195C">
        <w:rPr>
          <w:i w:val="0"/>
          <w:iCs w:val="0"/>
        </w:rPr>
        <w:fldChar w:fldCharType="separate"/>
      </w:r>
      <w:r w:rsidR="001C4B03" w:rsidRPr="00FE195C">
        <w:rPr>
          <w:i w:val="0"/>
          <w:iCs w:val="0"/>
          <w:noProof/>
        </w:rPr>
        <w:t>3</w:t>
      </w:r>
      <w:r w:rsidR="001C4B03" w:rsidRPr="00FE195C">
        <w:rPr>
          <w:i w:val="0"/>
          <w:iCs w:val="0"/>
          <w:noProof/>
        </w:rPr>
        <w:fldChar w:fldCharType="end"/>
      </w:r>
      <w:r w:rsidRPr="00FE195C">
        <w:rPr>
          <w:i w:val="0"/>
          <w:iCs w:val="0"/>
        </w:rPr>
        <w:t>: PESTEL Analysis (</w:t>
      </w:r>
      <w:r w:rsidRPr="00FE195C">
        <w:rPr>
          <w:rFonts w:asciiTheme="majorBidi" w:hAnsiTheme="majorBidi" w:cstheme="majorBidi"/>
          <w:i w:val="0"/>
          <w:iCs w:val="0"/>
          <w:lang w:bidi="bn-IN"/>
        </w:rPr>
        <w:t>Jeong et al., 2024).</w:t>
      </w:r>
    </w:p>
    <w:p w14:paraId="1D8AE08C" w14:textId="028C1952" w:rsidR="007C7A85" w:rsidRPr="00FE195C" w:rsidRDefault="003D3622" w:rsidP="001C4B03">
      <w:pPr>
        <w:rPr>
          <w:rFonts w:asciiTheme="majorBidi" w:hAnsiTheme="majorBidi" w:cstheme="majorBidi"/>
          <w:szCs w:val="24"/>
          <w:lang w:bidi="bn-IN"/>
        </w:rPr>
      </w:pPr>
      <w:r w:rsidRPr="00FE195C">
        <w:rPr>
          <w:rFonts w:asciiTheme="majorBidi" w:hAnsiTheme="majorBidi" w:cstheme="majorBidi"/>
          <w:szCs w:val="24"/>
          <w:lang w:bidi="bn-IN"/>
        </w:rPr>
        <w:t xml:space="preserve">PESTEL shows that Toyota faces uneven pressure across regions. </w:t>
      </w:r>
      <w:r w:rsidR="007C7A85" w:rsidRPr="00FE195C">
        <w:rPr>
          <w:rFonts w:asciiTheme="majorBidi" w:hAnsiTheme="majorBidi" w:cstheme="majorBidi"/>
          <w:szCs w:val="24"/>
          <w:lang w:bidi="bn-IN"/>
        </w:rPr>
        <w:t>Governments are tightening CO2 standards or providing incentives for battery production to encourage EV adoption, and these policies are accelerating adoption. In this regard, Jeong et al. (2024) demonstrate that competition is influenced by government decisions in industrial policy in the context of EV transition. Toyota can't fit one combination of powertrains all over. Economically speaking, the demand for BEVs is price</w:t>
      </w:r>
      <w:r w:rsidR="007A68A2" w:rsidRPr="00FE195C">
        <w:rPr>
          <w:rFonts w:asciiTheme="majorBidi" w:hAnsiTheme="majorBidi" w:cstheme="majorBidi"/>
          <w:szCs w:val="24"/>
          <w:lang w:bidi="bn-IN"/>
        </w:rPr>
        <w:t>-</w:t>
      </w:r>
      <w:r w:rsidR="007C7A85" w:rsidRPr="00FE195C">
        <w:rPr>
          <w:rFonts w:asciiTheme="majorBidi" w:hAnsiTheme="majorBidi" w:cstheme="majorBidi"/>
          <w:szCs w:val="24"/>
          <w:lang w:bidi="bn-IN"/>
        </w:rPr>
        <w:t xml:space="preserve">sensitive, and charging access and battery cost </w:t>
      </w:r>
      <w:r w:rsidR="007A68A2" w:rsidRPr="00FE195C">
        <w:rPr>
          <w:rFonts w:asciiTheme="majorBidi" w:hAnsiTheme="majorBidi" w:cstheme="majorBidi"/>
          <w:szCs w:val="24"/>
          <w:lang w:bidi="bn-IN"/>
        </w:rPr>
        <w:t xml:space="preserve">are </w:t>
      </w:r>
      <w:r w:rsidR="007C7A85" w:rsidRPr="00FE195C">
        <w:rPr>
          <w:rFonts w:asciiTheme="majorBidi" w:hAnsiTheme="majorBidi" w:cstheme="majorBidi"/>
          <w:szCs w:val="24"/>
          <w:lang w:bidi="bn-IN"/>
        </w:rPr>
        <w:t xml:space="preserve">sensitive, which means that Toyota's multi-pathway strategy in slower markets makes sense. But technology is advancing rapidly. Beyond powertrains, the business model in the automotive industry is changing </w:t>
      </w:r>
      <w:proofErr w:type="gramStart"/>
      <w:r w:rsidR="007C7A85" w:rsidRPr="00FE195C">
        <w:rPr>
          <w:rFonts w:asciiTheme="majorBidi" w:hAnsiTheme="majorBidi" w:cstheme="majorBidi"/>
          <w:szCs w:val="24"/>
          <w:lang w:bidi="bn-IN"/>
        </w:rPr>
        <w:t>as a result of</w:t>
      </w:r>
      <w:proofErr w:type="gramEnd"/>
      <w:r w:rsidR="007C7A85" w:rsidRPr="00FE195C">
        <w:rPr>
          <w:rFonts w:asciiTheme="majorBidi" w:hAnsiTheme="majorBidi" w:cstheme="majorBidi"/>
          <w:szCs w:val="24"/>
          <w:lang w:bidi="bn-IN"/>
        </w:rPr>
        <w:t xml:space="preserve"> digital systems, connected services and software (Llopis-Albert et al., 2021). Another area of environmental impact is on vehicles</w:t>
      </w:r>
      <w:r w:rsidR="007A68A2" w:rsidRPr="00FE195C">
        <w:rPr>
          <w:rFonts w:asciiTheme="majorBidi" w:hAnsiTheme="majorBidi" w:cstheme="majorBidi"/>
          <w:szCs w:val="24"/>
          <w:lang w:bidi="bn-IN"/>
        </w:rPr>
        <w:t>,</w:t>
      </w:r>
      <w:r w:rsidR="007C7A85" w:rsidRPr="00FE195C">
        <w:rPr>
          <w:rFonts w:asciiTheme="majorBidi" w:hAnsiTheme="majorBidi" w:cstheme="majorBidi"/>
          <w:szCs w:val="24"/>
          <w:lang w:bidi="bn-IN"/>
        </w:rPr>
        <w:t xml:space="preserve"> factories and supply chains (Lukin et al., 2022). Toyota is gaining flexibility through the technologies, but </w:t>
      </w:r>
      <w:r w:rsidR="0013022D" w:rsidRPr="00FE195C">
        <w:rPr>
          <w:rFonts w:asciiTheme="majorBidi" w:hAnsiTheme="majorBidi" w:cstheme="majorBidi"/>
          <w:szCs w:val="24"/>
          <w:lang w:bidi="bn-IN"/>
        </w:rPr>
        <w:t>Toyota risks falling behind if its BEV investment does not keep pace as BEVs become more common</w:t>
      </w:r>
      <w:r w:rsidR="007C7A85" w:rsidRPr="00FE195C">
        <w:rPr>
          <w:rFonts w:asciiTheme="majorBidi" w:hAnsiTheme="majorBidi" w:cstheme="majorBidi"/>
          <w:szCs w:val="24"/>
          <w:lang w:bidi="bn-IN"/>
        </w:rPr>
        <w:t>.</w:t>
      </w:r>
    </w:p>
    <w:p w14:paraId="498913C3" w14:textId="40FB88A8" w:rsidR="003D3622" w:rsidRPr="00FE195C" w:rsidRDefault="003D3622" w:rsidP="001C4B03">
      <w:pPr>
        <w:pStyle w:val="Heading3"/>
        <w:spacing w:before="0" w:beforeAutospacing="0" w:after="0" w:afterAutospacing="0"/>
      </w:pPr>
      <w:bookmarkStart w:id="8" w:name="_Toc237856891"/>
      <w:r w:rsidRPr="00FE195C">
        <w:t>Porter's Five Forces</w:t>
      </w:r>
      <w:bookmarkEnd w:id="8"/>
    </w:p>
    <w:p w14:paraId="1BF2F0F5" w14:textId="2FD0489B" w:rsidR="007C7A85" w:rsidRPr="00FE195C" w:rsidRDefault="003D3622" w:rsidP="001C4B03">
      <w:pPr>
        <w:rPr>
          <w:rFonts w:asciiTheme="majorBidi" w:hAnsiTheme="majorBidi" w:cstheme="majorBidi"/>
          <w:szCs w:val="24"/>
          <w:lang w:bidi="bn-IN"/>
        </w:rPr>
      </w:pPr>
      <w:r w:rsidRPr="00FE195C">
        <w:rPr>
          <w:rFonts w:asciiTheme="majorBidi" w:hAnsiTheme="majorBidi" w:cstheme="majorBidi"/>
          <w:szCs w:val="24"/>
          <w:lang w:bidi="bn-IN"/>
        </w:rPr>
        <w:t xml:space="preserve">Porter's Five Forces suggests rivalry is the </w:t>
      </w:r>
      <w:r w:rsidR="007A68A2" w:rsidRPr="00FE195C">
        <w:rPr>
          <w:rFonts w:asciiTheme="majorBidi" w:hAnsiTheme="majorBidi" w:cstheme="majorBidi"/>
          <w:szCs w:val="24"/>
          <w:lang w:bidi="bn-IN"/>
        </w:rPr>
        <w:t>most serious</w:t>
      </w:r>
      <w:r w:rsidRPr="00FE195C">
        <w:rPr>
          <w:rFonts w:asciiTheme="majorBidi" w:hAnsiTheme="majorBidi" w:cstheme="majorBidi"/>
          <w:szCs w:val="24"/>
          <w:lang w:bidi="bn-IN"/>
        </w:rPr>
        <w:t xml:space="preserve"> external threat. </w:t>
      </w:r>
      <w:r w:rsidR="007C7A85" w:rsidRPr="00FE195C">
        <w:rPr>
          <w:rFonts w:asciiTheme="majorBidi" w:hAnsiTheme="majorBidi" w:cstheme="majorBidi"/>
          <w:szCs w:val="24"/>
          <w:lang w:bidi="bn-IN"/>
        </w:rPr>
        <w:t xml:space="preserve">The competition features big auto manufacturers, as well as the likes of Tesla, BYD and Chinese electric vehicle startups. </w:t>
      </w:r>
      <w:r w:rsidR="006F638B" w:rsidRPr="00FE195C">
        <w:rPr>
          <w:rFonts w:asciiTheme="majorBidi" w:hAnsiTheme="majorBidi" w:cstheme="majorBidi"/>
          <w:szCs w:val="24"/>
          <w:lang w:bidi="bn-IN"/>
        </w:rPr>
        <w:t>Toyota faces stronger competitive pressure from Chinese firms</w:t>
      </w:r>
      <w:r w:rsidR="007C7A85" w:rsidRPr="00FE195C">
        <w:rPr>
          <w:rFonts w:asciiTheme="majorBidi" w:hAnsiTheme="majorBidi" w:cstheme="majorBidi"/>
          <w:szCs w:val="24"/>
          <w:lang w:bidi="bn-IN"/>
        </w:rPr>
        <w:t xml:space="preserve"> as they accounted for 60% of global electric car sales in 2025 (IEA, 2026). Supplier power is significant in batteries, semiconductors and critical materials, due to the concentration of inputs. As the number of EV options increases, so does the power of the buyer. There are high entry barriers in production, but EV platforms and digital services have opened the value chain to new companies. Toyota's </w:t>
      </w:r>
      <w:r w:rsidR="007C7A85" w:rsidRPr="00FE195C">
        <w:rPr>
          <w:rFonts w:asciiTheme="majorBidi" w:hAnsiTheme="majorBidi" w:cstheme="majorBidi"/>
          <w:szCs w:val="24"/>
          <w:lang w:bidi="bn-IN"/>
        </w:rPr>
        <w:lastRenderedPageBreak/>
        <w:t>size helps, but it can't stop pressure on margins from competitors on battery price, software and speed.</w:t>
      </w:r>
    </w:p>
    <w:p w14:paraId="560FCAE1" w14:textId="15AFEB0A" w:rsidR="003D3622" w:rsidRPr="00FE195C" w:rsidRDefault="003D3622" w:rsidP="001C4B03">
      <w:pPr>
        <w:pStyle w:val="Heading2"/>
        <w:spacing w:before="0" w:beforeAutospacing="0" w:after="0" w:afterAutospacing="0"/>
      </w:pPr>
      <w:bookmarkStart w:id="9" w:name="_Toc237856892"/>
      <w:r w:rsidRPr="00FE195C">
        <w:t>Internal Environmental Audit</w:t>
      </w:r>
      <w:bookmarkEnd w:id="9"/>
    </w:p>
    <w:p w14:paraId="36E707CF" w14:textId="3C0A8311" w:rsidR="003D3622" w:rsidRPr="00FE195C" w:rsidRDefault="003D3622" w:rsidP="001C4B03">
      <w:pPr>
        <w:pStyle w:val="Heading3"/>
        <w:spacing w:before="0" w:beforeAutospacing="0" w:after="0" w:afterAutospacing="0"/>
      </w:pPr>
      <w:bookmarkStart w:id="10" w:name="_Toc237856893"/>
      <w:r w:rsidRPr="00FE195C">
        <w:t>VRIO Analysis</w:t>
      </w:r>
      <w:bookmarkEnd w:id="10"/>
    </w:p>
    <w:p w14:paraId="41E140FE" w14:textId="212239E1" w:rsidR="00637F53" w:rsidRPr="00FE195C" w:rsidRDefault="00637F53" w:rsidP="001C4B03">
      <w:pPr>
        <w:pStyle w:val="Heading3"/>
        <w:spacing w:before="0" w:beforeAutospacing="0" w:after="0" w:afterAutospacing="0"/>
      </w:pPr>
    </w:p>
    <w:p w14:paraId="456764BE" w14:textId="55CA4584" w:rsidR="00EE6F65" w:rsidRPr="00FE195C" w:rsidRDefault="00637F53" w:rsidP="001C4B03">
      <w:pPr>
        <w:pStyle w:val="Caption"/>
        <w:spacing w:after="0"/>
        <w:jc w:val="center"/>
        <w:rPr>
          <w:i w:val="0"/>
          <w:iCs w:val="0"/>
        </w:rPr>
      </w:pPr>
      <w:r w:rsidRPr="00FE195C">
        <w:rPr>
          <w:i w:val="0"/>
          <w:iCs w:val="0"/>
        </w:rPr>
        <w:t xml:space="preserve">Figure </w:t>
      </w:r>
      <w:r w:rsidR="001C4B03" w:rsidRPr="00FE195C">
        <w:rPr>
          <w:i w:val="0"/>
          <w:iCs w:val="0"/>
        </w:rPr>
        <w:fldChar w:fldCharType="begin"/>
      </w:r>
      <w:r w:rsidR="001C4B03" w:rsidRPr="00FE195C">
        <w:rPr>
          <w:i w:val="0"/>
          <w:iCs w:val="0"/>
        </w:rPr>
        <w:instrText xml:space="preserve"> SEQ Figure \* ARABIC </w:instrText>
      </w:r>
      <w:r w:rsidR="001C4B03" w:rsidRPr="00FE195C">
        <w:rPr>
          <w:i w:val="0"/>
          <w:iCs w:val="0"/>
        </w:rPr>
        <w:fldChar w:fldCharType="separate"/>
      </w:r>
      <w:r w:rsidR="001C4B03" w:rsidRPr="00FE195C">
        <w:rPr>
          <w:i w:val="0"/>
          <w:iCs w:val="0"/>
          <w:noProof/>
        </w:rPr>
        <w:t>4</w:t>
      </w:r>
      <w:r w:rsidR="001C4B03" w:rsidRPr="00FE195C">
        <w:rPr>
          <w:i w:val="0"/>
          <w:iCs w:val="0"/>
          <w:noProof/>
        </w:rPr>
        <w:fldChar w:fldCharType="end"/>
      </w:r>
      <w:r w:rsidRPr="00FE195C">
        <w:rPr>
          <w:i w:val="0"/>
          <w:iCs w:val="0"/>
          <w:noProof/>
        </w:rPr>
        <w:drawing>
          <wp:anchor distT="0" distB="0" distL="114300" distR="114300" simplePos="0" relativeHeight="251662336" behindDoc="0" locked="0" layoutInCell="1" allowOverlap="1" wp14:anchorId="65E2C4AC" wp14:editId="4ED4265F">
            <wp:simplePos x="0" y="0"/>
            <wp:positionH relativeFrom="margin">
              <wp:align>left</wp:align>
            </wp:positionH>
            <wp:positionV relativeFrom="paragraph">
              <wp:posOffset>0</wp:posOffset>
            </wp:positionV>
            <wp:extent cx="5356860" cy="1675765"/>
            <wp:effectExtent l="0" t="0" r="0" b="635"/>
            <wp:wrapTopAndBottom/>
            <wp:docPr id="7337776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56860" cy="1675765"/>
                    </a:xfrm>
                    <a:prstGeom prst="rect">
                      <a:avLst/>
                    </a:prstGeom>
                    <a:noFill/>
                  </pic:spPr>
                </pic:pic>
              </a:graphicData>
            </a:graphic>
            <wp14:sizeRelH relativeFrom="page">
              <wp14:pctWidth>0</wp14:pctWidth>
            </wp14:sizeRelH>
            <wp14:sizeRelV relativeFrom="page">
              <wp14:pctHeight>0</wp14:pctHeight>
            </wp14:sizeRelV>
          </wp:anchor>
        </w:drawing>
      </w:r>
      <w:r w:rsidRPr="00FE195C">
        <w:rPr>
          <w:i w:val="0"/>
          <w:iCs w:val="0"/>
        </w:rPr>
        <w:t xml:space="preserve">: </w:t>
      </w:r>
      <w:r w:rsidR="007A68A2" w:rsidRPr="00FE195C">
        <w:rPr>
          <w:i w:val="0"/>
          <w:iCs w:val="0"/>
        </w:rPr>
        <w:t>V</w:t>
      </w:r>
      <w:r w:rsidRPr="00FE195C">
        <w:rPr>
          <w:i w:val="0"/>
          <w:iCs w:val="0"/>
        </w:rPr>
        <w:t xml:space="preserve">RIO Analysis </w:t>
      </w:r>
      <w:r w:rsidRPr="00FE195C">
        <w:rPr>
          <w:rFonts w:asciiTheme="majorBidi" w:hAnsiTheme="majorBidi" w:cstheme="majorBidi"/>
          <w:i w:val="0"/>
          <w:iCs w:val="0"/>
          <w:lang w:bidi="bn-IN"/>
        </w:rPr>
        <w:t>(Barney, 1991).</w:t>
      </w:r>
    </w:p>
    <w:p w14:paraId="15A6B9AC" w14:textId="29BB0287" w:rsidR="00BB7006" w:rsidRPr="00FE195C" w:rsidRDefault="003D3622" w:rsidP="001C4B03">
      <w:pPr>
        <w:rPr>
          <w:rFonts w:asciiTheme="majorBidi" w:hAnsiTheme="majorBidi" w:cstheme="majorBidi"/>
          <w:szCs w:val="24"/>
          <w:lang w:bidi="bn-IN"/>
        </w:rPr>
      </w:pPr>
      <w:r w:rsidRPr="00FE195C">
        <w:rPr>
          <w:rFonts w:asciiTheme="majorBidi" w:hAnsiTheme="majorBidi" w:cstheme="majorBidi"/>
          <w:szCs w:val="24"/>
          <w:lang w:bidi="bn-IN"/>
        </w:rPr>
        <w:t xml:space="preserve">VRIO highlights where Toyota can defend an advantage. </w:t>
      </w:r>
      <w:r w:rsidR="00BB7006" w:rsidRPr="00FE195C">
        <w:rPr>
          <w:rFonts w:asciiTheme="majorBidi" w:hAnsiTheme="majorBidi" w:cstheme="majorBidi"/>
          <w:szCs w:val="24"/>
          <w:lang w:bidi="bn-IN"/>
        </w:rPr>
        <w:t xml:space="preserve">Toyota Production System's value is that it facilitates quality, waste control and problem solving. Copying is difficult as routines, </w:t>
      </w:r>
      <w:proofErr w:type="gramStart"/>
      <w:r w:rsidR="00BB7006" w:rsidRPr="00FE195C">
        <w:rPr>
          <w:rFonts w:asciiTheme="majorBidi" w:hAnsiTheme="majorBidi" w:cstheme="majorBidi"/>
          <w:szCs w:val="24"/>
          <w:lang w:bidi="bn-IN"/>
        </w:rPr>
        <w:t>supply</w:t>
      </w:r>
      <w:proofErr w:type="gramEnd"/>
      <w:r w:rsidR="00BB7006" w:rsidRPr="00FE195C">
        <w:rPr>
          <w:rFonts w:asciiTheme="majorBidi" w:hAnsiTheme="majorBidi" w:cstheme="majorBidi"/>
          <w:szCs w:val="24"/>
          <w:lang w:bidi="bn-IN"/>
        </w:rPr>
        <w:t xml:space="preserve"> connections and learning take time. According to the resource-based view, resources which are valuable, rare and difficult to imitate and for which the organisation </w:t>
      </w:r>
      <w:r w:rsidR="007A68A2" w:rsidRPr="00FE195C">
        <w:rPr>
          <w:rFonts w:asciiTheme="majorBidi" w:hAnsiTheme="majorBidi" w:cstheme="majorBidi"/>
          <w:szCs w:val="24"/>
          <w:lang w:bidi="bn-IN"/>
        </w:rPr>
        <w:t>can</w:t>
      </w:r>
      <w:r w:rsidR="00BB7006" w:rsidRPr="00FE195C">
        <w:rPr>
          <w:rFonts w:asciiTheme="majorBidi" w:hAnsiTheme="majorBidi" w:cstheme="majorBidi"/>
          <w:szCs w:val="24"/>
          <w:lang w:bidi="bn-IN"/>
        </w:rPr>
        <w:t xml:space="preserve"> make use generate sustained advantage (Barney, 1991). Toyota</w:t>
      </w:r>
      <w:r w:rsidR="007A68A2" w:rsidRPr="00FE195C">
        <w:rPr>
          <w:rFonts w:asciiTheme="majorBidi" w:hAnsiTheme="majorBidi" w:cstheme="majorBidi"/>
          <w:szCs w:val="24"/>
          <w:lang w:bidi="bn-IN"/>
        </w:rPr>
        <w:t>'s</w:t>
      </w:r>
      <w:r w:rsidR="00BB7006" w:rsidRPr="00FE195C">
        <w:rPr>
          <w:rFonts w:asciiTheme="majorBidi" w:hAnsiTheme="majorBidi" w:cstheme="majorBidi"/>
          <w:szCs w:val="24"/>
          <w:lang w:bidi="bn-IN"/>
        </w:rPr>
        <w:t xml:space="preserve"> value adds are its brand, production network and knowledge of hybrid technology. But the hybrid capability may become more common as competitors start to catch up, whereas the software capability is not as well developed. Toyota should be using </w:t>
      </w:r>
      <w:r w:rsidR="007A68A2" w:rsidRPr="00FE195C">
        <w:rPr>
          <w:rFonts w:asciiTheme="majorBidi" w:hAnsiTheme="majorBidi" w:cstheme="majorBidi"/>
          <w:szCs w:val="24"/>
          <w:lang w:bidi="bn-IN"/>
        </w:rPr>
        <w:t xml:space="preserve">its </w:t>
      </w:r>
      <w:r w:rsidR="00BB7006" w:rsidRPr="00FE195C">
        <w:rPr>
          <w:rFonts w:asciiTheme="majorBidi" w:hAnsiTheme="majorBidi" w:cstheme="majorBidi"/>
          <w:szCs w:val="24"/>
          <w:lang w:bidi="bn-IN"/>
        </w:rPr>
        <w:t>strengths to renew, not to use as an advantage.</w:t>
      </w:r>
    </w:p>
    <w:p w14:paraId="60ADBE8E" w14:textId="46AAEB22" w:rsidR="003D3622" w:rsidRPr="00FE195C" w:rsidRDefault="003D3622" w:rsidP="001C4B03">
      <w:pPr>
        <w:pStyle w:val="Heading3"/>
        <w:spacing w:before="0" w:beforeAutospacing="0" w:after="0" w:afterAutospacing="0"/>
      </w:pPr>
      <w:bookmarkStart w:id="11" w:name="_Toc237856894"/>
      <w:r w:rsidRPr="00FE195C">
        <w:t>Value Chain and BCG Analysis</w:t>
      </w:r>
      <w:bookmarkEnd w:id="11"/>
    </w:p>
    <w:p w14:paraId="41202557" w14:textId="7130CDFA" w:rsidR="00BB7006" w:rsidRPr="00FE195C" w:rsidRDefault="003D3622" w:rsidP="001C4B03">
      <w:pPr>
        <w:rPr>
          <w:rFonts w:asciiTheme="majorBidi" w:hAnsiTheme="majorBidi" w:cstheme="majorBidi"/>
          <w:szCs w:val="24"/>
          <w:lang w:bidi="bn-IN"/>
        </w:rPr>
      </w:pPr>
      <w:r w:rsidRPr="00FE195C">
        <w:rPr>
          <w:rFonts w:asciiTheme="majorBidi" w:hAnsiTheme="majorBidi" w:cstheme="majorBidi"/>
          <w:szCs w:val="24"/>
          <w:lang w:bidi="bn-IN"/>
        </w:rPr>
        <w:t xml:space="preserve">The Value Chain shows that </w:t>
      </w:r>
      <w:r w:rsidR="00BB7006" w:rsidRPr="00FE195C">
        <w:rPr>
          <w:rFonts w:asciiTheme="majorBidi" w:hAnsiTheme="majorBidi" w:cstheme="majorBidi"/>
          <w:szCs w:val="24"/>
          <w:lang w:bidi="bn-IN"/>
        </w:rPr>
        <w:t xml:space="preserve">value is shifting towards batteries, semiconductors and then towards software, data and services. The roles of the supply chain members are evolving in EVs, and the role of battery manufacturers and technology partners is growing increasingly significant (Jagani et al., 2024). Toyota's battery investment helps mitigate supply risk and increase control, but it also entails capital commitments. The argument for the use of cash generated from hybrid and mature lines of business for funding BEVs and software is based on BCG logic. </w:t>
      </w:r>
      <w:r w:rsidR="00CE5A5D" w:rsidRPr="00FE195C">
        <w:rPr>
          <w:rFonts w:asciiTheme="majorBidi" w:hAnsiTheme="majorBidi" w:cstheme="majorBidi"/>
          <w:szCs w:val="24"/>
          <w:lang w:bidi="bn-IN"/>
        </w:rPr>
        <w:t>Toyota's BEV business can be treated as a Question Mark because the market is growing fast while Toyota's relative BEV position is still weaker</w:t>
      </w:r>
      <w:r w:rsidR="00BB7006" w:rsidRPr="00FE195C">
        <w:rPr>
          <w:rFonts w:asciiTheme="majorBidi" w:hAnsiTheme="majorBidi" w:cstheme="majorBidi"/>
          <w:szCs w:val="24"/>
          <w:lang w:bidi="bn-IN"/>
        </w:rPr>
        <w:t>, and hybrids continue to be cash-generating in numerous markets. This is only if Toyota can reallocate resources before it gets too expensive to enter.</w:t>
      </w:r>
    </w:p>
    <w:p w14:paraId="7904DC27" w14:textId="621E8653" w:rsidR="003D3622" w:rsidRPr="00FE195C" w:rsidRDefault="003D3622" w:rsidP="001C4B03">
      <w:pPr>
        <w:pStyle w:val="Heading3"/>
        <w:spacing w:before="0" w:beforeAutospacing="0" w:after="0" w:afterAutospacing="0"/>
      </w:pPr>
      <w:bookmarkStart w:id="12" w:name="_Toc237856895"/>
      <w:r w:rsidRPr="00FE195C">
        <w:t>SWOT Synthesis</w:t>
      </w:r>
      <w:bookmarkEnd w:id="12"/>
    </w:p>
    <w:p w14:paraId="25F07366" w14:textId="478721CD" w:rsidR="00F7768E" w:rsidRPr="00FE195C" w:rsidRDefault="00F7768E" w:rsidP="001C4B03">
      <w:pPr>
        <w:rPr>
          <w:rFonts w:asciiTheme="majorBidi" w:hAnsiTheme="majorBidi" w:cstheme="majorBidi"/>
          <w:szCs w:val="24"/>
          <w:lang w:bidi="bn-IN"/>
        </w:rPr>
      </w:pPr>
      <w:r w:rsidRPr="00FE195C">
        <w:rPr>
          <w:rFonts w:asciiTheme="majorBidi" w:hAnsiTheme="majorBidi" w:cstheme="majorBidi"/>
          <w:szCs w:val="24"/>
          <w:lang w:bidi="bn-IN"/>
        </w:rPr>
        <w:t xml:space="preserve">A SWOT synthesis makes the strategic gap clear. Toyota's assets include </w:t>
      </w:r>
      <w:r w:rsidR="007A68A2" w:rsidRPr="00FE195C">
        <w:rPr>
          <w:rFonts w:asciiTheme="majorBidi" w:hAnsiTheme="majorBidi" w:cstheme="majorBidi"/>
          <w:szCs w:val="24"/>
          <w:lang w:bidi="bn-IN"/>
        </w:rPr>
        <w:t>its</w:t>
      </w:r>
      <w:r w:rsidRPr="00FE195C">
        <w:rPr>
          <w:rFonts w:asciiTheme="majorBidi" w:hAnsiTheme="majorBidi" w:cstheme="majorBidi"/>
          <w:szCs w:val="24"/>
          <w:lang w:bidi="bn-IN"/>
        </w:rPr>
        <w:t xml:space="preserve"> scale, brand trust, </w:t>
      </w:r>
      <w:r w:rsidRPr="00FE195C">
        <w:rPr>
          <w:rFonts w:asciiTheme="majorBidi" w:hAnsiTheme="majorBidi" w:cstheme="majorBidi"/>
          <w:szCs w:val="24"/>
          <w:lang w:bidi="bn-IN"/>
        </w:rPr>
        <w:lastRenderedPageBreak/>
        <w:t>manufacturing discipline, hybrid depth and supplier coordination. The challenges are a less mature BEV position, software maturity and funding multiple powertrains. Growth opportunities in EV</w:t>
      </w:r>
      <w:r w:rsidR="007A68A2" w:rsidRPr="00FE195C">
        <w:rPr>
          <w:rFonts w:asciiTheme="majorBidi" w:hAnsiTheme="majorBidi" w:cstheme="majorBidi"/>
          <w:szCs w:val="24"/>
          <w:lang w:bidi="bn-IN"/>
        </w:rPr>
        <w:t>s</w:t>
      </w:r>
      <w:r w:rsidRPr="00FE195C">
        <w:rPr>
          <w:rFonts w:asciiTheme="majorBidi" w:hAnsiTheme="majorBidi" w:cstheme="majorBidi"/>
          <w:szCs w:val="24"/>
          <w:lang w:bidi="bn-IN"/>
        </w:rPr>
        <w:t xml:space="preserve">, battery systems, AI, connected services and region-specific products. The threats are Chinese price competition and regulation, technology changes and supply shortages. </w:t>
      </w:r>
      <w:r w:rsidR="00CE5A5D" w:rsidRPr="00FE195C">
        <w:rPr>
          <w:rFonts w:asciiTheme="majorBidi" w:hAnsiTheme="majorBidi" w:cstheme="majorBidi"/>
          <w:szCs w:val="24"/>
          <w:lang w:bidi="bn-IN"/>
        </w:rPr>
        <w:t>Electrification is also reshaping value chains and increasing competition between plants and suppliers (</w:t>
      </w:r>
      <w:proofErr w:type="spellStart"/>
      <w:r w:rsidR="00CE5A5D" w:rsidRPr="00FE195C">
        <w:rPr>
          <w:rFonts w:asciiTheme="majorBidi" w:hAnsiTheme="majorBidi" w:cstheme="majorBidi"/>
          <w:szCs w:val="24"/>
          <w:lang w:bidi="bn-IN"/>
        </w:rPr>
        <w:t>Rísquez</w:t>
      </w:r>
      <w:proofErr w:type="spellEnd"/>
      <w:r w:rsidR="00CE5A5D" w:rsidRPr="00FE195C">
        <w:rPr>
          <w:rFonts w:asciiTheme="majorBidi" w:hAnsiTheme="majorBidi" w:cstheme="majorBidi"/>
          <w:szCs w:val="24"/>
          <w:lang w:bidi="bn-IN"/>
        </w:rPr>
        <w:t xml:space="preserve"> Ramos and Ruiz-Gálvez, 2024).</w:t>
      </w:r>
      <w:r w:rsidRPr="00FE195C">
        <w:rPr>
          <w:rFonts w:asciiTheme="majorBidi" w:hAnsiTheme="majorBidi" w:cstheme="majorBidi"/>
          <w:szCs w:val="24"/>
          <w:lang w:bidi="bn-IN"/>
        </w:rPr>
        <w:t xml:space="preserve"> The real question is: does Toyota have resources? It does. </w:t>
      </w:r>
      <w:r w:rsidR="00821484" w:rsidRPr="00FE195C">
        <w:rPr>
          <w:rFonts w:asciiTheme="majorBidi" w:hAnsiTheme="majorBidi" w:cstheme="majorBidi"/>
          <w:szCs w:val="24"/>
          <w:lang w:bidi="bn-IN"/>
        </w:rPr>
        <w:t>The key question is whether Toyota is redirecting those resources quickly enough toward areas where future value and learning are growing.</w:t>
      </w:r>
    </w:p>
    <w:p w14:paraId="39EBCCFB" w14:textId="77777777" w:rsidR="00F7768E" w:rsidRPr="00FE195C" w:rsidRDefault="00F7768E" w:rsidP="001C4B03">
      <w:pPr>
        <w:rPr>
          <w:rFonts w:asciiTheme="majorBidi" w:hAnsiTheme="majorBidi" w:cstheme="majorBidi"/>
          <w:szCs w:val="24"/>
          <w:lang w:bidi="bn-IN"/>
        </w:rPr>
      </w:pPr>
      <w:r w:rsidRPr="00FE195C">
        <w:rPr>
          <w:rFonts w:asciiTheme="majorBidi" w:hAnsiTheme="majorBidi" w:cstheme="majorBidi"/>
          <w:szCs w:val="24"/>
          <w:lang w:bidi="bn-IN"/>
        </w:rPr>
        <w:br w:type="page"/>
      </w:r>
    </w:p>
    <w:p w14:paraId="7A0FBB66" w14:textId="6E60BE21" w:rsidR="003D3622" w:rsidRPr="00FE195C" w:rsidRDefault="00014730" w:rsidP="001C4B03">
      <w:pPr>
        <w:pStyle w:val="Heading1"/>
        <w:pBdr>
          <w:bottom w:val="single" w:sz="4" w:space="1" w:color="auto"/>
        </w:pBdr>
        <w:spacing w:before="0"/>
        <w:jc w:val="center"/>
        <w:rPr>
          <w:lang w:bidi="bn-IN"/>
        </w:rPr>
      </w:pPr>
      <w:bookmarkStart w:id="13" w:name="_Toc237856896"/>
      <w:r w:rsidRPr="00FE195C">
        <w:rPr>
          <w:noProof/>
        </w:rPr>
        <w:lastRenderedPageBreak/>
        <w:drawing>
          <wp:anchor distT="0" distB="0" distL="114300" distR="114300" simplePos="0" relativeHeight="251661312" behindDoc="0" locked="0" layoutInCell="1" allowOverlap="1" wp14:anchorId="7056DF9B" wp14:editId="223C5F99">
            <wp:simplePos x="0" y="0"/>
            <wp:positionH relativeFrom="margin">
              <wp:align>center</wp:align>
            </wp:positionH>
            <wp:positionV relativeFrom="paragraph">
              <wp:posOffset>365760</wp:posOffset>
            </wp:positionV>
            <wp:extent cx="5120640" cy="2377440"/>
            <wp:effectExtent l="0" t="0" r="3810" b="3810"/>
            <wp:wrapTopAndBottom/>
            <wp:docPr id="759115571" name="Chart 1">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r w:rsidR="003D3622" w:rsidRPr="00FE195C">
        <w:rPr>
          <w:lang w:bidi="bn-IN"/>
        </w:rPr>
        <w:t>Strategy Formulation</w:t>
      </w:r>
      <w:bookmarkEnd w:id="13"/>
    </w:p>
    <w:p w14:paraId="4E97058A" w14:textId="61A6CB8B" w:rsidR="00014730" w:rsidRPr="00FE195C" w:rsidRDefault="00014730" w:rsidP="001C4B03">
      <w:pPr>
        <w:pStyle w:val="Caption"/>
        <w:spacing w:after="0"/>
        <w:jc w:val="center"/>
        <w:rPr>
          <w:i w:val="0"/>
          <w:iCs w:val="0"/>
        </w:rPr>
      </w:pPr>
      <w:r w:rsidRPr="00FE195C">
        <w:rPr>
          <w:i w:val="0"/>
          <w:iCs w:val="0"/>
        </w:rPr>
        <w:t xml:space="preserve">Figure </w:t>
      </w:r>
      <w:r w:rsidR="001C4B03" w:rsidRPr="00FE195C">
        <w:rPr>
          <w:i w:val="0"/>
          <w:iCs w:val="0"/>
        </w:rPr>
        <w:fldChar w:fldCharType="begin"/>
      </w:r>
      <w:r w:rsidR="001C4B03" w:rsidRPr="00FE195C">
        <w:rPr>
          <w:i w:val="0"/>
          <w:iCs w:val="0"/>
        </w:rPr>
        <w:instrText xml:space="preserve"> SEQ Figure \* ARABIC </w:instrText>
      </w:r>
      <w:r w:rsidR="001C4B03" w:rsidRPr="00FE195C">
        <w:rPr>
          <w:i w:val="0"/>
          <w:iCs w:val="0"/>
        </w:rPr>
        <w:fldChar w:fldCharType="separate"/>
      </w:r>
      <w:r w:rsidR="001C4B03" w:rsidRPr="00FE195C">
        <w:rPr>
          <w:i w:val="0"/>
          <w:iCs w:val="0"/>
          <w:noProof/>
        </w:rPr>
        <w:t>5</w:t>
      </w:r>
      <w:r w:rsidR="001C4B03" w:rsidRPr="00FE195C">
        <w:rPr>
          <w:i w:val="0"/>
          <w:iCs w:val="0"/>
          <w:noProof/>
        </w:rPr>
        <w:fldChar w:fldCharType="end"/>
      </w:r>
      <w:r w:rsidRPr="00FE195C">
        <w:rPr>
          <w:i w:val="0"/>
          <w:iCs w:val="0"/>
        </w:rPr>
        <w:t>: Global EV Market Context, 2025</w:t>
      </w:r>
      <w:r w:rsidRPr="00FE195C">
        <w:rPr>
          <w:rFonts w:asciiTheme="majorBidi" w:hAnsiTheme="majorBidi" w:cstheme="majorBidi"/>
          <w:i w:val="0"/>
          <w:iCs w:val="0"/>
          <w:lang w:bidi="bn-IN"/>
        </w:rPr>
        <w:t>(IEA, 2026).</w:t>
      </w:r>
    </w:p>
    <w:p w14:paraId="3CB0FD83" w14:textId="465D096B" w:rsidR="00F7768E" w:rsidRPr="00FE195C" w:rsidRDefault="003D3622" w:rsidP="001C4B03">
      <w:pPr>
        <w:rPr>
          <w:rFonts w:asciiTheme="majorBidi" w:hAnsiTheme="majorBidi" w:cstheme="majorBidi"/>
          <w:szCs w:val="24"/>
          <w:lang w:bidi="bn-IN"/>
        </w:rPr>
      </w:pPr>
      <w:r w:rsidRPr="00FE195C">
        <w:rPr>
          <w:rFonts w:asciiTheme="majorBidi" w:hAnsiTheme="majorBidi" w:cstheme="majorBidi"/>
          <w:szCs w:val="24"/>
          <w:lang w:bidi="bn-IN"/>
        </w:rPr>
        <w:t xml:space="preserve">Toyota has three strategic choices. </w:t>
      </w:r>
      <w:r w:rsidR="00F7768E" w:rsidRPr="00FE195C">
        <w:rPr>
          <w:rFonts w:asciiTheme="majorBidi" w:hAnsiTheme="majorBidi" w:cstheme="majorBidi"/>
          <w:szCs w:val="24"/>
          <w:lang w:bidi="bn-IN"/>
        </w:rPr>
        <w:t xml:space="preserve">It could still follow the multi-pathway format but make minor adjustments. This will help support demand in </w:t>
      </w:r>
      <w:proofErr w:type="gramStart"/>
      <w:r w:rsidR="00F7768E" w:rsidRPr="00FE195C">
        <w:rPr>
          <w:rFonts w:asciiTheme="majorBidi" w:hAnsiTheme="majorBidi" w:cstheme="majorBidi"/>
          <w:szCs w:val="24"/>
          <w:lang w:bidi="bn-IN"/>
        </w:rPr>
        <w:t>markets, but</w:t>
      </w:r>
      <w:proofErr w:type="gramEnd"/>
      <w:r w:rsidR="00F7768E" w:rsidRPr="00FE195C">
        <w:rPr>
          <w:rFonts w:asciiTheme="majorBidi" w:hAnsiTheme="majorBidi" w:cstheme="majorBidi"/>
          <w:szCs w:val="24"/>
          <w:lang w:bidi="bn-IN"/>
        </w:rPr>
        <w:t xml:space="preserve"> will also decrease the rate of learning for BEVs and software. Second, Toyota may be ready to </w:t>
      </w:r>
      <w:r w:rsidR="00821484" w:rsidRPr="00FE195C">
        <w:rPr>
          <w:rFonts w:asciiTheme="majorBidi" w:hAnsiTheme="majorBidi" w:cstheme="majorBidi"/>
          <w:szCs w:val="24"/>
          <w:lang w:bidi="bn-IN"/>
        </w:rPr>
        <w:t>adopt a BEV-first strategy globally</w:t>
      </w:r>
      <w:r w:rsidR="00F7768E" w:rsidRPr="00FE195C">
        <w:rPr>
          <w:rFonts w:asciiTheme="majorBidi" w:hAnsiTheme="majorBidi" w:cstheme="majorBidi"/>
          <w:szCs w:val="24"/>
          <w:lang w:bidi="bn-IN"/>
        </w:rPr>
        <w:t>. That would satisfy the primary technology trend, but not consider charging, income</w:t>
      </w:r>
      <w:r w:rsidR="007A68A2" w:rsidRPr="00FE195C">
        <w:rPr>
          <w:rFonts w:asciiTheme="majorBidi" w:hAnsiTheme="majorBidi" w:cstheme="majorBidi"/>
          <w:szCs w:val="24"/>
          <w:lang w:bidi="bn-IN"/>
        </w:rPr>
        <w:t>,</w:t>
      </w:r>
      <w:r w:rsidR="00F7768E" w:rsidRPr="00FE195C">
        <w:rPr>
          <w:rFonts w:asciiTheme="majorBidi" w:hAnsiTheme="majorBidi" w:cstheme="majorBidi"/>
          <w:szCs w:val="24"/>
          <w:lang w:bidi="bn-IN"/>
        </w:rPr>
        <w:t xml:space="preserve"> and customer needs differences. The uptake of EVs is robust but unevenly distributed between regions (IEA, 2026). A regional approach is the more suitable option that will ensure flexibility and allocate more capital and management resources to markets where BEVs and digital services are expanding most quickly.</w:t>
      </w:r>
    </w:p>
    <w:p w14:paraId="6CFA4DB9" w14:textId="3904E1A1" w:rsidR="00F7768E" w:rsidRPr="00FE195C" w:rsidRDefault="00F7768E" w:rsidP="001C4B03">
      <w:pPr>
        <w:rPr>
          <w:rFonts w:asciiTheme="majorBidi" w:hAnsiTheme="majorBidi" w:cstheme="majorBidi"/>
          <w:szCs w:val="24"/>
          <w:lang w:bidi="bn-IN"/>
        </w:rPr>
      </w:pPr>
      <w:r w:rsidRPr="00FE195C">
        <w:rPr>
          <w:rFonts w:asciiTheme="majorBidi" w:hAnsiTheme="majorBidi" w:cstheme="majorBidi"/>
          <w:szCs w:val="24"/>
          <w:lang w:bidi="bn-IN"/>
        </w:rPr>
        <w:t xml:space="preserve">The Regional Accelerated Electric and Software Mobility Strategy has three pillars. Firstly, Toyota </w:t>
      </w:r>
      <w:proofErr w:type="gramStart"/>
      <w:r w:rsidRPr="00FE195C">
        <w:rPr>
          <w:rFonts w:asciiTheme="majorBidi" w:hAnsiTheme="majorBidi" w:cstheme="majorBidi"/>
          <w:szCs w:val="24"/>
          <w:lang w:bidi="bn-IN"/>
        </w:rPr>
        <w:t>has to</w:t>
      </w:r>
      <w:proofErr w:type="gramEnd"/>
      <w:r w:rsidRPr="00FE195C">
        <w:rPr>
          <w:rFonts w:asciiTheme="majorBidi" w:hAnsiTheme="majorBidi" w:cstheme="majorBidi"/>
          <w:szCs w:val="24"/>
          <w:lang w:bidi="bn-IN"/>
        </w:rPr>
        <w:t xml:space="preserve"> accelerate its BEV development in China, Europe and high-growth EV markets by leveraging local design and shorter product cycle</w:t>
      </w:r>
      <w:r w:rsidR="007A68A2" w:rsidRPr="00FE195C">
        <w:rPr>
          <w:rFonts w:asciiTheme="majorBidi" w:hAnsiTheme="majorBidi" w:cstheme="majorBidi"/>
          <w:szCs w:val="24"/>
          <w:lang w:bidi="bn-IN"/>
        </w:rPr>
        <w:t>s</w:t>
      </w:r>
      <w:r w:rsidRPr="00FE195C">
        <w:rPr>
          <w:rFonts w:asciiTheme="majorBidi" w:hAnsiTheme="majorBidi" w:cstheme="majorBidi"/>
          <w:szCs w:val="24"/>
          <w:lang w:bidi="bn-IN"/>
        </w:rPr>
        <w:t xml:space="preserve">. Second, it should develop battery ecosystems by </w:t>
      </w:r>
      <w:r w:rsidR="00D96931" w:rsidRPr="00FE195C">
        <w:rPr>
          <w:rFonts w:asciiTheme="majorBidi" w:hAnsiTheme="majorBidi" w:cstheme="majorBidi"/>
          <w:szCs w:val="24"/>
          <w:lang w:bidi="bn-IN"/>
        </w:rPr>
        <w:t>expanding its own battery production capacity</w:t>
      </w:r>
      <w:r w:rsidRPr="00FE195C">
        <w:rPr>
          <w:rFonts w:asciiTheme="majorBidi" w:hAnsiTheme="majorBidi" w:cstheme="majorBidi"/>
          <w:szCs w:val="24"/>
          <w:lang w:bidi="bn-IN"/>
        </w:rPr>
        <w:t xml:space="preserve">, partnerships with suppliers, and diversifying its material sources. Overall, EV supply chains are reshaping the roles of traditional suppliers and establishing new power dynamics in batteries (Jagani et al., 2024). Third, Toyota should regard software as a fundamental product functionality. According to research on digital mobility, Toyota already has a focus on autonomous and connected services, but the value of these services in the future lies in the ability to offer them to customers in a scalable manner (Pérez-Moure et al., 2023). Direct connections between </w:t>
      </w:r>
      <w:r w:rsidR="00D96931" w:rsidRPr="00FE195C">
        <w:rPr>
          <w:rFonts w:asciiTheme="majorBidi" w:hAnsiTheme="majorBidi" w:cstheme="majorBidi"/>
          <w:szCs w:val="24"/>
          <w:lang w:bidi="bn-IN"/>
        </w:rPr>
        <w:t>Arene, AI, OTA updates and connected services</w:t>
      </w:r>
      <w:r w:rsidRPr="00FE195C">
        <w:rPr>
          <w:rFonts w:asciiTheme="majorBidi" w:hAnsiTheme="majorBidi" w:cstheme="majorBidi"/>
          <w:szCs w:val="24"/>
          <w:lang w:bidi="bn-IN"/>
        </w:rPr>
        <w:t xml:space="preserve"> and BEV platforms should be made.</w:t>
      </w:r>
    </w:p>
    <w:p w14:paraId="47ACDECA" w14:textId="2664E3F2" w:rsidR="00F7768E" w:rsidRPr="00FE195C" w:rsidRDefault="00F7768E" w:rsidP="001C4B03">
      <w:pPr>
        <w:rPr>
          <w:rFonts w:asciiTheme="majorBidi" w:hAnsiTheme="majorBidi" w:cstheme="majorBidi"/>
          <w:szCs w:val="24"/>
          <w:lang w:bidi="bn-IN"/>
        </w:rPr>
      </w:pPr>
      <w:r w:rsidRPr="00FE195C">
        <w:rPr>
          <w:rFonts w:asciiTheme="majorBidi" w:hAnsiTheme="majorBidi" w:cstheme="majorBidi"/>
          <w:szCs w:val="24"/>
          <w:lang w:bidi="bn-IN"/>
        </w:rPr>
        <w:t xml:space="preserve">This is a better option than extremes. Changing all of them to BEV will be a waste of capital when hybrids still make sense, and a limited shift will make Toyota look like it's behind the curve when it comes to </w:t>
      </w:r>
      <w:r w:rsidR="007A68A2" w:rsidRPr="00FE195C">
        <w:rPr>
          <w:rFonts w:asciiTheme="majorBidi" w:hAnsiTheme="majorBidi" w:cstheme="majorBidi"/>
          <w:szCs w:val="24"/>
          <w:lang w:bidi="bn-IN"/>
        </w:rPr>
        <w:t xml:space="preserve">the </w:t>
      </w:r>
      <w:r w:rsidRPr="00FE195C">
        <w:rPr>
          <w:rFonts w:asciiTheme="majorBidi" w:hAnsiTheme="majorBidi" w:cstheme="majorBidi"/>
          <w:szCs w:val="24"/>
          <w:lang w:bidi="bn-IN"/>
        </w:rPr>
        <w:t xml:space="preserve">cost of BEV scale shapes. To make decisions on plant production, </w:t>
      </w:r>
      <w:r w:rsidRPr="00FE195C">
        <w:rPr>
          <w:rFonts w:asciiTheme="majorBidi" w:hAnsiTheme="majorBidi" w:cstheme="majorBidi"/>
          <w:szCs w:val="24"/>
          <w:lang w:bidi="bn-IN"/>
        </w:rPr>
        <w:lastRenderedPageBreak/>
        <w:t>it is not only products that matter, but also plant production choices, as this will alter plant competition and the structure of suppliers (</w:t>
      </w:r>
      <w:proofErr w:type="spellStart"/>
      <w:r w:rsidRPr="00FE195C">
        <w:rPr>
          <w:rFonts w:asciiTheme="majorBidi" w:hAnsiTheme="majorBidi" w:cstheme="majorBidi"/>
          <w:szCs w:val="24"/>
          <w:lang w:bidi="bn-IN"/>
        </w:rPr>
        <w:t>Rísquez</w:t>
      </w:r>
      <w:proofErr w:type="spellEnd"/>
      <w:r w:rsidRPr="00FE195C">
        <w:rPr>
          <w:rFonts w:asciiTheme="majorBidi" w:hAnsiTheme="majorBidi" w:cstheme="majorBidi"/>
          <w:szCs w:val="24"/>
          <w:lang w:bidi="bn-IN"/>
        </w:rPr>
        <w:t xml:space="preserve"> Ramos and Ruiz-Gálvez, 2024). Toyota must implement manufacturing discipline and hybrid cash to fund the </w:t>
      </w:r>
      <w:proofErr w:type="gramStart"/>
      <w:r w:rsidRPr="00FE195C">
        <w:rPr>
          <w:rFonts w:asciiTheme="majorBidi" w:hAnsiTheme="majorBidi" w:cstheme="majorBidi"/>
          <w:szCs w:val="24"/>
          <w:lang w:bidi="bn-IN"/>
        </w:rPr>
        <w:t>transition, but</w:t>
      </w:r>
      <w:proofErr w:type="gramEnd"/>
      <w:r w:rsidRPr="00FE195C">
        <w:rPr>
          <w:rFonts w:asciiTheme="majorBidi" w:hAnsiTheme="majorBidi" w:cstheme="majorBidi"/>
          <w:szCs w:val="24"/>
          <w:lang w:bidi="bn-IN"/>
        </w:rPr>
        <w:t xml:space="preserve"> also establish targets for BEV penetration and battery cost, as well as software income. It transforms multi-pathway thinking into a portfolio approach.</w:t>
      </w:r>
    </w:p>
    <w:p w14:paraId="6B894FE4" w14:textId="77777777" w:rsidR="00F7768E" w:rsidRPr="00FE195C" w:rsidRDefault="00F7768E" w:rsidP="001C4B03">
      <w:pPr>
        <w:rPr>
          <w:rFonts w:asciiTheme="majorBidi" w:hAnsiTheme="majorBidi" w:cstheme="majorBidi"/>
          <w:szCs w:val="24"/>
          <w:lang w:bidi="bn-IN"/>
        </w:rPr>
      </w:pPr>
      <w:r w:rsidRPr="00FE195C">
        <w:rPr>
          <w:rFonts w:asciiTheme="majorBidi" w:hAnsiTheme="majorBidi" w:cstheme="majorBidi"/>
          <w:szCs w:val="24"/>
          <w:lang w:bidi="bn-IN"/>
        </w:rPr>
        <w:br w:type="page"/>
      </w:r>
    </w:p>
    <w:p w14:paraId="3B2761FB" w14:textId="1D0CF13D" w:rsidR="003D3622" w:rsidRPr="00FE195C" w:rsidRDefault="003D3622" w:rsidP="001C4B03">
      <w:pPr>
        <w:pStyle w:val="Heading1"/>
        <w:pBdr>
          <w:bottom w:val="single" w:sz="4" w:space="1" w:color="auto"/>
        </w:pBdr>
        <w:spacing w:before="0"/>
        <w:jc w:val="center"/>
        <w:rPr>
          <w:lang w:bidi="bn-IN"/>
        </w:rPr>
      </w:pPr>
      <w:bookmarkStart w:id="14" w:name="_Toc237856897"/>
      <w:r w:rsidRPr="00FE195C">
        <w:rPr>
          <w:lang w:bidi="bn-IN"/>
        </w:rPr>
        <w:lastRenderedPageBreak/>
        <w:t>Conclusion and Recommendations</w:t>
      </w:r>
      <w:bookmarkEnd w:id="14"/>
    </w:p>
    <w:p w14:paraId="70E6A7CF" w14:textId="50ADD215" w:rsidR="003D3622" w:rsidRPr="00FE195C" w:rsidRDefault="003D3622" w:rsidP="001C4B03">
      <w:pPr>
        <w:pStyle w:val="Heading2"/>
        <w:spacing w:before="0" w:beforeAutospacing="0" w:after="0" w:afterAutospacing="0"/>
      </w:pPr>
      <w:bookmarkStart w:id="15" w:name="_Toc237856898"/>
      <w:r w:rsidRPr="00FE195C">
        <w:t>Conclusion</w:t>
      </w:r>
      <w:bookmarkEnd w:id="15"/>
    </w:p>
    <w:p w14:paraId="5BC090EE" w14:textId="3382E640" w:rsidR="003D3622" w:rsidRPr="00FE195C" w:rsidRDefault="003D3622" w:rsidP="001C4B03">
      <w:pPr>
        <w:rPr>
          <w:rFonts w:asciiTheme="majorBidi" w:hAnsiTheme="majorBidi" w:cstheme="majorBidi"/>
          <w:szCs w:val="24"/>
          <w:lang w:bidi="bn-IN"/>
        </w:rPr>
      </w:pPr>
      <w:r w:rsidRPr="00FE195C">
        <w:rPr>
          <w:rFonts w:asciiTheme="majorBidi" w:hAnsiTheme="majorBidi" w:cstheme="majorBidi"/>
          <w:szCs w:val="24"/>
          <w:lang w:bidi="bn-IN"/>
        </w:rPr>
        <w:t xml:space="preserve">Toyota remains strong, </w:t>
      </w:r>
      <w:r w:rsidR="007A37D9" w:rsidRPr="00FE195C">
        <w:rPr>
          <w:rFonts w:asciiTheme="majorBidi" w:hAnsiTheme="majorBidi" w:cstheme="majorBidi"/>
          <w:szCs w:val="24"/>
          <w:lang w:bidi="bn-IN"/>
        </w:rPr>
        <w:t xml:space="preserve">but where the advantage in cars is coming from is shifting. Its size, its brand, its manufacturing system, </w:t>
      </w:r>
      <w:r w:rsidR="001F2177" w:rsidRPr="00FE195C">
        <w:rPr>
          <w:rFonts w:asciiTheme="majorBidi" w:hAnsiTheme="majorBidi" w:cstheme="majorBidi"/>
          <w:szCs w:val="24"/>
          <w:lang w:bidi="bn-IN"/>
        </w:rPr>
        <w:t>its hybrid leadership and its supplier network</w:t>
      </w:r>
      <w:r w:rsidR="007A37D9" w:rsidRPr="00FE195C">
        <w:rPr>
          <w:rFonts w:asciiTheme="majorBidi" w:hAnsiTheme="majorBidi" w:cstheme="majorBidi"/>
          <w:szCs w:val="24"/>
          <w:lang w:bidi="bn-IN"/>
        </w:rPr>
        <w:t xml:space="preserve"> generate value. Change is possible if Toyota can finance it. </w:t>
      </w:r>
      <w:proofErr w:type="gramStart"/>
      <w:r w:rsidR="007A37D9" w:rsidRPr="00FE195C">
        <w:rPr>
          <w:rFonts w:asciiTheme="majorBidi" w:hAnsiTheme="majorBidi" w:cstheme="majorBidi"/>
          <w:szCs w:val="24"/>
          <w:lang w:bidi="bn-IN"/>
        </w:rPr>
        <w:t>In spite of</w:t>
      </w:r>
      <w:proofErr w:type="gramEnd"/>
      <w:r w:rsidR="007A37D9" w:rsidRPr="00FE195C">
        <w:rPr>
          <w:rFonts w:asciiTheme="majorBidi" w:hAnsiTheme="majorBidi" w:cstheme="majorBidi"/>
          <w:szCs w:val="24"/>
          <w:lang w:bidi="bn-IN"/>
        </w:rPr>
        <w:t xml:space="preserve"> the increase in revenue, however, operating profit is decreasing, which is a warning sign that size does not eliminate margin pressure (Toyota Motor Corporation, 2026b). The more serious problem is structural. The traditional model of advantage is being outpaced by BEVs, batteries, software and Chinese competition. </w:t>
      </w:r>
      <w:r w:rsidR="004C64D3" w:rsidRPr="00FE195C">
        <w:rPr>
          <w:rFonts w:asciiTheme="majorBidi" w:hAnsiTheme="majorBidi" w:cstheme="majorBidi"/>
          <w:szCs w:val="24"/>
          <w:lang w:bidi="bn-IN"/>
        </w:rPr>
        <w:t>Toyota's multi-pathway approach is useful because market conditions differ across regions</w:t>
      </w:r>
      <w:r w:rsidR="007A37D9" w:rsidRPr="00FE195C">
        <w:rPr>
          <w:rFonts w:asciiTheme="majorBidi" w:hAnsiTheme="majorBidi" w:cstheme="majorBidi"/>
          <w:szCs w:val="24"/>
          <w:lang w:bidi="bn-IN"/>
        </w:rPr>
        <w:t>; however, it requires regional priorities. The Regional Accelerated Electric and Software Mobility Strategy provides that balance.</w:t>
      </w:r>
    </w:p>
    <w:p w14:paraId="0584E77C" w14:textId="44760D02" w:rsidR="003D3622" w:rsidRPr="00FE195C" w:rsidRDefault="003D3622" w:rsidP="001C4B03">
      <w:pPr>
        <w:pStyle w:val="Heading2"/>
        <w:spacing w:before="0" w:beforeAutospacing="0" w:after="0" w:afterAutospacing="0"/>
      </w:pPr>
      <w:bookmarkStart w:id="16" w:name="_Toc237856899"/>
      <w:r w:rsidRPr="00FE195C">
        <w:t>Recommendations</w:t>
      </w:r>
      <w:bookmarkEnd w:id="16"/>
    </w:p>
    <w:p w14:paraId="6EB9DD95" w14:textId="77777777" w:rsidR="007A68A2" w:rsidRPr="00FE195C" w:rsidRDefault="003D3622" w:rsidP="001C4B03">
      <w:pPr>
        <w:rPr>
          <w:rFonts w:asciiTheme="majorBidi" w:hAnsiTheme="majorBidi" w:cstheme="majorBidi"/>
          <w:szCs w:val="24"/>
          <w:lang w:bidi="bn-IN"/>
        </w:rPr>
      </w:pPr>
      <w:r w:rsidRPr="00FE195C">
        <w:rPr>
          <w:rFonts w:asciiTheme="majorBidi" w:hAnsiTheme="majorBidi" w:cstheme="majorBidi"/>
          <w:szCs w:val="24"/>
          <w:lang w:bidi="bn-IN"/>
        </w:rPr>
        <w:t xml:space="preserve">Three actions should follow. </w:t>
      </w:r>
    </w:p>
    <w:p w14:paraId="4B331C8B" w14:textId="4684C657" w:rsidR="007A68A2" w:rsidRPr="00FE195C" w:rsidRDefault="007A37D9" w:rsidP="007A68A2">
      <w:pPr>
        <w:pStyle w:val="ListParagraph"/>
        <w:numPr>
          <w:ilvl w:val="0"/>
          <w:numId w:val="12"/>
        </w:numPr>
        <w:rPr>
          <w:rFonts w:asciiTheme="majorBidi" w:hAnsiTheme="majorBidi" w:cstheme="majorBidi"/>
          <w:szCs w:val="24"/>
          <w:lang w:bidi="bn-IN"/>
        </w:rPr>
      </w:pPr>
      <w:r w:rsidRPr="00FE195C">
        <w:rPr>
          <w:rFonts w:asciiTheme="majorBidi" w:hAnsiTheme="majorBidi" w:cstheme="majorBidi"/>
          <w:szCs w:val="24"/>
          <w:lang w:bidi="bn-IN"/>
        </w:rPr>
        <w:t>First, Toyota needs to establish region-specific BEV goals and speed up development times in China, Europe and fast</w:t>
      </w:r>
      <w:r w:rsidR="007A68A2" w:rsidRPr="00FE195C">
        <w:rPr>
          <w:rFonts w:asciiTheme="majorBidi" w:hAnsiTheme="majorBidi" w:cstheme="majorBidi"/>
          <w:szCs w:val="24"/>
          <w:lang w:bidi="bn-IN"/>
        </w:rPr>
        <w:t>-</w:t>
      </w:r>
      <w:r w:rsidRPr="00FE195C">
        <w:rPr>
          <w:rFonts w:asciiTheme="majorBidi" w:hAnsiTheme="majorBidi" w:cstheme="majorBidi"/>
          <w:szCs w:val="24"/>
          <w:lang w:bidi="bn-IN"/>
        </w:rPr>
        <w:t xml:space="preserve">growth markets. </w:t>
      </w:r>
    </w:p>
    <w:p w14:paraId="2294D44B" w14:textId="77777777" w:rsidR="007A68A2" w:rsidRPr="00FE195C" w:rsidRDefault="007A37D9" w:rsidP="007A68A2">
      <w:pPr>
        <w:pStyle w:val="ListParagraph"/>
        <w:numPr>
          <w:ilvl w:val="0"/>
          <w:numId w:val="12"/>
        </w:numPr>
        <w:rPr>
          <w:rFonts w:asciiTheme="majorBidi" w:hAnsiTheme="majorBidi" w:cstheme="majorBidi"/>
          <w:szCs w:val="24"/>
          <w:lang w:bidi="bn-IN"/>
        </w:rPr>
      </w:pPr>
      <w:r w:rsidRPr="00FE195C">
        <w:rPr>
          <w:rFonts w:asciiTheme="majorBidi" w:hAnsiTheme="majorBidi" w:cstheme="majorBidi"/>
          <w:szCs w:val="24"/>
          <w:lang w:bidi="bn-IN"/>
        </w:rPr>
        <w:t xml:space="preserve">Second, it should increase the extent of battery localisation and supplier diversification as resilient supply demands capacity and reduced reliance on a single source (Chauhan and Rani, 2026). </w:t>
      </w:r>
    </w:p>
    <w:p w14:paraId="36D5E37B" w14:textId="77777777" w:rsidR="007A68A2" w:rsidRPr="00FE195C" w:rsidRDefault="007A37D9" w:rsidP="007A68A2">
      <w:pPr>
        <w:pStyle w:val="ListParagraph"/>
        <w:numPr>
          <w:ilvl w:val="0"/>
          <w:numId w:val="12"/>
        </w:numPr>
        <w:rPr>
          <w:rFonts w:asciiTheme="majorBidi" w:hAnsiTheme="majorBidi" w:cstheme="majorBidi"/>
          <w:szCs w:val="24"/>
          <w:lang w:bidi="bn-IN"/>
        </w:rPr>
      </w:pPr>
      <w:r w:rsidRPr="00FE195C">
        <w:rPr>
          <w:rFonts w:asciiTheme="majorBidi" w:hAnsiTheme="majorBidi" w:cstheme="majorBidi"/>
          <w:szCs w:val="24"/>
          <w:lang w:bidi="bn-IN"/>
        </w:rPr>
        <w:t xml:space="preserve">Third, Toyota should </w:t>
      </w:r>
      <w:proofErr w:type="spellStart"/>
      <w:r w:rsidRPr="00FE195C">
        <w:rPr>
          <w:rFonts w:asciiTheme="majorBidi" w:hAnsiTheme="majorBidi" w:cstheme="majorBidi"/>
          <w:szCs w:val="24"/>
          <w:lang w:bidi="bn-IN"/>
        </w:rPr>
        <w:t>commerciali</w:t>
      </w:r>
      <w:r w:rsidR="007A68A2" w:rsidRPr="00FE195C">
        <w:rPr>
          <w:rFonts w:asciiTheme="majorBidi" w:hAnsiTheme="majorBidi" w:cstheme="majorBidi"/>
          <w:szCs w:val="24"/>
          <w:lang w:bidi="bn-IN"/>
        </w:rPr>
        <w:t>s</w:t>
      </w:r>
      <w:r w:rsidRPr="00FE195C">
        <w:rPr>
          <w:rFonts w:asciiTheme="majorBidi" w:hAnsiTheme="majorBidi" w:cstheme="majorBidi"/>
          <w:szCs w:val="24"/>
          <w:lang w:bidi="bn-IN"/>
        </w:rPr>
        <w:t>e</w:t>
      </w:r>
      <w:proofErr w:type="spellEnd"/>
      <w:r w:rsidRPr="00FE195C">
        <w:rPr>
          <w:rFonts w:asciiTheme="majorBidi" w:hAnsiTheme="majorBidi" w:cstheme="majorBidi"/>
          <w:szCs w:val="24"/>
          <w:lang w:bidi="bn-IN"/>
        </w:rPr>
        <w:t xml:space="preserve"> software and AI as a main business, setting goals for over-the-air, use of connected services and software revenue. </w:t>
      </w:r>
    </w:p>
    <w:p w14:paraId="56B13E89" w14:textId="42A108A8" w:rsidR="007A37D9" w:rsidRPr="00FE195C" w:rsidRDefault="007A37D9" w:rsidP="001C4B03">
      <w:pPr>
        <w:rPr>
          <w:rFonts w:asciiTheme="majorBidi" w:hAnsiTheme="majorBidi" w:cstheme="majorBidi"/>
          <w:szCs w:val="24"/>
          <w:lang w:bidi="bn-IN"/>
        </w:rPr>
      </w:pPr>
      <w:r w:rsidRPr="00FE195C">
        <w:rPr>
          <w:rFonts w:asciiTheme="majorBidi" w:hAnsiTheme="majorBidi" w:cstheme="majorBidi"/>
          <w:szCs w:val="24"/>
          <w:lang w:bidi="bn-IN"/>
        </w:rPr>
        <w:t xml:space="preserve">These actions secure strengths as they shift capital and learning towards value. It is not the intent to eliminate hybrids, but to prevent flexibility from becoming </w:t>
      </w:r>
      <w:proofErr w:type="gramStart"/>
      <w:r w:rsidRPr="00FE195C">
        <w:rPr>
          <w:rFonts w:asciiTheme="majorBidi" w:hAnsiTheme="majorBidi" w:cstheme="majorBidi"/>
          <w:szCs w:val="24"/>
          <w:lang w:bidi="bn-IN"/>
        </w:rPr>
        <w:t>delay</w:t>
      </w:r>
      <w:proofErr w:type="gramEnd"/>
      <w:r w:rsidRPr="00FE195C">
        <w:rPr>
          <w:rFonts w:asciiTheme="majorBidi" w:hAnsiTheme="majorBidi" w:cstheme="majorBidi"/>
          <w:szCs w:val="24"/>
          <w:lang w:bidi="bn-IN"/>
        </w:rPr>
        <w:t>.</w:t>
      </w:r>
    </w:p>
    <w:p w14:paraId="041902A9" w14:textId="77777777" w:rsidR="007A37D9" w:rsidRPr="00FE195C" w:rsidRDefault="007A37D9" w:rsidP="001C4B03">
      <w:pPr>
        <w:rPr>
          <w:rFonts w:asciiTheme="majorBidi" w:hAnsiTheme="majorBidi" w:cstheme="majorBidi"/>
          <w:szCs w:val="24"/>
          <w:lang w:bidi="bn-IN"/>
        </w:rPr>
      </w:pPr>
      <w:r w:rsidRPr="00FE195C">
        <w:rPr>
          <w:rFonts w:asciiTheme="majorBidi" w:hAnsiTheme="majorBidi" w:cstheme="majorBidi"/>
          <w:szCs w:val="24"/>
          <w:lang w:bidi="bn-IN"/>
        </w:rPr>
        <w:br w:type="page"/>
      </w:r>
    </w:p>
    <w:p w14:paraId="68B8FA57" w14:textId="77777777" w:rsidR="003D3622" w:rsidRPr="00FE195C" w:rsidRDefault="003D3622" w:rsidP="001C4B03">
      <w:pPr>
        <w:pStyle w:val="Heading1"/>
        <w:pBdr>
          <w:bottom w:val="single" w:sz="4" w:space="1" w:color="auto"/>
        </w:pBdr>
        <w:spacing w:before="0"/>
        <w:jc w:val="center"/>
        <w:rPr>
          <w:lang w:bidi="bn-IN"/>
        </w:rPr>
      </w:pPr>
      <w:bookmarkStart w:id="17" w:name="_Toc237856900"/>
      <w:r w:rsidRPr="00FE195C">
        <w:rPr>
          <w:lang w:bidi="bn-IN"/>
        </w:rPr>
        <w:lastRenderedPageBreak/>
        <w:t>References</w:t>
      </w:r>
      <w:bookmarkEnd w:id="17"/>
    </w:p>
    <w:p w14:paraId="4F67FD7F" w14:textId="77777777" w:rsidR="00324874" w:rsidRPr="00FE195C" w:rsidRDefault="00324874" w:rsidP="001C4B03">
      <w:pPr>
        <w:pStyle w:val="isselectedend"/>
        <w:spacing w:before="0" w:beforeAutospacing="0" w:after="0" w:afterAutospacing="0" w:line="360" w:lineRule="auto"/>
        <w:ind w:left="720" w:hanging="720"/>
        <w:jc w:val="both"/>
      </w:pPr>
      <w:r w:rsidRPr="00FE195C">
        <w:t xml:space="preserve">Barney, J.B. (1991) ‘Firm resources and sustained competitive advantage’, </w:t>
      </w:r>
      <w:r w:rsidRPr="00FE195C">
        <w:rPr>
          <w:rStyle w:val="Emphasis"/>
          <w:i w:val="0"/>
          <w:iCs w:val="0"/>
        </w:rPr>
        <w:t>Journal of Management</w:t>
      </w:r>
      <w:r w:rsidRPr="00FE195C">
        <w:t xml:space="preserve">, 17(1), pp. 99–120. </w:t>
      </w:r>
      <w:hyperlink r:id="rId14" w:history="1">
        <w:r w:rsidRPr="00FE195C">
          <w:rPr>
            <w:rStyle w:val="Hyperlink"/>
            <w:u w:val="none"/>
          </w:rPr>
          <w:t>https://doi.org/10.1177/014920639101700108</w:t>
        </w:r>
      </w:hyperlink>
    </w:p>
    <w:p w14:paraId="6374C4C1" w14:textId="77777777" w:rsidR="00324874" w:rsidRPr="00FE195C" w:rsidRDefault="00324874" w:rsidP="001C4B03">
      <w:pPr>
        <w:pStyle w:val="isselectedend"/>
        <w:spacing w:before="0" w:beforeAutospacing="0" w:after="0" w:afterAutospacing="0" w:line="360" w:lineRule="auto"/>
        <w:ind w:left="720" w:hanging="720"/>
        <w:jc w:val="both"/>
      </w:pPr>
      <w:r w:rsidRPr="00FE195C">
        <w:t xml:space="preserve">Chauhan, A. and Rani, M.V. (2026) ‘Resilient supply chains in the automotive industry: a risk prioritization framework for electric and traditional vehicles in Industry 4.0’, </w:t>
      </w:r>
      <w:r w:rsidRPr="00FE195C">
        <w:rPr>
          <w:rStyle w:val="Emphasis"/>
          <w:i w:val="0"/>
          <w:iCs w:val="0"/>
        </w:rPr>
        <w:t>International Journal of Productivity and Performance Management</w:t>
      </w:r>
      <w:r w:rsidRPr="00FE195C">
        <w:t xml:space="preserve">, 75(2), pp. 353–374. </w:t>
      </w:r>
      <w:hyperlink r:id="rId15" w:history="1">
        <w:r w:rsidRPr="00FE195C">
          <w:rPr>
            <w:rStyle w:val="Hyperlink"/>
            <w:u w:val="none"/>
          </w:rPr>
          <w:t>https://doi.org/10.1108/IJPPM-03-2025-0181</w:t>
        </w:r>
      </w:hyperlink>
    </w:p>
    <w:p w14:paraId="11AD153B" w14:textId="65F723FD" w:rsidR="00324874" w:rsidRPr="00FE195C" w:rsidRDefault="00324874" w:rsidP="001C4B03">
      <w:pPr>
        <w:pStyle w:val="isselectedend"/>
        <w:spacing w:before="0" w:beforeAutospacing="0" w:after="0" w:afterAutospacing="0" w:line="360" w:lineRule="auto"/>
        <w:ind w:left="720" w:hanging="720"/>
        <w:jc w:val="both"/>
      </w:pPr>
      <w:r w:rsidRPr="00FE195C">
        <w:t xml:space="preserve">International Energy Agency (IEA) (2026) </w:t>
      </w:r>
      <w:r w:rsidRPr="00FE195C">
        <w:rPr>
          <w:rStyle w:val="Emphasis"/>
          <w:i w:val="0"/>
          <w:iCs w:val="0"/>
        </w:rPr>
        <w:t>Global EV Outlook 2026</w:t>
      </w:r>
      <w:r w:rsidRPr="00FE195C">
        <w:t xml:space="preserve">. Paris: International Energy Agency. Available at: </w:t>
      </w:r>
      <w:hyperlink r:id="rId16" w:history="1">
        <w:r w:rsidRPr="00FE195C">
          <w:rPr>
            <w:rStyle w:val="Hyperlink"/>
            <w:u w:val="none"/>
          </w:rPr>
          <w:t>https://www.iea.org/reports/global-ev-outlook-2026</w:t>
        </w:r>
      </w:hyperlink>
      <w:r w:rsidRPr="00FE195C">
        <w:t xml:space="preserve"> (Accessed: 1</w:t>
      </w:r>
      <w:r w:rsidR="00FE195C" w:rsidRPr="00FE195C">
        <w:t>1</w:t>
      </w:r>
      <w:r w:rsidRPr="00FE195C">
        <w:t xml:space="preserve"> August 2026).</w:t>
      </w:r>
    </w:p>
    <w:p w14:paraId="3814283D" w14:textId="77777777" w:rsidR="00324874" w:rsidRPr="00FE195C" w:rsidRDefault="00324874" w:rsidP="001C4B03">
      <w:pPr>
        <w:pStyle w:val="isselectedend"/>
        <w:spacing w:before="0" w:beforeAutospacing="0" w:after="0" w:afterAutospacing="0" w:line="360" w:lineRule="auto"/>
        <w:ind w:left="720" w:hanging="720"/>
        <w:jc w:val="both"/>
      </w:pPr>
      <w:r w:rsidRPr="00FE195C">
        <w:t xml:space="preserve">Jagani, S., </w:t>
      </w:r>
      <w:proofErr w:type="spellStart"/>
      <w:r w:rsidRPr="00FE195C">
        <w:t>Marsillac</w:t>
      </w:r>
      <w:proofErr w:type="spellEnd"/>
      <w:r w:rsidRPr="00FE195C">
        <w:t>, E. and Hong, P. (</w:t>
      </w:r>
      <w:proofErr w:type="gramStart"/>
      <w:r w:rsidRPr="00FE195C">
        <w:t>2024) ‘</w:t>
      </w:r>
      <w:proofErr w:type="gramEnd"/>
      <w:r w:rsidRPr="00FE195C">
        <w:t xml:space="preserve">The electric vehicle supply chain ecosystem: changing roles of automotive suppliers’, </w:t>
      </w:r>
      <w:r w:rsidRPr="00FE195C">
        <w:rPr>
          <w:rStyle w:val="Emphasis"/>
          <w:i w:val="0"/>
          <w:iCs w:val="0"/>
        </w:rPr>
        <w:t>Sustainability</w:t>
      </w:r>
      <w:r w:rsidRPr="00FE195C">
        <w:t xml:space="preserve">, 16(4), 1570. </w:t>
      </w:r>
      <w:hyperlink r:id="rId17" w:history="1">
        <w:r w:rsidRPr="00FE195C">
          <w:rPr>
            <w:rStyle w:val="Hyperlink"/>
            <w:u w:val="none"/>
          </w:rPr>
          <w:t>https://doi.org/10.3390/su16041570</w:t>
        </w:r>
      </w:hyperlink>
    </w:p>
    <w:p w14:paraId="785881A6" w14:textId="77777777" w:rsidR="00324874" w:rsidRPr="00FE195C" w:rsidRDefault="00324874" w:rsidP="001C4B03">
      <w:pPr>
        <w:pStyle w:val="isselectedend"/>
        <w:spacing w:before="0" w:beforeAutospacing="0" w:after="0" w:afterAutospacing="0" w:line="360" w:lineRule="auto"/>
        <w:ind w:left="720" w:hanging="720"/>
        <w:jc w:val="both"/>
      </w:pPr>
      <w:r w:rsidRPr="00FE195C">
        <w:t>Jeong, J.H., Kim, C. and Jo, H.J. (</w:t>
      </w:r>
      <w:proofErr w:type="gramStart"/>
      <w:r w:rsidRPr="00FE195C">
        <w:t>2024) ‘</w:t>
      </w:r>
      <w:proofErr w:type="gramEnd"/>
      <w:r w:rsidRPr="00FE195C">
        <w:t xml:space="preserve">Three major challenges in the shift to electric vehicles: industrial organization, industrial policy, and a just transition’, </w:t>
      </w:r>
      <w:r w:rsidRPr="00FE195C">
        <w:rPr>
          <w:rStyle w:val="Emphasis"/>
          <w:i w:val="0"/>
          <w:iCs w:val="0"/>
        </w:rPr>
        <w:t>Sociology Compass</w:t>
      </w:r>
      <w:r w:rsidRPr="00FE195C">
        <w:t xml:space="preserve">, 18(5), e13218. </w:t>
      </w:r>
      <w:hyperlink r:id="rId18" w:history="1">
        <w:r w:rsidRPr="00FE195C">
          <w:rPr>
            <w:rStyle w:val="Hyperlink"/>
            <w:u w:val="none"/>
          </w:rPr>
          <w:t>https://doi.org/10.1111/soc4.13218</w:t>
        </w:r>
      </w:hyperlink>
    </w:p>
    <w:p w14:paraId="7672C72B" w14:textId="77777777" w:rsidR="00324874" w:rsidRPr="00FE195C" w:rsidRDefault="00324874" w:rsidP="001C4B03">
      <w:pPr>
        <w:pStyle w:val="isselectedend"/>
        <w:spacing w:before="0" w:beforeAutospacing="0" w:after="0" w:afterAutospacing="0" w:line="360" w:lineRule="auto"/>
        <w:ind w:left="720" w:hanging="720"/>
        <w:jc w:val="both"/>
      </w:pPr>
      <w:r w:rsidRPr="00FE195C">
        <w:t>Llopis-Albert, C., Rubio, F. and Valero, F. (</w:t>
      </w:r>
      <w:proofErr w:type="gramStart"/>
      <w:r w:rsidRPr="00FE195C">
        <w:t>2021) ‘</w:t>
      </w:r>
      <w:proofErr w:type="gramEnd"/>
      <w:r w:rsidRPr="00FE195C">
        <w:t xml:space="preserve">Impact of digital transformation on the automotive industry’, </w:t>
      </w:r>
      <w:r w:rsidRPr="00FE195C">
        <w:rPr>
          <w:rStyle w:val="Emphasis"/>
          <w:i w:val="0"/>
          <w:iCs w:val="0"/>
        </w:rPr>
        <w:t>Technological Forecasting and Social Change</w:t>
      </w:r>
      <w:r w:rsidRPr="00FE195C">
        <w:t xml:space="preserve">, 162, 120343. </w:t>
      </w:r>
      <w:hyperlink r:id="rId19" w:history="1">
        <w:r w:rsidRPr="00FE195C">
          <w:rPr>
            <w:rStyle w:val="Hyperlink"/>
            <w:u w:val="none"/>
          </w:rPr>
          <w:t>https://doi.org/10.1016/j.techfore.2020.120343</w:t>
        </w:r>
      </w:hyperlink>
    </w:p>
    <w:p w14:paraId="2C4FC538" w14:textId="77777777" w:rsidR="00324874" w:rsidRPr="00FE195C" w:rsidRDefault="00324874" w:rsidP="001C4B03">
      <w:pPr>
        <w:pStyle w:val="isselectedend"/>
        <w:spacing w:before="0" w:beforeAutospacing="0" w:after="0" w:afterAutospacing="0" w:line="360" w:lineRule="auto"/>
        <w:ind w:left="720" w:hanging="720"/>
        <w:jc w:val="both"/>
      </w:pPr>
      <w:r w:rsidRPr="00FE195C">
        <w:t xml:space="preserve">Lukin, E., Krajnović, A. and Bosna, J. (2022) ‘Sustainability strategies and achieving SDGs: a comparative analysis of leading companies in the automotive industry’, </w:t>
      </w:r>
      <w:r w:rsidRPr="00FE195C">
        <w:rPr>
          <w:rStyle w:val="Emphasis"/>
          <w:i w:val="0"/>
          <w:iCs w:val="0"/>
        </w:rPr>
        <w:t>Sustainability</w:t>
      </w:r>
      <w:r w:rsidRPr="00FE195C">
        <w:t xml:space="preserve">, 14(7), 4000. </w:t>
      </w:r>
      <w:hyperlink r:id="rId20" w:history="1">
        <w:r w:rsidRPr="00FE195C">
          <w:rPr>
            <w:rStyle w:val="Hyperlink"/>
            <w:u w:val="none"/>
          </w:rPr>
          <w:t>https://doi.org/10.3390/su14074000</w:t>
        </w:r>
      </w:hyperlink>
    </w:p>
    <w:p w14:paraId="0B4DADEB" w14:textId="77777777" w:rsidR="00324874" w:rsidRPr="00FE195C" w:rsidRDefault="00324874" w:rsidP="001C4B03">
      <w:pPr>
        <w:pStyle w:val="isselectedend"/>
        <w:spacing w:before="0" w:beforeAutospacing="0" w:after="0" w:afterAutospacing="0" w:line="360" w:lineRule="auto"/>
        <w:ind w:left="720" w:hanging="720"/>
        <w:jc w:val="both"/>
      </w:pPr>
      <w:r w:rsidRPr="00FE195C">
        <w:t xml:space="preserve">Pérez-Moure, H., </w:t>
      </w:r>
      <w:proofErr w:type="spellStart"/>
      <w:r w:rsidRPr="00FE195C">
        <w:t>Lampón</w:t>
      </w:r>
      <w:proofErr w:type="spellEnd"/>
      <w:r w:rsidRPr="00FE195C">
        <w:t xml:space="preserve">, J.F., </w:t>
      </w:r>
      <w:proofErr w:type="spellStart"/>
      <w:r w:rsidRPr="00FE195C">
        <w:t>Velando</w:t>
      </w:r>
      <w:proofErr w:type="spellEnd"/>
      <w:r w:rsidRPr="00FE195C">
        <w:t>-Rodriguez, M.E. and Rodríguez-</w:t>
      </w:r>
      <w:proofErr w:type="spellStart"/>
      <w:r w:rsidRPr="00FE195C">
        <w:t>Comesaña</w:t>
      </w:r>
      <w:proofErr w:type="spellEnd"/>
      <w:r w:rsidRPr="00FE195C">
        <w:t xml:space="preserve">, L. (2023) ‘Revolutionizing the road: how sustainable, autonomous, and connected vehicles are changing digital mobility business models’, </w:t>
      </w:r>
      <w:r w:rsidRPr="00FE195C">
        <w:rPr>
          <w:rStyle w:val="Emphasis"/>
          <w:i w:val="0"/>
          <w:iCs w:val="0"/>
        </w:rPr>
        <w:t>European Research on Management and Business Economics</w:t>
      </w:r>
      <w:r w:rsidRPr="00FE195C">
        <w:t xml:space="preserve">, 29(3), 100230. </w:t>
      </w:r>
      <w:hyperlink r:id="rId21" w:history="1">
        <w:r w:rsidRPr="00FE195C">
          <w:rPr>
            <w:rStyle w:val="Hyperlink"/>
            <w:u w:val="none"/>
          </w:rPr>
          <w:t>https://doi.org/10.1016/j.iedeen.2023.100230</w:t>
        </w:r>
      </w:hyperlink>
    </w:p>
    <w:p w14:paraId="3E15C92B" w14:textId="3535DCB1" w:rsidR="00324874" w:rsidRPr="00FE195C" w:rsidRDefault="00324874" w:rsidP="001C4B03">
      <w:pPr>
        <w:pStyle w:val="isselectedend"/>
        <w:spacing w:before="0" w:beforeAutospacing="0" w:after="0" w:afterAutospacing="0" w:line="360" w:lineRule="auto"/>
        <w:ind w:left="720" w:hanging="720"/>
        <w:jc w:val="both"/>
      </w:pPr>
      <w:r w:rsidRPr="00FE195C">
        <w:t xml:space="preserve">Porter, M.E. (2008) ‘The five competitive forces that shape strategy’, </w:t>
      </w:r>
      <w:r w:rsidRPr="00FE195C">
        <w:rPr>
          <w:rStyle w:val="Emphasis"/>
          <w:i w:val="0"/>
          <w:iCs w:val="0"/>
        </w:rPr>
        <w:t>Harvard Business Review</w:t>
      </w:r>
      <w:r w:rsidRPr="00FE195C">
        <w:t xml:space="preserve">, 86(1), pp. 78–93. Available at: </w:t>
      </w:r>
      <w:hyperlink r:id="rId22" w:history="1">
        <w:r w:rsidRPr="00FE195C">
          <w:rPr>
            <w:rStyle w:val="Hyperlink"/>
            <w:u w:val="none"/>
          </w:rPr>
          <w:t>https://hbr.org/2008/01/the-five-competitive-forces-that-shape-strategy</w:t>
        </w:r>
      </w:hyperlink>
      <w:r w:rsidRPr="00FE195C">
        <w:t xml:space="preserve"> (Accessed: 1</w:t>
      </w:r>
      <w:r w:rsidR="00FE195C" w:rsidRPr="00FE195C">
        <w:t>1</w:t>
      </w:r>
      <w:r w:rsidRPr="00FE195C">
        <w:t xml:space="preserve"> August 2026).</w:t>
      </w:r>
    </w:p>
    <w:p w14:paraId="64D34452" w14:textId="77777777" w:rsidR="00324874" w:rsidRPr="00FE195C" w:rsidRDefault="00324874" w:rsidP="001C4B03">
      <w:pPr>
        <w:pStyle w:val="isselectedend"/>
        <w:spacing w:before="0" w:beforeAutospacing="0" w:after="0" w:afterAutospacing="0" w:line="360" w:lineRule="auto"/>
        <w:ind w:left="720" w:hanging="720"/>
        <w:jc w:val="both"/>
      </w:pPr>
      <w:proofErr w:type="spellStart"/>
      <w:r w:rsidRPr="00FE195C">
        <w:t>Rísquez</w:t>
      </w:r>
      <w:proofErr w:type="spellEnd"/>
      <w:r w:rsidRPr="00FE195C">
        <w:t xml:space="preserve"> Ramos, M. and Ruiz-Gálvez, M.E. (2024) ‘The transformation of the automotive industry toward electrification and its impact on global value chains: inter-plant </w:t>
      </w:r>
      <w:r w:rsidRPr="00FE195C">
        <w:lastRenderedPageBreak/>
        <w:t xml:space="preserve">competition, employment, and supply chains’, </w:t>
      </w:r>
      <w:r w:rsidRPr="00FE195C">
        <w:rPr>
          <w:rStyle w:val="Emphasis"/>
          <w:i w:val="0"/>
          <w:iCs w:val="0"/>
        </w:rPr>
        <w:t>European Research on Management and Business Economics</w:t>
      </w:r>
      <w:r w:rsidRPr="00FE195C">
        <w:t xml:space="preserve">, 30(1), 100242. </w:t>
      </w:r>
      <w:hyperlink r:id="rId23" w:history="1">
        <w:r w:rsidRPr="00FE195C">
          <w:rPr>
            <w:rStyle w:val="Hyperlink"/>
            <w:u w:val="none"/>
          </w:rPr>
          <w:t>https://doi.org/10.1016/j.iedeen.2024.100242</w:t>
        </w:r>
      </w:hyperlink>
    </w:p>
    <w:p w14:paraId="17F0E57E" w14:textId="7F197576" w:rsidR="00324874" w:rsidRPr="00FE195C" w:rsidRDefault="00324874" w:rsidP="001C4B03">
      <w:pPr>
        <w:pStyle w:val="isselectedend"/>
        <w:spacing w:before="0" w:beforeAutospacing="0" w:after="0" w:afterAutospacing="0" w:line="360" w:lineRule="auto"/>
        <w:ind w:left="720" w:hanging="720"/>
        <w:jc w:val="both"/>
      </w:pPr>
      <w:r w:rsidRPr="00FE195C">
        <w:t xml:space="preserve">Toyota Motor Corporation (2025) </w:t>
      </w:r>
      <w:r w:rsidRPr="00FE195C">
        <w:rPr>
          <w:rStyle w:val="Emphasis"/>
          <w:i w:val="0"/>
          <w:iCs w:val="0"/>
        </w:rPr>
        <w:t>Integrated Report 2025</w:t>
      </w:r>
      <w:r w:rsidRPr="00FE195C">
        <w:t xml:space="preserve">. Toyota City: Toyota Motor Corporation. Available at: </w:t>
      </w:r>
      <w:hyperlink r:id="rId24" w:history="1">
        <w:r w:rsidRPr="00FE195C">
          <w:rPr>
            <w:rStyle w:val="Hyperlink"/>
            <w:u w:val="none"/>
          </w:rPr>
          <w:t>https://global.toyota/en/ir/library/annual/</w:t>
        </w:r>
      </w:hyperlink>
      <w:r w:rsidRPr="00FE195C">
        <w:t xml:space="preserve"> (Accessed: 1</w:t>
      </w:r>
      <w:r w:rsidR="00FE195C" w:rsidRPr="00FE195C">
        <w:t>1</w:t>
      </w:r>
      <w:r w:rsidRPr="00FE195C">
        <w:t xml:space="preserve"> August 2026).</w:t>
      </w:r>
    </w:p>
    <w:p w14:paraId="0FA0D53D" w14:textId="2A141F65" w:rsidR="00324874" w:rsidRPr="00FE195C" w:rsidRDefault="00324874" w:rsidP="001C4B03">
      <w:pPr>
        <w:pStyle w:val="isselectedend"/>
        <w:spacing w:before="0" w:beforeAutospacing="0" w:after="0" w:afterAutospacing="0" w:line="360" w:lineRule="auto"/>
        <w:ind w:left="720" w:hanging="720"/>
        <w:jc w:val="both"/>
      </w:pPr>
      <w:r w:rsidRPr="00FE195C">
        <w:t xml:space="preserve">Toyota Motor Corporation (2026a) </w:t>
      </w:r>
      <w:r w:rsidRPr="00FE195C">
        <w:rPr>
          <w:rStyle w:val="Emphasis"/>
          <w:i w:val="0"/>
          <w:iCs w:val="0"/>
        </w:rPr>
        <w:t>Annual Report on Form 20-F for the fiscal year ended 31 March 2026</w:t>
      </w:r>
      <w:r w:rsidRPr="00FE195C">
        <w:t xml:space="preserve">. Toyota City: Toyota Motor Corporation. Available at: </w:t>
      </w:r>
      <w:hyperlink r:id="rId25" w:history="1">
        <w:r w:rsidRPr="00FE195C">
          <w:rPr>
            <w:rStyle w:val="Hyperlink"/>
            <w:u w:val="none"/>
          </w:rPr>
          <w:t>https://global.toyota/pages/global_toyota/ir/library/sec/20-F_202603_final.pdf</w:t>
        </w:r>
      </w:hyperlink>
      <w:r w:rsidRPr="00FE195C">
        <w:t xml:space="preserve"> (Accessed: 1</w:t>
      </w:r>
      <w:r w:rsidR="00FE195C" w:rsidRPr="00FE195C">
        <w:t>1</w:t>
      </w:r>
      <w:r w:rsidRPr="00FE195C">
        <w:t xml:space="preserve"> August 2026).</w:t>
      </w:r>
    </w:p>
    <w:p w14:paraId="28213D0F" w14:textId="1C137340" w:rsidR="00324874" w:rsidRPr="00FE195C" w:rsidRDefault="00324874" w:rsidP="001C4B03">
      <w:pPr>
        <w:pStyle w:val="isselectedend"/>
        <w:spacing w:before="0" w:beforeAutospacing="0" w:after="0" w:afterAutospacing="0" w:line="360" w:lineRule="auto"/>
        <w:ind w:left="720" w:hanging="720"/>
        <w:jc w:val="both"/>
      </w:pPr>
      <w:r w:rsidRPr="00FE195C">
        <w:t xml:space="preserve">Toyota Motor Corporation (2026b) </w:t>
      </w:r>
      <w:r w:rsidRPr="00FE195C">
        <w:rPr>
          <w:rStyle w:val="Emphasis"/>
          <w:i w:val="0"/>
          <w:iCs w:val="0"/>
        </w:rPr>
        <w:t>Financial Summary FY2027 First Quarter</w:t>
      </w:r>
      <w:r w:rsidRPr="00FE195C">
        <w:t xml:space="preserve">. Toyota City: Toyota Motor Corporation. Available at: </w:t>
      </w:r>
      <w:hyperlink r:id="rId26" w:history="1">
        <w:r w:rsidRPr="00FE195C">
          <w:rPr>
            <w:rStyle w:val="Hyperlink"/>
            <w:u w:val="none"/>
          </w:rPr>
          <w:t>https://global.toyota/pages/global_toyota/ir/financial-results/2027_1q_summary_en.pdf</w:t>
        </w:r>
      </w:hyperlink>
      <w:r w:rsidRPr="00FE195C">
        <w:t xml:space="preserve"> (Accessed: 1</w:t>
      </w:r>
      <w:r w:rsidR="00FE195C" w:rsidRPr="00FE195C">
        <w:t>1</w:t>
      </w:r>
      <w:r w:rsidRPr="00FE195C">
        <w:t xml:space="preserve"> August 2026).</w:t>
      </w:r>
    </w:p>
    <w:p w14:paraId="1E302F42" w14:textId="7C54D505" w:rsidR="00324874" w:rsidRPr="00FE195C" w:rsidRDefault="00324874" w:rsidP="001C4B03">
      <w:pPr>
        <w:pStyle w:val="isselectedend"/>
        <w:spacing w:before="0" w:beforeAutospacing="0" w:after="0" w:afterAutospacing="0" w:line="360" w:lineRule="auto"/>
        <w:ind w:left="720" w:hanging="720"/>
        <w:jc w:val="both"/>
      </w:pPr>
      <w:r w:rsidRPr="00FE195C">
        <w:t xml:space="preserve">Toyota Motor Corporation (2026c) </w:t>
      </w:r>
      <w:r w:rsidRPr="00FE195C">
        <w:rPr>
          <w:rStyle w:val="Emphasis"/>
          <w:i w:val="0"/>
          <w:iCs w:val="0"/>
        </w:rPr>
        <w:t>Sustainability Data Book</w:t>
      </w:r>
      <w:r w:rsidRPr="00FE195C">
        <w:t xml:space="preserve">. Updated 29 June 2026. Toyota City: Toyota Motor Corporation. Available at: </w:t>
      </w:r>
      <w:hyperlink r:id="rId27" w:history="1">
        <w:r w:rsidRPr="00FE195C">
          <w:rPr>
            <w:rStyle w:val="Hyperlink"/>
            <w:u w:val="none"/>
          </w:rPr>
          <w:t>https://global.toyota/en/sustainability/report/sdb/</w:t>
        </w:r>
      </w:hyperlink>
      <w:r w:rsidRPr="00FE195C">
        <w:t xml:space="preserve"> (Accessed: 1</w:t>
      </w:r>
      <w:r w:rsidR="00FE195C">
        <w:t>1</w:t>
      </w:r>
      <w:r w:rsidRPr="00FE195C">
        <w:t xml:space="preserve"> August 2026).</w:t>
      </w:r>
    </w:p>
    <w:p w14:paraId="3991C367" w14:textId="5AE79BC6" w:rsidR="00324874" w:rsidRPr="00FE195C" w:rsidRDefault="00324874" w:rsidP="001C4B03">
      <w:pPr>
        <w:pStyle w:val="NormalWeb"/>
        <w:ind w:left="720" w:hanging="720"/>
      </w:pPr>
      <w:r w:rsidRPr="00FE195C">
        <w:t xml:space="preserve">Whittington, R., Regnér, P., Angwin, D., Johnson, G. and Scholes, K. (2023) </w:t>
      </w:r>
      <w:r w:rsidRPr="00FE195C">
        <w:rPr>
          <w:rStyle w:val="Emphasis"/>
          <w:i w:val="0"/>
          <w:iCs w:val="0"/>
        </w:rPr>
        <w:t xml:space="preserve">Exploring Strategy: </w:t>
      </w:r>
      <w:r w:rsidR="00CC1E27" w:rsidRPr="00FE195C">
        <w:rPr>
          <w:rStyle w:val="Emphasis"/>
          <w:i w:val="0"/>
          <w:iCs w:val="0"/>
        </w:rPr>
        <w:t>Text and Cases</w:t>
      </w:r>
      <w:r w:rsidR="00CC1E27" w:rsidRPr="00FE195C">
        <w:t>. 13th edn. Harlow: Pearson.</w:t>
      </w:r>
    </w:p>
    <w:p w14:paraId="1965CA8E" w14:textId="77777777" w:rsidR="00E34DD5" w:rsidRPr="00FE195C" w:rsidRDefault="00E34DD5" w:rsidP="001C4B03"/>
    <w:sectPr w:rsidR="00E34DD5" w:rsidRPr="00FE195C" w:rsidSect="004E5D71">
      <w:footerReference w:type="default" r:id="rId28"/>
      <w:headerReference w:type="first" r:id="rId29"/>
      <w:footerReference w:type="first" r:id="rId30"/>
      <w:pgSz w:w="11906" w:h="16838"/>
      <w:pgMar w:top="1440" w:right="1440" w:bottom="1440" w:left="1440" w:header="669"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14042E" w14:textId="77777777" w:rsidR="00B45419" w:rsidRDefault="00B45419">
      <w:r>
        <w:separator/>
      </w:r>
    </w:p>
  </w:endnote>
  <w:endnote w:type="continuationSeparator" w:id="0">
    <w:p w14:paraId="74DA9A31" w14:textId="77777777" w:rsidR="00B45419" w:rsidRDefault="00B45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9350355"/>
      <w:docPartObj>
        <w:docPartGallery w:val="Page Numbers (Bottom of Page)"/>
        <w:docPartUnique/>
      </w:docPartObj>
    </w:sdtPr>
    <w:sdtEndPr>
      <w:rPr>
        <w:color w:val="7F7F7F" w:themeColor="background1" w:themeShade="7F"/>
        <w:spacing w:val="60"/>
      </w:rPr>
    </w:sdtEndPr>
    <w:sdtContent>
      <w:p w14:paraId="04D85BDC" w14:textId="3C3C49F4" w:rsidR="003F6C70" w:rsidRDefault="003F6C7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FCD22E4" w14:textId="77777777" w:rsidR="003F6C70" w:rsidRDefault="003F6C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3968235"/>
      <w:docPartObj>
        <w:docPartGallery w:val="Page Numbers (Bottom of Page)"/>
        <w:docPartUnique/>
      </w:docPartObj>
    </w:sdtPr>
    <w:sdtContent>
      <w:sdt>
        <w:sdtPr>
          <w:id w:val="1728636285"/>
          <w:docPartObj>
            <w:docPartGallery w:val="Page Numbers (Top of Page)"/>
            <w:docPartUnique/>
          </w:docPartObj>
        </w:sdtPr>
        <w:sdtContent>
          <w:p w14:paraId="144E4176" w14:textId="17D6DD42" w:rsidR="00FE6A8C" w:rsidRDefault="00FE6A8C">
            <w:pPr>
              <w:pStyle w:val="Footer"/>
              <w:jc w:val="center"/>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5D817288" w14:textId="77777777" w:rsidR="004E5D71" w:rsidRDefault="004E5D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18BAC1" w14:textId="77777777" w:rsidR="00B45419" w:rsidRDefault="00B45419">
      <w:r>
        <w:separator/>
      </w:r>
    </w:p>
  </w:footnote>
  <w:footnote w:type="continuationSeparator" w:id="0">
    <w:p w14:paraId="1DDA0589" w14:textId="77777777" w:rsidR="00B45419" w:rsidRDefault="00B454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2AEE4C" w14:textId="79E2C80B" w:rsidR="009F7333" w:rsidRPr="009037DA" w:rsidRDefault="009F7333" w:rsidP="00A700C7">
    <w:pPr>
      <w:pStyle w:val="Header"/>
      <w:tabs>
        <w:tab w:val="clear" w:pos="4513"/>
        <w:tab w:val="clear" w:pos="9026"/>
        <w:tab w:val="left" w:pos="4200"/>
        <w:tab w:val="left" w:pos="8850"/>
      </w:tabs>
    </w:pPr>
    <w:r w:rsidRPr="009037DA">
      <w:t>  </w:t>
    </w:r>
  </w:p>
</w:hdr>
</file>

<file path=word/intelligence2.xml><?xml version="1.0" encoding="utf-8"?>
<int2:intelligence xmlns:int2="http://schemas.microsoft.com/office/intelligence/2020/intelligence" xmlns:oel="http://schemas.microsoft.com/office/2019/extlst">
  <int2:observations>
    <int2:textHash int2:hashCode="wCHTq0xpdPatvy" int2:id="2NuhmNQl">
      <int2:state int2:value="Rejected" int2:type="spell"/>
    </int2:textHash>
    <int2:textHash int2:hashCode="Y7rxyEYEGk+h8X" int2:id="8y7Q44dO">
      <int2:state int2:value="Rejected" int2:type="spell"/>
    </int2:textHash>
    <int2:textHash int2:hashCode="E40USnUOaG6Jrg" int2:id="99yctvCM">
      <int2:state int2:value="Rejected" int2:type="spell"/>
    </int2:textHash>
    <int2:textHash int2:hashCode="ni8UUdXdlt6RIo" int2:id="bYUttQap">
      <int2:state int2:value="Rejected" int2:type="spell"/>
    </int2:textHash>
    <int2:textHash int2:hashCode="xcgb3EeIup7nN2" int2:id="qVjWh1Mr">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630C7"/>
    <w:multiLevelType w:val="hybridMultilevel"/>
    <w:tmpl w:val="091020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1C02C6"/>
    <w:multiLevelType w:val="hybridMultilevel"/>
    <w:tmpl w:val="391C44D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499FD8"/>
    <w:multiLevelType w:val="hybridMultilevel"/>
    <w:tmpl w:val="9280CDF4"/>
    <w:lvl w:ilvl="0" w:tplc="87C4D784">
      <w:start w:val="1"/>
      <w:numFmt w:val="decimal"/>
      <w:lvlText w:val="%1."/>
      <w:lvlJc w:val="left"/>
      <w:pPr>
        <w:ind w:left="720" w:hanging="360"/>
      </w:pPr>
    </w:lvl>
    <w:lvl w:ilvl="1" w:tplc="8F9483F2">
      <w:start w:val="1"/>
      <w:numFmt w:val="lowerLetter"/>
      <w:lvlText w:val="%2."/>
      <w:lvlJc w:val="left"/>
      <w:pPr>
        <w:ind w:left="1440" w:hanging="360"/>
      </w:pPr>
    </w:lvl>
    <w:lvl w:ilvl="2" w:tplc="7C52E866">
      <w:start w:val="1"/>
      <w:numFmt w:val="lowerRoman"/>
      <w:lvlText w:val="%3."/>
      <w:lvlJc w:val="right"/>
      <w:pPr>
        <w:ind w:left="2160" w:hanging="180"/>
      </w:pPr>
    </w:lvl>
    <w:lvl w:ilvl="3" w:tplc="42C04816">
      <w:start w:val="1"/>
      <w:numFmt w:val="decimal"/>
      <w:lvlText w:val="%4."/>
      <w:lvlJc w:val="left"/>
      <w:pPr>
        <w:ind w:left="2880" w:hanging="360"/>
      </w:pPr>
    </w:lvl>
    <w:lvl w:ilvl="4" w:tplc="EE84FA10">
      <w:start w:val="1"/>
      <w:numFmt w:val="lowerLetter"/>
      <w:lvlText w:val="%5."/>
      <w:lvlJc w:val="left"/>
      <w:pPr>
        <w:ind w:left="3600" w:hanging="360"/>
      </w:pPr>
    </w:lvl>
    <w:lvl w:ilvl="5" w:tplc="DDA0E0FA">
      <w:start w:val="1"/>
      <w:numFmt w:val="lowerRoman"/>
      <w:lvlText w:val="%6."/>
      <w:lvlJc w:val="right"/>
      <w:pPr>
        <w:ind w:left="4320" w:hanging="180"/>
      </w:pPr>
    </w:lvl>
    <w:lvl w:ilvl="6" w:tplc="5B566BF4">
      <w:start w:val="1"/>
      <w:numFmt w:val="decimal"/>
      <w:lvlText w:val="%7."/>
      <w:lvlJc w:val="left"/>
      <w:pPr>
        <w:ind w:left="5040" w:hanging="360"/>
      </w:pPr>
    </w:lvl>
    <w:lvl w:ilvl="7" w:tplc="F48AEE02">
      <w:start w:val="1"/>
      <w:numFmt w:val="lowerLetter"/>
      <w:lvlText w:val="%8."/>
      <w:lvlJc w:val="left"/>
      <w:pPr>
        <w:ind w:left="5760" w:hanging="360"/>
      </w:pPr>
    </w:lvl>
    <w:lvl w:ilvl="8" w:tplc="83A6F63A">
      <w:start w:val="1"/>
      <w:numFmt w:val="lowerRoman"/>
      <w:lvlText w:val="%9."/>
      <w:lvlJc w:val="right"/>
      <w:pPr>
        <w:ind w:left="6480" w:hanging="180"/>
      </w:pPr>
    </w:lvl>
  </w:abstractNum>
  <w:abstractNum w:abstractNumId="3" w15:restartNumberingAfterBreak="0">
    <w:nsid w:val="16ED3332"/>
    <w:multiLevelType w:val="hybridMultilevel"/>
    <w:tmpl w:val="74AA1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315EBB"/>
    <w:multiLevelType w:val="hybridMultilevel"/>
    <w:tmpl w:val="E7F4F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272EE0"/>
    <w:multiLevelType w:val="hybridMultilevel"/>
    <w:tmpl w:val="0C74271C"/>
    <w:lvl w:ilvl="0" w:tplc="DE96A18C">
      <w:numFmt w:val="bullet"/>
      <w:lvlText w:val=""/>
      <w:lvlJc w:val="left"/>
      <w:pPr>
        <w:ind w:left="756" w:hanging="396"/>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564750"/>
    <w:multiLevelType w:val="hybridMultilevel"/>
    <w:tmpl w:val="36C80C3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668670E"/>
    <w:multiLevelType w:val="hybridMultilevel"/>
    <w:tmpl w:val="C4825020"/>
    <w:lvl w:ilvl="0" w:tplc="0409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613D24DF"/>
    <w:multiLevelType w:val="hybridMultilevel"/>
    <w:tmpl w:val="6AA25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D872374"/>
    <w:multiLevelType w:val="hybridMultilevel"/>
    <w:tmpl w:val="B1E8A5D4"/>
    <w:lvl w:ilvl="0" w:tplc="8B0CE110">
      <w:numFmt w:val="bullet"/>
      <w:lvlText w:val=""/>
      <w:lvlJc w:val="left"/>
      <w:pPr>
        <w:ind w:left="972" w:hanging="612"/>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E340045"/>
    <w:multiLevelType w:val="hybridMultilevel"/>
    <w:tmpl w:val="0BD64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B9B3B37"/>
    <w:multiLevelType w:val="hybridMultilevel"/>
    <w:tmpl w:val="BECE9A3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2229999">
    <w:abstractNumId w:val="2"/>
  </w:num>
  <w:num w:numId="2" w16cid:durableId="17855109">
    <w:abstractNumId w:val="3"/>
  </w:num>
  <w:num w:numId="3" w16cid:durableId="1051416254">
    <w:abstractNumId w:val="5"/>
  </w:num>
  <w:num w:numId="4" w16cid:durableId="461659666">
    <w:abstractNumId w:val="4"/>
  </w:num>
  <w:num w:numId="5" w16cid:durableId="233710940">
    <w:abstractNumId w:val="8"/>
  </w:num>
  <w:num w:numId="6" w16cid:durableId="1044714135">
    <w:abstractNumId w:val="7"/>
  </w:num>
  <w:num w:numId="7" w16cid:durableId="896284701">
    <w:abstractNumId w:val="11"/>
  </w:num>
  <w:num w:numId="8" w16cid:durableId="1015612054">
    <w:abstractNumId w:val="10"/>
  </w:num>
  <w:num w:numId="9" w16cid:durableId="1979921092">
    <w:abstractNumId w:val="9"/>
  </w:num>
  <w:num w:numId="10" w16cid:durableId="1553617773">
    <w:abstractNumId w:val="6"/>
  </w:num>
  <w:num w:numId="11" w16cid:durableId="2116056828">
    <w:abstractNumId w:val="0"/>
  </w:num>
  <w:num w:numId="12" w16cid:durableId="139233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tDQyMzEwszAzMDEyMjJR0lEKTi0uzszPAykwMa4FABpf9FwtAAAA"/>
  </w:docVars>
  <w:rsids>
    <w:rsidRoot w:val="00654A02"/>
    <w:rsid w:val="00000117"/>
    <w:rsid w:val="0000184D"/>
    <w:rsid w:val="0000206A"/>
    <w:rsid w:val="0000588A"/>
    <w:rsid w:val="00005D99"/>
    <w:rsid w:val="000065DD"/>
    <w:rsid w:val="00006A11"/>
    <w:rsid w:val="00010631"/>
    <w:rsid w:val="00010CDA"/>
    <w:rsid w:val="000111C5"/>
    <w:rsid w:val="000137F3"/>
    <w:rsid w:val="00014730"/>
    <w:rsid w:val="00014FCA"/>
    <w:rsid w:val="0001531E"/>
    <w:rsid w:val="000156C8"/>
    <w:rsid w:val="000164A2"/>
    <w:rsid w:val="000165BC"/>
    <w:rsid w:val="000208A5"/>
    <w:rsid w:val="000218CB"/>
    <w:rsid w:val="00022B5C"/>
    <w:rsid w:val="00022FD4"/>
    <w:rsid w:val="00023C61"/>
    <w:rsid w:val="00025266"/>
    <w:rsid w:val="0002581C"/>
    <w:rsid w:val="00025ADC"/>
    <w:rsid w:val="00025B64"/>
    <w:rsid w:val="00026C18"/>
    <w:rsid w:val="00027F5F"/>
    <w:rsid w:val="000306BE"/>
    <w:rsid w:val="000324B3"/>
    <w:rsid w:val="00033E4A"/>
    <w:rsid w:val="00034F74"/>
    <w:rsid w:val="00035924"/>
    <w:rsid w:val="00035D31"/>
    <w:rsid w:val="000363CC"/>
    <w:rsid w:val="000369F8"/>
    <w:rsid w:val="00036A0F"/>
    <w:rsid w:val="0003721B"/>
    <w:rsid w:val="00037CD9"/>
    <w:rsid w:val="00040ED9"/>
    <w:rsid w:val="00041D92"/>
    <w:rsid w:val="00041ECF"/>
    <w:rsid w:val="00043187"/>
    <w:rsid w:val="00043A87"/>
    <w:rsid w:val="000447FB"/>
    <w:rsid w:val="00045061"/>
    <w:rsid w:val="000458DC"/>
    <w:rsid w:val="00045A55"/>
    <w:rsid w:val="00046256"/>
    <w:rsid w:val="00046DD3"/>
    <w:rsid w:val="00050588"/>
    <w:rsid w:val="00051F60"/>
    <w:rsid w:val="0005260D"/>
    <w:rsid w:val="000535E9"/>
    <w:rsid w:val="00053D17"/>
    <w:rsid w:val="00054532"/>
    <w:rsid w:val="00055186"/>
    <w:rsid w:val="0005558A"/>
    <w:rsid w:val="0005559E"/>
    <w:rsid w:val="0005570F"/>
    <w:rsid w:val="0005596C"/>
    <w:rsid w:val="00055DED"/>
    <w:rsid w:val="00057803"/>
    <w:rsid w:val="00057E7C"/>
    <w:rsid w:val="00060890"/>
    <w:rsid w:val="00061358"/>
    <w:rsid w:val="0006149E"/>
    <w:rsid w:val="00061B9B"/>
    <w:rsid w:val="000636E4"/>
    <w:rsid w:val="000639D5"/>
    <w:rsid w:val="00064355"/>
    <w:rsid w:val="00065BC0"/>
    <w:rsid w:val="00065CDC"/>
    <w:rsid w:val="00066286"/>
    <w:rsid w:val="0006630E"/>
    <w:rsid w:val="00071080"/>
    <w:rsid w:val="000729B2"/>
    <w:rsid w:val="00076517"/>
    <w:rsid w:val="000779BB"/>
    <w:rsid w:val="000802F9"/>
    <w:rsid w:val="00083ABC"/>
    <w:rsid w:val="00092074"/>
    <w:rsid w:val="000949FC"/>
    <w:rsid w:val="00095380"/>
    <w:rsid w:val="000A0325"/>
    <w:rsid w:val="000A037A"/>
    <w:rsid w:val="000A1E7F"/>
    <w:rsid w:val="000A2241"/>
    <w:rsid w:val="000A337C"/>
    <w:rsid w:val="000A44CB"/>
    <w:rsid w:val="000A6CAF"/>
    <w:rsid w:val="000A717C"/>
    <w:rsid w:val="000A7C69"/>
    <w:rsid w:val="000A7FFA"/>
    <w:rsid w:val="000B0BDB"/>
    <w:rsid w:val="000B0D02"/>
    <w:rsid w:val="000B2EBB"/>
    <w:rsid w:val="000B7A48"/>
    <w:rsid w:val="000B7AC6"/>
    <w:rsid w:val="000C0AB0"/>
    <w:rsid w:val="000C1011"/>
    <w:rsid w:val="000C144A"/>
    <w:rsid w:val="000C1E34"/>
    <w:rsid w:val="000C20B5"/>
    <w:rsid w:val="000C33CF"/>
    <w:rsid w:val="000D020E"/>
    <w:rsid w:val="000D0C85"/>
    <w:rsid w:val="000D0EAC"/>
    <w:rsid w:val="000D0FC8"/>
    <w:rsid w:val="000D1483"/>
    <w:rsid w:val="000D1A32"/>
    <w:rsid w:val="000D2C92"/>
    <w:rsid w:val="000D49F4"/>
    <w:rsid w:val="000D6C4B"/>
    <w:rsid w:val="000E02AA"/>
    <w:rsid w:val="000E0806"/>
    <w:rsid w:val="000E10EE"/>
    <w:rsid w:val="000E1B18"/>
    <w:rsid w:val="000E60F7"/>
    <w:rsid w:val="000F02FE"/>
    <w:rsid w:val="000F11B8"/>
    <w:rsid w:val="000F1A96"/>
    <w:rsid w:val="000F1E36"/>
    <w:rsid w:val="000F3980"/>
    <w:rsid w:val="000F3A2D"/>
    <w:rsid w:val="000F6287"/>
    <w:rsid w:val="000F6B6E"/>
    <w:rsid w:val="00100AF0"/>
    <w:rsid w:val="00101D87"/>
    <w:rsid w:val="00102240"/>
    <w:rsid w:val="00104BAE"/>
    <w:rsid w:val="00105201"/>
    <w:rsid w:val="001063ED"/>
    <w:rsid w:val="00107AA0"/>
    <w:rsid w:val="00110A3C"/>
    <w:rsid w:val="00114110"/>
    <w:rsid w:val="0011430B"/>
    <w:rsid w:val="001151C0"/>
    <w:rsid w:val="00117C2F"/>
    <w:rsid w:val="00120896"/>
    <w:rsid w:val="00120C62"/>
    <w:rsid w:val="001241A8"/>
    <w:rsid w:val="00124834"/>
    <w:rsid w:val="001248F2"/>
    <w:rsid w:val="00124EC2"/>
    <w:rsid w:val="00125B66"/>
    <w:rsid w:val="00125DD4"/>
    <w:rsid w:val="0012642F"/>
    <w:rsid w:val="001274D6"/>
    <w:rsid w:val="0013022D"/>
    <w:rsid w:val="00130786"/>
    <w:rsid w:val="00130FE9"/>
    <w:rsid w:val="00132D57"/>
    <w:rsid w:val="001330FC"/>
    <w:rsid w:val="00133CF4"/>
    <w:rsid w:val="00134529"/>
    <w:rsid w:val="00136D8C"/>
    <w:rsid w:val="00137063"/>
    <w:rsid w:val="00140206"/>
    <w:rsid w:val="001407C5"/>
    <w:rsid w:val="001420F3"/>
    <w:rsid w:val="00142881"/>
    <w:rsid w:val="0014377D"/>
    <w:rsid w:val="001447EA"/>
    <w:rsid w:val="00146262"/>
    <w:rsid w:val="001472B0"/>
    <w:rsid w:val="001504F3"/>
    <w:rsid w:val="00154087"/>
    <w:rsid w:val="00156129"/>
    <w:rsid w:val="00157C17"/>
    <w:rsid w:val="001614EB"/>
    <w:rsid w:val="001618F6"/>
    <w:rsid w:val="00162EEC"/>
    <w:rsid w:val="001639B6"/>
    <w:rsid w:val="0016566A"/>
    <w:rsid w:val="001661E1"/>
    <w:rsid w:val="001728C1"/>
    <w:rsid w:val="00174C03"/>
    <w:rsid w:val="001774F4"/>
    <w:rsid w:val="0017789F"/>
    <w:rsid w:val="001779B4"/>
    <w:rsid w:val="00177F8C"/>
    <w:rsid w:val="001816EE"/>
    <w:rsid w:val="001824CB"/>
    <w:rsid w:val="001825A7"/>
    <w:rsid w:val="00182AED"/>
    <w:rsid w:val="00182F95"/>
    <w:rsid w:val="00185240"/>
    <w:rsid w:val="001855F4"/>
    <w:rsid w:val="00192415"/>
    <w:rsid w:val="0019455C"/>
    <w:rsid w:val="0019476F"/>
    <w:rsid w:val="00197A42"/>
    <w:rsid w:val="001A20AC"/>
    <w:rsid w:val="001A31F4"/>
    <w:rsid w:val="001A3B12"/>
    <w:rsid w:val="001A5630"/>
    <w:rsid w:val="001A5FB9"/>
    <w:rsid w:val="001A6440"/>
    <w:rsid w:val="001B00BB"/>
    <w:rsid w:val="001B3BF4"/>
    <w:rsid w:val="001B579B"/>
    <w:rsid w:val="001B7F94"/>
    <w:rsid w:val="001C082E"/>
    <w:rsid w:val="001C1258"/>
    <w:rsid w:val="001C3164"/>
    <w:rsid w:val="001C4431"/>
    <w:rsid w:val="001C4B03"/>
    <w:rsid w:val="001C73DB"/>
    <w:rsid w:val="001D09C4"/>
    <w:rsid w:val="001D0B21"/>
    <w:rsid w:val="001D183C"/>
    <w:rsid w:val="001D1884"/>
    <w:rsid w:val="001D2200"/>
    <w:rsid w:val="001D276D"/>
    <w:rsid w:val="001D3874"/>
    <w:rsid w:val="001D6EA1"/>
    <w:rsid w:val="001E02C4"/>
    <w:rsid w:val="001E1525"/>
    <w:rsid w:val="001E50CB"/>
    <w:rsid w:val="001E61EC"/>
    <w:rsid w:val="001E6D6C"/>
    <w:rsid w:val="001F0428"/>
    <w:rsid w:val="001F2108"/>
    <w:rsid w:val="001F2177"/>
    <w:rsid w:val="001F4F4D"/>
    <w:rsid w:val="001F61D8"/>
    <w:rsid w:val="001F71C3"/>
    <w:rsid w:val="0020205C"/>
    <w:rsid w:val="0020348B"/>
    <w:rsid w:val="00203628"/>
    <w:rsid w:val="002054C0"/>
    <w:rsid w:val="002054DF"/>
    <w:rsid w:val="0020561F"/>
    <w:rsid w:val="00205847"/>
    <w:rsid w:val="002066CC"/>
    <w:rsid w:val="002070E5"/>
    <w:rsid w:val="002078BC"/>
    <w:rsid w:val="00210C47"/>
    <w:rsid w:val="002114EF"/>
    <w:rsid w:val="002115F9"/>
    <w:rsid w:val="002121A6"/>
    <w:rsid w:val="002130DD"/>
    <w:rsid w:val="00213BFA"/>
    <w:rsid w:val="0021407E"/>
    <w:rsid w:val="00214DF4"/>
    <w:rsid w:val="0021513A"/>
    <w:rsid w:val="00216098"/>
    <w:rsid w:val="00222A9E"/>
    <w:rsid w:val="002234C6"/>
    <w:rsid w:val="00223A0B"/>
    <w:rsid w:val="00223F32"/>
    <w:rsid w:val="00226E47"/>
    <w:rsid w:val="00227BCB"/>
    <w:rsid w:val="002347A1"/>
    <w:rsid w:val="00235FF9"/>
    <w:rsid w:val="00236889"/>
    <w:rsid w:val="00236C9E"/>
    <w:rsid w:val="00240098"/>
    <w:rsid w:val="00240700"/>
    <w:rsid w:val="00241580"/>
    <w:rsid w:val="002418FB"/>
    <w:rsid w:val="00244020"/>
    <w:rsid w:val="00244B4A"/>
    <w:rsid w:val="00244E52"/>
    <w:rsid w:val="00245203"/>
    <w:rsid w:val="0024561D"/>
    <w:rsid w:val="002512F0"/>
    <w:rsid w:val="002516E4"/>
    <w:rsid w:val="00251BC3"/>
    <w:rsid w:val="00252400"/>
    <w:rsid w:val="00253055"/>
    <w:rsid w:val="00254550"/>
    <w:rsid w:val="002555B2"/>
    <w:rsid w:val="00260304"/>
    <w:rsid w:val="00260E31"/>
    <w:rsid w:val="00261600"/>
    <w:rsid w:val="002617DC"/>
    <w:rsid w:val="0026185F"/>
    <w:rsid w:val="00261F77"/>
    <w:rsid w:val="002623C4"/>
    <w:rsid w:val="0026397F"/>
    <w:rsid w:val="00264BEB"/>
    <w:rsid w:val="00267526"/>
    <w:rsid w:val="002676DF"/>
    <w:rsid w:val="002709C8"/>
    <w:rsid w:val="0027134C"/>
    <w:rsid w:val="002714C7"/>
    <w:rsid w:val="00273482"/>
    <w:rsid w:val="00274032"/>
    <w:rsid w:val="00274237"/>
    <w:rsid w:val="00274C1D"/>
    <w:rsid w:val="00275F93"/>
    <w:rsid w:val="002901E9"/>
    <w:rsid w:val="002920ED"/>
    <w:rsid w:val="00292DE9"/>
    <w:rsid w:val="0029307C"/>
    <w:rsid w:val="002946FF"/>
    <w:rsid w:val="00297D0D"/>
    <w:rsid w:val="002A0725"/>
    <w:rsid w:val="002A0779"/>
    <w:rsid w:val="002A3CFD"/>
    <w:rsid w:val="002A576C"/>
    <w:rsid w:val="002A6B74"/>
    <w:rsid w:val="002A789B"/>
    <w:rsid w:val="002B24C1"/>
    <w:rsid w:val="002B36E9"/>
    <w:rsid w:val="002B61A2"/>
    <w:rsid w:val="002B735F"/>
    <w:rsid w:val="002B7A51"/>
    <w:rsid w:val="002B7EC4"/>
    <w:rsid w:val="002C0E0E"/>
    <w:rsid w:val="002C1E61"/>
    <w:rsid w:val="002C22F4"/>
    <w:rsid w:val="002C3407"/>
    <w:rsid w:val="002C644C"/>
    <w:rsid w:val="002C6EBD"/>
    <w:rsid w:val="002D0E87"/>
    <w:rsid w:val="002D2CBF"/>
    <w:rsid w:val="002D354F"/>
    <w:rsid w:val="002D49E2"/>
    <w:rsid w:val="002E0D74"/>
    <w:rsid w:val="002E1826"/>
    <w:rsid w:val="002E1ACC"/>
    <w:rsid w:val="002E377D"/>
    <w:rsid w:val="002E4C13"/>
    <w:rsid w:val="002E5F8F"/>
    <w:rsid w:val="002F06F6"/>
    <w:rsid w:val="002F07C7"/>
    <w:rsid w:val="002F0E70"/>
    <w:rsid w:val="002F14F9"/>
    <w:rsid w:val="002F20CF"/>
    <w:rsid w:val="00301C3E"/>
    <w:rsid w:val="00302103"/>
    <w:rsid w:val="00302517"/>
    <w:rsid w:val="0030324F"/>
    <w:rsid w:val="00304B53"/>
    <w:rsid w:val="00306328"/>
    <w:rsid w:val="00310CD4"/>
    <w:rsid w:val="00312008"/>
    <w:rsid w:val="003125A0"/>
    <w:rsid w:val="0031415D"/>
    <w:rsid w:val="00314767"/>
    <w:rsid w:val="00314FF5"/>
    <w:rsid w:val="00317D0B"/>
    <w:rsid w:val="00320614"/>
    <w:rsid w:val="0032082A"/>
    <w:rsid w:val="003228E8"/>
    <w:rsid w:val="00324874"/>
    <w:rsid w:val="0032631F"/>
    <w:rsid w:val="00332CCC"/>
    <w:rsid w:val="00335247"/>
    <w:rsid w:val="003357FF"/>
    <w:rsid w:val="00335CDB"/>
    <w:rsid w:val="003361F5"/>
    <w:rsid w:val="0033649F"/>
    <w:rsid w:val="0033762A"/>
    <w:rsid w:val="00337826"/>
    <w:rsid w:val="00337D66"/>
    <w:rsid w:val="003435C2"/>
    <w:rsid w:val="00343F03"/>
    <w:rsid w:val="00346372"/>
    <w:rsid w:val="003465D8"/>
    <w:rsid w:val="00346A9F"/>
    <w:rsid w:val="00353524"/>
    <w:rsid w:val="003552B7"/>
    <w:rsid w:val="0035644B"/>
    <w:rsid w:val="00360A5B"/>
    <w:rsid w:val="003622E7"/>
    <w:rsid w:val="003635A3"/>
    <w:rsid w:val="00367D95"/>
    <w:rsid w:val="00373195"/>
    <w:rsid w:val="00377165"/>
    <w:rsid w:val="003833D8"/>
    <w:rsid w:val="00383418"/>
    <w:rsid w:val="00384B6D"/>
    <w:rsid w:val="00384D41"/>
    <w:rsid w:val="003853D2"/>
    <w:rsid w:val="0038583F"/>
    <w:rsid w:val="00386768"/>
    <w:rsid w:val="00386AF5"/>
    <w:rsid w:val="00391C27"/>
    <w:rsid w:val="0039256A"/>
    <w:rsid w:val="00397270"/>
    <w:rsid w:val="0039738D"/>
    <w:rsid w:val="00397D3B"/>
    <w:rsid w:val="003A349B"/>
    <w:rsid w:val="003A50D7"/>
    <w:rsid w:val="003A72C8"/>
    <w:rsid w:val="003A7DE9"/>
    <w:rsid w:val="003B272D"/>
    <w:rsid w:val="003B2F9C"/>
    <w:rsid w:val="003C1178"/>
    <w:rsid w:val="003C1C78"/>
    <w:rsid w:val="003C56A6"/>
    <w:rsid w:val="003C5DF6"/>
    <w:rsid w:val="003D030F"/>
    <w:rsid w:val="003D03AC"/>
    <w:rsid w:val="003D1D64"/>
    <w:rsid w:val="003D1EA2"/>
    <w:rsid w:val="003D3622"/>
    <w:rsid w:val="003D397F"/>
    <w:rsid w:val="003D3B85"/>
    <w:rsid w:val="003D5338"/>
    <w:rsid w:val="003D53E7"/>
    <w:rsid w:val="003D7355"/>
    <w:rsid w:val="003D75A2"/>
    <w:rsid w:val="003D7C5C"/>
    <w:rsid w:val="003D7E8B"/>
    <w:rsid w:val="003E055A"/>
    <w:rsid w:val="003E14AB"/>
    <w:rsid w:val="003E1921"/>
    <w:rsid w:val="003E3140"/>
    <w:rsid w:val="003E342D"/>
    <w:rsid w:val="003E5C84"/>
    <w:rsid w:val="003E69AD"/>
    <w:rsid w:val="003E70EA"/>
    <w:rsid w:val="003F0403"/>
    <w:rsid w:val="003F0DE4"/>
    <w:rsid w:val="003F0E0E"/>
    <w:rsid w:val="003F1744"/>
    <w:rsid w:val="003F1AE0"/>
    <w:rsid w:val="003F2691"/>
    <w:rsid w:val="003F2ECC"/>
    <w:rsid w:val="003F3759"/>
    <w:rsid w:val="003F578D"/>
    <w:rsid w:val="003F6C70"/>
    <w:rsid w:val="00400532"/>
    <w:rsid w:val="00401B5E"/>
    <w:rsid w:val="004029EA"/>
    <w:rsid w:val="0040317C"/>
    <w:rsid w:val="00403F24"/>
    <w:rsid w:val="0040674E"/>
    <w:rsid w:val="004100F6"/>
    <w:rsid w:val="00410521"/>
    <w:rsid w:val="00412DE9"/>
    <w:rsid w:val="00412FBE"/>
    <w:rsid w:val="00413A38"/>
    <w:rsid w:val="004147F1"/>
    <w:rsid w:val="00415382"/>
    <w:rsid w:val="00416132"/>
    <w:rsid w:val="004167B6"/>
    <w:rsid w:val="00417565"/>
    <w:rsid w:val="00417E08"/>
    <w:rsid w:val="0042205B"/>
    <w:rsid w:val="00424958"/>
    <w:rsid w:val="00425BB0"/>
    <w:rsid w:val="004266B9"/>
    <w:rsid w:val="004276C8"/>
    <w:rsid w:val="00430567"/>
    <w:rsid w:val="00432B00"/>
    <w:rsid w:val="004331DC"/>
    <w:rsid w:val="0043335D"/>
    <w:rsid w:val="00433849"/>
    <w:rsid w:val="00433BBF"/>
    <w:rsid w:val="00434B2A"/>
    <w:rsid w:val="004350CD"/>
    <w:rsid w:val="004407C5"/>
    <w:rsid w:val="00442604"/>
    <w:rsid w:val="00444265"/>
    <w:rsid w:val="00445078"/>
    <w:rsid w:val="00446634"/>
    <w:rsid w:val="0044781C"/>
    <w:rsid w:val="00447E79"/>
    <w:rsid w:val="004513C6"/>
    <w:rsid w:val="004523BA"/>
    <w:rsid w:val="004526FD"/>
    <w:rsid w:val="00452E78"/>
    <w:rsid w:val="00452FCB"/>
    <w:rsid w:val="00457286"/>
    <w:rsid w:val="00457CF5"/>
    <w:rsid w:val="00457F13"/>
    <w:rsid w:val="00457F2D"/>
    <w:rsid w:val="004602CD"/>
    <w:rsid w:val="00462630"/>
    <w:rsid w:val="00462BE8"/>
    <w:rsid w:val="0046315D"/>
    <w:rsid w:val="00465BA0"/>
    <w:rsid w:val="004667EC"/>
    <w:rsid w:val="004668B7"/>
    <w:rsid w:val="00471DA6"/>
    <w:rsid w:val="0047270D"/>
    <w:rsid w:val="0047401E"/>
    <w:rsid w:val="004764DD"/>
    <w:rsid w:val="00476C8E"/>
    <w:rsid w:val="0047724A"/>
    <w:rsid w:val="0047791D"/>
    <w:rsid w:val="00477DA6"/>
    <w:rsid w:val="004838BD"/>
    <w:rsid w:val="00484F26"/>
    <w:rsid w:val="004861BA"/>
    <w:rsid w:val="00486ACE"/>
    <w:rsid w:val="00490A28"/>
    <w:rsid w:val="0049160C"/>
    <w:rsid w:val="004919D8"/>
    <w:rsid w:val="00492182"/>
    <w:rsid w:val="00492E2A"/>
    <w:rsid w:val="004967EA"/>
    <w:rsid w:val="00496C0D"/>
    <w:rsid w:val="004A15E5"/>
    <w:rsid w:val="004A23E1"/>
    <w:rsid w:val="004A376E"/>
    <w:rsid w:val="004A39A3"/>
    <w:rsid w:val="004A4F5D"/>
    <w:rsid w:val="004A5471"/>
    <w:rsid w:val="004A5F54"/>
    <w:rsid w:val="004A7488"/>
    <w:rsid w:val="004B1397"/>
    <w:rsid w:val="004B14D5"/>
    <w:rsid w:val="004B426A"/>
    <w:rsid w:val="004B42B3"/>
    <w:rsid w:val="004B4DFB"/>
    <w:rsid w:val="004B65D9"/>
    <w:rsid w:val="004C5061"/>
    <w:rsid w:val="004C64D3"/>
    <w:rsid w:val="004C745B"/>
    <w:rsid w:val="004C79E9"/>
    <w:rsid w:val="004C7E7E"/>
    <w:rsid w:val="004D2AAC"/>
    <w:rsid w:val="004D3ED8"/>
    <w:rsid w:val="004D4930"/>
    <w:rsid w:val="004D768F"/>
    <w:rsid w:val="004D7B65"/>
    <w:rsid w:val="004E2A31"/>
    <w:rsid w:val="004E4161"/>
    <w:rsid w:val="004E4305"/>
    <w:rsid w:val="004E4963"/>
    <w:rsid w:val="004E4CA7"/>
    <w:rsid w:val="004E52EB"/>
    <w:rsid w:val="004E5D71"/>
    <w:rsid w:val="004F1061"/>
    <w:rsid w:val="004F1246"/>
    <w:rsid w:val="004F2CF8"/>
    <w:rsid w:val="004F3337"/>
    <w:rsid w:val="004F5CD0"/>
    <w:rsid w:val="004F5E96"/>
    <w:rsid w:val="005022F3"/>
    <w:rsid w:val="0050249E"/>
    <w:rsid w:val="00502A29"/>
    <w:rsid w:val="0050386F"/>
    <w:rsid w:val="00503AF7"/>
    <w:rsid w:val="0050486D"/>
    <w:rsid w:val="00505B7B"/>
    <w:rsid w:val="005065FA"/>
    <w:rsid w:val="005108A7"/>
    <w:rsid w:val="00510991"/>
    <w:rsid w:val="00511E2C"/>
    <w:rsid w:val="0051224F"/>
    <w:rsid w:val="00513BC7"/>
    <w:rsid w:val="00514831"/>
    <w:rsid w:val="00514F26"/>
    <w:rsid w:val="005158FD"/>
    <w:rsid w:val="00515A26"/>
    <w:rsid w:val="00515C1A"/>
    <w:rsid w:val="0051619E"/>
    <w:rsid w:val="00520CB1"/>
    <w:rsid w:val="00521655"/>
    <w:rsid w:val="00522FCC"/>
    <w:rsid w:val="00523E7D"/>
    <w:rsid w:val="005254F7"/>
    <w:rsid w:val="00526F7F"/>
    <w:rsid w:val="00527C43"/>
    <w:rsid w:val="005317FA"/>
    <w:rsid w:val="00531A51"/>
    <w:rsid w:val="00531D01"/>
    <w:rsid w:val="00532F9D"/>
    <w:rsid w:val="00540267"/>
    <w:rsid w:val="00540AE5"/>
    <w:rsid w:val="005412C2"/>
    <w:rsid w:val="00541B21"/>
    <w:rsid w:val="0054640E"/>
    <w:rsid w:val="00550195"/>
    <w:rsid w:val="00552BA8"/>
    <w:rsid w:val="00553284"/>
    <w:rsid w:val="005533C8"/>
    <w:rsid w:val="00554A9F"/>
    <w:rsid w:val="005552D3"/>
    <w:rsid w:val="0055779E"/>
    <w:rsid w:val="00557C61"/>
    <w:rsid w:val="00557F18"/>
    <w:rsid w:val="00560E27"/>
    <w:rsid w:val="00562475"/>
    <w:rsid w:val="00563D1A"/>
    <w:rsid w:val="00564E08"/>
    <w:rsid w:val="00565F46"/>
    <w:rsid w:val="005662C2"/>
    <w:rsid w:val="00567073"/>
    <w:rsid w:val="0056744F"/>
    <w:rsid w:val="00567979"/>
    <w:rsid w:val="0057068D"/>
    <w:rsid w:val="00570C72"/>
    <w:rsid w:val="005710F7"/>
    <w:rsid w:val="0057194E"/>
    <w:rsid w:val="00572E88"/>
    <w:rsid w:val="005776CF"/>
    <w:rsid w:val="005817CA"/>
    <w:rsid w:val="005840D7"/>
    <w:rsid w:val="00584BD0"/>
    <w:rsid w:val="005875DE"/>
    <w:rsid w:val="00590248"/>
    <w:rsid w:val="00592143"/>
    <w:rsid w:val="005929E1"/>
    <w:rsid w:val="00592B03"/>
    <w:rsid w:val="00594269"/>
    <w:rsid w:val="0059430A"/>
    <w:rsid w:val="005A05FC"/>
    <w:rsid w:val="005A0EE1"/>
    <w:rsid w:val="005A13FB"/>
    <w:rsid w:val="005A3952"/>
    <w:rsid w:val="005B02B2"/>
    <w:rsid w:val="005B1072"/>
    <w:rsid w:val="005B39C4"/>
    <w:rsid w:val="005B585B"/>
    <w:rsid w:val="005B5F9D"/>
    <w:rsid w:val="005B672A"/>
    <w:rsid w:val="005C0F2A"/>
    <w:rsid w:val="005C3317"/>
    <w:rsid w:val="005C38C8"/>
    <w:rsid w:val="005C4381"/>
    <w:rsid w:val="005C45D5"/>
    <w:rsid w:val="005C7E4A"/>
    <w:rsid w:val="005D08DF"/>
    <w:rsid w:val="005D0B72"/>
    <w:rsid w:val="005D0E77"/>
    <w:rsid w:val="005D14E8"/>
    <w:rsid w:val="005D26B9"/>
    <w:rsid w:val="005D4541"/>
    <w:rsid w:val="005D564C"/>
    <w:rsid w:val="005D651E"/>
    <w:rsid w:val="005E0C22"/>
    <w:rsid w:val="005E1252"/>
    <w:rsid w:val="005E5130"/>
    <w:rsid w:val="005E5B64"/>
    <w:rsid w:val="005E5E35"/>
    <w:rsid w:val="005E6332"/>
    <w:rsid w:val="005E6E4F"/>
    <w:rsid w:val="005E7394"/>
    <w:rsid w:val="005E7C17"/>
    <w:rsid w:val="005F1415"/>
    <w:rsid w:val="005F16A9"/>
    <w:rsid w:val="005F1C29"/>
    <w:rsid w:val="005F3711"/>
    <w:rsid w:val="005F443F"/>
    <w:rsid w:val="005F4741"/>
    <w:rsid w:val="005F671C"/>
    <w:rsid w:val="005F6BF2"/>
    <w:rsid w:val="005F7A2B"/>
    <w:rsid w:val="006003AB"/>
    <w:rsid w:val="00600CFD"/>
    <w:rsid w:val="0060313B"/>
    <w:rsid w:val="00603BDD"/>
    <w:rsid w:val="006051CB"/>
    <w:rsid w:val="006062C1"/>
    <w:rsid w:val="00606AC8"/>
    <w:rsid w:val="00606D6B"/>
    <w:rsid w:val="00611589"/>
    <w:rsid w:val="006136DD"/>
    <w:rsid w:val="006147A7"/>
    <w:rsid w:val="00615413"/>
    <w:rsid w:val="006166E9"/>
    <w:rsid w:val="00616FAF"/>
    <w:rsid w:val="0062403D"/>
    <w:rsid w:val="006258F0"/>
    <w:rsid w:val="00626D74"/>
    <w:rsid w:val="00630297"/>
    <w:rsid w:val="00631505"/>
    <w:rsid w:val="00632280"/>
    <w:rsid w:val="00632E59"/>
    <w:rsid w:val="00633138"/>
    <w:rsid w:val="006360FD"/>
    <w:rsid w:val="0063699F"/>
    <w:rsid w:val="00637A0C"/>
    <w:rsid w:val="00637F53"/>
    <w:rsid w:val="00642691"/>
    <w:rsid w:val="0064539F"/>
    <w:rsid w:val="00645CA2"/>
    <w:rsid w:val="00652425"/>
    <w:rsid w:val="00652CDD"/>
    <w:rsid w:val="006534AD"/>
    <w:rsid w:val="00653BBA"/>
    <w:rsid w:val="00654230"/>
    <w:rsid w:val="00654A02"/>
    <w:rsid w:val="00654E2D"/>
    <w:rsid w:val="006555F3"/>
    <w:rsid w:val="00656ACC"/>
    <w:rsid w:val="006575F4"/>
    <w:rsid w:val="00660420"/>
    <w:rsid w:val="00660A86"/>
    <w:rsid w:val="0066128C"/>
    <w:rsid w:val="00661D3E"/>
    <w:rsid w:val="00662604"/>
    <w:rsid w:val="00664770"/>
    <w:rsid w:val="00665623"/>
    <w:rsid w:val="00665DAB"/>
    <w:rsid w:val="0066616A"/>
    <w:rsid w:val="006700E7"/>
    <w:rsid w:val="006720CC"/>
    <w:rsid w:val="006728E0"/>
    <w:rsid w:val="00672AC4"/>
    <w:rsid w:val="00672FD8"/>
    <w:rsid w:val="006777C5"/>
    <w:rsid w:val="00677B19"/>
    <w:rsid w:val="00677C7C"/>
    <w:rsid w:val="006803CA"/>
    <w:rsid w:val="00680650"/>
    <w:rsid w:val="006827EA"/>
    <w:rsid w:val="00684A0A"/>
    <w:rsid w:val="00690A26"/>
    <w:rsid w:val="00690EB2"/>
    <w:rsid w:val="006919A8"/>
    <w:rsid w:val="00694056"/>
    <w:rsid w:val="00695547"/>
    <w:rsid w:val="00696819"/>
    <w:rsid w:val="006976CB"/>
    <w:rsid w:val="0069797F"/>
    <w:rsid w:val="006A11CA"/>
    <w:rsid w:val="006A33C0"/>
    <w:rsid w:val="006A34E4"/>
    <w:rsid w:val="006A59A5"/>
    <w:rsid w:val="006A5AC2"/>
    <w:rsid w:val="006A73FC"/>
    <w:rsid w:val="006B09B2"/>
    <w:rsid w:val="006B310C"/>
    <w:rsid w:val="006B44F6"/>
    <w:rsid w:val="006B455D"/>
    <w:rsid w:val="006B7F9E"/>
    <w:rsid w:val="006C3706"/>
    <w:rsid w:val="006C3DEC"/>
    <w:rsid w:val="006C3FC4"/>
    <w:rsid w:val="006C44F4"/>
    <w:rsid w:val="006C618C"/>
    <w:rsid w:val="006C6DDA"/>
    <w:rsid w:val="006C7F66"/>
    <w:rsid w:val="006D0275"/>
    <w:rsid w:val="006D04F0"/>
    <w:rsid w:val="006D4260"/>
    <w:rsid w:val="006D5378"/>
    <w:rsid w:val="006D53C8"/>
    <w:rsid w:val="006D6BD8"/>
    <w:rsid w:val="006E0F3B"/>
    <w:rsid w:val="006E1D4B"/>
    <w:rsid w:val="006E650C"/>
    <w:rsid w:val="006F4F1B"/>
    <w:rsid w:val="006F595B"/>
    <w:rsid w:val="006F624D"/>
    <w:rsid w:val="006F638B"/>
    <w:rsid w:val="006F7BCB"/>
    <w:rsid w:val="007010DB"/>
    <w:rsid w:val="00701EFF"/>
    <w:rsid w:val="007022CF"/>
    <w:rsid w:val="00702591"/>
    <w:rsid w:val="0070652F"/>
    <w:rsid w:val="00706956"/>
    <w:rsid w:val="00707DFA"/>
    <w:rsid w:val="00711513"/>
    <w:rsid w:val="00712625"/>
    <w:rsid w:val="0071346F"/>
    <w:rsid w:val="0071766A"/>
    <w:rsid w:val="00721178"/>
    <w:rsid w:val="00722372"/>
    <w:rsid w:val="00723231"/>
    <w:rsid w:val="00724BFF"/>
    <w:rsid w:val="0072543B"/>
    <w:rsid w:val="00730013"/>
    <w:rsid w:val="007316BE"/>
    <w:rsid w:val="00731791"/>
    <w:rsid w:val="00731AD1"/>
    <w:rsid w:val="00733356"/>
    <w:rsid w:val="00733796"/>
    <w:rsid w:val="00734E03"/>
    <w:rsid w:val="00735853"/>
    <w:rsid w:val="00735AAE"/>
    <w:rsid w:val="007374AD"/>
    <w:rsid w:val="007410F5"/>
    <w:rsid w:val="007411BF"/>
    <w:rsid w:val="007421C7"/>
    <w:rsid w:val="00743B76"/>
    <w:rsid w:val="00745289"/>
    <w:rsid w:val="0074729E"/>
    <w:rsid w:val="0075093F"/>
    <w:rsid w:val="00751783"/>
    <w:rsid w:val="007544A6"/>
    <w:rsid w:val="00757011"/>
    <w:rsid w:val="00757CB2"/>
    <w:rsid w:val="0076083C"/>
    <w:rsid w:val="00761163"/>
    <w:rsid w:val="007639C4"/>
    <w:rsid w:val="007672A0"/>
    <w:rsid w:val="0077069A"/>
    <w:rsid w:val="00770E31"/>
    <w:rsid w:val="00771239"/>
    <w:rsid w:val="00771E85"/>
    <w:rsid w:val="007722D9"/>
    <w:rsid w:val="00772742"/>
    <w:rsid w:val="00775035"/>
    <w:rsid w:val="00775DB0"/>
    <w:rsid w:val="007765F1"/>
    <w:rsid w:val="00776760"/>
    <w:rsid w:val="00781C30"/>
    <w:rsid w:val="00781D82"/>
    <w:rsid w:val="0078278D"/>
    <w:rsid w:val="00784025"/>
    <w:rsid w:val="0078459D"/>
    <w:rsid w:val="00784C29"/>
    <w:rsid w:val="00785694"/>
    <w:rsid w:val="007857E0"/>
    <w:rsid w:val="0078769B"/>
    <w:rsid w:val="00787A90"/>
    <w:rsid w:val="007901BC"/>
    <w:rsid w:val="00790685"/>
    <w:rsid w:val="00790700"/>
    <w:rsid w:val="00791A39"/>
    <w:rsid w:val="0079201F"/>
    <w:rsid w:val="007920B9"/>
    <w:rsid w:val="0079292B"/>
    <w:rsid w:val="00792CD5"/>
    <w:rsid w:val="007947A9"/>
    <w:rsid w:val="0079518E"/>
    <w:rsid w:val="007954FD"/>
    <w:rsid w:val="007959CC"/>
    <w:rsid w:val="007A29A9"/>
    <w:rsid w:val="007A37D9"/>
    <w:rsid w:val="007A4688"/>
    <w:rsid w:val="007A68A2"/>
    <w:rsid w:val="007A6C5B"/>
    <w:rsid w:val="007A74EE"/>
    <w:rsid w:val="007A7625"/>
    <w:rsid w:val="007B1DF4"/>
    <w:rsid w:val="007B2B6D"/>
    <w:rsid w:val="007B3E86"/>
    <w:rsid w:val="007B411F"/>
    <w:rsid w:val="007B66DD"/>
    <w:rsid w:val="007C29A8"/>
    <w:rsid w:val="007C547C"/>
    <w:rsid w:val="007C6C64"/>
    <w:rsid w:val="007C6F5E"/>
    <w:rsid w:val="007C6FDB"/>
    <w:rsid w:val="007C7A85"/>
    <w:rsid w:val="007D09FA"/>
    <w:rsid w:val="007D1B77"/>
    <w:rsid w:val="007D344C"/>
    <w:rsid w:val="007D4E0A"/>
    <w:rsid w:val="007D52EF"/>
    <w:rsid w:val="007D5FD6"/>
    <w:rsid w:val="007D708A"/>
    <w:rsid w:val="007D7A79"/>
    <w:rsid w:val="007E204E"/>
    <w:rsid w:val="007E28CA"/>
    <w:rsid w:val="007E3923"/>
    <w:rsid w:val="007E4B19"/>
    <w:rsid w:val="007E4E14"/>
    <w:rsid w:val="007E5584"/>
    <w:rsid w:val="007F031A"/>
    <w:rsid w:val="007F03E2"/>
    <w:rsid w:val="007F0A41"/>
    <w:rsid w:val="007F0B4C"/>
    <w:rsid w:val="007F1B8C"/>
    <w:rsid w:val="007F1CF9"/>
    <w:rsid w:val="007F33A5"/>
    <w:rsid w:val="007F46AB"/>
    <w:rsid w:val="007F492D"/>
    <w:rsid w:val="007F4D47"/>
    <w:rsid w:val="007F5502"/>
    <w:rsid w:val="008004B9"/>
    <w:rsid w:val="008015E3"/>
    <w:rsid w:val="00802D63"/>
    <w:rsid w:val="008038CB"/>
    <w:rsid w:val="008040EE"/>
    <w:rsid w:val="0080455C"/>
    <w:rsid w:val="0080508C"/>
    <w:rsid w:val="0080600A"/>
    <w:rsid w:val="00806C36"/>
    <w:rsid w:val="008079C5"/>
    <w:rsid w:val="00810F19"/>
    <w:rsid w:val="00810FAE"/>
    <w:rsid w:val="00811F8B"/>
    <w:rsid w:val="00813A7C"/>
    <w:rsid w:val="00815AC9"/>
    <w:rsid w:val="00815F87"/>
    <w:rsid w:val="00816252"/>
    <w:rsid w:val="0081671D"/>
    <w:rsid w:val="00816B47"/>
    <w:rsid w:val="00816F68"/>
    <w:rsid w:val="008178FC"/>
    <w:rsid w:val="008202B1"/>
    <w:rsid w:val="00821484"/>
    <w:rsid w:val="00821758"/>
    <w:rsid w:val="008219F9"/>
    <w:rsid w:val="00823894"/>
    <w:rsid w:val="00823F7D"/>
    <w:rsid w:val="00824A69"/>
    <w:rsid w:val="0082786C"/>
    <w:rsid w:val="00827F46"/>
    <w:rsid w:val="00831CFF"/>
    <w:rsid w:val="0083341D"/>
    <w:rsid w:val="00833CFE"/>
    <w:rsid w:val="00834AB0"/>
    <w:rsid w:val="00835AD7"/>
    <w:rsid w:val="00836C08"/>
    <w:rsid w:val="0084564A"/>
    <w:rsid w:val="008472A9"/>
    <w:rsid w:val="00854744"/>
    <w:rsid w:val="00855E78"/>
    <w:rsid w:val="0085705F"/>
    <w:rsid w:val="00857675"/>
    <w:rsid w:val="008579F4"/>
    <w:rsid w:val="00863452"/>
    <w:rsid w:val="00865273"/>
    <w:rsid w:val="00865F36"/>
    <w:rsid w:val="00866565"/>
    <w:rsid w:val="00871856"/>
    <w:rsid w:val="0087366E"/>
    <w:rsid w:val="0087454D"/>
    <w:rsid w:val="0087486C"/>
    <w:rsid w:val="00877A4F"/>
    <w:rsid w:val="00880554"/>
    <w:rsid w:val="0088185E"/>
    <w:rsid w:val="00882A3D"/>
    <w:rsid w:val="00882FAF"/>
    <w:rsid w:val="008833A7"/>
    <w:rsid w:val="00883553"/>
    <w:rsid w:val="00890F3D"/>
    <w:rsid w:val="00891D52"/>
    <w:rsid w:val="008920F5"/>
    <w:rsid w:val="0089314A"/>
    <w:rsid w:val="00894282"/>
    <w:rsid w:val="00894EEC"/>
    <w:rsid w:val="00896FB1"/>
    <w:rsid w:val="008A096E"/>
    <w:rsid w:val="008A18CD"/>
    <w:rsid w:val="008A2C0A"/>
    <w:rsid w:val="008A2E6F"/>
    <w:rsid w:val="008A4C6D"/>
    <w:rsid w:val="008A51B6"/>
    <w:rsid w:val="008A59E7"/>
    <w:rsid w:val="008A6145"/>
    <w:rsid w:val="008A656F"/>
    <w:rsid w:val="008A6BB9"/>
    <w:rsid w:val="008B0DB3"/>
    <w:rsid w:val="008B0F2B"/>
    <w:rsid w:val="008B551B"/>
    <w:rsid w:val="008C0256"/>
    <w:rsid w:val="008C0DA4"/>
    <w:rsid w:val="008C225F"/>
    <w:rsid w:val="008C24AD"/>
    <w:rsid w:val="008C4665"/>
    <w:rsid w:val="008C5096"/>
    <w:rsid w:val="008C58D3"/>
    <w:rsid w:val="008C5990"/>
    <w:rsid w:val="008C7C32"/>
    <w:rsid w:val="008D0224"/>
    <w:rsid w:val="008D12D7"/>
    <w:rsid w:val="008D4543"/>
    <w:rsid w:val="008D51B4"/>
    <w:rsid w:val="008D554F"/>
    <w:rsid w:val="008E2E6F"/>
    <w:rsid w:val="008E624C"/>
    <w:rsid w:val="008F1ECE"/>
    <w:rsid w:val="008F4AAE"/>
    <w:rsid w:val="008F5D19"/>
    <w:rsid w:val="008F7FAB"/>
    <w:rsid w:val="00900DD6"/>
    <w:rsid w:val="009046A8"/>
    <w:rsid w:val="00905F18"/>
    <w:rsid w:val="00906503"/>
    <w:rsid w:val="00906E21"/>
    <w:rsid w:val="009072BB"/>
    <w:rsid w:val="00907E02"/>
    <w:rsid w:val="00911264"/>
    <w:rsid w:val="009120CE"/>
    <w:rsid w:val="00912150"/>
    <w:rsid w:val="009121DB"/>
    <w:rsid w:val="0091292E"/>
    <w:rsid w:val="00913017"/>
    <w:rsid w:val="009138EF"/>
    <w:rsid w:val="00914371"/>
    <w:rsid w:val="009147B7"/>
    <w:rsid w:val="0091669E"/>
    <w:rsid w:val="00916BA9"/>
    <w:rsid w:val="00916BD3"/>
    <w:rsid w:val="009202CD"/>
    <w:rsid w:val="009210BB"/>
    <w:rsid w:val="009234A8"/>
    <w:rsid w:val="00925FD0"/>
    <w:rsid w:val="00926E70"/>
    <w:rsid w:val="00926EEA"/>
    <w:rsid w:val="00927747"/>
    <w:rsid w:val="00930F14"/>
    <w:rsid w:val="00933331"/>
    <w:rsid w:val="00933540"/>
    <w:rsid w:val="0093524E"/>
    <w:rsid w:val="00935553"/>
    <w:rsid w:val="009368D2"/>
    <w:rsid w:val="0093736B"/>
    <w:rsid w:val="0093797F"/>
    <w:rsid w:val="00941BE1"/>
    <w:rsid w:val="00941E38"/>
    <w:rsid w:val="009423E8"/>
    <w:rsid w:val="009432D4"/>
    <w:rsid w:val="009452BD"/>
    <w:rsid w:val="00945627"/>
    <w:rsid w:val="00946825"/>
    <w:rsid w:val="00946A70"/>
    <w:rsid w:val="00946C52"/>
    <w:rsid w:val="00947258"/>
    <w:rsid w:val="00947BE0"/>
    <w:rsid w:val="009503CD"/>
    <w:rsid w:val="00951157"/>
    <w:rsid w:val="009536A2"/>
    <w:rsid w:val="00955494"/>
    <w:rsid w:val="009555FE"/>
    <w:rsid w:val="0095609D"/>
    <w:rsid w:val="0095679D"/>
    <w:rsid w:val="0095721C"/>
    <w:rsid w:val="009611AC"/>
    <w:rsid w:val="00963F44"/>
    <w:rsid w:val="00966CFD"/>
    <w:rsid w:val="009702AD"/>
    <w:rsid w:val="00970721"/>
    <w:rsid w:val="00971B2A"/>
    <w:rsid w:val="00972173"/>
    <w:rsid w:val="00972BBC"/>
    <w:rsid w:val="00972E4B"/>
    <w:rsid w:val="00976640"/>
    <w:rsid w:val="0097736C"/>
    <w:rsid w:val="00980DF4"/>
    <w:rsid w:val="00980FBD"/>
    <w:rsid w:val="009815E7"/>
    <w:rsid w:val="00984080"/>
    <w:rsid w:val="00986E67"/>
    <w:rsid w:val="009872CD"/>
    <w:rsid w:val="00987DA7"/>
    <w:rsid w:val="0099017E"/>
    <w:rsid w:val="0099106F"/>
    <w:rsid w:val="00992D7E"/>
    <w:rsid w:val="00993BCC"/>
    <w:rsid w:val="00994657"/>
    <w:rsid w:val="00994AF0"/>
    <w:rsid w:val="00995810"/>
    <w:rsid w:val="009960B6"/>
    <w:rsid w:val="00996751"/>
    <w:rsid w:val="009973ED"/>
    <w:rsid w:val="00997519"/>
    <w:rsid w:val="009979FC"/>
    <w:rsid w:val="00997FC3"/>
    <w:rsid w:val="009A01F2"/>
    <w:rsid w:val="009A07C3"/>
    <w:rsid w:val="009A0D71"/>
    <w:rsid w:val="009A37F6"/>
    <w:rsid w:val="009A3D95"/>
    <w:rsid w:val="009A46F7"/>
    <w:rsid w:val="009A491F"/>
    <w:rsid w:val="009A5B99"/>
    <w:rsid w:val="009A7A95"/>
    <w:rsid w:val="009B0209"/>
    <w:rsid w:val="009B2647"/>
    <w:rsid w:val="009B3C0F"/>
    <w:rsid w:val="009B4224"/>
    <w:rsid w:val="009B791F"/>
    <w:rsid w:val="009C04D7"/>
    <w:rsid w:val="009C312A"/>
    <w:rsid w:val="009C3BF8"/>
    <w:rsid w:val="009C5E6F"/>
    <w:rsid w:val="009D0AB1"/>
    <w:rsid w:val="009D1AE3"/>
    <w:rsid w:val="009D341C"/>
    <w:rsid w:val="009D554C"/>
    <w:rsid w:val="009D5F5F"/>
    <w:rsid w:val="009D61CD"/>
    <w:rsid w:val="009D7E6E"/>
    <w:rsid w:val="009D7F7A"/>
    <w:rsid w:val="009E0014"/>
    <w:rsid w:val="009E250D"/>
    <w:rsid w:val="009E32D0"/>
    <w:rsid w:val="009E34EF"/>
    <w:rsid w:val="009E4D3F"/>
    <w:rsid w:val="009E5904"/>
    <w:rsid w:val="009E5CDD"/>
    <w:rsid w:val="009F00C5"/>
    <w:rsid w:val="009F012F"/>
    <w:rsid w:val="009F0C16"/>
    <w:rsid w:val="009F1044"/>
    <w:rsid w:val="009F13E1"/>
    <w:rsid w:val="009F220C"/>
    <w:rsid w:val="009F2949"/>
    <w:rsid w:val="009F4B65"/>
    <w:rsid w:val="009F5DB0"/>
    <w:rsid w:val="009F7333"/>
    <w:rsid w:val="00A03575"/>
    <w:rsid w:val="00A0378E"/>
    <w:rsid w:val="00A03D60"/>
    <w:rsid w:val="00A05031"/>
    <w:rsid w:val="00A10927"/>
    <w:rsid w:val="00A11E1B"/>
    <w:rsid w:val="00A120B9"/>
    <w:rsid w:val="00A1347D"/>
    <w:rsid w:val="00A15431"/>
    <w:rsid w:val="00A15B74"/>
    <w:rsid w:val="00A16142"/>
    <w:rsid w:val="00A17925"/>
    <w:rsid w:val="00A17FE2"/>
    <w:rsid w:val="00A207E4"/>
    <w:rsid w:val="00A20EEB"/>
    <w:rsid w:val="00A2255D"/>
    <w:rsid w:val="00A231F3"/>
    <w:rsid w:val="00A24757"/>
    <w:rsid w:val="00A25A75"/>
    <w:rsid w:val="00A27887"/>
    <w:rsid w:val="00A27C02"/>
    <w:rsid w:val="00A27FF0"/>
    <w:rsid w:val="00A30BF9"/>
    <w:rsid w:val="00A32080"/>
    <w:rsid w:val="00A32397"/>
    <w:rsid w:val="00A34DD0"/>
    <w:rsid w:val="00A37068"/>
    <w:rsid w:val="00A4046B"/>
    <w:rsid w:val="00A43F5E"/>
    <w:rsid w:val="00A443E0"/>
    <w:rsid w:val="00A4505A"/>
    <w:rsid w:val="00A45D1B"/>
    <w:rsid w:val="00A46588"/>
    <w:rsid w:val="00A5041E"/>
    <w:rsid w:val="00A51CE4"/>
    <w:rsid w:val="00A52744"/>
    <w:rsid w:val="00A52D1C"/>
    <w:rsid w:val="00A5506D"/>
    <w:rsid w:val="00A628CE"/>
    <w:rsid w:val="00A643EC"/>
    <w:rsid w:val="00A654DF"/>
    <w:rsid w:val="00A666D7"/>
    <w:rsid w:val="00A708D8"/>
    <w:rsid w:val="00A71386"/>
    <w:rsid w:val="00A71BEA"/>
    <w:rsid w:val="00A723E5"/>
    <w:rsid w:val="00A72B63"/>
    <w:rsid w:val="00A737BE"/>
    <w:rsid w:val="00A74E75"/>
    <w:rsid w:val="00A753D5"/>
    <w:rsid w:val="00A75D7C"/>
    <w:rsid w:val="00A77EB9"/>
    <w:rsid w:val="00A80AC2"/>
    <w:rsid w:val="00A8142A"/>
    <w:rsid w:val="00A8459B"/>
    <w:rsid w:val="00A8479F"/>
    <w:rsid w:val="00A84C03"/>
    <w:rsid w:val="00A85902"/>
    <w:rsid w:val="00A900CF"/>
    <w:rsid w:val="00A92359"/>
    <w:rsid w:val="00A92DD9"/>
    <w:rsid w:val="00A964FD"/>
    <w:rsid w:val="00A965F0"/>
    <w:rsid w:val="00A97E9A"/>
    <w:rsid w:val="00AA0E20"/>
    <w:rsid w:val="00AA3507"/>
    <w:rsid w:val="00AA52C1"/>
    <w:rsid w:val="00AA7268"/>
    <w:rsid w:val="00AA7861"/>
    <w:rsid w:val="00AA7C4A"/>
    <w:rsid w:val="00AB347F"/>
    <w:rsid w:val="00AB3B0F"/>
    <w:rsid w:val="00AB6767"/>
    <w:rsid w:val="00AB74D7"/>
    <w:rsid w:val="00AC1337"/>
    <w:rsid w:val="00AC16D9"/>
    <w:rsid w:val="00AC18F3"/>
    <w:rsid w:val="00AC3566"/>
    <w:rsid w:val="00AC6C43"/>
    <w:rsid w:val="00AC72D0"/>
    <w:rsid w:val="00AC7DBC"/>
    <w:rsid w:val="00AD01D8"/>
    <w:rsid w:val="00AD06B1"/>
    <w:rsid w:val="00AD0D21"/>
    <w:rsid w:val="00AD2933"/>
    <w:rsid w:val="00AD38A8"/>
    <w:rsid w:val="00AD57BC"/>
    <w:rsid w:val="00AD5913"/>
    <w:rsid w:val="00AD5E48"/>
    <w:rsid w:val="00AD5E6C"/>
    <w:rsid w:val="00AD67B5"/>
    <w:rsid w:val="00AD6C1A"/>
    <w:rsid w:val="00AD6C48"/>
    <w:rsid w:val="00AD746E"/>
    <w:rsid w:val="00AD7842"/>
    <w:rsid w:val="00AD7F9D"/>
    <w:rsid w:val="00AE161F"/>
    <w:rsid w:val="00AE1A51"/>
    <w:rsid w:val="00AE1F75"/>
    <w:rsid w:val="00AE70AF"/>
    <w:rsid w:val="00AE7E9D"/>
    <w:rsid w:val="00AF3ED4"/>
    <w:rsid w:val="00AF79C0"/>
    <w:rsid w:val="00B0046F"/>
    <w:rsid w:val="00B04CFA"/>
    <w:rsid w:val="00B04EE4"/>
    <w:rsid w:val="00B04F62"/>
    <w:rsid w:val="00B05D2F"/>
    <w:rsid w:val="00B11E23"/>
    <w:rsid w:val="00B13252"/>
    <w:rsid w:val="00B1497B"/>
    <w:rsid w:val="00B16436"/>
    <w:rsid w:val="00B16647"/>
    <w:rsid w:val="00B1666F"/>
    <w:rsid w:val="00B17A86"/>
    <w:rsid w:val="00B17FFE"/>
    <w:rsid w:val="00B2374A"/>
    <w:rsid w:val="00B240E7"/>
    <w:rsid w:val="00B25090"/>
    <w:rsid w:val="00B25BA0"/>
    <w:rsid w:val="00B2613E"/>
    <w:rsid w:val="00B2650B"/>
    <w:rsid w:val="00B26F42"/>
    <w:rsid w:val="00B311E5"/>
    <w:rsid w:val="00B3176E"/>
    <w:rsid w:val="00B31EEA"/>
    <w:rsid w:val="00B32605"/>
    <w:rsid w:val="00B332EB"/>
    <w:rsid w:val="00B339D4"/>
    <w:rsid w:val="00B34831"/>
    <w:rsid w:val="00B3503D"/>
    <w:rsid w:val="00B3554C"/>
    <w:rsid w:val="00B361E3"/>
    <w:rsid w:val="00B3640A"/>
    <w:rsid w:val="00B36AE5"/>
    <w:rsid w:val="00B400C4"/>
    <w:rsid w:val="00B41E61"/>
    <w:rsid w:val="00B43FE5"/>
    <w:rsid w:val="00B440CD"/>
    <w:rsid w:val="00B45419"/>
    <w:rsid w:val="00B45998"/>
    <w:rsid w:val="00B462A4"/>
    <w:rsid w:val="00B479CD"/>
    <w:rsid w:val="00B51046"/>
    <w:rsid w:val="00B52520"/>
    <w:rsid w:val="00B5508E"/>
    <w:rsid w:val="00B551C8"/>
    <w:rsid w:val="00B55D78"/>
    <w:rsid w:val="00B56391"/>
    <w:rsid w:val="00B56ED4"/>
    <w:rsid w:val="00B574A3"/>
    <w:rsid w:val="00B57590"/>
    <w:rsid w:val="00B60919"/>
    <w:rsid w:val="00B60CD7"/>
    <w:rsid w:val="00B657F4"/>
    <w:rsid w:val="00B65D29"/>
    <w:rsid w:val="00B708BB"/>
    <w:rsid w:val="00B719DF"/>
    <w:rsid w:val="00B72140"/>
    <w:rsid w:val="00B7297E"/>
    <w:rsid w:val="00B73086"/>
    <w:rsid w:val="00B751E6"/>
    <w:rsid w:val="00B752A5"/>
    <w:rsid w:val="00B75FD5"/>
    <w:rsid w:val="00B763EE"/>
    <w:rsid w:val="00B77A23"/>
    <w:rsid w:val="00B80A77"/>
    <w:rsid w:val="00B8100B"/>
    <w:rsid w:val="00B810CB"/>
    <w:rsid w:val="00B819BF"/>
    <w:rsid w:val="00B81A22"/>
    <w:rsid w:val="00B81A7E"/>
    <w:rsid w:val="00B82661"/>
    <w:rsid w:val="00B8268A"/>
    <w:rsid w:val="00B8441B"/>
    <w:rsid w:val="00B850B2"/>
    <w:rsid w:val="00B87A0F"/>
    <w:rsid w:val="00B91936"/>
    <w:rsid w:val="00B92613"/>
    <w:rsid w:val="00B93EFD"/>
    <w:rsid w:val="00B94B71"/>
    <w:rsid w:val="00B94D22"/>
    <w:rsid w:val="00BA0504"/>
    <w:rsid w:val="00BA1245"/>
    <w:rsid w:val="00BA1DA2"/>
    <w:rsid w:val="00BA2D60"/>
    <w:rsid w:val="00BA3359"/>
    <w:rsid w:val="00BA3C05"/>
    <w:rsid w:val="00BA407E"/>
    <w:rsid w:val="00BA51E7"/>
    <w:rsid w:val="00BA5581"/>
    <w:rsid w:val="00BA56E3"/>
    <w:rsid w:val="00BA751A"/>
    <w:rsid w:val="00BB2460"/>
    <w:rsid w:val="00BB3769"/>
    <w:rsid w:val="00BB46D9"/>
    <w:rsid w:val="00BB5C60"/>
    <w:rsid w:val="00BB62CD"/>
    <w:rsid w:val="00BB63BC"/>
    <w:rsid w:val="00BB6EF7"/>
    <w:rsid w:val="00BB7006"/>
    <w:rsid w:val="00BC2825"/>
    <w:rsid w:val="00BC2A35"/>
    <w:rsid w:val="00BC315C"/>
    <w:rsid w:val="00BC5692"/>
    <w:rsid w:val="00BC57FF"/>
    <w:rsid w:val="00BD0695"/>
    <w:rsid w:val="00BD1BDF"/>
    <w:rsid w:val="00BD1BF0"/>
    <w:rsid w:val="00BD2168"/>
    <w:rsid w:val="00BD21C0"/>
    <w:rsid w:val="00BD3BBF"/>
    <w:rsid w:val="00BD3E21"/>
    <w:rsid w:val="00BD708F"/>
    <w:rsid w:val="00BE5542"/>
    <w:rsid w:val="00BE6197"/>
    <w:rsid w:val="00BE61BE"/>
    <w:rsid w:val="00BE65D8"/>
    <w:rsid w:val="00BE7DA9"/>
    <w:rsid w:val="00BF1D46"/>
    <w:rsid w:val="00BF44CB"/>
    <w:rsid w:val="00BF715E"/>
    <w:rsid w:val="00C00473"/>
    <w:rsid w:val="00C01590"/>
    <w:rsid w:val="00C042D8"/>
    <w:rsid w:val="00C04DB9"/>
    <w:rsid w:val="00C06DE1"/>
    <w:rsid w:val="00C06E6D"/>
    <w:rsid w:val="00C07134"/>
    <w:rsid w:val="00C073ED"/>
    <w:rsid w:val="00C07B32"/>
    <w:rsid w:val="00C10218"/>
    <w:rsid w:val="00C1113F"/>
    <w:rsid w:val="00C12DDD"/>
    <w:rsid w:val="00C15D44"/>
    <w:rsid w:val="00C16529"/>
    <w:rsid w:val="00C16DE8"/>
    <w:rsid w:val="00C20F8C"/>
    <w:rsid w:val="00C21663"/>
    <w:rsid w:val="00C22A30"/>
    <w:rsid w:val="00C25077"/>
    <w:rsid w:val="00C31402"/>
    <w:rsid w:val="00C32184"/>
    <w:rsid w:val="00C33BE8"/>
    <w:rsid w:val="00C33DFF"/>
    <w:rsid w:val="00C34384"/>
    <w:rsid w:val="00C3692C"/>
    <w:rsid w:val="00C40C1F"/>
    <w:rsid w:val="00C41031"/>
    <w:rsid w:val="00C44984"/>
    <w:rsid w:val="00C44CBC"/>
    <w:rsid w:val="00C452F0"/>
    <w:rsid w:val="00C453FC"/>
    <w:rsid w:val="00C455E2"/>
    <w:rsid w:val="00C46466"/>
    <w:rsid w:val="00C469C7"/>
    <w:rsid w:val="00C46CCE"/>
    <w:rsid w:val="00C50F45"/>
    <w:rsid w:val="00C51B85"/>
    <w:rsid w:val="00C52202"/>
    <w:rsid w:val="00C53202"/>
    <w:rsid w:val="00C54482"/>
    <w:rsid w:val="00C55AA5"/>
    <w:rsid w:val="00C56425"/>
    <w:rsid w:val="00C56F67"/>
    <w:rsid w:val="00C572DC"/>
    <w:rsid w:val="00C57F83"/>
    <w:rsid w:val="00C61118"/>
    <w:rsid w:val="00C6181C"/>
    <w:rsid w:val="00C62FB9"/>
    <w:rsid w:val="00C63B13"/>
    <w:rsid w:val="00C64873"/>
    <w:rsid w:val="00C64AB7"/>
    <w:rsid w:val="00C651C2"/>
    <w:rsid w:val="00C65327"/>
    <w:rsid w:val="00C65F2F"/>
    <w:rsid w:val="00C66FD9"/>
    <w:rsid w:val="00C70FC9"/>
    <w:rsid w:val="00C71062"/>
    <w:rsid w:val="00C712A5"/>
    <w:rsid w:val="00C76FB6"/>
    <w:rsid w:val="00C77133"/>
    <w:rsid w:val="00C8028D"/>
    <w:rsid w:val="00C80466"/>
    <w:rsid w:val="00C80894"/>
    <w:rsid w:val="00C833FA"/>
    <w:rsid w:val="00C837C7"/>
    <w:rsid w:val="00C85176"/>
    <w:rsid w:val="00C87080"/>
    <w:rsid w:val="00C919D6"/>
    <w:rsid w:val="00C91B63"/>
    <w:rsid w:val="00C92C62"/>
    <w:rsid w:val="00C94667"/>
    <w:rsid w:val="00C94906"/>
    <w:rsid w:val="00C94A45"/>
    <w:rsid w:val="00C94B9A"/>
    <w:rsid w:val="00C962C4"/>
    <w:rsid w:val="00C96A57"/>
    <w:rsid w:val="00CA228B"/>
    <w:rsid w:val="00CA240C"/>
    <w:rsid w:val="00CA6556"/>
    <w:rsid w:val="00CB07C2"/>
    <w:rsid w:val="00CB0CB2"/>
    <w:rsid w:val="00CB0E82"/>
    <w:rsid w:val="00CB428E"/>
    <w:rsid w:val="00CB5DBC"/>
    <w:rsid w:val="00CB5F68"/>
    <w:rsid w:val="00CB6649"/>
    <w:rsid w:val="00CB7961"/>
    <w:rsid w:val="00CC05CA"/>
    <w:rsid w:val="00CC0608"/>
    <w:rsid w:val="00CC0B89"/>
    <w:rsid w:val="00CC1E27"/>
    <w:rsid w:val="00CC539E"/>
    <w:rsid w:val="00CD0747"/>
    <w:rsid w:val="00CD22DC"/>
    <w:rsid w:val="00CD274F"/>
    <w:rsid w:val="00CD3C64"/>
    <w:rsid w:val="00CD3D6C"/>
    <w:rsid w:val="00CD4A6A"/>
    <w:rsid w:val="00CD61DE"/>
    <w:rsid w:val="00CD633F"/>
    <w:rsid w:val="00CD6390"/>
    <w:rsid w:val="00CD6D8E"/>
    <w:rsid w:val="00CD7B5E"/>
    <w:rsid w:val="00CE21DB"/>
    <w:rsid w:val="00CE5A5D"/>
    <w:rsid w:val="00CF0C91"/>
    <w:rsid w:val="00CF0CB1"/>
    <w:rsid w:val="00CF0E44"/>
    <w:rsid w:val="00CF0FE4"/>
    <w:rsid w:val="00CF147B"/>
    <w:rsid w:val="00CF1892"/>
    <w:rsid w:val="00CF69A3"/>
    <w:rsid w:val="00CF6A15"/>
    <w:rsid w:val="00CF6E53"/>
    <w:rsid w:val="00CF768F"/>
    <w:rsid w:val="00D033FA"/>
    <w:rsid w:val="00D0453D"/>
    <w:rsid w:val="00D04AAD"/>
    <w:rsid w:val="00D04FA4"/>
    <w:rsid w:val="00D06133"/>
    <w:rsid w:val="00D1111C"/>
    <w:rsid w:val="00D1207E"/>
    <w:rsid w:val="00D13AF1"/>
    <w:rsid w:val="00D15D86"/>
    <w:rsid w:val="00D162B5"/>
    <w:rsid w:val="00D167C6"/>
    <w:rsid w:val="00D16AAB"/>
    <w:rsid w:val="00D16B16"/>
    <w:rsid w:val="00D177BE"/>
    <w:rsid w:val="00D20926"/>
    <w:rsid w:val="00D21B04"/>
    <w:rsid w:val="00D21B22"/>
    <w:rsid w:val="00D22442"/>
    <w:rsid w:val="00D26566"/>
    <w:rsid w:val="00D272A9"/>
    <w:rsid w:val="00D30636"/>
    <w:rsid w:val="00D31532"/>
    <w:rsid w:val="00D31D6D"/>
    <w:rsid w:val="00D339F6"/>
    <w:rsid w:val="00D33E65"/>
    <w:rsid w:val="00D342A7"/>
    <w:rsid w:val="00D357B4"/>
    <w:rsid w:val="00D3612A"/>
    <w:rsid w:val="00D43E4C"/>
    <w:rsid w:val="00D43FBE"/>
    <w:rsid w:val="00D46F18"/>
    <w:rsid w:val="00D50D2A"/>
    <w:rsid w:val="00D52134"/>
    <w:rsid w:val="00D55E41"/>
    <w:rsid w:val="00D56F19"/>
    <w:rsid w:val="00D60053"/>
    <w:rsid w:val="00D61A5A"/>
    <w:rsid w:val="00D61A93"/>
    <w:rsid w:val="00D62938"/>
    <w:rsid w:val="00D6304E"/>
    <w:rsid w:val="00D64A0B"/>
    <w:rsid w:val="00D657F0"/>
    <w:rsid w:val="00D67B9A"/>
    <w:rsid w:val="00D67D0B"/>
    <w:rsid w:val="00D70C1F"/>
    <w:rsid w:val="00D74132"/>
    <w:rsid w:val="00D7473C"/>
    <w:rsid w:val="00D74945"/>
    <w:rsid w:val="00D74DF8"/>
    <w:rsid w:val="00D76A7C"/>
    <w:rsid w:val="00D80860"/>
    <w:rsid w:val="00D8125B"/>
    <w:rsid w:val="00D818E5"/>
    <w:rsid w:val="00D835B1"/>
    <w:rsid w:val="00D84554"/>
    <w:rsid w:val="00D84D86"/>
    <w:rsid w:val="00D86331"/>
    <w:rsid w:val="00D868B2"/>
    <w:rsid w:val="00D90D39"/>
    <w:rsid w:val="00D92007"/>
    <w:rsid w:val="00D92134"/>
    <w:rsid w:val="00D94265"/>
    <w:rsid w:val="00D95F74"/>
    <w:rsid w:val="00D96931"/>
    <w:rsid w:val="00D96E64"/>
    <w:rsid w:val="00D96FC9"/>
    <w:rsid w:val="00DA1656"/>
    <w:rsid w:val="00DA1FB3"/>
    <w:rsid w:val="00DA3C66"/>
    <w:rsid w:val="00DA43B2"/>
    <w:rsid w:val="00DA6557"/>
    <w:rsid w:val="00DA706E"/>
    <w:rsid w:val="00DB1E9D"/>
    <w:rsid w:val="00DB2408"/>
    <w:rsid w:val="00DB5EF6"/>
    <w:rsid w:val="00DB6458"/>
    <w:rsid w:val="00DC2AA1"/>
    <w:rsid w:val="00DC33F3"/>
    <w:rsid w:val="00DC41E7"/>
    <w:rsid w:val="00DC6F8D"/>
    <w:rsid w:val="00DC70CC"/>
    <w:rsid w:val="00DC7F41"/>
    <w:rsid w:val="00DD0A3C"/>
    <w:rsid w:val="00DD237D"/>
    <w:rsid w:val="00DD2748"/>
    <w:rsid w:val="00DD32A4"/>
    <w:rsid w:val="00DD4F47"/>
    <w:rsid w:val="00DD6B47"/>
    <w:rsid w:val="00DD6B87"/>
    <w:rsid w:val="00DE0691"/>
    <w:rsid w:val="00DE0B28"/>
    <w:rsid w:val="00DE2531"/>
    <w:rsid w:val="00DE253D"/>
    <w:rsid w:val="00DE3C3B"/>
    <w:rsid w:val="00DE47A8"/>
    <w:rsid w:val="00DE48C1"/>
    <w:rsid w:val="00DE663C"/>
    <w:rsid w:val="00DE71ED"/>
    <w:rsid w:val="00DF0C7D"/>
    <w:rsid w:val="00DF5CB6"/>
    <w:rsid w:val="00DF6A58"/>
    <w:rsid w:val="00E00F9C"/>
    <w:rsid w:val="00E013F0"/>
    <w:rsid w:val="00E04422"/>
    <w:rsid w:val="00E05191"/>
    <w:rsid w:val="00E051C8"/>
    <w:rsid w:val="00E0653A"/>
    <w:rsid w:val="00E125D1"/>
    <w:rsid w:val="00E128F6"/>
    <w:rsid w:val="00E12D7B"/>
    <w:rsid w:val="00E138AC"/>
    <w:rsid w:val="00E14341"/>
    <w:rsid w:val="00E158FC"/>
    <w:rsid w:val="00E16AAB"/>
    <w:rsid w:val="00E2087E"/>
    <w:rsid w:val="00E22D4A"/>
    <w:rsid w:val="00E238FB"/>
    <w:rsid w:val="00E23F5F"/>
    <w:rsid w:val="00E24483"/>
    <w:rsid w:val="00E27F64"/>
    <w:rsid w:val="00E3075F"/>
    <w:rsid w:val="00E312C5"/>
    <w:rsid w:val="00E32A14"/>
    <w:rsid w:val="00E33851"/>
    <w:rsid w:val="00E33BF8"/>
    <w:rsid w:val="00E34DD5"/>
    <w:rsid w:val="00E406FB"/>
    <w:rsid w:val="00E40B12"/>
    <w:rsid w:val="00E44968"/>
    <w:rsid w:val="00E44C48"/>
    <w:rsid w:val="00E47463"/>
    <w:rsid w:val="00E50579"/>
    <w:rsid w:val="00E50713"/>
    <w:rsid w:val="00E517BB"/>
    <w:rsid w:val="00E51EFA"/>
    <w:rsid w:val="00E525D7"/>
    <w:rsid w:val="00E5317D"/>
    <w:rsid w:val="00E53F32"/>
    <w:rsid w:val="00E56724"/>
    <w:rsid w:val="00E617B3"/>
    <w:rsid w:val="00E617FE"/>
    <w:rsid w:val="00E620AF"/>
    <w:rsid w:val="00E6252D"/>
    <w:rsid w:val="00E654CD"/>
    <w:rsid w:val="00E65D4A"/>
    <w:rsid w:val="00E66766"/>
    <w:rsid w:val="00E66946"/>
    <w:rsid w:val="00E71B52"/>
    <w:rsid w:val="00E74337"/>
    <w:rsid w:val="00E74738"/>
    <w:rsid w:val="00E75C31"/>
    <w:rsid w:val="00E75F5A"/>
    <w:rsid w:val="00E7779F"/>
    <w:rsid w:val="00E77E2D"/>
    <w:rsid w:val="00E83721"/>
    <w:rsid w:val="00E8420B"/>
    <w:rsid w:val="00E84368"/>
    <w:rsid w:val="00E843F3"/>
    <w:rsid w:val="00E84577"/>
    <w:rsid w:val="00E85F3F"/>
    <w:rsid w:val="00E87241"/>
    <w:rsid w:val="00E900E2"/>
    <w:rsid w:val="00E902AA"/>
    <w:rsid w:val="00E949FD"/>
    <w:rsid w:val="00E95BE4"/>
    <w:rsid w:val="00E97EF7"/>
    <w:rsid w:val="00EA0327"/>
    <w:rsid w:val="00EA0DC5"/>
    <w:rsid w:val="00EA1929"/>
    <w:rsid w:val="00EA238A"/>
    <w:rsid w:val="00EA245B"/>
    <w:rsid w:val="00EA257E"/>
    <w:rsid w:val="00EA3889"/>
    <w:rsid w:val="00EA62F9"/>
    <w:rsid w:val="00EA6C21"/>
    <w:rsid w:val="00EA7FC4"/>
    <w:rsid w:val="00EB01FB"/>
    <w:rsid w:val="00EB23F3"/>
    <w:rsid w:val="00EB2622"/>
    <w:rsid w:val="00EB3ABB"/>
    <w:rsid w:val="00EC0D03"/>
    <w:rsid w:val="00EC38B0"/>
    <w:rsid w:val="00EC3AB4"/>
    <w:rsid w:val="00EC406A"/>
    <w:rsid w:val="00EC44FD"/>
    <w:rsid w:val="00EC5CC0"/>
    <w:rsid w:val="00EC6EAB"/>
    <w:rsid w:val="00EC6F55"/>
    <w:rsid w:val="00EC7208"/>
    <w:rsid w:val="00ED0CE8"/>
    <w:rsid w:val="00ED19E2"/>
    <w:rsid w:val="00ED25E9"/>
    <w:rsid w:val="00ED290A"/>
    <w:rsid w:val="00ED340E"/>
    <w:rsid w:val="00ED643A"/>
    <w:rsid w:val="00EE1759"/>
    <w:rsid w:val="00EE1E02"/>
    <w:rsid w:val="00EE2851"/>
    <w:rsid w:val="00EE29F5"/>
    <w:rsid w:val="00EE47CC"/>
    <w:rsid w:val="00EE4820"/>
    <w:rsid w:val="00EE6F65"/>
    <w:rsid w:val="00EE7440"/>
    <w:rsid w:val="00EF42A7"/>
    <w:rsid w:val="00EF7ECE"/>
    <w:rsid w:val="00F0106D"/>
    <w:rsid w:val="00F014CF"/>
    <w:rsid w:val="00F021A7"/>
    <w:rsid w:val="00F03C61"/>
    <w:rsid w:val="00F03E26"/>
    <w:rsid w:val="00F0424A"/>
    <w:rsid w:val="00F0500E"/>
    <w:rsid w:val="00F06821"/>
    <w:rsid w:val="00F0709A"/>
    <w:rsid w:val="00F07AF6"/>
    <w:rsid w:val="00F129D3"/>
    <w:rsid w:val="00F13D79"/>
    <w:rsid w:val="00F14C18"/>
    <w:rsid w:val="00F1504E"/>
    <w:rsid w:val="00F15F1B"/>
    <w:rsid w:val="00F17C2F"/>
    <w:rsid w:val="00F17F73"/>
    <w:rsid w:val="00F21117"/>
    <w:rsid w:val="00F22D1E"/>
    <w:rsid w:val="00F22DBE"/>
    <w:rsid w:val="00F23336"/>
    <w:rsid w:val="00F2335B"/>
    <w:rsid w:val="00F23826"/>
    <w:rsid w:val="00F24A97"/>
    <w:rsid w:val="00F25B04"/>
    <w:rsid w:val="00F266AE"/>
    <w:rsid w:val="00F26D8E"/>
    <w:rsid w:val="00F32167"/>
    <w:rsid w:val="00F32327"/>
    <w:rsid w:val="00F3497C"/>
    <w:rsid w:val="00F34DAC"/>
    <w:rsid w:val="00F358E0"/>
    <w:rsid w:val="00F35FDD"/>
    <w:rsid w:val="00F37360"/>
    <w:rsid w:val="00F37F80"/>
    <w:rsid w:val="00F407F1"/>
    <w:rsid w:val="00F40A08"/>
    <w:rsid w:val="00F410EB"/>
    <w:rsid w:val="00F417C3"/>
    <w:rsid w:val="00F4185E"/>
    <w:rsid w:val="00F43224"/>
    <w:rsid w:val="00F446A4"/>
    <w:rsid w:val="00F447DE"/>
    <w:rsid w:val="00F47663"/>
    <w:rsid w:val="00F47EFD"/>
    <w:rsid w:val="00F50FDC"/>
    <w:rsid w:val="00F528CF"/>
    <w:rsid w:val="00F52FDA"/>
    <w:rsid w:val="00F54845"/>
    <w:rsid w:val="00F5661D"/>
    <w:rsid w:val="00F57583"/>
    <w:rsid w:val="00F577F1"/>
    <w:rsid w:val="00F57B09"/>
    <w:rsid w:val="00F612E0"/>
    <w:rsid w:val="00F62113"/>
    <w:rsid w:val="00F62D36"/>
    <w:rsid w:val="00F632FD"/>
    <w:rsid w:val="00F64BB0"/>
    <w:rsid w:val="00F6599B"/>
    <w:rsid w:val="00F664AA"/>
    <w:rsid w:val="00F67BCC"/>
    <w:rsid w:val="00F70902"/>
    <w:rsid w:val="00F7090B"/>
    <w:rsid w:val="00F72757"/>
    <w:rsid w:val="00F73BA1"/>
    <w:rsid w:val="00F759F4"/>
    <w:rsid w:val="00F75D19"/>
    <w:rsid w:val="00F764FC"/>
    <w:rsid w:val="00F7768E"/>
    <w:rsid w:val="00F777AC"/>
    <w:rsid w:val="00F8411B"/>
    <w:rsid w:val="00F84779"/>
    <w:rsid w:val="00F849F5"/>
    <w:rsid w:val="00F86CB3"/>
    <w:rsid w:val="00F871CD"/>
    <w:rsid w:val="00F87C58"/>
    <w:rsid w:val="00F87EAD"/>
    <w:rsid w:val="00F92907"/>
    <w:rsid w:val="00F92B45"/>
    <w:rsid w:val="00F92E9E"/>
    <w:rsid w:val="00F92F4D"/>
    <w:rsid w:val="00F9318F"/>
    <w:rsid w:val="00F93284"/>
    <w:rsid w:val="00F93DA3"/>
    <w:rsid w:val="00F94FBE"/>
    <w:rsid w:val="00F9631D"/>
    <w:rsid w:val="00F96E85"/>
    <w:rsid w:val="00F977B6"/>
    <w:rsid w:val="00F9789B"/>
    <w:rsid w:val="00F978D5"/>
    <w:rsid w:val="00F97933"/>
    <w:rsid w:val="00FA0391"/>
    <w:rsid w:val="00FA28F2"/>
    <w:rsid w:val="00FA29D3"/>
    <w:rsid w:val="00FA2D04"/>
    <w:rsid w:val="00FA3884"/>
    <w:rsid w:val="00FA4A01"/>
    <w:rsid w:val="00FA51EF"/>
    <w:rsid w:val="00FA541D"/>
    <w:rsid w:val="00FA6866"/>
    <w:rsid w:val="00FB0B91"/>
    <w:rsid w:val="00FB46BE"/>
    <w:rsid w:val="00FB4799"/>
    <w:rsid w:val="00FB67D9"/>
    <w:rsid w:val="00FB6A38"/>
    <w:rsid w:val="00FC100A"/>
    <w:rsid w:val="00FC1589"/>
    <w:rsid w:val="00FC2A99"/>
    <w:rsid w:val="00FC5D8B"/>
    <w:rsid w:val="00FC641C"/>
    <w:rsid w:val="00FC6771"/>
    <w:rsid w:val="00FD08FA"/>
    <w:rsid w:val="00FD26C5"/>
    <w:rsid w:val="00FD41AC"/>
    <w:rsid w:val="00FD4458"/>
    <w:rsid w:val="00FD5031"/>
    <w:rsid w:val="00FD7549"/>
    <w:rsid w:val="00FD7CEF"/>
    <w:rsid w:val="00FE109A"/>
    <w:rsid w:val="00FE151D"/>
    <w:rsid w:val="00FE195C"/>
    <w:rsid w:val="00FE1EE2"/>
    <w:rsid w:val="00FE2436"/>
    <w:rsid w:val="00FE3BFD"/>
    <w:rsid w:val="00FE418D"/>
    <w:rsid w:val="00FE6592"/>
    <w:rsid w:val="00FE6A8C"/>
    <w:rsid w:val="00FF186A"/>
    <w:rsid w:val="00FF1915"/>
    <w:rsid w:val="00FF1D39"/>
    <w:rsid w:val="00FF5F75"/>
    <w:rsid w:val="00FF6C07"/>
    <w:rsid w:val="00FF7EF3"/>
    <w:rsid w:val="026C3478"/>
    <w:rsid w:val="02AB0409"/>
    <w:rsid w:val="04AE3674"/>
    <w:rsid w:val="061B04CF"/>
    <w:rsid w:val="0649B885"/>
    <w:rsid w:val="084EBA0A"/>
    <w:rsid w:val="08C81D92"/>
    <w:rsid w:val="08FCD797"/>
    <w:rsid w:val="0927A300"/>
    <w:rsid w:val="097ACF7F"/>
    <w:rsid w:val="0A757AEF"/>
    <w:rsid w:val="0ADEF911"/>
    <w:rsid w:val="0B08B18D"/>
    <w:rsid w:val="0C389301"/>
    <w:rsid w:val="0D4F64F2"/>
    <w:rsid w:val="0FFE5426"/>
    <w:rsid w:val="10235746"/>
    <w:rsid w:val="115700F3"/>
    <w:rsid w:val="133469BC"/>
    <w:rsid w:val="1374E310"/>
    <w:rsid w:val="1605AAF5"/>
    <w:rsid w:val="1784EE4B"/>
    <w:rsid w:val="17A258B8"/>
    <w:rsid w:val="17E5D75B"/>
    <w:rsid w:val="1C1C5D5B"/>
    <w:rsid w:val="1CED21A4"/>
    <w:rsid w:val="1FBC854B"/>
    <w:rsid w:val="20A50B04"/>
    <w:rsid w:val="20CC2C69"/>
    <w:rsid w:val="22DD2F2F"/>
    <w:rsid w:val="246F1CD0"/>
    <w:rsid w:val="24C0A662"/>
    <w:rsid w:val="250DF0FA"/>
    <w:rsid w:val="26F9BAF7"/>
    <w:rsid w:val="279C1D05"/>
    <w:rsid w:val="2839A05C"/>
    <w:rsid w:val="2862BEE3"/>
    <w:rsid w:val="28D713B5"/>
    <w:rsid w:val="297D0AEC"/>
    <w:rsid w:val="29904C3F"/>
    <w:rsid w:val="29B1BD6D"/>
    <w:rsid w:val="2B156D99"/>
    <w:rsid w:val="2C84BC33"/>
    <w:rsid w:val="2E06BA45"/>
    <w:rsid w:val="30CCFDD0"/>
    <w:rsid w:val="3143BC98"/>
    <w:rsid w:val="32149B8D"/>
    <w:rsid w:val="33898F3C"/>
    <w:rsid w:val="33FB6E36"/>
    <w:rsid w:val="35551E67"/>
    <w:rsid w:val="37EEE490"/>
    <w:rsid w:val="38A599F7"/>
    <w:rsid w:val="395CCBD2"/>
    <w:rsid w:val="39E64197"/>
    <w:rsid w:val="3CBC8585"/>
    <w:rsid w:val="3D49E9B6"/>
    <w:rsid w:val="3DC42CCF"/>
    <w:rsid w:val="3E029BDC"/>
    <w:rsid w:val="3E7401AA"/>
    <w:rsid w:val="3E9BCD68"/>
    <w:rsid w:val="3F89BFF6"/>
    <w:rsid w:val="406CE560"/>
    <w:rsid w:val="40FEBD43"/>
    <w:rsid w:val="41795251"/>
    <w:rsid w:val="418F6DBF"/>
    <w:rsid w:val="425EFC2F"/>
    <w:rsid w:val="42648E16"/>
    <w:rsid w:val="42A1ACE0"/>
    <w:rsid w:val="438EBCA1"/>
    <w:rsid w:val="43BE62D8"/>
    <w:rsid w:val="45504B33"/>
    <w:rsid w:val="456C857A"/>
    <w:rsid w:val="45CF2F28"/>
    <w:rsid w:val="472DBE13"/>
    <w:rsid w:val="47686263"/>
    <w:rsid w:val="4932BE12"/>
    <w:rsid w:val="4985D219"/>
    <w:rsid w:val="49BB1656"/>
    <w:rsid w:val="4DB506C3"/>
    <w:rsid w:val="500878E5"/>
    <w:rsid w:val="5093FA81"/>
    <w:rsid w:val="518AB886"/>
    <w:rsid w:val="5351B7B2"/>
    <w:rsid w:val="53856398"/>
    <w:rsid w:val="54B44DEA"/>
    <w:rsid w:val="54E65DBE"/>
    <w:rsid w:val="566C97EC"/>
    <w:rsid w:val="57C23DFF"/>
    <w:rsid w:val="58C6F99B"/>
    <w:rsid w:val="58FD2017"/>
    <w:rsid w:val="5928F639"/>
    <w:rsid w:val="59FC481C"/>
    <w:rsid w:val="5B55AB3C"/>
    <w:rsid w:val="5BB39D85"/>
    <w:rsid w:val="5FCE1266"/>
    <w:rsid w:val="60A63CC2"/>
    <w:rsid w:val="61BDF9B0"/>
    <w:rsid w:val="634F3FAD"/>
    <w:rsid w:val="635AE7AA"/>
    <w:rsid w:val="6500696F"/>
    <w:rsid w:val="65CF8971"/>
    <w:rsid w:val="6A7CC586"/>
    <w:rsid w:val="6C1DC237"/>
    <w:rsid w:val="6D5BD8B6"/>
    <w:rsid w:val="6E82F670"/>
    <w:rsid w:val="709E5EF2"/>
    <w:rsid w:val="70D0A354"/>
    <w:rsid w:val="714441DB"/>
    <w:rsid w:val="721D8173"/>
    <w:rsid w:val="72737994"/>
    <w:rsid w:val="72E771E6"/>
    <w:rsid w:val="7514FA8A"/>
    <w:rsid w:val="75878B80"/>
    <w:rsid w:val="760785B5"/>
    <w:rsid w:val="765450C7"/>
    <w:rsid w:val="768E8CF9"/>
    <w:rsid w:val="77A82F3A"/>
    <w:rsid w:val="77B49618"/>
    <w:rsid w:val="77F0FB7B"/>
    <w:rsid w:val="7B7A65E3"/>
    <w:rsid w:val="7C63BF8C"/>
    <w:rsid w:val="7C800AF1"/>
    <w:rsid w:val="7D7B0F9E"/>
    <w:rsid w:val="7D7FDDF5"/>
    <w:rsid w:val="7DC5D530"/>
    <w:rsid w:val="7F72961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687BAB"/>
  <w15:docId w15:val="{7BA0E799-8366-4D45-8D46-A5E5F05EA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7F2D"/>
    <w:pPr>
      <w:spacing w:line="360" w:lineRule="auto"/>
      <w:jc w:val="both"/>
    </w:pPr>
    <w:rPr>
      <w:rFonts w:ascii="Times New Roman" w:eastAsia="Times New Roman" w:hAnsi="Times New Roman" w:cs="Times New Roman"/>
      <w:sz w:val="24"/>
    </w:rPr>
  </w:style>
  <w:style w:type="paragraph" w:styleId="Heading1">
    <w:name w:val="heading 1"/>
    <w:basedOn w:val="Normal"/>
    <w:next w:val="Normal"/>
    <w:link w:val="Heading1Char"/>
    <w:uiPriority w:val="9"/>
    <w:qFormat/>
    <w:rsid w:val="00511E2C"/>
    <w:pPr>
      <w:keepNext/>
      <w:keepLines/>
      <w:spacing w:before="240" w:line="240" w:lineRule="auto"/>
      <w:jc w:val="left"/>
      <w:outlineLvl w:val="0"/>
    </w:pPr>
    <w:rPr>
      <w:rFonts w:eastAsiaTheme="majorEastAsia" w:cstheme="majorBidi"/>
      <w:b/>
      <w:color w:val="0F243E" w:themeColor="text2" w:themeShade="80"/>
      <w:sz w:val="36"/>
      <w:szCs w:val="32"/>
    </w:rPr>
  </w:style>
  <w:style w:type="paragraph" w:styleId="Heading2">
    <w:name w:val="heading 2"/>
    <w:basedOn w:val="Normal"/>
    <w:link w:val="Heading2Char"/>
    <w:uiPriority w:val="9"/>
    <w:qFormat/>
    <w:rsid w:val="00712625"/>
    <w:pPr>
      <w:widowControl/>
      <w:autoSpaceDE/>
      <w:autoSpaceDN/>
      <w:spacing w:before="100" w:beforeAutospacing="1" w:after="100" w:afterAutospacing="1" w:line="240" w:lineRule="auto"/>
      <w:jc w:val="left"/>
      <w:outlineLvl w:val="1"/>
    </w:pPr>
    <w:rPr>
      <w:b/>
      <w:bCs/>
      <w:color w:val="0F243E" w:themeColor="text2" w:themeShade="80"/>
      <w:sz w:val="28"/>
      <w:szCs w:val="36"/>
      <w:lang w:bidi="bn-IN"/>
    </w:rPr>
  </w:style>
  <w:style w:type="paragraph" w:styleId="Heading3">
    <w:name w:val="heading 3"/>
    <w:basedOn w:val="Normal"/>
    <w:link w:val="Heading3Char"/>
    <w:uiPriority w:val="9"/>
    <w:qFormat/>
    <w:rsid w:val="0050486D"/>
    <w:pPr>
      <w:widowControl/>
      <w:autoSpaceDE/>
      <w:autoSpaceDN/>
      <w:spacing w:before="100" w:beforeAutospacing="1" w:after="100" w:afterAutospacing="1"/>
      <w:jc w:val="left"/>
      <w:outlineLvl w:val="2"/>
    </w:pPr>
    <w:rPr>
      <w:b/>
      <w:bCs/>
      <w:szCs w:val="27"/>
      <w:lang w:bidi="b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6"/>
    </w:pPr>
    <w:rPr>
      <w:b/>
      <w:bCs/>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17"/>
    </w:pPr>
  </w:style>
  <w:style w:type="table" w:styleId="TableGrid">
    <w:name w:val="Table Grid"/>
    <w:basedOn w:val="TableNormal"/>
    <w:uiPriority w:val="59"/>
    <w:rsid w:val="009F73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F7333"/>
    <w:pPr>
      <w:tabs>
        <w:tab w:val="center" w:pos="4513"/>
        <w:tab w:val="right" w:pos="9026"/>
      </w:tabs>
    </w:pPr>
    <w:rPr>
      <w:rFonts w:ascii="Arial MT" w:eastAsia="Arial MT" w:hAnsi="Arial MT" w:cs="Arial MT"/>
      <w:lang w:val="en-GB"/>
    </w:rPr>
  </w:style>
  <w:style w:type="character" w:customStyle="1" w:styleId="HeaderChar">
    <w:name w:val="Header Char"/>
    <w:basedOn w:val="DefaultParagraphFont"/>
    <w:link w:val="Header"/>
    <w:uiPriority w:val="99"/>
    <w:rsid w:val="009F7333"/>
    <w:rPr>
      <w:rFonts w:ascii="Arial MT" w:eastAsia="Arial MT" w:hAnsi="Arial MT" w:cs="Arial MT"/>
      <w:lang w:val="en-GB"/>
    </w:rPr>
  </w:style>
  <w:style w:type="character" w:styleId="Hyperlink">
    <w:name w:val="Hyperlink"/>
    <w:basedOn w:val="DefaultParagraphFont"/>
    <w:uiPriority w:val="99"/>
    <w:unhideWhenUsed/>
    <w:rsid w:val="007947A9"/>
    <w:rPr>
      <w:color w:val="0000FF" w:themeColor="hyperlink"/>
      <w:u w:val="single"/>
    </w:rPr>
  </w:style>
  <w:style w:type="character" w:styleId="UnresolvedMention">
    <w:name w:val="Unresolved Mention"/>
    <w:basedOn w:val="DefaultParagraphFont"/>
    <w:uiPriority w:val="99"/>
    <w:semiHidden/>
    <w:unhideWhenUsed/>
    <w:rsid w:val="007947A9"/>
    <w:rPr>
      <w:color w:val="605E5C"/>
      <w:shd w:val="clear" w:color="auto" w:fill="E1DFDD"/>
    </w:rPr>
  </w:style>
  <w:style w:type="paragraph" w:styleId="Footer">
    <w:name w:val="footer"/>
    <w:basedOn w:val="Normal"/>
    <w:link w:val="FooterChar"/>
    <w:uiPriority w:val="99"/>
    <w:unhideWhenUsed/>
    <w:rsid w:val="00D868B2"/>
    <w:pPr>
      <w:tabs>
        <w:tab w:val="center" w:pos="4513"/>
        <w:tab w:val="right" w:pos="9026"/>
      </w:tabs>
    </w:pPr>
  </w:style>
  <w:style w:type="character" w:customStyle="1" w:styleId="FooterChar">
    <w:name w:val="Footer Char"/>
    <w:basedOn w:val="DefaultParagraphFont"/>
    <w:link w:val="Footer"/>
    <w:uiPriority w:val="99"/>
    <w:rsid w:val="00D868B2"/>
    <w:rPr>
      <w:rFonts w:ascii="Times New Roman" w:eastAsia="Times New Roman" w:hAnsi="Times New Roman" w:cs="Times New Roman"/>
    </w:rPr>
  </w:style>
  <w:style w:type="paragraph" w:styleId="NormalWeb">
    <w:name w:val="Normal (Web)"/>
    <w:basedOn w:val="Normal"/>
    <w:uiPriority w:val="99"/>
    <w:unhideWhenUsed/>
    <w:rsid w:val="009D7F7A"/>
    <w:rPr>
      <w:szCs w:val="24"/>
    </w:rPr>
  </w:style>
  <w:style w:type="character" w:styleId="FollowedHyperlink">
    <w:name w:val="FollowedHyperlink"/>
    <w:basedOn w:val="DefaultParagraphFont"/>
    <w:uiPriority w:val="99"/>
    <w:semiHidden/>
    <w:unhideWhenUsed/>
    <w:rsid w:val="000F11B8"/>
    <w:rPr>
      <w:color w:val="800080" w:themeColor="followedHyperlink"/>
      <w:u w:val="single"/>
    </w:rPr>
  </w:style>
  <w:style w:type="character" w:customStyle="1" w:styleId="Heading2Char">
    <w:name w:val="Heading 2 Char"/>
    <w:basedOn w:val="DefaultParagraphFont"/>
    <w:link w:val="Heading2"/>
    <w:uiPriority w:val="9"/>
    <w:rsid w:val="00712625"/>
    <w:rPr>
      <w:rFonts w:ascii="Times New Roman" w:eastAsia="Times New Roman" w:hAnsi="Times New Roman" w:cs="Times New Roman"/>
      <w:b/>
      <w:bCs/>
      <w:color w:val="0F243E" w:themeColor="text2" w:themeShade="80"/>
      <w:sz w:val="28"/>
      <w:szCs w:val="36"/>
      <w:lang w:bidi="bn-IN"/>
    </w:rPr>
  </w:style>
  <w:style w:type="character" w:customStyle="1" w:styleId="Heading3Char">
    <w:name w:val="Heading 3 Char"/>
    <w:basedOn w:val="DefaultParagraphFont"/>
    <w:link w:val="Heading3"/>
    <w:uiPriority w:val="9"/>
    <w:rsid w:val="0050486D"/>
    <w:rPr>
      <w:rFonts w:ascii="Times New Roman" w:eastAsia="Times New Roman" w:hAnsi="Times New Roman" w:cs="Times New Roman"/>
      <w:b/>
      <w:bCs/>
      <w:sz w:val="24"/>
      <w:szCs w:val="27"/>
      <w:lang w:bidi="bn-IN"/>
    </w:rPr>
  </w:style>
  <w:style w:type="character" w:styleId="Strong">
    <w:name w:val="Strong"/>
    <w:basedOn w:val="DefaultParagraphFont"/>
    <w:uiPriority w:val="22"/>
    <w:qFormat/>
    <w:rsid w:val="000636E4"/>
    <w:rPr>
      <w:b/>
      <w:bCs/>
    </w:rPr>
  </w:style>
  <w:style w:type="character" w:customStyle="1" w:styleId="whitespace-normal">
    <w:name w:val="whitespace-normal"/>
    <w:basedOn w:val="DefaultParagraphFont"/>
    <w:rsid w:val="000636E4"/>
  </w:style>
  <w:style w:type="character" w:customStyle="1" w:styleId="Heading1Char">
    <w:name w:val="Heading 1 Char"/>
    <w:basedOn w:val="DefaultParagraphFont"/>
    <w:link w:val="Heading1"/>
    <w:uiPriority w:val="9"/>
    <w:rsid w:val="00511E2C"/>
    <w:rPr>
      <w:rFonts w:ascii="Times New Roman" w:eastAsiaTheme="majorEastAsia" w:hAnsi="Times New Roman" w:cstheme="majorBidi"/>
      <w:b/>
      <w:color w:val="0F243E" w:themeColor="text2" w:themeShade="80"/>
      <w:sz w:val="36"/>
      <w:szCs w:val="32"/>
    </w:rPr>
  </w:style>
  <w:style w:type="paragraph" w:styleId="Caption">
    <w:name w:val="caption"/>
    <w:basedOn w:val="Normal"/>
    <w:next w:val="Normal"/>
    <w:uiPriority w:val="35"/>
    <w:unhideWhenUsed/>
    <w:qFormat/>
    <w:rsid w:val="00C94A45"/>
    <w:pPr>
      <w:spacing w:after="200"/>
    </w:pPr>
    <w:rPr>
      <w:i/>
      <w:iCs/>
      <w:color w:val="1F497D" w:themeColor="text2"/>
      <w:sz w:val="18"/>
      <w:szCs w:val="18"/>
    </w:rPr>
  </w:style>
  <w:style w:type="paragraph" w:styleId="TOCHeading">
    <w:name w:val="TOC Heading"/>
    <w:basedOn w:val="Heading1"/>
    <w:next w:val="Normal"/>
    <w:uiPriority w:val="39"/>
    <w:unhideWhenUsed/>
    <w:qFormat/>
    <w:rsid w:val="00F93DA3"/>
    <w:pPr>
      <w:widowControl/>
      <w:autoSpaceDE/>
      <w:autoSpaceDN/>
      <w:spacing w:line="259" w:lineRule="auto"/>
      <w:outlineLvl w:val="9"/>
    </w:pPr>
    <w:rPr>
      <w:rFonts w:asciiTheme="majorHAnsi" w:hAnsiTheme="majorHAnsi"/>
      <w:b w:val="0"/>
      <w:color w:val="365F91" w:themeColor="accent1" w:themeShade="BF"/>
      <w:sz w:val="32"/>
    </w:rPr>
  </w:style>
  <w:style w:type="paragraph" w:styleId="TOC1">
    <w:name w:val="toc 1"/>
    <w:basedOn w:val="Normal"/>
    <w:next w:val="Normal"/>
    <w:autoRedefine/>
    <w:uiPriority w:val="39"/>
    <w:unhideWhenUsed/>
    <w:rsid w:val="00C64AB7"/>
    <w:pPr>
      <w:tabs>
        <w:tab w:val="right" w:leader="dot" w:pos="9016"/>
      </w:tabs>
    </w:pPr>
    <w:rPr>
      <w:b/>
      <w:bCs/>
      <w:noProof/>
    </w:rPr>
  </w:style>
  <w:style w:type="paragraph" w:styleId="TOC2">
    <w:name w:val="toc 2"/>
    <w:basedOn w:val="Normal"/>
    <w:next w:val="Normal"/>
    <w:autoRedefine/>
    <w:uiPriority w:val="39"/>
    <w:unhideWhenUsed/>
    <w:rsid w:val="00F93DA3"/>
    <w:pPr>
      <w:spacing w:after="100"/>
      <w:ind w:left="220"/>
    </w:pPr>
  </w:style>
  <w:style w:type="character" w:customStyle="1" w:styleId="fontstyle01">
    <w:name w:val="fontstyle01"/>
    <w:basedOn w:val="DefaultParagraphFont"/>
    <w:rsid w:val="00226E47"/>
    <w:rPr>
      <w:rFonts w:ascii="Aptos" w:hAnsi="Aptos" w:hint="default"/>
      <w:b/>
      <w:bCs/>
      <w:i w:val="0"/>
      <w:iCs w:val="0"/>
      <w:color w:val="000000"/>
      <w:sz w:val="22"/>
      <w:szCs w:val="22"/>
    </w:rPr>
  </w:style>
  <w:style w:type="character" w:customStyle="1" w:styleId="muibox-root">
    <w:name w:val="muibox-root"/>
    <w:basedOn w:val="DefaultParagraphFont"/>
    <w:rsid w:val="00AE161F"/>
  </w:style>
  <w:style w:type="table" w:styleId="PlainTable1">
    <w:name w:val="Plain Table 1"/>
    <w:basedOn w:val="TableNormal"/>
    <w:uiPriority w:val="41"/>
    <w:rsid w:val="000B0BDB"/>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group-hoverentity-accent">
    <w:name w:val="group-hover:entity-accent"/>
    <w:basedOn w:val="DefaultParagraphFont"/>
    <w:rsid w:val="00A15B74"/>
  </w:style>
  <w:style w:type="paragraph" w:styleId="z-TopofForm">
    <w:name w:val="HTML Top of Form"/>
    <w:basedOn w:val="Normal"/>
    <w:next w:val="Normal"/>
    <w:link w:val="z-TopofFormChar"/>
    <w:hidden/>
    <w:uiPriority w:val="99"/>
    <w:semiHidden/>
    <w:unhideWhenUsed/>
    <w:rsid w:val="00A15B74"/>
    <w:pPr>
      <w:widowControl/>
      <w:pBdr>
        <w:bottom w:val="single" w:sz="6" w:space="1" w:color="auto"/>
      </w:pBdr>
      <w:autoSpaceDE/>
      <w:autoSpaceDN/>
      <w:spacing w:line="240" w:lineRule="auto"/>
      <w:jc w:val="center"/>
    </w:pPr>
    <w:rPr>
      <w:rFonts w:ascii="Arial" w:hAnsi="Arial" w:cs="Arial"/>
      <w:vanish/>
      <w:sz w:val="16"/>
      <w:szCs w:val="20"/>
      <w:lang w:bidi="bn-IN"/>
    </w:rPr>
  </w:style>
  <w:style w:type="character" w:customStyle="1" w:styleId="z-TopofFormChar">
    <w:name w:val="z-Top of Form Char"/>
    <w:basedOn w:val="DefaultParagraphFont"/>
    <w:link w:val="z-TopofForm"/>
    <w:uiPriority w:val="99"/>
    <w:semiHidden/>
    <w:rsid w:val="00A15B74"/>
    <w:rPr>
      <w:rFonts w:ascii="Arial" w:eastAsia="Times New Roman" w:hAnsi="Arial" w:cs="Arial"/>
      <w:vanish/>
      <w:sz w:val="16"/>
      <w:szCs w:val="20"/>
      <w:lang w:bidi="bn-IN"/>
    </w:rPr>
  </w:style>
  <w:style w:type="paragraph" w:styleId="z-BottomofForm">
    <w:name w:val="HTML Bottom of Form"/>
    <w:basedOn w:val="Normal"/>
    <w:next w:val="Normal"/>
    <w:link w:val="z-BottomofFormChar"/>
    <w:hidden/>
    <w:uiPriority w:val="99"/>
    <w:semiHidden/>
    <w:unhideWhenUsed/>
    <w:rsid w:val="00A15B74"/>
    <w:pPr>
      <w:widowControl/>
      <w:pBdr>
        <w:top w:val="single" w:sz="6" w:space="1" w:color="auto"/>
      </w:pBdr>
      <w:autoSpaceDE/>
      <w:autoSpaceDN/>
      <w:spacing w:line="240" w:lineRule="auto"/>
      <w:jc w:val="center"/>
    </w:pPr>
    <w:rPr>
      <w:rFonts w:ascii="Arial" w:hAnsi="Arial" w:cs="Arial"/>
      <w:vanish/>
      <w:sz w:val="16"/>
      <w:szCs w:val="20"/>
      <w:lang w:bidi="bn-IN"/>
    </w:rPr>
  </w:style>
  <w:style w:type="character" w:customStyle="1" w:styleId="z-BottomofFormChar">
    <w:name w:val="z-Bottom of Form Char"/>
    <w:basedOn w:val="DefaultParagraphFont"/>
    <w:link w:val="z-BottomofForm"/>
    <w:uiPriority w:val="99"/>
    <w:semiHidden/>
    <w:rsid w:val="00A15B74"/>
    <w:rPr>
      <w:rFonts w:ascii="Arial" w:eastAsia="Times New Roman" w:hAnsi="Arial" w:cs="Arial"/>
      <w:vanish/>
      <w:sz w:val="16"/>
      <w:szCs w:val="20"/>
      <w:lang w:bidi="bn-IN"/>
    </w:rPr>
  </w:style>
  <w:style w:type="paragraph" w:customStyle="1" w:styleId="placeholder">
    <w:name w:val="placeholder"/>
    <w:basedOn w:val="Normal"/>
    <w:rsid w:val="00731791"/>
    <w:pPr>
      <w:widowControl/>
      <w:autoSpaceDE/>
      <w:autoSpaceDN/>
      <w:spacing w:before="100" w:beforeAutospacing="1" w:after="100" w:afterAutospacing="1" w:line="240" w:lineRule="auto"/>
      <w:jc w:val="left"/>
    </w:pPr>
    <w:rPr>
      <w:szCs w:val="24"/>
      <w:lang w:bidi="bn-IN"/>
    </w:rPr>
  </w:style>
  <w:style w:type="table" w:styleId="TableGridLight">
    <w:name w:val="Grid Table Light"/>
    <w:basedOn w:val="TableNormal"/>
    <w:uiPriority w:val="40"/>
    <w:rsid w:val="00F9793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3">
    <w:name w:val="toc 3"/>
    <w:basedOn w:val="Normal"/>
    <w:next w:val="Normal"/>
    <w:autoRedefine/>
    <w:uiPriority w:val="39"/>
    <w:unhideWhenUsed/>
    <w:rsid w:val="00E97EF7"/>
    <w:pPr>
      <w:spacing w:after="100"/>
      <w:ind w:left="480"/>
    </w:pPr>
  </w:style>
  <w:style w:type="character" w:styleId="Emphasis">
    <w:name w:val="Emphasis"/>
    <w:basedOn w:val="DefaultParagraphFont"/>
    <w:uiPriority w:val="20"/>
    <w:qFormat/>
    <w:rsid w:val="00F358E0"/>
    <w:rPr>
      <w:i/>
      <w:iCs/>
    </w:rPr>
  </w:style>
  <w:style w:type="paragraph" w:customStyle="1" w:styleId="TableText">
    <w:name w:val="Table Text"/>
    <w:rsid w:val="004A376E"/>
    <w:pPr>
      <w:widowControl/>
      <w:autoSpaceDE/>
      <w:autoSpaceDN/>
    </w:pPr>
    <w:rPr>
      <w:rFonts w:ascii="Times New Roman" w:eastAsia="Times New Roman" w:hAnsi="Times New Roman"/>
      <w:sz w:val="18"/>
    </w:rPr>
  </w:style>
  <w:style w:type="paragraph" w:customStyle="1" w:styleId="FigureCaption">
    <w:name w:val="Figure Caption"/>
    <w:rsid w:val="004A376E"/>
    <w:pPr>
      <w:widowControl/>
      <w:autoSpaceDE/>
      <w:autoSpaceDN/>
      <w:spacing w:before="60" w:after="160" w:line="276" w:lineRule="auto"/>
      <w:jc w:val="center"/>
    </w:pPr>
    <w:rPr>
      <w:rFonts w:ascii="Times New Roman" w:eastAsia="Times New Roman" w:hAnsi="Times New Roman"/>
      <w:i/>
      <w:sz w:val="18"/>
    </w:rPr>
  </w:style>
  <w:style w:type="paragraph" w:customStyle="1" w:styleId="pdq2pgselectionanchorcontainer">
    <w:name w:val="pdq2pg_selectionanchorcontainer"/>
    <w:basedOn w:val="Normal"/>
    <w:rsid w:val="00C469C7"/>
    <w:pPr>
      <w:widowControl/>
      <w:autoSpaceDE/>
      <w:autoSpaceDN/>
      <w:spacing w:before="100" w:beforeAutospacing="1" w:after="100" w:afterAutospacing="1" w:line="240" w:lineRule="auto"/>
      <w:jc w:val="left"/>
    </w:pPr>
    <w:rPr>
      <w:szCs w:val="24"/>
      <w:lang w:bidi="bn-IN"/>
    </w:rPr>
  </w:style>
  <w:style w:type="paragraph" w:customStyle="1" w:styleId="SmallNote">
    <w:name w:val="Small Note"/>
    <w:rsid w:val="00A43F5E"/>
    <w:pPr>
      <w:widowControl/>
      <w:autoSpaceDE/>
      <w:autoSpaceDN/>
      <w:spacing w:after="60" w:line="276" w:lineRule="auto"/>
    </w:pPr>
    <w:rPr>
      <w:rFonts w:ascii="Aptos" w:eastAsiaTheme="minorEastAsia" w:hAnsi="Aptos"/>
      <w:i/>
      <w:sz w:val="18"/>
    </w:rPr>
  </w:style>
  <w:style w:type="table" w:styleId="GridTable2-Accent1">
    <w:name w:val="Grid Table 2 Accent 1"/>
    <w:basedOn w:val="TableNormal"/>
    <w:uiPriority w:val="47"/>
    <w:rsid w:val="001274D6"/>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2">
    <w:name w:val="Grid Table 2"/>
    <w:basedOn w:val="TableNormal"/>
    <w:uiPriority w:val="47"/>
    <w:rsid w:val="0021407E"/>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Spacing">
    <w:name w:val="No Spacing"/>
    <w:uiPriority w:val="1"/>
    <w:qFormat/>
    <w:rsid w:val="00AD6C48"/>
    <w:pPr>
      <w:jc w:val="both"/>
    </w:pPr>
    <w:rPr>
      <w:rFonts w:ascii="Times New Roman" w:eastAsia="Times New Roman" w:hAnsi="Times New Roman" w:cs="Times New Roman"/>
      <w:sz w:val="24"/>
    </w:rPr>
  </w:style>
  <w:style w:type="paragraph" w:customStyle="1" w:styleId="EntryHeading">
    <w:name w:val="Entry Heading"/>
    <w:rsid w:val="008D0224"/>
    <w:pPr>
      <w:keepNext/>
      <w:widowControl/>
      <w:autoSpaceDE/>
      <w:autoSpaceDN/>
      <w:spacing w:before="180" w:after="60" w:line="276" w:lineRule="auto"/>
    </w:pPr>
    <w:rPr>
      <w:rFonts w:ascii="Arial" w:eastAsiaTheme="minorEastAsia" w:hAnsi="Arial"/>
      <w:b/>
      <w:color w:val="1F4E79"/>
      <w:sz w:val="23"/>
    </w:rPr>
  </w:style>
  <w:style w:type="paragraph" w:customStyle="1" w:styleId="artifact-docx-previewheading1">
    <w:name w:val="artifact-docx-preview_heading1"/>
    <w:basedOn w:val="Normal"/>
    <w:rsid w:val="001241A8"/>
    <w:pPr>
      <w:widowControl/>
      <w:autoSpaceDE/>
      <w:autoSpaceDN/>
      <w:spacing w:before="100" w:beforeAutospacing="1" w:after="100" w:afterAutospacing="1" w:line="240" w:lineRule="auto"/>
      <w:jc w:val="left"/>
    </w:pPr>
    <w:rPr>
      <w:szCs w:val="24"/>
      <w:lang w:bidi="bn-IN"/>
    </w:rPr>
  </w:style>
  <w:style w:type="paragraph" w:customStyle="1" w:styleId="isselectedend">
    <w:name w:val="isselectedend"/>
    <w:basedOn w:val="Normal"/>
    <w:rsid w:val="00045061"/>
    <w:pPr>
      <w:widowControl/>
      <w:autoSpaceDE/>
      <w:autoSpaceDN/>
      <w:spacing w:before="100" w:beforeAutospacing="1" w:after="100" w:afterAutospacing="1" w:line="240" w:lineRule="auto"/>
      <w:jc w:val="left"/>
    </w:pPr>
    <w:rPr>
      <w:szCs w:val="24"/>
      <w:lang w:bidi="bn-IN"/>
    </w:rPr>
  </w:style>
  <w:style w:type="table" w:styleId="GridTable4">
    <w:name w:val="Grid Table 4"/>
    <w:basedOn w:val="TableNormal"/>
    <w:uiPriority w:val="49"/>
    <w:rsid w:val="00C76FB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artifact-docx-previewtitle">
    <w:name w:val="artifact-docx-preview_title"/>
    <w:basedOn w:val="Normal"/>
    <w:rsid w:val="003D3622"/>
    <w:pPr>
      <w:widowControl/>
      <w:autoSpaceDE/>
      <w:autoSpaceDN/>
      <w:spacing w:before="100" w:beforeAutospacing="1" w:after="100" w:afterAutospacing="1" w:line="240" w:lineRule="auto"/>
      <w:jc w:val="left"/>
    </w:pPr>
    <w:rPr>
      <w:szCs w:val="24"/>
      <w:lang w:bidi="bn-IN"/>
    </w:rPr>
  </w:style>
  <w:style w:type="paragraph" w:customStyle="1" w:styleId="artifact-docx-previewheading2">
    <w:name w:val="artifact-docx-preview_heading2"/>
    <w:basedOn w:val="Normal"/>
    <w:rsid w:val="003D3622"/>
    <w:pPr>
      <w:widowControl/>
      <w:autoSpaceDE/>
      <w:autoSpaceDN/>
      <w:spacing w:before="100" w:beforeAutospacing="1" w:after="100" w:afterAutospacing="1" w:line="240" w:lineRule="auto"/>
      <w:jc w:val="left"/>
    </w:pPr>
    <w:rPr>
      <w:szCs w:val="24"/>
      <w:lang w:bidi="bn-IN"/>
    </w:rPr>
  </w:style>
  <w:style w:type="paragraph" w:customStyle="1" w:styleId="artifact-docx-previewheading3">
    <w:name w:val="artifact-docx-preview_heading3"/>
    <w:basedOn w:val="Normal"/>
    <w:rsid w:val="003D3622"/>
    <w:pPr>
      <w:widowControl/>
      <w:autoSpaceDE/>
      <w:autoSpaceDN/>
      <w:spacing w:before="100" w:beforeAutospacing="1" w:after="100" w:afterAutospacing="1" w:line="240" w:lineRule="auto"/>
      <w:jc w:val="left"/>
    </w:pPr>
    <w:rPr>
      <w:szCs w:val="24"/>
      <w:lang w:bidi="b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799094">
      <w:bodyDiv w:val="1"/>
      <w:marLeft w:val="0"/>
      <w:marRight w:val="0"/>
      <w:marTop w:val="0"/>
      <w:marBottom w:val="0"/>
      <w:divBdr>
        <w:top w:val="none" w:sz="0" w:space="0" w:color="auto"/>
        <w:left w:val="none" w:sz="0" w:space="0" w:color="auto"/>
        <w:bottom w:val="none" w:sz="0" w:space="0" w:color="auto"/>
        <w:right w:val="none" w:sz="0" w:space="0" w:color="auto"/>
      </w:divBdr>
    </w:div>
    <w:div w:id="218441129">
      <w:bodyDiv w:val="1"/>
      <w:marLeft w:val="0"/>
      <w:marRight w:val="0"/>
      <w:marTop w:val="0"/>
      <w:marBottom w:val="0"/>
      <w:divBdr>
        <w:top w:val="none" w:sz="0" w:space="0" w:color="auto"/>
        <w:left w:val="none" w:sz="0" w:space="0" w:color="auto"/>
        <w:bottom w:val="none" w:sz="0" w:space="0" w:color="auto"/>
        <w:right w:val="none" w:sz="0" w:space="0" w:color="auto"/>
      </w:divBdr>
    </w:div>
    <w:div w:id="427622736">
      <w:bodyDiv w:val="1"/>
      <w:marLeft w:val="0"/>
      <w:marRight w:val="0"/>
      <w:marTop w:val="0"/>
      <w:marBottom w:val="0"/>
      <w:divBdr>
        <w:top w:val="none" w:sz="0" w:space="0" w:color="auto"/>
        <w:left w:val="none" w:sz="0" w:space="0" w:color="auto"/>
        <w:bottom w:val="none" w:sz="0" w:space="0" w:color="auto"/>
        <w:right w:val="none" w:sz="0" w:space="0" w:color="auto"/>
      </w:divBdr>
    </w:div>
    <w:div w:id="644552353">
      <w:bodyDiv w:val="1"/>
      <w:marLeft w:val="0"/>
      <w:marRight w:val="0"/>
      <w:marTop w:val="0"/>
      <w:marBottom w:val="0"/>
      <w:divBdr>
        <w:top w:val="none" w:sz="0" w:space="0" w:color="auto"/>
        <w:left w:val="none" w:sz="0" w:space="0" w:color="auto"/>
        <w:bottom w:val="none" w:sz="0" w:space="0" w:color="auto"/>
        <w:right w:val="none" w:sz="0" w:space="0" w:color="auto"/>
      </w:divBdr>
    </w:div>
    <w:div w:id="854348168">
      <w:bodyDiv w:val="1"/>
      <w:marLeft w:val="0"/>
      <w:marRight w:val="0"/>
      <w:marTop w:val="0"/>
      <w:marBottom w:val="0"/>
      <w:divBdr>
        <w:top w:val="none" w:sz="0" w:space="0" w:color="auto"/>
        <w:left w:val="none" w:sz="0" w:space="0" w:color="auto"/>
        <w:bottom w:val="none" w:sz="0" w:space="0" w:color="auto"/>
        <w:right w:val="none" w:sz="0" w:space="0" w:color="auto"/>
      </w:divBdr>
    </w:div>
    <w:div w:id="894463646">
      <w:bodyDiv w:val="1"/>
      <w:marLeft w:val="0"/>
      <w:marRight w:val="0"/>
      <w:marTop w:val="0"/>
      <w:marBottom w:val="0"/>
      <w:divBdr>
        <w:top w:val="none" w:sz="0" w:space="0" w:color="auto"/>
        <w:left w:val="none" w:sz="0" w:space="0" w:color="auto"/>
        <w:bottom w:val="none" w:sz="0" w:space="0" w:color="auto"/>
        <w:right w:val="none" w:sz="0" w:space="0" w:color="auto"/>
      </w:divBdr>
    </w:div>
    <w:div w:id="1034579642">
      <w:bodyDiv w:val="1"/>
      <w:marLeft w:val="0"/>
      <w:marRight w:val="0"/>
      <w:marTop w:val="0"/>
      <w:marBottom w:val="0"/>
      <w:divBdr>
        <w:top w:val="none" w:sz="0" w:space="0" w:color="auto"/>
        <w:left w:val="none" w:sz="0" w:space="0" w:color="auto"/>
        <w:bottom w:val="none" w:sz="0" w:space="0" w:color="auto"/>
        <w:right w:val="none" w:sz="0" w:space="0" w:color="auto"/>
      </w:divBdr>
    </w:div>
    <w:div w:id="1176574762">
      <w:bodyDiv w:val="1"/>
      <w:marLeft w:val="0"/>
      <w:marRight w:val="0"/>
      <w:marTop w:val="0"/>
      <w:marBottom w:val="0"/>
      <w:divBdr>
        <w:top w:val="none" w:sz="0" w:space="0" w:color="auto"/>
        <w:left w:val="none" w:sz="0" w:space="0" w:color="auto"/>
        <w:bottom w:val="none" w:sz="0" w:space="0" w:color="auto"/>
        <w:right w:val="none" w:sz="0" w:space="0" w:color="auto"/>
      </w:divBdr>
    </w:div>
    <w:div w:id="1568610644">
      <w:bodyDiv w:val="1"/>
      <w:marLeft w:val="0"/>
      <w:marRight w:val="0"/>
      <w:marTop w:val="0"/>
      <w:marBottom w:val="0"/>
      <w:divBdr>
        <w:top w:val="none" w:sz="0" w:space="0" w:color="auto"/>
        <w:left w:val="none" w:sz="0" w:space="0" w:color="auto"/>
        <w:bottom w:val="none" w:sz="0" w:space="0" w:color="auto"/>
        <w:right w:val="none" w:sz="0" w:space="0" w:color="auto"/>
      </w:divBdr>
      <w:divsChild>
        <w:div w:id="1608805772">
          <w:marLeft w:val="547"/>
          <w:marRight w:val="0"/>
          <w:marTop w:val="96"/>
          <w:marBottom w:val="0"/>
          <w:divBdr>
            <w:top w:val="none" w:sz="0" w:space="0" w:color="auto"/>
            <w:left w:val="none" w:sz="0" w:space="0" w:color="auto"/>
            <w:bottom w:val="none" w:sz="0" w:space="0" w:color="auto"/>
            <w:right w:val="none" w:sz="0" w:space="0" w:color="auto"/>
          </w:divBdr>
        </w:div>
        <w:div w:id="1922525475">
          <w:marLeft w:val="547"/>
          <w:marRight w:val="0"/>
          <w:marTop w:val="96"/>
          <w:marBottom w:val="0"/>
          <w:divBdr>
            <w:top w:val="none" w:sz="0" w:space="0" w:color="auto"/>
            <w:left w:val="none" w:sz="0" w:space="0" w:color="auto"/>
            <w:bottom w:val="none" w:sz="0" w:space="0" w:color="auto"/>
            <w:right w:val="none" w:sz="0" w:space="0" w:color="auto"/>
          </w:divBdr>
        </w:div>
        <w:div w:id="397363781">
          <w:marLeft w:val="547"/>
          <w:marRight w:val="0"/>
          <w:marTop w:val="96"/>
          <w:marBottom w:val="0"/>
          <w:divBdr>
            <w:top w:val="none" w:sz="0" w:space="0" w:color="auto"/>
            <w:left w:val="none" w:sz="0" w:space="0" w:color="auto"/>
            <w:bottom w:val="none" w:sz="0" w:space="0" w:color="auto"/>
            <w:right w:val="none" w:sz="0" w:space="0" w:color="auto"/>
          </w:divBdr>
        </w:div>
      </w:divsChild>
    </w:div>
    <w:div w:id="1717972150">
      <w:bodyDiv w:val="1"/>
      <w:marLeft w:val="0"/>
      <w:marRight w:val="0"/>
      <w:marTop w:val="0"/>
      <w:marBottom w:val="0"/>
      <w:divBdr>
        <w:top w:val="none" w:sz="0" w:space="0" w:color="auto"/>
        <w:left w:val="none" w:sz="0" w:space="0" w:color="auto"/>
        <w:bottom w:val="none" w:sz="0" w:space="0" w:color="auto"/>
        <w:right w:val="none" w:sz="0" w:space="0" w:color="auto"/>
      </w:divBdr>
    </w:div>
    <w:div w:id="20866033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2.xml"/><Relationship Id="rId18" Type="http://schemas.openxmlformats.org/officeDocument/2006/relationships/hyperlink" Target="https://doi.org/10.1111/soc4.13218" TargetMode="External"/><Relationship Id="rId26" Type="http://schemas.openxmlformats.org/officeDocument/2006/relationships/hyperlink" Target="https://global.toyota/pages/global_toyota/ir/financial-results/2027_1q_summary_en.pdf" TargetMode="External"/><Relationship Id="rId3" Type="http://schemas.openxmlformats.org/officeDocument/2006/relationships/styles" Target="styles.xml"/><Relationship Id="rId21" Type="http://schemas.openxmlformats.org/officeDocument/2006/relationships/hyperlink" Target="https://doi.org/10.1016/j.iedeen.2023.100230"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doi.org/10.3390/su16041570" TargetMode="External"/><Relationship Id="rId25" Type="http://schemas.openxmlformats.org/officeDocument/2006/relationships/hyperlink" Target="https://global.toyota/pages/global_toyota/ir/library/sec/20-F_202603_final.pdf" TargetMode="External"/><Relationship Id="rId33" Type="http://schemas.microsoft.com/office/2020/10/relationships/intelligence" Target="intelligence2.xml"/><Relationship Id="rId2" Type="http://schemas.openxmlformats.org/officeDocument/2006/relationships/numbering" Target="numbering.xml"/><Relationship Id="rId16" Type="http://schemas.openxmlformats.org/officeDocument/2006/relationships/hyperlink" Target="https://www.iea.org/reports/global-ev-outlook-2026" TargetMode="External"/><Relationship Id="rId20" Type="http://schemas.openxmlformats.org/officeDocument/2006/relationships/hyperlink" Target="https://doi.org/10.3390/su14074000"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https://global.toyota/en/ir/library/annual/"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108/IJPPM-03-2025-0181" TargetMode="External"/><Relationship Id="rId23" Type="http://schemas.openxmlformats.org/officeDocument/2006/relationships/hyperlink" Target="https://doi.org/10.1016/j.iedeen.2024.100242" TargetMode="External"/><Relationship Id="rId28" Type="http://schemas.openxmlformats.org/officeDocument/2006/relationships/footer" Target="footer1.xml"/><Relationship Id="rId10" Type="http://schemas.openxmlformats.org/officeDocument/2006/relationships/chart" Target="charts/chart1.xml"/><Relationship Id="rId19" Type="http://schemas.openxmlformats.org/officeDocument/2006/relationships/hyperlink" Target="https://doi.org/10.1016/j.techfore.2020.120343"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oi.org/10.1177/014920639101700108" TargetMode="External"/><Relationship Id="rId22" Type="http://schemas.openxmlformats.org/officeDocument/2006/relationships/hyperlink" Target="https://hbr.org/2008/01/the-five-competitive-forces-that-shape-strategy" TargetMode="External"/><Relationship Id="rId27" Type="http://schemas.openxmlformats.org/officeDocument/2006/relationships/hyperlink" Target="https://global.toyota/en/sustainability/report/sdb/" TargetMode="External"/><Relationship Id="rId30" Type="http://schemas.openxmlformats.org/officeDocument/2006/relationships/footer" Target="footer2.xml"/><Relationship Id="rId8"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file:///C:\Users\kasmi\Downloads\Toyota_Report_Data_and_Chart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kasmi\Downloads\Toyota_Report_Data_and_Chart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r>
              <a:rPr lang="en-US" sz="1400"/>
              <a:t>Toyota Q1 FY2027 Year-on-Year Change</a:t>
            </a:r>
          </a:p>
        </c:rich>
      </c:tx>
      <c:layout>
        <c:manualLayout>
          <c:xMode val="edge"/>
          <c:yMode val="edge"/>
          <c:x val="0.13840010996988716"/>
          <c:y val="0"/>
        </c:manualLayout>
      </c:layout>
      <c:overlay val="1"/>
      <c:spPr>
        <a:noFill/>
        <a:ln>
          <a:noFill/>
        </a:ln>
        <a:effectLst/>
      </c:spPr>
    </c:title>
    <c:autoTitleDeleted val="0"/>
    <c:plotArea>
      <c:layout/>
      <c:barChart>
        <c:barDir val="col"/>
        <c:grouping val="clustered"/>
        <c:varyColors val="0"/>
        <c:ser>
          <c:idx val="0"/>
          <c:order val="0"/>
          <c:tx>
            <c:v>Year-on-year change (%)</c:v>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1"/>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'Q1 FY2027 Performance'!$A$2:$A$5</c:f>
              <c:strCache>
                <c:ptCount val="4"/>
                <c:pt idx="0">
                  <c:v>Sales revenue</c:v>
                </c:pt>
                <c:pt idx="1">
                  <c:v>Operating income</c:v>
                </c:pt>
                <c:pt idx="2">
                  <c:v>Automotive revenue</c:v>
                </c:pt>
                <c:pt idx="3">
                  <c:v>Automotive operating income</c:v>
                </c:pt>
              </c:strCache>
            </c:strRef>
          </c:cat>
          <c:val>
            <c:numRef>
              <c:f>'Q1 FY2027 Performance'!$B$2:$B$5</c:f>
              <c:numCache>
                <c:formatCode>0.0"%"</c:formatCode>
                <c:ptCount val="4"/>
                <c:pt idx="0">
                  <c:v>10.4</c:v>
                </c:pt>
                <c:pt idx="1">
                  <c:v>-8.8000000000000007</c:v>
                </c:pt>
                <c:pt idx="2">
                  <c:v>8.8000000000000007</c:v>
                </c:pt>
                <c:pt idx="3">
                  <c:v>-21</c:v>
                </c:pt>
              </c:numCache>
            </c:numRef>
          </c:val>
          <c:extLst>
            <c:ext xmlns:c16="http://schemas.microsoft.com/office/drawing/2014/chart" uri="{C3380CC4-5D6E-409C-BE32-E72D297353CC}">
              <c16:uniqueId val="{00000000-57EC-4225-AA08-95E40B5B0110}"/>
            </c:ext>
          </c:extLst>
        </c:ser>
        <c:dLbls>
          <c:dLblPos val="inEnd"/>
          <c:showLegendKey val="0"/>
          <c:showVal val="1"/>
          <c:showCatName val="0"/>
          <c:showSerName val="0"/>
          <c:showPercent val="0"/>
          <c:showBubbleSize val="0"/>
        </c:dLbls>
        <c:gapWidth val="41"/>
        <c:axId val="48650112"/>
        <c:axId val="48672768"/>
      </c:barChart>
      <c:catAx>
        <c:axId val="4865011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48672768"/>
        <c:crosses val="autoZero"/>
        <c:auto val="1"/>
        <c:lblAlgn val="ctr"/>
        <c:lblOffset val="100"/>
        <c:noMultiLvlLbl val="0"/>
      </c:catAx>
      <c:valAx>
        <c:axId val="48672768"/>
        <c:scaling>
          <c:orientation val="minMax"/>
        </c:scaling>
        <c:delete val="1"/>
        <c:axPos val="l"/>
        <c:numFmt formatCode="0.0&quot;%&quot;" sourceLinked="1"/>
        <c:majorTickMark val="none"/>
        <c:minorTickMark val="none"/>
        <c:tickLblPos val="nextTo"/>
        <c:crossAx val="48650112"/>
        <c:crosses val="autoZero"/>
        <c:crossBetween val="between"/>
      </c:valAx>
      <c:spPr>
        <a:noFill/>
        <a:ln>
          <a:noFill/>
        </a:ln>
        <a:effectLst/>
      </c:spPr>
    </c:plotArea>
    <c:plotVisOnly val="1"/>
    <c:dispBlanksAs val="zero"/>
    <c:showDLblsOverMax val="1"/>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r>
              <a:rPr lang="en-US" sz="1400"/>
              <a:t>Global EV Market Context, 2025</a:t>
            </a:r>
          </a:p>
        </c:rich>
      </c:tx>
      <c:overlay val="1"/>
      <c:spPr>
        <a:noFill/>
        <a:ln>
          <a:noFill/>
        </a:ln>
        <a:effectLst/>
      </c:spPr>
    </c:title>
    <c:autoTitleDeleted val="0"/>
    <c:plotArea>
      <c:layout/>
      <c:barChart>
        <c:barDir val="col"/>
        <c:grouping val="clustered"/>
        <c:varyColors val="0"/>
        <c:ser>
          <c:idx val="0"/>
          <c:order val="0"/>
          <c:tx>
            <c:v>Value (%)</c:v>
          </c:tx>
          <c:spPr>
            <a:solidFill>
              <a:srgbClr val="156082"/>
            </a:solidFill>
            <a:ln>
              <a:noFill/>
            </a:ln>
            <a:effectLst/>
          </c:spPr>
          <c:invertIfNegative val="1"/>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'EV Market Context'!$A$2:$A$4</c:f>
              <c:strCache>
                <c:ptCount val="3"/>
                <c:pt idx="0">
                  <c:v>EV share of global new-car sales</c:v>
                </c:pt>
                <c:pt idx="1">
                  <c:v>Chinese automakers' share of global EV sales</c:v>
                </c:pt>
                <c:pt idx="2">
                  <c:v>China's share of global EV production</c:v>
                </c:pt>
              </c:strCache>
            </c:strRef>
          </c:cat>
          <c:val>
            <c:numRef>
              <c:f>'EV Market Context'!$B$2:$B$4</c:f>
              <c:numCache>
                <c:formatCode>0"%"</c:formatCode>
                <c:ptCount val="3"/>
                <c:pt idx="0">
                  <c:v>25</c:v>
                </c:pt>
                <c:pt idx="1">
                  <c:v>60</c:v>
                </c:pt>
                <c:pt idx="2">
                  <c:v>75</c:v>
                </c:pt>
              </c:numCache>
            </c:numRef>
          </c:val>
          <c:extLst>
            <c:ext xmlns:c14="http://schemas.microsoft.com/office/drawing/2007/8/2/chart" uri="{6F2FDCE9-48DA-4B69-8628-5D25D57E5C99}">
              <c14:invertSolidFillFmt>
                <c14:spPr xmlns:c14="http://schemas.microsoft.com/office/drawing/2007/8/2/chart">
                  <a:solidFill>
                    <a:srgbClr val="FFFFFF"/>
                  </a:solidFill>
                  <a:ln>
                    <a:noFill/>
                  </a:ln>
                  <a:effectLst/>
                </c14:spPr>
              </c14:invertSolidFillFmt>
            </c:ext>
            <c:ext xmlns:c16="http://schemas.microsoft.com/office/drawing/2014/chart" uri="{C3380CC4-5D6E-409C-BE32-E72D297353CC}">
              <c16:uniqueId val="{00000000-2C8A-41A9-A224-528D68878A32}"/>
            </c:ext>
          </c:extLst>
        </c:ser>
        <c:dLbls>
          <c:dLblPos val="inEnd"/>
          <c:showLegendKey val="0"/>
          <c:showVal val="1"/>
          <c:showCatName val="0"/>
          <c:showSerName val="0"/>
          <c:showPercent val="0"/>
          <c:showBubbleSize val="0"/>
        </c:dLbls>
        <c:gapWidth val="267"/>
        <c:overlap val="-43"/>
        <c:axId val="48650112"/>
        <c:axId val="48672768"/>
      </c:barChart>
      <c:catAx>
        <c:axId val="48650112"/>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48672768"/>
        <c:crosses val="autoZero"/>
        <c:auto val="1"/>
        <c:lblAlgn val="ctr"/>
        <c:lblOffset val="100"/>
        <c:noMultiLvlLbl val="0"/>
      </c:catAx>
      <c:valAx>
        <c:axId val="48672768"/>
        <c:scaling>
          <c:orientation val="minMax"/>
        </c:scaling>
        <c:delete val="0"/>
        <c:axPos val="l"/>
        <c:majorGridlines>
          <c:spPr>
            <a:ln w="9525" cap="flat" cmpd="sng" algn="ctr">
              <a:solidFill>
                <a:schemeClr val="dk1">
                  <a:lumMod val="15000"/>
                  <a:lumOff val="85000"/>
                </a:schemeClr>
              </a:solidFill>
              <a:round/>
            </a:ln>
            <a:effectLst/>
          </c:spPr>
        </c:majorGridlines>
        <c:numFmt formatCode="0&quot;%&quot;"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48650112"/>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zero"/>
    <c:showDLblsOverMax val="1"/>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C952FE-4F39-4922-938A-52A3245C39AB}">
  <ds:schemaRefs>
    <ds:schemaRef ds:uri="http://schemas.openxmlformats.org/officeDocument/2006/bibliography"/>
  </ds:schemaRefs>
</ds:datastoreItem>
</file>

<file path=docMetadata/LabelInfo.xml><?xml version="1.0" encoding="utf-8"?>
<clbl:labelList xmlns:clbl="http://schemas.microsoft.com/office/2020/mipLabelMetadata">
  <clbl:label id="{8412d91d-9e36-4b7b-9f0e-6cb709942add}" enabled="1" method="Standard" siteId="{e8549c2e-0d2e-4560-9591-3186755fc587}" removed="0"/>
</clbl:labelList>
</file>

<file path=docProps/app.xml><?xml version="1.0" encoding="utf-8"?>
<Properties xmlns="http://schemas.openxmlformats.org/officeDocument/2006/extended-properties" xmlns:vt="http://schemas.openxmlformats.org/officeDocument/2006/docPropsVTypes">
  <Template>Normal</Template>
  <TotalTime>3</TotalTime>
  <Pages>15</Pages>
  <Words>3340</Words>
  <Characters>19044</Characters>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2026-08-17T12:09:00Z</dcterms:created>
  <dcterms:modified xsi:type="dcterms:W3CDTF">2026-08-17T12:13:00Z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2025-02-18T00:00:00Z</vt:filetime>
  </property>
  <property fmtid="{D5CDD505-2E9C-101B-9397-08002B2CF9AE}" pid="3" name="Creator">
    <vt:lpwstr>Microsoft® Word for Microsoft 365</vt:lpwstr>
  </property>
  <property fmtid="{D5CDD505-2E9C-101B-9397-08002B2CF9AE}" pid="4" name="LastSaved">
    <vt:filetime>2025-02-27T00:00:00Z</vt:filetime>
  </property>
  <property fmtid="{D5CDD505-2E9C-101B-9397-08002B2CF9AE}" pid="5" name="Producer">
    <vt:lpwstr>Microsoft® Word for Microsoft 365</vt:lpwstr>
  </property>
</Properties>
</file>