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747BFE" w14:textId="7A9ED766" w:rsidR="006143E7" w:rsidRDefault="00C06E3C" w:rsidP="00093AA5">
      <w:pPr>
        <w:tabs>
          <w:tab w:val="left" w:pos="6540"/>
        </w:tabs>
        <w:spacing w:line="360" w:lineRule="auto"/>
        <w:ind w:left="426"/>
        <w:rPr>
          <w:rFonts w:ascii="Aptos" w:hAnsi="Aptos" w:cs="Arial"/>
          <w:b/>
          <w:bCs/>
          <w:sz w:val="28"/>
          <w:szCs w:val="28"/>
          <w:lang w:val="en-GB"/>
        </w:rPr>
      </w:pPr>
      <w:r>
        <w:rPr>
          <w:rFonts w:ascii="Aptos" w:hAnsi="Aptos" w:cs="Arial"/>
          <w:b/>
          <w:bCs/>
          <w:sz w:val="28"/>
          <w:szCs w:val="28"/>
          <w:lang w:val="en-GB"/>
        </w:rPr>
        <w:t xml:space="preserve">Component 2 written report </w:t>
      </w:r>
    </w:p>
    <w:p w14:paraId="47ADB66D" w14:textId="1A46BD42" w:rsidR="006143E7" w:rsidRPr="00026A8B" w:rsidRDefault="00E2296D" w:rsidP="006143E7">
      <w:pPr>
        <w:tabs>
          <w:tab w:val="left" w:pos="6540"/>
        </w:tabs>
        <w:spacing w:line="360" w:lineRule="auto"/>
        <w:ind w:left="426"/>
        <w:rPr>
          <w:rFonts w:ascii="Aptos" w:hAnsi="Aptos" w:cs="Arial"/>
          <w:sz w:val="28"/>
          <w:szCs w:val="28"/>
          <w:lang w:val="en-GB"/>
        </w:rPr>
      </w:pPr>
      <w:r w:rsidRPr="00026A8B">
        <w:rPr>
          <w:rFonts w:ascii="Aptos" w:hAnsi="Aptos" w:cs="Arial"/>
          <w:b/>
          <w:bCs/>
          <w:sz w:val="28"/>
          <w:szCs w:val="28"/>
          <w:lang w:val="en-GB"/>
        </w:rPr>
        <w:t>Student name</w:t>
      </w:r>
      <w:r w:rsidRPr="00026A8B">
        <w:rPr>
          <w:rFonts w:ascii="Aptos" w:hAnsi="Aptos" w:cs="Arial"/>
          <w:sz w:val="28"/>
          <w:szCs w:val="28"/>
          <w:lang w:val="en-GB"/>
        </w:rPr>
        <w:t xml:space="preserve">: Samina Choglay </w:t>
      </w:r>
    </w:p>
    <w:p w14:paraId="710CF4BD" w14:textId="512412D0" w:rsidR="00E2296D" w:rsidRPr="00096034" w:rsidRDefault="00E2296D" w:rsidP="00096034">
      <w:pPr>
        <w:tabs>
          <w:tab w:val="left" w:pos="6540"/>
        </w:tabs>
        <w:spacing w:line="360" w:lineRule="auto"/>
        <w:ind w:left="426"/>
        <w:rPr>
          <w:rFonts w:ascii="Aptos" w:hAnsi="Aptos" w:cs="Arial"/>
          <w:sz w:val="28"/>
          <w:szCs w:val="28"/>
          <w:lang w:val="en-GB"/>
        </w:rPr>
      </w:pPr>
      <w:r w:rsidRPr="00026A8B">
        <w:rPr>
          <w:rFonts w:ascii="Aptos" w:hAnsi="Aptos" w:cs="Arial"/>
          <w:b/>
          <w:bCs/>
          <w:sz w:val="28"/>
          <w:szCs w:val="28"/>
          <w:lang w:val="en-GB"/>
        </w:rPr>
        <w:t>Student ID</w:t>
      </w:r>
      <w:r w:rsidRPr="00026A8B">
        <w:rPr>
          <w:rFonts w:ascii="Aptos" w:hAnsi="Aptos" w:cs="Arial"/>
          <w:sz w:val="28"/>
          <w:szCs w:val="28"/>
          <w:lang w:val="en-GB"/>
        </w:rPr>
        <w:t>:2220785</w:t>
      </w:r>
    </w:p>
    <w:p w14:paraId="1915F3B8" w14:textId="4A37FBC2" w:rsidR="00E2296D" w:rsidRPr="00026A8B" w:rsidRDefault="00E2296D" w:rsidP="00E2296D">
      <w:pPr>
        <w:tabs>
          <w:tab w:val="left" w:pos="6540"/>
        </w:tabs>
        <w:spacing w:line="360" w:lineRule="auto"/>
        <w:ind w:left="426"/>
        <w:rPr>
          <w:rFonts w:ascii="Aptos" w:hAnsi="Aptos" w:cs="Arial"/>
          <w:sz w:val="28"/>
          <w:szCs w:val="28"/>
          <w:lang w:val="en-GB"/>
        </w:rPr>
      </w:pPr>
      <w:r w:rsidRPr="00026A8B">
        <w:rPr>
          <w:rFonts w:ascii="Aptos" w:hAnsi="Aptos" w:cs="Arial"/>
          <w:b/>
          <w:bCs/>
          <w:sz w:val="28"/>
          <w:szCs w:val="28"/>
          <w:lang w:val="en-GB"/>
        </w:rPr>
        <w:t>Module name</w:t>
      </w:r>
      <w:r w:rsidRPr="00026A8B">
        <w:rPr>
          <w:rFonts w:ascii="Aptos" w:hAnsi="Aptos" w:cs="Arial"/>
          <w:sz w:val="28"/>
          <w:szCs w:val="28"/>
          <w:lang w:val="en-GB"/>
        </w:rPr>
        <w:t xml:space="preserve">: </w:t>
      </w:r>
      <w:r w:rsidR="00096034">
        <w:rPr>
          <w:rFonts w:ascii="Aptos" w:hAnsi="Aptos" w:cs="Arial"/>
          <w:sz w:val="28"/>
          <w:szCs w:val="28"/>
          <w:lang w:val="en-GB"/>
        </w:rPr>
        <w:t>Health,</w:t>
      </w:r>
      <w:r w:rsidR="004206B7">
        <w:rPr>
          <w:rFonts w:ascii="Aptos" w:hAnsi="Aptos" w:cs="Arial"/>
          <w:sz w:val="28"/>
          <w:szCs w:val="28"/>
          <w:lang w:val="en-GB"/>
        </w:rPr>
        <w:t xml:space="preserve"> </w:t>
      </w:r>
      <w:r w:rsidR="00026094">
        <w:rPr>
          <w:rFonts w:ascii="Aptos" w:hAnsi="Aptos" w:cs="Arial"/>
          <w:sz w:val="28"/>
          <w:szCs w:val="28"/>
          <w:lang w:val="en-GB"/>
        </w:rPr>
        <w:t>wellbeing,</w:t>
      </w:r>
      <w:r w:rsidR="004206B7">
        <w:rPr>
          <w:rFonts w:ascii="Aptos" w:hAnsi="Aptos" w:cs="Arial"/>
          <w:sz w:val="28"/>
          <w:szCs w:val="28"/>
          <w:lang w:val="en-GB"/>
        </w:rPr>
        <w:t xml:space="preserve"> and </w:t>
      </w:r>
      <w:r w:rsidR="00096034">
        <w:rPr>
          <w:rFonts w:ascii="Aptos" w:hAnsi="Aptos" w:cs="Arial"/>
          <w:sz w:val="28"/>
          <w:szCs w:val="28"/>
          <w:lang w:val="en-GB"/>
        </w:rPr>
        <w:t xml:space="preserve">sustainable Development </w:t>
      </w:r>
    </w:p>
    <w:p w14:paraId="7A339376" w14:textId="7CE40958" w:rsidR="00092F92" w:rsidRDefault="00E2296D" w:rsidP="00E2296D">
      <w:pPr>
        <w:tabs>
          <w:tab w:val="left" w:pos="6540"/>
        </w:tabs>
        <w:spacing w:line="360" w:lineRule="auto"/>
        <w:ind w:left="426"/>
        <w:rPr>
          <w:rFonts w:ascii="Aptos" w:hAnsi="Aptos" w:cs="Arial"/>
          <w:sz w:val="28"/>
          <w:szCs w:val="28"/>
        </w:rPr>
      </w:pPr>
      <w:r w:rsidRPr="00C31D85">
        <w:rPr>
          <w:rFonts w:ascii="Aptos" w:hAnsi="Aptos" w:cs="Arial"/>
          <w:b/>
          <w:bCs/>
          <w:sz w:val="28"/>
          <w:szCs w:val="28"/>
        </w:rPr>
        <w:t>Module code</w:t>
      </w:r>
      <w:r w:rsidRPr="00C31D85">
        <w:rPr>
          <w:rFonts w:ascii="Aptos" w:hAnsi="Aptos" w:cs="Arial"/>
          <w:sz w:val="28"/>
          <w:szCs w:val="28"/>
        </w:rPr>
        <w:t>:</w:t>
      </w:r>
      <w:r>
        <w:rPr>
          <w:rFonts w:ascii="Aptos" w:hAnsi="Aptos" w:cs="Arial"/>
          <w:sz w:val="28"/>
          <w:szCs w:val="28"/>
        </w:rPr>
        <w:t xml:space="preserve"> BMHP60</w:t>
      </w:r>
      <w:r w:rsidR="00096034">
        <w:rPr>
          <w:rFonts w:ascii="Aptos" w:hAnsi="Aptos" w:cs="Arial"/>
          <w:sz w:val="28"/>
          <w:szCs w:val="28"/>
        </w:rPr>
        <w:t>30</w:t>
      </w:r>
    </w:p>
    <w:p w14:paraId="53476DFA" w14:textId="77777777" w:rsidR="00092F92" w:rsidRDefault="00092F92">
      <w:pPr>
        <w:spacing w:after="160" w:line="259" w:lineRule="auto"/>
        <w:rPr>
          <w:rFonts w:ascii="Aptos" w:hAnsi="Aptos" w:cs="Arial"/>
          <w:sz w:val="28"/>
          <w:szCs w:val="28"/>
        </w:rPr>
      </w:pPr>
      <w:r>
        <w:rPr>
          <w:rFonts w:ascii="Aptos" w:hAnsi="Aptos" w:cs="Arial"/>
          <w:sz w:val="28"/>
          <w:szCs w:val="28"/>
        </w:rPr>
        <w:br w:type="page"/>
      </w:r>
    </w:p>
    <w:p w14:paraId="70D9F307" w14:textId="33E1942B" w:rsidR="00A941E6" w:rsidRDefault="00A941E6" w:rsidP="00D96A39">
      <w:pPr>
        <w:pStyle w:val="Heading1"/>
      </w:pPr>
      <w:r>
        <w:lastRenderedPageBreak/>
        <w:t xml:space="preserve">Introduction </w:t>
      </w:r>
    </w:p>
    <w:p w14:paraId="50E3EE23" w14:textId="77777777" w:rsidR="00A941E6" w:rsidRDefault="00A941E6" w:rsidP="00092F92">
      <w:pPr>
        <w:rPr>
          <w:rFonts w:ascii="Arial" w:hAnsi="Arial" w:cs="Arial"/>
          <w:lang w:val="en-GB"/>
        </w:rPr>
      </w:pPr>
    </w:p>
    <w:p w14:paraId="1F0931AA" w14:textId="5926FD07" w:rsidR="00C80332" w:rsidRDefault="002B7221" w:rsidP="00D96A39">
      <w:pPr>
        <w:spacing w:line="360" w:lineRule="auto"/>
        <w:rPr>
          <w:rFonts w:ascii="Arial" w:hAnsi="Arial" w:cs="Arial"/>
        </w:rPr>
      </w:pPr>
      <w:r w:rsidRPr="002B7221">
        <w:rPr>
          <w:rFonts w:ascii="Arial" w:hAnsi="Arial" w:cs="Arial"/>
        </w:rPr>
        <w:t>This report analyses global, national, and local health and sustainability policies focusing on Sustainable Development Goal (SDG) 3: Good Health and Wellbeing, and SDG 6: Clean Water and Sanitation. Established in 2015, the UN SDGs provide a global framework to address social, economic, and environmental challenges by 2030. SDG 3 promotes health for all, while SDG 6 ensures access to safe water and sanitation—both are interlinked, as clean water and hygiene are essential for disease prevention and reducing global health inequalities</w:t>
      </w:r>
      <w:r w:rsidR="00341E67">
        <w:rPr>
          <w:rFonts w:ascii="Arial" w:hAnsi="Arial" w:cs="Arial"/>
          <w:lang w:val="en-GB"/>
        </w:rPr>
        <w:t xml:space="preserve"> </w:t>
      </w:r>
      <w:r w:rsidR="00C80332" w:rsidRPr="00C80332">
        <w:rPr>
          <w:rFonts w:ascii="Arial" w:hAnsi="Arial" w:cs="Arial"/>
        </w:rPr>
        <w:t>(Sweileh, 2020)</w:t>
      </w:r>
      <w:r w:rsidR="00C80332">
        <w:rPr>
          <w:rFonts w:ascii="Arial" w:hAnsi="Arial" w:cs="Arial"/>
        </w:rPr>
        <w:t>.</w:t>
      </w:r>
    </w:p>
    <w:p w14:paraId="6527E740" w14:textId="275D6F31" w:rsidR="005E3F94" w:rsidRDefault="0038637B" w:rsidP="001E2776">
      <w:pPr>
        <w:spacing w:line="360" w:lineRule="auto"/>
        <w:rPr>
          <w:rFonts w:ascii="Arial" w:hAnsi="Arial" w:cs="Arial"/>
        </w:rPr>
      </w:pPr>
      <w:r w:rsidRPr="0038637B">
        <w:rPr>
          <w:rFonts w:ascii="Arial" w:hAnsi="Arial" w:cs="Arial"/>
        </w:rPr>
        <w:t>The report emphasises the need to integrate health, sanitation, and water policies to ensure fair and sustainable development. It explores how national strategies, such as the NHS Long Term Plan and the UK’s 25 Year Environment Plan, are shaped by global initiatives from the WHO and UN. It also considers how local authorities and Integrated Care Systems (ICSs) can improve water quality and sanitation to support health and environmental well-being, concluding with recommendations to enhance collaboration and sustainability.</w:t>
      </w:r>
      <w:r w:rsidR="001E2776">
        <w:rPr>
          <w:rFonts w:ascii="Arial" w:hAnsi="Arial" w:cs="Arial"/>
          <w:lang w:val="en-GB"/>
        </w:rPr>
        <w:t xml:space="preserve"> </w:t>
      </w:r>
      <w:r w:rsidR="001E2776" w:rsidRPr="001E2776">
        <w:rPr>
          <w:rFonts w:ascii="Arial" w:hAnsi="Arial" w:cs="Arial"/>
        </w:rPr>
        <w:t>(Herrera, 2019)</w:t>
      </w:r>
      <w:r w:rsidR="005E3F94">
        <w:rPr>
          <w:rFonts w:ascii="Arial" w:hAnsi="Arial" w:cs="Arial"/>
        </w:rPr>
        <w:t>.</w:t>
      </w:r>
    </w:p>
    <w:p w14:paraId="26D5F009" w14:textId="77777777" w:rsidR="00A319F9" w:rsidRDefault="00A319F9" w:rsidP="005E3F94">
      <w:pPr>
        <w:pStyle w:val="Heading1"/>
      </w:pPr>
    </w:p>
    <w:p w14:paraId="4056F4AF" w14:textId="5DC9EEAB" w:rsidR="003B66BB" w:rsidRPr="001517F4" w:rsidRDefault="00A5582C" w:rsidP="005E3F94">
      <w:pPr>
        <w:pStyle w:val="Heading1"/>
      </w:pPr>
      <w:r w:rsidRPr="001517F4">
        <w:t>Section 1: SDG 3 – Good Health and Wellbeing</w:t>
      </w:r>
    </w:p>
    <w:p w14:paraId="25C0A9F4" w14:textId="393D8487" w:rsidR="00A5582C" w:rsidRDefault="00617944" w:rsidP="00A5582C">
      <w:pPr>
        <w:rPr>
          <w:rFonts w:ascii="Arial" w:hAnsi="Arial" w:cs="Arial"/>
          <w:b/>
          <w:bCs/>
        </w:rPr>
      </w:pPr>
      <w:r w:rsidRPr="00617944">
        <w:rPr>
          <w:rFonts w:ascii="Arial" w:hAnsi="Arial" w:cs="Arial"/>
          <w:b/>
          <w:bCs/>
        </w:rPr>
        <w:t xml:space="preserve">Overview </w:t>
      </w:r>
    </w:p>
    <w:p w14:paraId="19DD941B" w14:textId="790C7E76" w:rsidR="00D6281B" w:rsidRPr="006F70C2" w:rsidRDefault="0055064B" w:rsidP="001517F4">
      <w:pPr>
        <w:spacing w:line="360" w:lineRule="auto"/>
        <w:rPr>
          <w:rFonts w:ascii="Arial" w:hAnsi="Arial" w:cs="Arial"/>
        </w:rPr>
      </w:pPr>
      <w:r w:rsidRPr="0055064B">
        <w:rPr>
          <w:rFonts w:ascii="Arial" w:hAnsi="Arial" w:cs="Arial"/>
        </w:rPr>
        <w:t>As stated by the United Nations (2015), Sustainable Development Goal 3 aims to “ensure healthy lives and promote wellbeing for all at all ages.” Good health supports education, employment, and social participation, making it vital for sustainable development. Global progress has been achieved in life expectancy, disease prevention, and maternal and child health. However, inequalities persist, with millions still lacking access to essential healthcare and facing financial hardship from medical costs. The World Health Organization (WHO) warns that vulnerable populations, particularly in low- and middle-income countries, remain at risk, and progress toward achieving Universal Health Coverage (UHC) continues to be uneven</w:t>
      </w:r>
      <w:r w:rsidR="00D6281B" w:rsidRPr="00D6281B">
        <w:rPr>
          <w:rFonts w:ascii="Arial" w:hAnsi="Arial" w:cs="Arial"/>
          <w:lang w:val="en-GB"/>
        </w:rPr>
        <w:t xml:space="preserve"> (WHO, 2023).</w:t>
      </w:r>
    </w:p>
    <w:p w14:paraId="4FB67A3A" w14:textId="1832753F" w:rsidR="00C80332" w:rsidRDefault="00D44DE7" w:rsidP="001517F4">
      <w:pPr>
        <w:spacing w:line="360" w:lineRule="auto"/>
        <w:rPr>
          <w:rFonts w:ascii="Arial" w:hAnsi="Arial" w:cs="Arial"/>
        </w:rPr>
      </w:pPr>
      <w:r w:rsidRPr="00D44DE7">
        <w:rPr>
          <w:rFonts w:ascii="Arial" w:hAnsi="Arial" w:cs="Arial"/>
          <w:lang w:val="en-GB"/>
        </w:rPr>
        <w:t xml:space="preserve">The reduction of maternal and infant mortality, the fight against infectious and non-communicable illnesses, the promotion of mental health, and the guarantee of universal access to medical care and medications are all important goals of SDG 3. Although social, economic, and environmental issues have a significant impact on health outcomes, it also </w:t>
      </w:r>
      <w:r w:rsidRPr="00D44DE7">
        <w:rPr>
          <w:rFonts w:ascii="Arial" w:hAnsi="Arial" w:cs="Arial"/>
          <w:lang w:val="en-GB"/>
        </w:rPr>
        <w:lastRenderedPageBreak/>
        <w:t>has tight relationships to other SDGs, including SDG 1 (No Poverty), SDG 6 (Clean Water and Sanitation), and SDG 10 (Reduced Inequalities)</w:t>
      </w:r>
      <w:r w:rsidR="001B2017">
        <w:rPr>
          <w:rFonts w:ascii="Arial" w:hAnsi="Arial" w:cs="Arial"/>
          <w:lang w:val="en-GB"/>
        </w:rPr>
        <w:t xml:space="preserve"> </w:t>
      </w:r>
      <w:r w:rsidR="00A3609C" w:rsidRPr="00A3609C">
        <w:rPr>
          <w:rFonts w:ascii="Arial" w:hAnsi="Arial" w:cs="Arial"/>
        </w:rPr>
        <w:t>(Akselrod et al., 2023)</w:t>
      </w:r>
      <w:r w:rsidR="000737C1">
        <w:rPr>
          <w:rFonts w:ascii="Arial" w:hAnsi="Arial" w:cs="Arial"/>
        </w:rPr>
        <w:t>.</w:t>
      </w:r>
    </w:p>
    <w:p w14:paraId="299CE94D" w14:textId="77777777" w:rsidR="00CA64E7" w:rsidRDefault="00D51613" w:rsidP="00CA64E7">
      <w:pPr>
        <w:spacing w:after="160" w:line="259" w:lineRule="auto"/>
        <w:rPr>
          <w:rFonts w:ascii="Arial" w:hAnsi="Arial" w:cs="Arial"/>
          <w:b/>
          <w:bCs/>
        </w:rPr>
      </w:pPr>
      <w:r w:rsidRPr="00D51613">
        <w:rPr>
          <w:rFonts w:ascii="Arial" w:hAnsi="Arial" w:cs="Arial"/>
          <w:b/>
          <w:bCs/>
        </w:rPr>
        <w:t>Global Policies and Initiatives</w:t>
      </w:r>
    </w:p>
    <w:p w14:paraId="0F8CC08F" w14:textId="692DEF88" w:rsidR="008E4FE0" w:rsidRPr="002E5031" w:rsidRDefault="002E5031" w:rsidP="002E5031">
      <w:pPr>
        <w:spacing w:after="160" w:line="360" w:lineRule="auto"/>
        <w:rPr>
          <w:rFonts w:ascii="Arial" w:hAnsi="Arial" w:cs="Arial"/>
        </w:rPr>
      </w:pPr>
      <w:r w:rsidRPr="002E5031">
        <w:rPr>
          <w:rFonts w:ascii="Arial" w:hAnsi="Arial" w:cs="Arial"/>
        </w:rPr>
        <w:t>The World Health Organization (WHO) leads global efforts to achieve Universal Health Coverage (UHC), a key part of SDG 3: Good Health and Wellbeing. UHC ensures access to essential healthcare without financial hardship. Partnerships like the World Bank’s Health Systems Strengthening Initiative and the WHO UHC Partnership support countries in improving health planning, financing, and workforce capacity</w:t>
      </w:r>
      <w:r w:rsidR="008E4FE0" w:rsidRPr="008E4FE0">
        <w:rPr>
          <w:rFonts w:ascii="Arial" w:hAnsi="Arial" w:cs="Arial"/>
          <w:lang w:val="en-GB"/>
        </w:rPr>
        <w:t xml:space="preserve"> (Mohieldin and Shehata, 2021).</w:t>
      </w:r>
    </w:p>
    <w:p w14:paraId="25C3D6A3" w14:textId="77777777" w:rsidR="008E4FE0" w:rsidRPr="008E4FE0" w:rsidRDefault="008E4FE0" w:rsidP="002E5031">
      <w:pPr>
        <w:spacing w:line="360" w:lineRule="auto"/>
        <w:rPr>
          <w:rFonts w:ascii="Arial" w:hAnsi="Arial" w:cs="Arial"/>
          <w:lang w:val="en-GB"/>
        </w:rPr>
      </w:pPr>
      <w:r w:rsidRPr="008E4FE0">
        <w:rPr>
          <w:rFonts w:ascii="Arial" w:hAnsi="Arial" w:cs="Arial"/>
          <w:lang w:val="en-GB"/>
        </w:rPr>
        <w:t>The Social Model of Health underpins UHC by recognising that social, economic, and environmental factors—such as poverty, housing, education, and clean water—impact health outcomes. Addressing these determinants requires cross-sector cooperation and equitable global policy.</w:t>
      </w:r>
    </w:p>
    <w:p w14:paraId="136B5911" w14:textId="386E16F8" w:rsidR="00D97A34" w:rsidRPr="007954F5" w:rsidRDefault="008E4FE0" w:rsidP="002E5031">
      <w:pPr>
        <w:spacing w:line="360" w:lineRule="auto"/>
        <w:rPr>
          <w:rFonts w:ascii="Arial" w:hAnsi="Arial" w:cs="Arial"/>
        </w:rPr>
      </w:pPr>
      <w:r w:rsidRPr="008E4FE0">
        <w:rPr>
          <w:rFonts w:ascii="Arial" w:hAnsi="Arial" w:cs="Arial"/>
          <w:lang w:val="en-GB"/>
        </w:rPr>
        <w:t xml:space="preserve">At the national level, UHC is implemented through systems like the UK’s National Health Service (NHS), which provides free healthcare at the point of use. The Health Belief Model (HBM) complements this by encouraging preventive behaviours through increased awareness of health risks and benefits, empowering </w:t>
      </w:r>
      <w:r w:rsidR="00026094" w:rsidRPr="008E4FE0">
        <w:rPr>
          <w:rFonts w:ascii="Arial" w:hAnsi="Arial" w:cs="Arial"/>
          <w:lang w:val="en-GB"/>
        </w:rPr>
        <w:t>individuals,</w:t>
      </w:r>
      <w:r w:rsidRPr="008E4FE0">
        <w:rPr>
          <w:rFonts w:ascii="Arial" w:hAnsi="Arial" w:cs="Arial"/>
          <w:lang w:val="en-GB"/>
        </w:rPr>
        <w:t xml:space="preserve"> and communities to take greater responsibility for their health</w:t>
      </w:r>
      <w:r w:rsidRPr="007954F5">
        <w:rPr>
          <w:rFonts w:ascii="Arial" w:hAnsi="Arial" w:cs="Arial"/>
          <w:lang w:val="en-GB"/>
        </w:rPr>
        <w:t xml:space="preserve"> and safety</w:t>
      </w:r>
      <w:r w:rsidR="00F9158D" w:rsidRPr="007954F5">
        <w:rPr>
          <w:rFonts w:ascii="Arial" w:hAnsi="Arial" w:cs="Arial"/>
          <w:lang w:val="en-GB"/>
        </w:rPr>
        <w:t xml:space="preserve"> </w:t>
      </w:r>
      <w:r w:rsidR="00F9158D" w:rsidRPr="007954F5">
        <w:rPr>
          <w:rFonts w:ascii="Arial" w:hAnsi="Arial" w:cs="Arial"/>
        </w:rPr>
        <w:t>(Collins et al., 2023).</w:t>
      </w:r>
    </w:p>
    <w:p w14:paraId="410FACE8" w14:textId="77777777" w:rsidR="003166D1" w:rsidRDefault="003166D1" w:rsidP="00DA34ED">
      <w:pPr>
        <w:rPr>
          <w:rFonts w:ascii="Arial" w:hAnsi="Arial" w:cs="Arial"/>
          <w:b/>
          <w:bCs/>
        </w:rPr>
      </w:pPr>
    </w:p>
    <w:p w14:paraId="261C30DC" w14:textId="77777777" w:rsidR="00BA22A6" w:rsidRDefault="00BA22A6" w:rsidP="00DA34ED">
      <w:pPr>
        <w:rPr>
          <w:rFonts w:ascii="Arial" w:hAnsi="Arial" w:cs="Arial"/>
          <w:b/>
          <w:bCs/>
        </w:rPr>
      </w:pPr>
    </w:p>
    <w:p w14:paraId="77661901" w14:textId="2310F072" w:rsidR="008F6E85" w:rsidRDefault="00CA105D" w:rsidP="008F6E85">
      <w:pPr>
        <w:rPr>
          <w:rFonts w:ascii="Arial" w:hAnsi="Arial" w:cs="Arial"/>
          <w:b/>
          <w:bCs/>
        </w:rPr>
      </w:pPr>
      <w:r w:rsidRPr="00DA34ED">
        <w:rPr>
          <w:rFonts w:ascii="Arial" w:hAnsi="Arial" w:cs="Arial"/>
          <w:b/>
          <w:bCs/>
        </w:rPr>
        <w:t xml:space="preserve">National Policies and Initiatives </w:t>
      </w:r>
    </w:p>
    <w:p w14:paraId="2C4E2985" w14:textId="015EBE45" w:rsidR="00BA22A6" w:rsidRPr="00BA22A6" w:rsidRDefault="00BA22A6" w:rsidP="00BA22A6">
      <w:pPr>
        <w:spacing w:line="360" w:lineRule="auto"/>
        <w:rPr>
          <w:rFonts w:ascii="Arial" w:hAnsi="Arial" w:cs="Arial"/>
          <w:lang w:val="en-GB"/>
        </w:rPr>
      </w:pPr>
      <w:r w:rsidRPr="00BA22A6">
        <w:rPr>
          <w:rFonts w:ascii="Arial" w:hAnsi="Arial" w:cs="Arial"/>
          <w:lang w:val="en-GB"/>
        </w:rPr>
        <w:t xml:space="preserve">The National Health Service (NHS), which provides free healthcare at the point of use, plays </w:t>
      </w:r>
      <w:r w:rsidR="00026094" w:rsidRPr="00BA22A6">
        <w:rPr>
          <w:rFonts w:ascii="Arial" w:hAnsi="Arial" w:cs="Arial"/>
          <w:lang w:val="en-GB"/>
        </w:rPr>
        <w:t>a vital role</w:t>
      </w:r>
      <w:r w:rsidRPr="00BA22A6">
        <w:rPr>
          <w:rFonts w:ascii="Arial" w:hAnsi="Arial" w:cs="Arial"/>
          <w:lang w:val="en-GB"/>
        </w:rPr>
        <w:t xml:space="preserve"> in achieving Universal Health Coverage (UHC) in the UK. Aligned with SDG 3: Good Health and Wellbeing, the NHS Long Term Plan (2019) outlines a ten-year strategy to improve population health, reduce inequalities, and enhance overall wellbeing. Its main objectives include disease prevention, expanding community-based care, improving mental health services, and supporting</w:t>
      </w:r>
      <w:r w:rsidR="00672D01" w:rsidRPr="00672D01">
        <w:rPr>
          <w:rFonts w:ascii="Times New Roman" w:eastAsia="Times New Roman" w:hAnsi="Times New Roman" w:cs="Times New Roman"/>
          <w:sz w:val="24"/>
          <w:szCs w:val="24"/>
          <w:lang w:val="en-GB" w:eastAsia="en-GB"/>
        </w:rPr>
        <w:t xml:space="preserve"> </w:t>
      </w:r>
      <w:r w:rsidR="00672D01" w:rsidRPr="00672D01">
        <w:rPr>
          <w:rFonts w:ascii="Arial" w:hAnsi="Arial" w:cs="Arial"/>
          <w:lang w:val="en-GB"/>
        </w:rPr>
        <w:t>Individuals with long-term illnesses like diabetes</w:t>
      </w:r>
      <w:r w:rsidR="00672D01">
        <w:rPr>
          <w:rFonts w:ascii="Arial" w:hAnsi="Arial" w:cs="Arial"/>
          <w:lang w:val="en-GB"/>
        </w:rPr>
        <w:t xml:space="preserve"> ,</w:t>
      </w:r>
      <w:r w:rsidRPr="00BA22A6">
        <w:rPr>
          <w:rFonts w:ascii="Arial" w:hAnsi="Arial" w:cs="Arial"/>
          <w:lang w:val="en-GB"/>
        </w:rPr>
        <w:t>cancer, and cardiovascular disease (NCD Alliance, 2025).</w:t>
      </w:r>
    </w:p>
    <w:p w14:paraId="153BC67E" w14:textId="283C9525" w:rsidR="000303AC" w:rsidRPr="000303AC" w:rsidRDefault="00BA22A6" w:rsidP="000303AC">
      <w:pPr>
        <w:spacing w:line="360" w:lineRule="auto"/>
        <w:rPr>
          <w:rFonts w:ascii="Arial" w:hAnsi="Arial" w:cs="Arial"/>
          <w:lang w:val="en-GB"/>
        </w:rPr>
      </w:pPr>
      <w:r w:rsidRPr="00BA22A6">
        <w:rPr>
          <w:rFonts w:ascii="Arial" w:hAnsi="Arial" w:cs="Arial"/>
          <w:lang w:val="en-GB"/>
        </w:rPr>
        <w:t>Since its implementation, notable progress has been made. Access to mental health services has improved through better crisis care and early intervention, while the</w:t>
      </w:r>
      <w:r w:rsidR="000303AC" w:rsidRPr="000303AC">
        <w:rPr>
          <w:rFonts w:ascii="Arial" w:hAnsi="Arial" w:cs="Arial"/>
          <w:lang w:val="en-GB"/>
        </w:rPr>
        <w:t xml:space="preserve"> NHS Diabetes Prevention Programme has assisted thousands of people in lowering their type 2 diabetes risk.</w:t>
      </w:r>
    </w:p>
    <w:p w14:paraId="4D9B9CE6" w14:textId="313A86B2" w:rsidR="00BA22A6" w:rsidRPr="00BA22A6" w:rsidRDefault="00BA22A6" w:rsidP="00BA22A6">
      <w:pPr>
        <w:spacing w:line="360" w:lineRule="auto"/>
        <w:rPr>
          <w:rFonts w:ascii="Arial" w:hAnsi="Arial" w:cs="Arial"/>
          <w:lang w:val="en-GB"/>
        </w:rPr>
      </w:pPr>
      <w:r w:rsidRPr="00BA22A6">
        <w:rPr>
          <w:rFonts w:ascii="Arial" w:hAnsi="Arial" w:cs="Arial"/>
          <w:lang w:val="en-GB"/>
        </w:rPr>
        <w:lastRenderedPageBreak/>
        <w:t>through lifestyle changes. The COVID-19 pandemic further accelerated advancements in vaccination coverage and digital healthcare (Thorlby et al., 2021).</w:t>
      </w:r>
    </w:p>
    <w:p w14:paraId="3472AACA" w14:textId="0D4E0E50" w:rsidR="001302A2" w:rsidRPr="00A51CE7" w:rsidRDefault="00BA22A6" w:rsidP="00A51CE7">
      <w:pPr>
        <w:spacing w:line="360" w:lineRule="auto"/>
        <w:rPr>
          <w:rFonts w:ascii="Arial" w:hAnsi="Arial" w:cs="Arial"/>
          <w:lang w:val="en-GB"/>
        </w:rPr>
      </w:pPr>
      <w:r w:rsidRPr="00BA22A6">
        <w:rPr>
          <w:rFonts w:ascii="Arial" w:hAnsi="Arial" w:cs="Arial"/>
          <w:lang w:val="en-GB"/>
        </w:rPr>
        <w:t xml:space="preserve">The plan’s emphasis on prevention aligns closely with the Health Belief Model (Rosenstock, 1974), which suggests that individuals’ perceptions of risk, benefits, and barriers influence their health behaviours. Campaigns such as </w:t>
      </w:r>
      <w:r w:rsidRPr="00BA22A6">
        <w:rPr>
          <w:rFonts w:ascii="Arial" w:hAnsi="Arial" w:cs="Arial"/>
          <w:i/>
          <w:iCs/>
          <w:lang w:val="en-GB"/>
        </w:rPr>
        <w:t>“Every Mind Matters”</w:t>
      </w:r>
      <w:r w:rsidRPr="00BA22A6">
        <w:rPr>
          <w:rFonts w:ascii="Arial" w:hAnsi="Arial" w:cs="Arial"/>
          <w:lang w:val="en-GB"/>
        </w:rPr>
        <w:t xml:space="preserve"> and national smoking cessation initiatives use this model to promote healthier choices. However, persistent challenges—such as workforce shortages, regional disparities, and underfunded community care—continue to hinder the full realisation of the plan’s aims</w:t>
      </w:r>
      <w:r>
        <w:rPr>
          <w:rFonts w:ascii="Arial" w:hAnsi="Arial" w:cs="Arial"/>
          <w:lang w:val="en-GB"/>
        </w:rPr>
        <w:t xml:space="preserve"> </w:t>
      </w:r>
      <w:r w:rsidR="000F445F" w:rsidRPr="00B40B0B">
        <w:rPr>
          <w:rFonts w:ascii="Arial" w:hAnsi="Arial" w:cs="Arial"/>
        </w:rPr>
        <w:t>(</w:t>
      </w:r>
      <w:r w:rsidR="00B40B0B" w:rsidRPr="00B40B0B">
        <w:rPr>
          <w:rFonts w:ascii="Arial" w:hAnsi="Arial" w:cs="Arial"/>
        </w:rPr>
        <w:t>Charles et al., 2019)</w:t>
      </w:r>
      <w:r w:rsidR="000F445F">
        <w:rPr>
          <w:rFonts w:ascii="Arial" w:hAnsi="Arial" w:cs="Arial"/>
        </w:rPr>
        <w:t>.</w:t>
      </w:r>
    </w:p>
    <w:p w14:paraId="0859A21F" w14:textId="77777777" w:rsidR="001302A2" w:rsidRDefault="001302A2" w:rsidP="00084A5C">
      <w:pPr>
        <w:rPr>
          <w:rFonts w:ascii="Arial" w:hAnsi="Arial" w:cs="Arial"/>
          <w:b/>
          <w:bCs/>
        </w:rPr>
      </w:pPr>
    </w:p>
    <w:p w14:paraId="17D67822" w14:textId="5C5128E6" w:rsidR="00AA473E" w:rsidRDefault="00233D6D" w:rsidP="00084A5C">
      <w:pPr>
        <w:rPr>
          <w:rFonts w:ascii="Arial" w:hAnsi="Arial" w:cs="Arial"/>
          <w:b/>
          <w:bCs/>
        </w:rPr>
      </w:pPr>
      <w:r w:rsidRPr="00233D6D">
        <w:rPr>
          <w:rFonts w:ascii="Arial" w:hAnsi="Arial" w:cs="Arial"/>
          <w:b/>
          <w:bCs/>
        </w:rPr>
        <w:t>Local Policies and Initiatives</w:t>
      </w:r>
    </w:p>
    <w:p w14:paraId="1A6E6D95" w14:textId="77777777" w:rsidR="005546A7" w:rsidRDefault="005546A7" w:rsidP="00084A5C">
      <w:pPr>
        <w:rPr>
          <w:rFonts w:ascii="Arial" w:hAnsi="Arial" w:cs="Arial"/>
          <w:b/>
          <w:bCs/>
        </w:rPr>
      </w:pPr>
    </w:p>
    <w:p w14:paraId="379045E6" w14:textId="77777777" w:rsidR="002E3B04" w:rsidRPr="002E3B04" w:rsidRDefault="002E3B04" w:rsidP="002E3B04">
      <w:pPr>
        <w:spacing w:line="360" w:lineRule="auto"/>
        <w:rPr>
          <w:rFonts w:ascii="Arial" w:hAnsi="Arial" w:cs="Arial"/>
          <w:lang w:val="en-GB"/>
        </w:rPr>
      </w:pPr>
      <w:r w:rsidRPr="002E3B04">
        <w:rPr>
          <w:rFonts w:ascii="Arial" w:hAnsi="Arial" w:cs="Arial"/>
          <w:lang w:val="en-GB"/>
        </w:rPr>
        <w:t>In Birmingham, SDG 3: Good Health and Wellbeing is advanced through the Birmingham and Solihull Integrated Care System (ICS) and the Birmingham Health and Wellbeing Board. These organisations work collaboratively to deliver integrated, person-centred care, reduce inequalities, and improve overall population health. The ICS targets key local challenges such as obesity, mental ill health, and long-term conditions, which are more prevalent in deprived areas.</w:t>
      </w:r>
    </w:p>
    <w:p w14:paraId="34D65189" w14:textId="77777777" w:rsidR="002E3B04" w:rsidRDefault="002E3B04" w:rsidP="002E3B04">
      <w:pPr>
        <w:spacing w:line="360" w:lineRule="auto"/>
        <w:rPr>
          <w:rFonts w:ascii="Arial" w:hAnsi="Arial" w:cs="Arial"/>
          <w:lang w:val="en-GB"/>
        </w:rPr>
      </w:pPr>
      <w:r w:rsidRPr="002E3B04">
        <w:rPr>
          <w:rFonts w:ascii="Arial" w:hAnsi="Arial" w:cs="Arial"/>
          <w:lang w:val="en-GB"/>
        </w:rPr>
        <w:t>The Birmingham Health and Wellbeing Strategy (2023–2030) aims to create “a fairer, healthier city” by focusing on prevention, early intervention, and community empowerment. Local initiatives like Healthy Brum promote physical activity, immunisation, and mental wellbeing, supporting the NHS Long Term Plan’s prevention and population health priorities (Alderwick and Dixon, 2019).</w:t>
      </w:r>
    </w:p>
    <w:p w14:paraId="69141F1D" w14:textId="77777777" w:rsidR="005C15F8" w:rsidRPr="005C15F8" w:rsidRDefault="005C15F8" w:rsidP="005C15F8">
      <w:pPr>
        <w:spacing w:line="360" w:lineRule="auto"/>
        <w:rPr>
          <w:rFonts w:ascii="Arial" w:hAnsi="Arial" w:cs="Arial"/>
          <w:lang w:val="en-GB"/>
        </w:rPr>
      </w:pPr>
      <w:r w:rsidRPr="005C15F8">
        <w:rPr>
          <w:rFonts w:ascii="Arial" w:hAnsi="Arial" w:cs="Arial"/>
          <w:lang w:val="en-GB"/>
        </w:rPr>
        <w:t>The Health Belief Model (Rosenstock, 1974) informs local health campaigns on vaccination, healthy eating, and smoking cessation, raising awareness of risks and benefits to encourage healthier lifestyles. Despite this, life expectancy in Birmingham varies by up to ten years. The ICS aims to reduce these disparities through integrated, culturally competent collaboration across housing, healthcare, education, and community services.</w:t>
      </w:r>
    </w:p>
    <w:p w14:paraId="3D596784" w14:textId="77777777" w:rsidR="005C15F8" w:rsidRDefault="005C15F8" w:rsidP="002E3B04">
      <w:pPr>
        <w:spacing w:line="360" w:lineRule="auto"/>
        <w:rPr>
          <w:rFonts w:ascii="Arial" w:hAnsi="Arial" w:cs="Arial"/>
          <w:lang w:val="en-GB"/>
        </w:rPr>
      </w:pPr>
    </w:p>
    <w:p w14:paraId="4E7B8C3B" w14:textId="77777777" w:rsidR="008E6CFF" w:rsidRDefault="008E6CFF" w:rsidP="002E3B04">
      <w:pPr>
        <w:spacing w:line="360" w:lineRule="auto"/>
        <w:rPr>
          <w:rFonts w:ascii="Arial" w:hAnsi="Arial" w:cs="Arial"/>
          <w:lang w:val="en-GB"/>
        </w:rPr>
      </w:pPr>
    </w:p>
    <w:p w14:paraId="736AAA4C" w14:textId="77777777" w:rsidR="008E6CFF" w:rsidRDefault="008E6CFF" w:rsidP="002E3B04">
      <w:pPr>
        <w:spacing w:line="360" w:lineRule="auto"/>
        <w:rPr>
          <w:rFonts w:ascii="Arial" w:hAnsi="Arial" w:cs="Arial"/>
          <w:lang w:val="en-GB"/>
        </w:rPr>
      </w:pPr>
    </w:p>
    <w:p w14:paraId="51D568AD" w14:textId="77777777" w:rsidR="005C15F8" w:rsidRPr="002E3B04" w:rsidRDefault="005C15F8" w:rsidP="002E3B04">
      <w:pPr>
        <w:spacing w:line="360" w:lineRule="auto"/>
        <w:rPr>
          <w:rFonts w:ascii="Arial" w:hAnsi="Arial" w:cs="Arial"/>
          <w:lang w:val="en-GB"/>
        </w:rPr>
      </w:pPr>
    </w:p>
    <w:p w14:paraId="2A825089" w14:textId="47EA62A0" w:rsidR="00AA473E" w:rsidRPr="002E3B04" w:rsidRDefault="00AA473E" w:rsidP="002E3B04">
      <w:pPr>
        <w:spacing w:line="360" w:lineRule="auto"/>
        <w:rPr>
          <w:rFonts w:ascii="Arial" w:hAnsi="Arial" w:cs="Arial"/>
          <w:b/>
          <w:bCs/>
          <w:lang w:val="en-GB"/>
        </w:rPr>
      </w:pPr>
    </w:p>
    <w:p w14:paraId="40FD9DB5" w14:textId="77777777" w:rsidR="00E744A8" w:rsidRPr="00E744A8" w:rsidRDefault="00E744A8" w:rsidP="00084A5C">
      <w:pPr>
        <w:rPr>
          <w:rFonts w:ascii="Arial" w:hAnsi="Arial" w:cs="Arial"/>
        </w:rPr>
      </w:pPr>
    </w:p>
    <w:p w14:paraId="3FA196CF" w14:textId="77777777" w:rsidR="002D550B" w:rsidRDefault="009F394D" w:rsidP="00154B79">
      <w:pPr>
        <w:spacing w:line="360" w:lineRule="auto"/>
        <w:rPr>
          <w:rFonts w:ascii="Arial" w:hAnsi="Arial" w:cs="Arial"/>
          <w:b/>
          <w:bCs/>
        </w:rPr>
      </w:pPr>
      <w:r w:rsidRPr="00154B79">
        <w:rPr>
          <w:rFonts w:ascii="Arial" w:hAnsi="Arial" w:cs="Arial"/>
          <w:b/>
          <w:bCs/>
        </w:rPr>
        <w:t>Critical Evaluation and Recommendations</w:t>
      </w:r>
    </w:p>
    <w:p w14:paraId="3C3D7FF7" w14:textId="66196F67" w:rsidR="00806182" w:rsidRDefault="002D550B" w:rsidP="00154B79">
      <w:pPr>
        <w:spacing w:line="360" w:lineRule="auto"/>
        <w:rPr>
          <w:rFonts w:ascii="Arial" w:hAnsi="Arial" w:cs="Arial"/>
        </w:rPr>
      </w:pPr>
      <w:r w:rsidRPr="002D550B">
        <w:rPr>
          <w:rFonts w:ascii="Arial" w:hAnsi="Arial" w:cs="Arial"/>
          <w:lang w:val="en-GB"/>
        </w:rPr>
        <w:t xml:space="preserve">The NHS Long Term Plan (2019) offers an accurate framework for meeting SDG 3: Good Health and Wellbeing by lowering health disparities, preventing illness, and intervening early. It seeks to promote healthier lives, enhance mental health treatments, and move services from hospitals to communities. These goals are </w:t>
      </w:r>
      <w:r w:rsidR="00026094" w:rsidRPr="002D550B">
        <w:rPr>
          <w:rFonts w:ascii="Arial" w:hAnsi="Arial" w:cs="Arial"/>
          <w:lang w:val="en-GB"/>
        </w:rPr>
        <w:t>conducted</w:t>
      </w:r>
      <w:r w:rsidRPr="002D550B">
        <w:rPr>
          <w:rFonts w:ascii="Arial" w:hAnsi="Arial" w:cs="Arial"/>
          <w:lang w:val="en-GB"/>
        </w:rPr>
        <w:t xml:space="preserve"> in Birmingham through the Birmingham Health and Wellbeing Strategy (2023–2030) and the Birmingham and Solihull Integrated Care System (ICS). Together, they concentrate on addressing significant regional issues including diabetes, obesity, and disparities in mental health</w:t>
      </w:r>
      <w:r w:rsidR="00DD76B0">
        <w:rPr>
          <w:rFonts w:ascii="Arial" w:hAnsi="Arial" w:cs="Arial"/>
          <w:lang w:val="en-GB"/>
        </w:rPr>
        <w:t xml:space="preserve"> </w:t>
      </w:r>
      <w:r w:rsidR="00DD76B0" w:rsidRPr="00DD76B0">
        <w:rPr>
          <w:rFonts w:ascii="Arial" w:hAnsi="Arial" w:cs="Arial"/>
        </w:rPr>
        <w:t>(Mair et al., 2017)</w:t>
      </w:r>
      <w:r w:rsidR="00806182">
        <w:rPr>
          <w:rFonts w:ascii="Arial" w:hAnsi="Arial" w:cs="Arial"/>
        </w:rPr>
        <w:t>.</w:t>
      </w:r>
    </w:p>
    <w:p w14:paraId="4F3A4461" w14:textId="77777777" w:rsidR="007D139C" w:rsidRDefault="007D139C" w:rsidP="007D139C">
      <w:pPr>
        <w:spacing w:line="360" w:lineRule="auto"/>
        <w:rPr>
          <w:rFonts w:ascii="Arial" w:hAnsi="Arial" w:cs="Arial"/>
          <w:lang w:val="en-GB"/>
        </w:rPr>
      </w:pPr>
      <w:r w:rsidRPr="007D139C">
        <w:rPr>
          <w:rFonts w:ascii="Arial" w:hAnsi="Arial" w:cs="Arial"/>
          <w:lang w:val="en-GB"/>
        </w:rPr>
        <w:t>Although the Health Belief Model (Rosenstock, 1974) has influenced local health promotion by raising awareness and promoting behaviour change, structural obstacles like poverty or poor housing cannot be completely addressed by it.</w:t>
      </w:r>
    </w:p>
    <w:p w14:paraId="73555104" w14:textId="7B6F12C4" w:rsidR="00AD3CA1" w:rsidRPr="00AD3CA1" w:rsidRDefault="00AD3CA1" w:rsidP="00285407">
      <w:pPr>
        <w:ind w:left="720" w:hanging="720"/>
        <w:rPr>
          <w:lang w:val="en-GB"/>
        </w:rPr>
      </w:pPr>
      <w:r w:rsidRPr="00285407">
        <w:rPr>
          <w:rFonts w:ascii="Arial" w:hAnsi="Arial" w:cs="Arial"/>
          <w:b/>
          <w:bCs/>
          <w:lang w:val="en-GB"/>
        </w:rPr>
        <w:t>Recommendations</w:t>
      </w:r>
      <w:r w:rsidRPr="00AD3CA1">
        <w:rPr>
          <w:lang w:val="en-GB"/>
        </w:rPr>
        <w:t>:</w:t>
      </w:r>
      <w:r w:rsidR="00285407">
        <w:rPr>
          <w:lang w:val="en-GB"/>
        </w:rPr>
        <w:t xml:space="preserve">  To improve </w:t>
      </w:r>
      <w:r w:rsidR="00D74CB8">
        <w:rPr>
          <w:lang w:val="en-GB"/>
        </w:rPr>
        <w:t xml:space="preserve">the following recommendations can be made </w:t>
      </w:r>
    </w:p>
    <w:p w14:paraId="2B120DDA" w14:textId="77777777" w:rsidR="00AD3CA1" w:rsidRPr="00AD3CA1" w:rsidRDefault="00AD3CA1" w:rsidP="00AD3CA1">
      <w:pPr>
        <w:numPr>
          <w:ilvl w:val="0"/>
          <w:numId w:val="3"/>
        </w:numPr>
        <w:spacing w:line="360" w:lineRule="auto"/>
        <w:rPr>
          <w:rFonts w:ascii="Arial" w:hAnsi="Arial" w:cs="Arial"/>
          <w:lang w:val="en-GB"/>
        </w:rPr>
      </w:pPr>
      <w:r w:rsidRPr="00AD3CA1">
        <w:rPr>
          <w:rFonts w:ascii="Arial" w:hAnsi="Arial" w:cs="Arial"/>
          <w:lang w:val="en-GB"/>
        </w:rPr>
        <w:t>Strengthen preventive healthcare funding in deprived Birmingham communities.</w:t>
      </w:r>
    </w:p>
    <w:p w14:paraId="6EAA205C" w14:textId="77777777" w:rsidR="00AD3CA1" w:rsidRPr="00AD3CA1" w:rsidRDefault="00AD3CA1" w:rsidP="00AD3CA1">
      <w:pPr>
        <w:numPr>
          <w:ilvl w:val="0"/>
          <w:numId w:val="3"/>
        </w:numPr>
        <w:spacing w:line="360" w:lineRule="auto"/>
        <w:rPr>
          <w:rFonts w:ascii="Arial" w:hAnsi="Arial" w:cs="Arial"/>
          <w:lang w:val="en-GB"/>
        </w:rPr>
      </w:pPr>
      <w:r w:rsidRPr="00AD3CA1">
        <w:rPr>
          <w:rFonts w:ascii="Arial" w:hAnsi="Arial" w:cs="Arial"/>
          <w:lang w:val="en-GB"/>
        </w:rPr>
        <w:t>Improve workforce capacity to deliver integrated, person-centred care.</w:t>
      </w:r>
    </w:p>
    <w:p w14:paraId="0FA86428" w14:textId="77777777" w:rsidR="00AD3CA1" w:rsidRPr="00AD3CA1" w:rsidRDefault="00AD3CA1" w:rsidP="00AD3CA1">
      <w:pPr>
        <w:numPr>
          <w:ilvl w:val="0"/>
          <w:numId w:val="3"/>
        </w:numPr>
        <w:spacing w:line="360" w:lineRule="auto"/>
        <w:rPr>
          <w:rFonts w:ascii="Arial" w:hAnsi="Arial" w:cs="Arial"/>
          <w:lang w:val="en-GB"/>
        </w:rPr>
      </w:pPr>
      <w:r w:rsidRPr="00AD3CA1">
        <w:rPr>
          <w:rFonts w:ascii="Arial" w:hAnsi="Arial" w:cs="Arial"/>
          <w:lang w:val="en-GB"/>
        </w:rPr>
        <w:t>Enhance data sharing across NHS and local services to monitor inequalities.</w:t>
      </w:r>
    </w:p>
    <w:p w14:paraId="1D5C4B1A" w14:textId="55490656" w:rsidR="00413732" w:rsidRPr="00774492" w:rsidRDefault="00AD3CA1" w:rsidP="00AD3CA1">
      <w:pPr>
        <w:numPr>
          <w:ilvl w:val="0"/>
          <w:numId w:val="3"/>
        </w:numPr>
        <w:spacing w:line="360" w:lineRule="auto"/>
        <w:rPr>
          <w:rFonts w:ascii="Arial" w:hAnsi="Arial" w:cs="Arial"/>
          <w:lang w:val="en-GB"/>
        </w:rPr>
      </w:pPr>
      <w:r w:rsidRPr="00AD3CA1">
        <w:rPr>
          <w:rFonts w:ascii="Arial" w:hAnsi="Arial" w:cs="Arial"/>
          <w:lang w:val="en-GB"/>
        </w:rPr>
        <w:t>Sustain community engagement to support the NHS Long Term Plan’s prevention goals</w:t>
      </w:r>
      <w:r>
        <w:rPr>
          <w:rFonts w:ascii="Arial" w:hAnsi="Arial" w:cs="Arial"/>
          <w:lang w:val="en-GB"/>
        </w:rPr>
        <w:t xml:space="preserve"> </w:t>
      </w:r>
      <w:r w:rsidR="00096561" w:rsidRPr="00AD3CA1">
        <w:rPr>
          <w:rFonts w:ascii="Arial" w:eastAsia="Times New Roman" w:hAnsi="Arial" w:cs="Arial"/>
          <w:lang w:eastAsia="en-GB"/>
        </w:rPr>
        <w:t>(Asma et al., 2020).</w:t>
      </w:r>
    </w:p>
    <w:p w14:paraId="3A317F96" w14:textId="77777777" w:rsidR="00774492" w:rsidRDefault="00774492" w:rsidP="00774492">
      <w:pPr>
        <w:spacing w:line="360" w:lineRule="auto"/>
        <w:rPr>
          <w:rFonts w:ascii="Arial" w:eastAsia="Times New Roman" w:hAnsi="Arial" w:cs="Arial"/>
          <w:lang w:val="en-GB" w:eastAsia="en-GB"/>
        </w:rPr>
      </w:pPr>
    </w:p>
    <w:p w14:paraId="3120D3E6" w14:textId="77777777" w:rsidR="00774492" w:rsidRDefault="00774492" w:rsidP="00774492">
      <w:pPr>
        <w:spacing w:line="360" w:lineRule="auto"/>
        <w:rPr>
          <w:rFonts w:ascii="Arial" w:eastAsia="Times New Roman" w:hAnsi="Arial" w:cs="Arial"/>
          <w:lang w:val="en-GB" w:eastAsia="en-GB"/>
        </w:rPr>
      </w:pPr>
    </w:p>
    <w:p w14:paraId="3A77E80A" w14:textId="26789A1F" w:rsidR="00774492" w:rsidRDefault="00676A39" w:rsidP="00774492">
      <w:pPr>
        <w:spacing w:line="360" w:lineRule="auto"/>
        <w:rPr>
          <w:rFonts w:ascii="Arial" w:eastAsia="Times New Roman" w:hAnsi="Arial" w:cs="Arial"/>
          <w:b/>
          <w:bCs/>
          <w:lang w:val="en-GB" w:eastAsia="en-GB"/>
        </w:rPr>
      </w:pPr>
      <w:r>
        <w:rPr>
          <w:rFonts w:ascii="Arial" w:eastAsia="Times New Roman" w:hAnsi="Arial" w:cs="Arial"/>
          <w:b/>
          <w:bCs/>
          <w:lang w:val="en-GB" w:eastAsia="en-GB"/>
        </w:rPr>
        <w:t xml:space="preserve">Section 2; </w:t>
      </w:r>
      <w:r w:rsidR="006615F2" w:rsidRPr="006615F2">
        <w:rPr>
          <w:rFonts w:ascii="Arial" w:eastAsia="Times New Roman" w:hAnsi="Arial" w:cs="Arial"/>
          <w:b/>
          <w:bCs/>
          <w:lang w:val="en-GB" w:eastAsia="en-GB"/>
        </w:rPr>
        <w:t>SDG</w:t>
      </w:r>
      <w:r w:rsidR="006615F2">
        <w:rPr>
          <w:rFonts w:ascii="Arial" w:eastAsia="Times New Roman" w:hAnsi="Arial" w:cs="Arial"/>
          <w:b/>
          <w:bCs/>
          <w:lang w:val="en-GB" w:eastAsia="en-GB"/>
        </w:rPr>
        <w:t xml:space="preserve"> </w:t>
      </w:r>
      <w:r>
        <w:rPr>
          <w:rFonts w:ascii="Arial" w:eastAsia="Times New Roman" w:hAnsi="Arial" w:cs="Arial"/>
          <w:b/>
          <w:bCs/>
          <w:lang w:val="en-GB" w:eastAsia="en-GB"/>
        </w:rPr>
        <w:t xml:space="preserve">6 – Clean water and </w:t>
      </w:r>
      <w:r w:rsidR="00E20AE8">
        <w:rPr>
          <w:rFonts w:ascii="Arial" w:eastAsia="Times New Roman" w:hAnsi="Arial" w:cs="Arial"/>
          <w:b/>
          <w:bCs/>
          <w:lang w:val="en-GB" w:eastAsia="en-GB"/>
        </w:rPr>
        <w:t xml:space="preserve">Sanitation </w:t>
      </w:r>
    </w:p>
    <w:p w14:paraId="304ED423" w14:textId="1C64E13C" w:rsidR="002056A2" w:rsidRPr="002056A2" w:rsidRDefault="002056A2" w:rsidP="00BC2384">
      <w:pPr>
        <w:spacing w:line="360" w:lineRule="auto"/>
        <w:rPr>
          <w:rFonts w:ascii="Arial" w:hAnsi="Arial" w:cs="Arial"/>
          <w:b/>
          <w:bCs/>
          <w:lang w:val="en-GB" w:eastAsia="en-GB"/>
        </w:rPr>
      </w:pPr>
      <w:r w:rsidRPr="002056A2">
        <w:rPr>
          <w:rFonts w:ascii="Arial" w:hAnsi="Arial" w:cs="Arial"/>
          <w:b/>
          <w:bCs/>
          <w:lang w:val="en-GB" w:eastAsia="en-GB"/>
        </w:rPr>
        <w:t>Overview</w:t>
      </w:r>
    </w:p>
    <w:p w14:paraId="317585A8" w14:textId="723EC2D4" w:rsidR="00C31F96" w:rsidRPr="00C31F96" w:rsidRDefault="002056A2" w:rsidP="00C31F96">
      <w:pPr>
        <w:spacing w:line="360" w:lineRule="auto"/>
        <w:rPr>
          <w:rFonts w:ascii="Arial" w:hAnsi="Arial" w:cs="Arial"/>
          <w:lang w:val="en-GB"/>
        </w:rPr>
      </w:pPr>
      <w:r w:rsidRPr="002056A2">
        <w:rPr>
          <w:rFonts w:ascii="Arial" w:hAnsi="Arial" w:cs="Arial"/>
          <w:lang w:val="en-GB"/>
        </w:rPr>
        <w:t xml:space="preserve">The goal of Sustainable Development Goal 6 (SDG 6) is to make sure that everyone has access to sustainable water and sanitation management. SDG 3: Good Health and Wellbeing is directly supported by the human right to access clean water, which is also a major factor in determining health and wellbeing. Without clean water, people are vulnerable to illnesses like cholera, diarrhoea, and dysentery, and societies suffer from decreased social advancement and production. The World Health Organisation (WHO, 2023) reports </w:t>
      </w:r>
      <w:r w:rsidRPr="002056A2">
        <w:rPr>
          <w:rFonts w:ascii="Arial" w:hAnsi="Arial" w:cs="Arial"/>
          <w:lang w:val="en-GB"/>
        </w:rPr>
        <w:lastRenderedPageBreak/>
        <w:t xml:space="preserve">that 3.6 billion people worldwide do not have access to </w:t>
      </w:r>
      <w:r w:rsidR="00C31F96" w:rsidRPr="002056A2">
        <w:rPr>
          <w:rFonts w:ascii="Arial" w:hAnsi="Arial" w:cs="Arial"/>
          <w:lang w:val="en-GB"/>
        </w:rPr>
        <w:t>professionally</w:t>
      </w:r>
      <w:r w:rsidR="00C31F96" w:rsidRPr="00C31F96">
        <w:rPr>
          <w:rFonts w:ascii="Arial" w:hAnsi="Arial" w:cs="Arial"/>
          <w:lang w:val="en-GB"/>
        </w:rPr>
        <w:t xml:space="preserve"> supervised</w:t>
      </w:r>
      <w:r w:rsidR="00C31F96" w:rsidRPr="00C31F96">
        <w:rPr>
          <w:rFonts w:ascii="Arial" w:hAnsi="Arial" w:cs="Arial"/>
          <w:lang w:val="en-GB"/>
        </w:rPr>
        <w:t xml:space="preserve"> sanitation, and more than two billion people lack access to drinking water.</w:t>
      </w:r>
    </w:p>
    <w:p w14:paraId="6A86EBF4" w14:textId="5FB1D850" w:rsidR="000B2B51" w:rsidRDefault="002056A2" w:rsidP="00A51073">
      <w:pPr>
        <w:spacing w:line="360" w:lineRule="auto"/>
        <w:rPr>
          <w:rFonts w:ascii="Arial" w:hAnsi="Arial" w:cs="Arial"/>
        </w:rPr>
      </w:pPr>
      <w:r w:rsidRPr="002056A2">
        <w:rPr>
          <w:rFonts w:ascii="Arial" w:hAnsi="Arial" w:cs="Arial"/>
          <w:lang w:val="en-GB"/>
        </w:rPr>
        <w:t>Global health, equality, and sustainability all depend on closing these inequalities</w:t>
      </w:r>
      <w:r w:rsidR="00132635">
        <w:rPr>
          <w:rFonts w:ascii="Arial" w:hAnsi="Arial" w:cs="Arial"/>
          <w:lang w:val="en-GB"/>
        </w:rPr>
        <w:t xml:space="preserve"> </w:t>
      </w:r>
      <w:r w:rsidR="000B2B51" w:rsidRPr="000B2B51">
        <w:rPr>
          <w:rFonts w:ascii="Arial" w:hAnsi="Arial" w:cs="Arial"/>
        </w:rPr>
        <w:t>(The Global Goals, 2015)</w:t>
      </w:r>
      <w:r w:rsidR="000B2B51">
        <w:rPr>
          <w:rFonts w:ascii="Arial" w:hAnsi="Arial" w:cs="Arial"/>
        </w:rPr>
        <w:t>.</w:t>
      </w:r>
    </w:p>
    <w:p w14:paraId="669BC153" w14:textId="77777777" w:rsidR="00CE0415" w:rsidRDefault="0094314B" w:rsidP="00CE0415">
      <w:pPr>
        <w:spacing w:line="360" w:lineRule="auto"/>
        <w:rPr>
          <w:rFonts w:ascii="Arial" w:hAnsi="Arial" w:cs="Arial"/>
          <w:b/>
          <w:bCs/>
        </w:rPr>
      </w:pPr>
      <w:r w:rsidRPr="0094314B">
        <w:rPr>
          <w:rFonts w:ascii="Arial" w:hAnsi="Arial" w:cs="Arial"/>
          <w:b/>
          <w:bCs/>
        </w:rPr>
        <w:t>Global Policies and Initiatives</w:t>
      </w:r>
    </w:p>
    <w:p w14:paraId="1F9379E4" w14:textId="77777777" w:rsidR="004A74C2" w:rsidRDefault="004A74C2" w:rsidP="00CE0415">
      <w:pPr>
        <w:spacing w:line="360" w:lineRule="auto"/>
        <w:rPr>
          <w:rFonts w:ascii="Arial" w:hAnsi="Arial" w:cs="Arial"/>
        </w:rPr>
      </w:pPr>
    </w:p>
    <w:p w14:paraId="78AD092D" w14:textId="50369A8B" w:rsidR="004A74C2" w:rsidRPr="004A74C2" w:rsidRDefault="004A74C2" w:rsidP="004A74C2">
      <w:pPr>
        <w:spacing w:line="360" w:lineRule="auto"/>
        <w:rPr>
          <w:rFonts w:ascii="Arial" w:hAnsi="Arial" w:cs="Arial"/>
          <w:lang w:val="en-GB"/>
        </w:rPr>
      </w:pPr>
      <w:r w:rsidRPr="004A74C2">
        <w:rPr>
          <w:rFonts w:ascii="Arial" w:hAnsi="Arial" w:cs="Arial"/>
          <w:lang w:val="en-GB"/>
        </w:rPr>
        <w:t>Globally, SDG 6: Clean Water and Sanitation is championed by organisations such as the World Health Organization (WHO), UNICEF, UN-Water, and the United Nations (UN). The WHO/UNICEF Joint Monitoring Programme (JMP) provides global data on water and sanitation, fostering accountability and collaboration. UN-Water, established in 2003, coordinates more than 30 UN agencies to align global water policies and leads initiatives such as World Water Day and the UN Water Action Decade (2018–2028), which promote investment, innovation, and sustainable water management worldwide. The World Bank’s Water Global Practice further supports developing nations by funding large-scale infrastructure projects to ensure equitable access to clean water and sanitation (Who, 2018).</w:t>
      </w:r>
    </w:p>
    <w:p w14:paraId="38630BA3" w14:textId="67007EE5" w:rsidR="00E42074" w:rsidRDefault="004A74C2" w:rsidP="00A9519E">
      <w:pPr>
        <w:spacing w:line="360" w:lineRule="auto"/>
        <w:rPr>
          <w:rFonts w:ascii="Arial" w:hAnsi="Arial" w:cs="Arial"/>
          <w:lang w:val="en-GB"/>
        </w:rPr>
      </w:pPr>
      <w:r w:rsidRPr="004A74C2">
        <w:rPr>
          <w:rFonts w:ascii="Arial" w:hAnsi="Arial" w:cs="Arial"/>
          <w:lang w:val="en-GB"/>
        </w:rPr>
        <w:t>These initiatives are guided by the Social Model of Health (SMOH), which recognises that health is shaped by social, economic, and environmental factors. Access to safe water and sanitation is therefore vital for reducing poverty, improving education, and preventing disease. Global cooperation under SDG 6 reflects how addressing environmental determinants of health is essential to achieving sustainable wellbeing for</w:t>
      </w:r>
      <w:r w:rsidR="00E3271E">
        <w:rPr>
          <w:rFonts w:ascii="Arial" w:hAnsi="Arial" w:cs="Arial"/>
          <w:lang w:val="en-GB"/>
        </w:rPr>
        <w:t xml:space="preserve"> all</w:t>
      </w:r>
      <w:r w:rsidRPr="004A74C2">
        <w:rPr>
          <w:rFonts w:ascii="Arial" w:hAnsi="Arial" w:cs="Arial"/>
          <w:lang w:val="en-GB"/>
        </w:rPr>
        <w:t xml:space="preserve"> </w:t>
      </w:r>
      <w:r w:rsidR="00E3271E">
        <w:rPr>
          <w:rFonts w:ascii="Arial" w:hAnsi="Arial" w:cs="Arial"/>
          <w:lang w:val="en-GB"/>
        </w:rPr>
        <w:t>(</w:t>
      </w:r>
      <w:r w:rsidR="00CE0415" w:rsidRPr="00CE0415">
        <w:rPr>
          <w:rFonts w:ascii="Arial" w:hAnsi="Arial" w:cs="Arial"/>
          <w:lang w:val="en-GB"/>
        </w:rPr>
        <w:t>Ansari et al., 2003)</w:t>
      </w:r>
      <w:r w:rsidR="00CE0415">
        <w:rPr>
          <w:rFonts w:ascii="Arial" w:hAnsi="Arial" w:cs="Arial"/>
          <w:lang w:val="en-GB"/>
        </w:rPr>
        <w:t>.</w:t>
      </w:r>
    </w:p>
    <w:p w14:paraId="1B034D61" w14:textId="77777777" w:rsidR="00E42074" w:rsidRDefault="00E42074" w:rsidP="00A9519E">
      <w:pPr>
        <w:spacing w:line="360" w:lineRule="auto"/>
        <w:rPr>
          <w:rFonts w:ascii="Arial" w:hAnsi="Arial" w:cs="Arial"/>
          <w:lang w:val="en-GB"/>
        </w:rPr>
      </w:pPr>
    </w:p>
    <w:p w14:paraId="1A791BB8" w14:textId="77777777" w:rsidR="00E42074" w:rsidRDefault="00E42074" w:rsidP="00A9519E">
      <w:pPr>
        <w:spacing w:line="360" w:lineRule="auto"/>
        <w:rPr>
          <w:rFonts w:ascii="Arial" w:hAnsi="Arial" w:cs="Arial"/>
          <w:lang w:val="en-GB"/>
        </w:rPr>
      </w:pPr>
    </w:p>
    <w:p w14:paraId="2FC2EC5A" w14:textId="77777777" w:rsidR="009844FE" w:rsidRDefault="009844FE" w:rsidP="00A9519E">
      <w:pPr>
        <w:spacing w:line="360" w:lineRule="auto"/>
        <w:rPr>
          <w:rFonts w:ascii="Arial" w:hAnsi="Arial" w:cs="Arial"/>
          <w:b/>
          <w:bCs/>
        </w:rPr>
      </w:pPr>
    </w:p>
    <w:p w14:paraId="5908A014" w14:textId="77777777" w:rsidR="009844FE" w:rsidRDefault="009844FE" w:rsidP="00A9519E">
      <w:pPr>
        <w:spacing w:line="360" w:lineRule="auto"/>
        <w:rPr>
          <w:rFonts w:ascii="Arial" w:hAnsi="Arial" w:cs="Arial"/>
          <w:b/>
          <w:bCs/>
        </w:rPr>
      </w:pPr>
    </w:p>
    <w:p w14:paraId="710DC58C" w14:textId="77777777" w:rsidR="009844FE" w:rsidRDefault="009844FE" w:rsidP="00A9519E">
      <w:pPr>
        <w:spacing w:line="360" w:lineRule="auto"/>
        <w:rPr>
          <w:rFonts w:ascii="Arial" w:hAnsi="Arial" w:cs="Arial"/>
          <w:b/>
          <w:bCs/>
        </w:rPr>
      </w:pPr>
    </w:p>
    <w:p w14:paraId="6694857A" w14:textId="77777777" w:rsidR="009844FE" w:rsidRDefault="009844FE" w:rsidP="00A9519E">
      <w:pPr>
        <w:spacing w:line="360" w:lineRule="auto"/>
        <w:rPr>
          <w:rFonts w:ascii="Arial" w:hAnsi="Arial" w:cs="Arial"/>
          <w:b/>
          <w:bCs/>
        </w:rPr>
      </w:pPr>
    </w:p>
    <w:p w14:paraId="23304ED9" w14:textId="77777777" w:rsidR="0038637B" w:rsidRDefault="0038637B" w:rsidP="00A9519E">
      <w:pPr>
        <w:spacing w:line="360" w:lineRule="auto"/>
        <w:rPr>
          <w:rFonts w:ascii="Arial" w:hAnsi="Arial" w:cs="Arial"/>
          <w:b/>
          <w:bCs/>
        </w:rPr>
      </w:pPr>
    </w:p>
    <w:p w14:paraId="32AEA0F1" w14:textId="77777777" w:rsidR="0038637B" w:rsidRDefault="0038637B" w:rsidP="00A9519E">
      <w:pPr>
        <w:spacing w:line="360" w:lineRule="auto"/>
        <w:rPr>
          <w:rFonts w:ascii="Arial" w:hAnsi="Arial" w:cs="Arial"/>
          <w:b/>
          <w:bCs/>
        </w:rPr>
      </w:pPr>
    </w:p>
    <w:p w14:paraId="57948B75" w14:textId="77777777" w:rsidR="0038637B" w:rsidRDefault="0038637B" w:rsidP="00A9519E">
      <w:pPr>
        <w:spacing w:line="360" w:lineRule="auto"/>
        <w:rPr>
          <w:rFonts w:ascii="Arial" w:hAnsi="Arial" w:cs="Arial"/>
          <w:b/>
          <w:bCs/>
        </w:rPr>
      </w:pPr>
    </w:p>
    <w:p w14:paraId="203A0C3F" w14:textId="706115F7" w:rsidR="00B965DE" w:rsidRDefault="00B965DE" w:rsidP="00A9519E">
      <w:pPr>
        <w:spacing w:line="360" w:lineRule="auto"/>
        <w:rPr>
          <w:rFonts w:ascii="Arial" w:hAnsi="Arial" w:cs="Arial"/>
          <w:b/>
          <w:bCs/>
        </w:rPr>
      </w:pPr>
      <w:r w:rsidRPr="00B965DE">
        <w:rPr>
          <w:rFonts w:ascii="Arial" w:hAnsi="Arial" w:cs="Arial"/>
          <w:b/>
          <w:bCs/>
        </w:rPr>
        <w:t>National Policies and Initiatives (UK Context)</w:t>
      </w:r>
    </w:p>
    <w:p w14:paraId="395F55C5" w14:textId="77777777" w:rsidR="00585A07" w:rsidRDefault="00585A07" w:rsidP="00A9519E">
      <w:pPr>
        <w:spacing w:line="360" w:lineRule="auto"/>
        <w:rPr>
          <w:rFonts w:ascii="Arial" w:hAnsi="Arial" w:cs="Arial"/>
          <w:b/>
          <w:bCs/>
        </w:rPr>
      </w:pPr>
    </w:p>
    <w:p w14:paraId="6C56FF45" w14:textId="77777777" w:rsidR="00585A07" w:rsidRDefault="00585A07" w:rsidP="008837A0">
      <w:pPr>
        <w:spacing w:line="360" w:lineRule="auto"/>
        <w:rPr>
          <w:rFonts w:ascii="Arial" w:hAnsi="Arial" w:cs="Arial"/>
          <w:lang w:val="en-GB"/>
        </w:rPr>
      </w:pPr>
      <w:r w:rsidRPr="00585A07">
        <w:rPr>
          <w:rFonts w:ascii="Arial" w:hAnsi="Arial" w:cs="Arial"/>
          <w:lang w:val="en-GB"/>
        </w:rPr>
        <w:t>The UK supports SDG 6: Clean Water and Sanitation through strong environmental governance and regulatory frameworks. The Water Industry Act 1991 and the Water Act 2014 establish legal standards for water quality, consumer protection, and environmental sustainability. Oversight by Ofwat ensures fair pricing and corporate accountability, while the Drinking Water Inspectorate (DWI) enforces strict safety and quality regulations.</w:t>
      </w:r>
    </w:p>
    <w:p w14:paraId="3BA0712E" w14:textId="08769D44" w:rsidR="00103997" w:rsidRPr="008837A0" w:rsidRDefault="00BC2D9B" w:rsidP="008837A0">
      <w:pPr>
        <w:spacing w:line="360" w:lineRule="auto"/>
        <w:rPr>
          <w:rFonts w:ascii="Arial" w:hAnsi="Arial" w:cs="Arial"/>
          <w:lang w:val="en-GB"/>
        </w:rPr>
      </w:pPr>
      <w:r w:rsidRPr="00BC2D9B">
        <w:rPr>
          <w:rFonts w:ascii="Arial" w:hAnsi="Arial" w:cs="Arial"/>
          <w:lang w:val="en-GB"/>
        </w:rPr>
        <w:t>The Environment Act (2021) and the 25 Year Environment Plan (2018) aim to improve water quality, reduce pollution, and promote sustainable water use—priorities aligned with SDG 6 (Okumah, Martin-Ortega and Novo, 2018). Water companies are central to implementation; for example, Severn Trent Water’s “Get River Positive” initiative (2022) works to eliminate pollution and restore river ecosystems across Birmingham and the Midlands. The Health Belief Model underpins Defra’s “Love Water” campaign, which promotes conservation by stressing the benefits of responsible use. Together, these measures show the UK’s integrated approach to achieving SDG 6</w:t>
      </w:r>
      <w:r w:rsidR="008837A0" w:rsidRPr="008837A0">
        <w:rPr>
          <w:rFonts w:ascii="Arial" w:hAnsi="Arial" w:cs="Arial"/>
          <w:lang w:val="en-GB"/>
        </w:rPr>
        <w:t xml:space="preserve"> </w:t>
      </w:r>
      <w:r w:rsidR="00225AEC" w:rsidRPr="008837A0">
        <w:rPr>
          <w:rFonts w:ascii="Arial" w:hAnsi="Arial" w:cs="Arial"/>
        </w:rPr>
        <w:t>(Houlden et al., 2021).</w:t>
      </w:r>
    </w:p>
    <w:p w14:paraId="38F48BAE" w14:textId="0FBC2663" w:rsidR="00154B79" w:rsidRDefault="0020178C" w:rsidP="00B46C91">
      <w:pPr>
        <w:pStyle w:val="Heading1"/>
        <w:spacing w:line="360" w:lineRule="auto"/>
        <w:rPr>
          <w:rFonts w:ascii="Arial" w:eastAsiaTheme="minorHAnsi" w:hAnsi="Arial" w:cs="Arial"/>
          <w:b/>
          <w:bCs/>
          <w:color w:val="auto"/>
          <w:sz w:val="22"/>
          <w:szCs w:val="22"/>
        </w:rPr>
      </w:pPr>
      <w:r w:rsidRPr="0020178C">
        <w:rPr>
          <w:rFonts w:ascii="Arial" w:eastAsiaTheme="minorHAnsi" w:hAnsi="Arial" w:cs="Arial"/>
          <w:b/>
          <w:bCs/>
          <w:color w:val="auto"/>
          <w:sz w:val="22"/>
          <w:szCs w:val="22"/>
        </w:rPr>
        <w:t>Local Policies and Initiatives (London Context)</w:t>
      </w:r>
    </w:p>
    <w:p w14:paraId="547FFC8A" w14:textId="5D2BFD09" w:rsidR="00BA6769" w:rsidRDefault="00E90C16" w:rsidP="00BA6769">
      <w:pPr>
        <w:spacing w:line="360" w:lineRule="auto"/>
        <w:rPr>
          <w:rFonts w:ascii="Arial" w:hAnsi="Arial" w:cs="Arial"/>
        </w:rPr>
      </w:pPr>
      <w:r w:rsidRPr="00E90C16">
        <w:rPr>
          <w:rFonts w:ascii="Arial" w:hAnsi="Arial" w:cs="Arial"/>
        </w:rPr>
        <w:t xml:space="preserve">In London, local initiatives are crucial to achieving SDG 6: Clean Water and Sanitation through sustainable water management, education, and community engagement. The #LondonIsWaterSmart campaign, launched by Thames Water in collaboration with </w:t>
      </w:r>
      <w:r w:rsidR="00FE03F7" w:rsidRPr="00E90C16">
        <w:rPr>
          <w:rFonts w:ascii="Arial" w:hAnsi="Arial" w:cs="Arial"/>
        </w:rPr>
        <w:t>the</w:t>
      </w:r>
      <w:r w:rsidR="00FE03F7" w:rsidRPr="00F52C1C">
        <w:rPr>
          <w:rFonts w:ascii="Arial" w:hAnsi="Arial" w:cs="Arial"/>
          <w:lang w:val="en-GB"/>
        </w:rPr>
        <w:t xml:space="preserve"> Mayor</w:t>
      </w:r>
      <w:r w:rsidR="00F52C1C" w:rsidRPr="00F52C1C">
        <w:rPr>
          <w:rFonts w:ascii="Arial" w:hAnsi="Arial" w:cs="Arial"/>
          <w:lang w:val="en-GB"/>
        </w:rPr>
        <w:t xml:space="preserve"> of London, promotes responsible water use and pollution prevention across households, schools, and businesses. Educational programmes in schools link water conservation with public health, encouraging young people to adopt sustainable habits from an early age</w:t>
      </w:r>
      <w:r w:rsidR="00BA6769">
        <w:rPr>
          <w:rFonts w:ascii="Arial" w:hAnsi="Arial" w:cs="Arial"/>
          <w:lang w:val="en-GB"/>
        </w:rPr>
        <w:t xml:space="preserve"> (</w:t>
      </w:r>
      <w:r w:rsidR="00BA6769" w:rsidRPr="00ED726F">
        <w:rPr>
          <w:rFonts w:ascii="Arial" w:hAnsi="Arial" w:cs="Arial"/>
        </w:rPr>
        <w:t>De et al., 2025)</w:t>
      </w:r>
      <w:r w:rsidR="00BA6769">
        <w:rPr>
          <w:rFonts w:ascii="Arial" w:hAnsi="Arial" w:cs="Arial"/>
        </w:rPr>
        <w:t>.</w:t>
      </w:r>
    </w:p>
    <w:p w14:paraId="57630B0A" w14:textId="77777777" w:rsidR="007F5AB1" w:rsidRDefault="00F52C1C" w:rsidP="00E90C16">
      <w:pPr>
        <w:spacing w:line="360" w:lineRule="auto"/>
        <w:rPr>
          <w:rFonts w:ascii="Arial" w:hAnsi="Arial" w:cs="Arial"/>
        </w:rPr>
      </w:pPr>
      <w:r w:rsidRPr="00F52C1C">
        <w:rPr>
          <w:rFonts w:ascii="Arial" w:hAnsi="Arial" w:cs="Arial"/>
          <w:lang w:val="en-GB"/>
        </w:rPr>
        <w:t>The campaign has achieved measurable progress. Average household water consumption in London has fallen from around 150 litres per person per day to 142 litres (Thames Water, 2024). Over 280,000 homes have received free water-saving devices such as low-flow showerheads and smart meters, contributing to an estimated 25 million litres of water saved weekly. Thames Water has also improved leakage detection using digital monitoring systems and enhanced community engagement through river clean-up projects and citizen-science testing</w:t>
      </w:r>
      <w:r w:rsidR="007F5AB1">
        <w:rPr>
          <w:rFonts w:ascii="Arial" w:hAnsi="Arial" w:cs="Arial"/>
          <w:lang w:val="en-GB"/>
        </w:rPr>
        <w:t xml:space="preserve"> </w:t>
      </w:r>
      <w:r w:rsidR="007F5AB1" w:rsidRPr="007F5AB1">
        <w:rPr>
          <w:rFonts w:ascii="Arial" w:hAnsi="Arial" w:cs="Arial"/>
        </w:rPr>
        <w:t> (www.london.gov.uk, n.d.)</w:t>
      </w:r>
      <w:r w:rsidR="007F5AB1">
        <w:rPr>
          <w:rFonts w:ascii="Arial" w:hAnsi="Arial" w:cs="Arial"/>
        </w:rPr>
        <w:t>.</w:t>
      </w:r>
    </w:p>
    <w:p w14:paraId="3EAE6D1D" w14:textId="78A119AD" w:rsidR="00F52C1C" w:rsidRPr="00F52C1C" w:rsidRDefault="00F52C1C" w:rsidP="00E90C16">
      <w:pPr>
        <w:spacing w:line="360" w:lineRule="auto"/>
        <w:rPr>
          <w:rFonts w:ascii="Arial" w:hAnsi="Arial" w:cs="Arial"/>
          <w:lang w:val="en-GB"/>
        </w:rPr>
      </w:pPr>
      <w:r w:rsidRPr="00F52C1C">
        <w:rPr>
          <w:rFonts w:ascii="Arial" w:hAnsi="Arial" w:cs="Arial"/>
          <w:lang w:val="en-GB"/>
        </w:rPr>
        <w:lastRenderedPageBreak/>
        <w:t>Public awareness has grown significantly, with more than 100,000 pupils reached through school programmes and residents engaging in water-saving challenges via social media. These efforts align with the Environment Act (2021) and Thames Water’s Water Resources Management Plan (WRMP 2025), supporting sustainable urban development.</w:t>
      </w:r>
    </w:p>
    <w:p w14:paraId="2D25BA2C" w14:textId="79D542E4" w:rsidR="00F52C1C" w:rsidRPr="00F52C1C" w:rsidRDefault="00F52C1C" w:rsidP="00E9195A">
      <w:pPr>
        <w:spacing w:line="360" w:lineRule="auto"/>
        <w:rPr>
          <w:rFonts w:ascii="Arial" w:hAnsi="Arial" w:cs="Arial"/>
          <w:vanish/>
          <w:lang w:val="en-GB"/>
        </w:rPr>
      </w:pPr>
      <w:r w:rsidRPr="00F52C1C">
        <w:rPr>
          <w:rFonts w:ascii="Arial" w:hAnsi="Arial" w:cs="Arial"/>
          <w:lang w:val="en-GB"/>
        </w:rPr>
        <w:t>Guided by the Health Belief Model (HBM), the campaign promotes behavioural change by highlighting the benefits of conservation and the risks of misuse. Through collaboration, innovation, and education, London demonstrates how local action can make a tangible contribution to national and global sustainability goals under SDG 6</w:t>
      </w:r>
      <w:r w:rsidR="00E9195A">
        <w:rPr>
          <w:rFonts w:ascii="Arial" w:hAnsi="Arial" w:cs="Arial"/>
          <w:lang w:val="en-GB"/>
        </w:rPr>
        <w:t xml:space="preserve">  </w:t>
      </w:r>
      <w:r w:rsidR="00E9195A" w:rsidRPr="009E2508">
        <w:rPr>
          <w:rFonts w:ascii="Arial" w:hAnsi="Arial" w:cs="Arial"/>
        </w:rPr>
        <w:t>(Brown et al., 2023)</w:t>
      </w:r>
      <w:r w:rsidR="00E9195A">
        <w:rPr>
          <w:rFonts w:ascii="Arial" w:hAnsi="Arial" w:cs="Arial"/>
        </w:rPr>
        <w:t>.</w:t>
      </w:r>
      <w:r w:rsidRPr="00F52C1C">
        <w:rPr>
          <w:rFonts w:ascii="Arial" w:hAnsi="Arial" w:cs="Arial"/>
          <w:vanish/>
          <w:lang w:val="en-GB"/>
        </w:rPr>
        <w:t>Top of Form</w:t>
      </w:r>
    </w:p>
    <w:p w14:paraId="1B63FC8F" w14:textId="77777777" w:rsidR="00F52C1C" w:rsidRPr="00F52C1C" w:rsidRDefault="00F52C1C" w:rsidP="00F52C1C">
      <w:pPr>
        <w:rPr>
          <w:rFonts w:ascii="Arial" w:hAnsi="Arial" w:cs="Arial"/>
          <w:lang w:val="en-GB"/>
        </w:rPr>
      </w:pPr>
    </w:p>
    <w:p w14:paraId="65DCB3DE" w14:textId="77777777" w:rsidR="00F52C1C" w:rsidRPr="00F52C1C" w:rsidRDefault="00F52C1C" w:rsidP="00F52C1C">
      <w:pPr>
        <w:rPr>
          <w:rFonts w:ascii="Arial" w:hAnsi="Arial" w:cs="Arial"/>
          <w:vanish/>
          <w:lang w:val="en-GB"/>
        </w:rPr>
      </w:pPr>
      <w:r w:rsidRPr="00F52C1C">
        <w:rPr>
          <w:rFonts w:ascii="Arial" w:hAnsi="Arial" w:cs="Arial"/>
          <w:vanish/>
          <w:lang w:val="en-GB"/>
        </w:rPr>
        <w:t>Bottom of Form</w:t>
      </w:r>
    </w:p>
    <w:p w14:paraId="6173F908" w14:textId="77777777" w:rsidR="006C133C" w:rsidRPr="00F52C1C" w:rsidRDefault="006C133C" w:rsidP="00B46C91">
      <w:pPr>
        <w:rPr>
          <w:lang w:val="en-GB"/>
        </w:rPr>
      </w:pPr>
    </w:p>
    <w:p w14:paraId="5343EA5F" w14:textId="77777777" w:rsidR="004004BA" w:rsidRDefault="004004BA" w:rsidP="00874092">
      <w:pPr>
        <w:spacing w:line="360" w:lineRule="auto"/>
        <w:rPr>
          <w:rFonts w:ascii="Arial" w:hAnsi="Arial" w:cs="Arial"/>
          <w:b/>
          <w:bCs/>
        </w:rPr>
      </w:pPr>
    </w:p>
    <w:p w14:paraId="12D42BAC" w14:textId="77777777" w:rsidR="004004BA" w:rsidRDefault="004004BA" w:rsidP="00874092">
      <w:pPr>
        <w:spacing w:line="360" w:lineRule="auto"/>
        <w:rPr>
          <w:rFonts w:ascii="Arial" w:hAnsi="Arial" w:cs="Arial"/>
          <w:b/>
          <w:bCs/>
        </w:rPr>
      </w:pPr>
    </w:p>
    <w:p w14:paraId="61F4BBC7" w14:textId="6F831547" w:rsidR="00984644" w:rsidRDefault="00984644" w:rsidP="00874092">
      <w:pPr>
        <w:spacing w:line="360" w:lineRule="auto"/>
        <w:rPr>
          <w:rFonts w:ascii="Arial" w:hAnsi="Arial" w:cs="Arial"/>
          <w:b/>
          <w:bCs/>
        </w:rPr>
      </w:pPr>
      <w:r w:rsidRPr="00984644">
        <w:rPr>
          <w:rFonts w:ascii="Arial" w:hAnsi="Arial" w:cs="Arial"/>
          <w:b/>
          <w:bCs/>
        </w:rPr>
        <w:t>Critical Evaluation</w:t>
      </w:r>
    </w:p>
    <w:p w14:paraId="517E5760" w14:textId="77777777" w:rsidR="009B393B" w:rsidRPr="00985335" w:rsidRDefault="009B393B" w:rsidP="00874092">
      <w:pPr>
        <w:spacing w:line="360" w:lineRule="auto"/>
        <w:rPr>
          <w:rFonts w:ascii="Arial" w:hAnsi="Arial" w:cs="Arial"/>
        </w:rPr>
      </w:pPr>
    </w:p>
    <w:p w14:paraId="66319762" w14:textId="5BB9DB82" w:rsidR="002C10EB" w:rsidRDefault="00985335" w:rsidP="002C10EB">
      <w:pPr>
        <w:spacing w:line="360" w:lineRule="auto"/>
        <w:rPr>
          <w:rFonts w:ascii="Arial" w:hAnsi="Arial" w:cs="Arial"/>
        </w:rPr>
      </w:pPr>
      <w:r w:rsidRPr="00985335">
        <w:rPr>
          <w:rFonts w:ascii="Arial" w:hAnsi="Arial" w:cs="Arial"/>
          <w:lang w:val="en-GB"/>
        </w:rPr>
        <w:t xml:space="preserve">The UK is recognised as a global leader in water and sanitation management, with </w:t>
      </w:r>
      <w:r w:rsidR="00206354" w:rsidRPr="00985335">
        <w:rPr>
          <w:rFonts w:ascii="Arial" w:hAnsi="Arial" w:cs="Arial"/>
          <w:lang w:val="en-GB"/>
        </w:rPr>
        <w:t>all</w:t>
      </w:r>
      <w:r w:rsidRPr="00985335">
        <w:rPr>
          <w:rFonts w:ascii="Arial" w:hAnsi="Arial" w:cs="Arial"/>
          <w:lang w:val="en-GB"/>
        </w:rPr>
        <w:t xml:space="preserve"> citizens having access to safe drinking water and effective sanitation. However, challenges persist due to ageing infrastructure, industrial and agricultural pollution, and climate change impacts such as droughts and flooding. While the transfer of the water sector has encouraged major investment, rising costs and environmental issues—especially sewage discharges by private companies like Thames Water—have </w:t>
      </w:r>
      <w:r w:rsidR="002C10EB" w:rsidRPr="00985335">
        <w:rPr>
          <w:rFonts w:ascii="Arial" w:hAnsi="Arial" w:cs="Arial"/>
          <w:lang w:val="en-GB"/>
        </w:rPr>
        <w:t>powered</w:t>
      </w:r>
      <w:r w:rsidRPr="00985335">
        <w:rPr>
          <w:rFonts w:ascii="Arial" w:hAnsi="Arial" w:cs="Arial"/>
          <w:lang w:val="en-GB"/>
        </w:rPr>
        <w:t xml:space="preserve"> public mistrust (Weststrate et al., 2018). The application of health theories highlights both strengths and limitations. The Social Model of Health promotes multi-sector approaches that address social and environmental influences, whereas the Health Belief Model, though effective for public education, cannot address structural issues like corporate accountability. Achieving SDG 6 therefore requires coordinated action between governance, corporate responsibility, and individual behavioural change</w:t>
      </w:r>
      <w:r w:rsidR="002C10EB">
        <w:rPr>
          <w:rFonts w:ascii="Arial" w:hAnsi="Arial" w:cs="Arial"/>
          <w:lang w:val="en-GB"/>
        </w:rPr>
        <w:t xml:space="preserve"> </w:t>
      </w:r>
      <w:r w:rsidR="002C10EB" w:rsidRPr="0025078F">
        <w:rPr>
          <w:rFonts w:ascii="Arial" w:hAnsi="Arial" w:cs="Arial"/>
        </w:rPr>
        <w:t>(Mansell et al., 2021)</w:t>
      </w:r>
      <w:r w:rsidR="002C10EB">
        <w:rPr>
          <w:rFonts w:ascii="Arial" w:hAnsi="Arial" w:cs="Arial"/>
        </w:rPr>
        <w:t>.</w:t>
      </w:r>
    </w:p>
    <w:p w14:paraId="1C9CE2B1" w14:textId="1789705B" w:rsidR="009B393B" w:rsidRPr="002C10EB" w:rsidRDefault="009B393B" w:rsidP="00874092">
      <w:pPr>
        <w:spacing w:line="360" w:lineRule="auto"/>
        <w:rPr>
          <w:rFonts w:ascii="Arial" w:hAnsi="Arial" w:cs="Arial"/>
        </w:rPr>
      </w:pPr>
    </w:p>
    <w:p w14:paraId="41A37D42" w14:textId="1C38FAA4" w:rsidR="00E9249A" w:rsidRPr="00950289" w:rsidRDefault="00950289" w:rsidP="0025078F">
      <w:pPr>
        <w:spacing w:line="360" w:lineRule="auto"/>
        <w:rPr>
          <w:rFonts w:ascii="Arial" w:hAnsi="Arial" w:cs="Arial"/>
          <w:b/>
          <w:bCs/>
          <w:lang w:val="en-GB"/>
        </w:rPr>
      </w:pPr>
      <w:r w:rsidRPr="00950289">
        <w:rPr>
          <w:rFonts w:ascii="Arial" w:hAnsi="Arial" w:cs="Arial"/>
          <w:b/>
          <w:bCs/>
        </w:rPr>
        <w:t>Recommendations</w:t>
      </w:r>
    </w:p>
    <w:p w14:paraId="6274810D" w14:textId="77777777" w:rsidR="006D44D7" w:rsidRDefault="006D44D7" w:rsidP="002B3037">
      <w:pPr>
        <w:spacing w:line="360" w:lineRule="auto"/>
        <w:rPr>
          <w:rFonts w:ascii="Arial" w:hAnsi="Arial" w:cs="Arial"/>
          <w:lang w:val="en-GB"/>
        </w:rPr>
      </w:pPr>
    </w:p>
    <w:p w14:paraId="2BC4A11F" w14:textId="080F43AF" w:rsidR="005A303B" w:rsidRDefault="006D44D7" w:rsidP="002B3037">
      <w:pPr>
        <w:spacing w:line="360" w:lineRule="auto"/>
        <w:rPr>
          <w:rFonts w:ascii="Arial" w:hAnsi="Arial" w:cs="Arial"/>
        </w:rPr>
      </w:pPr>
      <w:r w:rsidRPr="006D44D7">
        <w:rPr>
          <w:rFonts w:ascii="Arial" w:hAnsi="Arial" w:cs="Arial"/>
        </w:rPr>
        <w:t xml:space="preserve">Recommendations to support SDG 6 include modernising infrastructure by investing in leak prevention and sustainable water systems, especially in London and older cities. Corporate accountability should be strengthened, ensuring companies like Severn Trent and Thames </w:t>
      </w:r>
      <w:r w:rsidRPr="006D44D7">
        <w:rPr>
          <w:rFonts w:ascii="Arial" w:hAnsi="Arial" w:cs="Arial"/>
        </w:rPr>
        <w:lastRenderedPageBreak/>
        <w:t>Water are transparent and face stricter penalties for environmental breaches. Public awareness campaigns, guided by the Health Belief Model, should promote proper water use and hygiene. Climate resilience must be incorporated through flood management, water recycling, and drought planning, while community partnerships can educate vulnerable populations about safe water and sanitation practices</w:t>
      </w:r>
      <w:r w:rsidR="005A303B">
        <w:rPr>
          <w:rFonts w:ascii="Arial" w:hAnsi="Arial" w:cs="Arial"/>
          <w:lang w:val="en-GB"/>
        </w:rPr>
        <w:t xml:space="preserve"> </w:t>
      </w:r>
      <w:r w:rsidR="005A303B" w:rsidRPr="005A303B">
        <w:rPr>
          <w:rFonts w:ascii="Arial" w:hAnsi="Arial" w:cs="Arial"/>
        </w:rPr>
        <w:t>(Howden-Chapman et al., 2017)</w:t>
      </w:r>
      <w:r w:rsidR="005A303B">
        <w:rPr>
          <w:rFonts w:ascii="Arial" w:hAnsi="Arial" w:cs="Arial"/>
        </w:rPr>
        <w:t>.</w:t>
      </w:r>
    </w:p>
    <w:p w14:paraId="22DB8882" w14:textId="77777777" w:rsidR="000D1EE4" w:rsidRDefault="000D1EE4" w:rsidP="002B3037">
      <w:pPr>
        <w:spacing w:line="360" w:lineRule="auto"/>
        <w:rPr>
          <w:rFonts w:ascii="Arial" w:hAnsi="Arial" w:cs="Arial"/>
          <w:b/>
          <w:bCs/>
        </w:rPr>
      </w:pPr>
    </w:p>
    <w:p w14:paraId="2BE74A36" w14:textId="77777777" w:rsidR="000D1EE4" w:rsidRDefault="000D1EE4" w:rsidP="002B3037">
      <w:pPr>
        <w:spacing w:line="360" w:lineRule="auto"/>
        <w:rPr>
          <w:rFonts w:ascii="Arial" w:hAnsi="Arial" w:cs="Arial"/>
          <w:b/>
          <w:bCs/>
        </w:rPr>
      </w:pPr>
    </w:p>
    <w:p w14:paraId="7C790FA8" w14:textId="77777777" w:rsidR="000D1EE4" w:rsidRDefault="000D1EE4" w:rsidP="002B3037">
      <w:pPr>
        <w:spacing w:line="360" w:lineRule="auto"/>
        <w:rPr>
          <w:rFonts w:ascii="Arial" w:hAnsi="Arial" w:cs="Arial"/>
          <w:b/>
          <w:bCs/>
        </w:rPr>
      </w:pPr>
    </w:p>
    <w:p w14:paraId="32A672A1" w14:textId="77777777" w:rsidR="00FA6555" w:rsidRDefault="00FA6555" w:rsidP="002B3037">
      <w:pPr>
        <w:spacing w:line="360" w:lineRule="auto"/>
        <w:rPr>
          <w:rFonts w:ascii="Arial" w:hAnsi="Arial" w:cs="Arial"/>
          <w:b/>
          <w:bCs/>
        </w:rPr>
      </w:pPr>
    </w:p>
    <w:p w14:paraId="266A1FA0" w14:textId="77777777" w:rsidR="00FA6555" w:rsidRDefault="00FA6555" w:rsidP="002B3037">
      <w:pPr>
        <w:spacing w:line="360" w:lineRule="auto"/>
        <w:rPr>
          <w:rFonts w:ascii="Arial" w:hAnsi="Arial" w:cs="Arial"/>
          <w:b/>
          <w:bCs/>
        </w:rPr>
      </w:pPr>
    </w:p>
    <w:p w14:paraId="0EC6F9B0" w14:textId="77777777" w:rsidR="00FA6555" w:rsidRDefault="00FA6555" w:rsidP="002B3037">
      <w:pPr>
        <w:spacing w:line="360" w:lineRule="auto"/>
        <w:rPr>
          <w:rFonts w:ascii="Arial" w:hAnsi="Arial" w:cs="Arial"/>
          <w:b/>
          <w:bCs/>
        </w:rPr>
      </w:pPr>
    </w:p>
    <w:p w14:paraId="623CAE87" w14:textId="6316CB10" w:rsidR="00D970B2" w:rsidRDefault="00D970B2" w:rsidP="002B3037">
      <w:pPr>
        <w:spacing w:line="360" w:lineRule="auto"/>
        <w:rPr>
          <w:rFonts w:ascii="Arial" w:hAnsi="Arial" w:cs="Arial"/>
          <w:b/>
          <w:bCs/>
        </w:rPr>
      </w:pPr>
      <w:r w:rsidRPr="00D970B2">
        <w:rPr>
          <w:rFonts w:ascii="Arial" w:hAnsi="Arial" w:cs="Arial"/>
          <w:b/>
          <w:bCs/>
        </w:rPr>
        <w:t>Conclusion</w:t>
      </w:r>
    </w:p>
    <w:p w14:paraId="30345D63" w14:textId="77777777" w:rsidR="0037767E" w:rsidRPr="0037767E" w:rsidRDefault="0037767E" w:rsidP="002B3037">
      <w:pPr>
        <w:spacing w:line="360" w:lineRule="auto"/>
        <w:rPr>
          <w:rFonts w:ascii="Arial" w:hAnsi="Arial" w:cs="Arial"/>
        </w:rPr>
      </w:pPr>
    </w:p>
    <w:p w14:paraId="2B1DA410" w14:textId="77777777" w:rsidR="009E64B7" w:rsidRDefault="0037767E" w:rsidP="00980C46">
      <w:pPr>
        <w:spacing w:line="360" w:lineRule="auto"/>
        <w:rPr>
          <w:rFonts w:ascii="Arial" w:hAnsi="Arial" w:cs="Arial"/>
          <w:lang w:val="en-GB"/>
        </w:rPr>
      </w:pPr>
      <w:r w:rsidRPr="0037767E">
        <w:rPr>
          <w:rFonts w:ascii="Arial" w:hAnsi="Arial" w:cs="Arial"/>
          <w:lang w:val="en-GB"/>
        </w:rPr>
        <w:t>This report has shown that SDG 3: Good Health and Wellbeing and SDG 6: Clean Water and Sanitation are deeply interconnected through global, national, and local policies aimed at improving population health and sustainability. Achieving good health relies not only on access to healthcare but also on environmental determinants such as clean water, sanitation, and sustainable living conditions. Coordination between organisations like the UN, WHO, and UN-Water reflects a shared global commitment to equity and universal access to health and sanitation</w:t>
      </w:r>
      <w:r w:rsidR="00B6329D">
        <w:rPr>
          <w:rFonts w:ascii="Arial" w:hAnsi="Arial" w:cs="Arial"/>
          <w:lang w:val="en-GB"/>
        </w:rPr>
        <w:t xml:space="preserve"> </w:t>
      </w:r>
      <w:r w:rsidR="009E64B7" w:rsidRPr="009E64B7">
        <w:rPr>
          <w:rFonts w:ascii="Arial" w:hAnsi="Arial" w:cs="Arial"/>
        </w:rPr>
        <w:t>(Arora and Mishra, 2022)</w:t>
      </w:r>
      <w:r w:rsidR="009E64B7" w:rsidRPr="009E64B7">
        <w:rPr>
          <w:rFonts w:ascii="Arial" w:hAnsi="Arial" w:cs="Arial"/>
          <w:lang w:val="en-GB"/>
        </w:rPr>
        <w:t xml:space="preserve"> </w:t>
      </w:r>
      <w:r w:rsidR="009E64B7">
        <w:rPr>
          <w:rFonts w:ascii="Arial" w:hAnsi="Arial" w:cs="Arial"/>
          <w:lang w:val="en-GB"/>
        </w:rPr>
        <w:t>.</w:t>
      </w:r>
    </w:p>
    <w:p w14:paraId="3E7D73B8" w14:textId="078C441C" w:rsidR="0037767E" w:rsidRPr="0037767E" w:rsidRDefault="0037767E" w:rsidP="00980C46">
      <w:pPr>
        <w:spacing w:line="360" w:lineRule="auto"/>
        <w:rPr>
          <w:rFonts w:ascii="Arial" w:hAnsi="Arial" w:cs="Arial"/>
          <w:lang w:val="en-GB"/>
        </w:rPr>
      </w:pPr>
      <w:r w:rsidRPr="0037767E">
        <w:rPr>
          <w:rFonts w:ascii="Arial" w:hAnsi="Arial" w:cs="Arial"/>
          <w:lang w:val="en-GB"/>
        </w:rPr>
        <w:t>Nationally, the NHS Long Term Plan (2019) and the 25 Year Environment Plan (2018) demonstrate how SDG principles—prevention, fairness, and sustainability—are embedded within UK policy. Locally, initiatives in Birmingham and London, including integrated care systems and water efficiency campaigns, show how community-led action translates global goals into tangible outcomes.</w:t>
      </w:r>
    </w:p>
    <w:p w14:paraId="0846066B" w14:textId="56B6872A" w:rsidR="00145076" w:rsidRPr="00145076" w:rsidRDefault="0037767E" w:rsidP="00350EAF">
      <w:pPr>
        <w:spacing w:line="360" w:lineRule="auto"/>
        <w:rPr>
          <w:lang w:val="en-GB"/>
        </w:rPr>
      </w:pPr>
      <w:r w:rsidRPr="0037767E">
        <w:rPr>
          <w:rFonts w:ascii="Arial" w:hAnsi="Arial" w:cs="Arial"/>
          <w:lang w:val="en-GB"/>
        </w:rPr>
        <w:t xml:space="preserve">The application of the Social Model of Health and the Health Belief Model </w:t>
      </w:r>
      <w:r w:rsidR="00FE03F7" w:rsidRPr="0037767E">
        <w:rPr>
          <w:rFonts w:ascii="Arial" w:hAnsi="Arial" w:cs="Arial"/>
          <w:lang w:val="en-GB"/>
        </w:rPr>
        <w:t>reinforce</w:t>
      </w:r>
      <w:r w:rsidRPr="0037767E">
        <w:rPr>
          <w:rFonts w:ascii="Arial" w:hAnsi="Arial" w:cs="Arial"/>
          <w:lang w:val="en-GB"/>
        </w:rPr>
        <w:t xml:space="preserve"> the importance of combining structural reform with personal empowerment. </w:t>
      </w:r>
      <w:r w:rsidR="00FE03F7" w:rsidRPr="0037767E">
        <w:rPr>
          <w:rFonts w:ascii="Arial" w:hAnsi="Arial" w:cs="Arial"/>
          <w:lang w:val="en-GB"/>
        </w:rPr>
        <w:t>The</w:t>
      </w:r>
      <w:r w:rsidRPr="0037767E">
        <w:rPr>
          <w:rFonts w:ascii="Arial" w:hAnsi="Arial" w:cs="Arial"/>
          <w:lang w:val="en-GB"/>
        </w:rPr>
        <w:t xml:space="preserve"> </w:t>
      </w:r>
      <w:r w:rsidR="00206354" w:rsidRPr="0037767E">
        <w:rPr>
          <w:rFonts w:ascii="Arial" w:hAnsi="Arial" w:cs="Arial"/>
          <w:lang w:val="en-GB"/>
        </w:rPr>
        <w:t>interconnection</w:t>
      </w:r>
      <w:r w:rsidRPr="0037767E">
        <w:rPr>
          <w:rFonts w:ascii="Arial" w:hAnsi="Arial" w:cs="Arial"/>
          <w:lang w:val="en-GB"/>
        </w:rPr>
        <w:t xml:space="preserve"> of SDGs 3 and 6 highlights that health, wellbeing, and environmental sustainability must be pursued together to build a fair, resilient, and healthy society</w:t>
      </w:r>
      <w:r w:rsidR="00350EAF">
        <w:rPr>
          <w:rFonts w:ascii="Arial" w:hAnsi="Arial" w:cs="Arial"/>
          <w:lang w:val="en-GB"/>
        </w:rPr>
        <w:t xml:space="preserve"> </w:t>
      </w:r>
      <w:r w:rsidR="00350EAF" w:rsidRPr="00125F60">
        <w:rPr>
          <w:rFonts w:ascii="Arial" w:hAnsi="Arial" w:cs="Arial"/>
        </w:rPr>
        <w:t>(Sustainable Development Goals A SRHR CSO guide for national implementation, n.d.)</w:t>
      </w:r>
      <w:r w:rsidR="00350EAF">
        <w:rPr>
          <w:rFonts w:ascii="Arial" w:hAnsi="Arial" w:cs="Arial"/>
        </w:rPr>
        <w:t>.</w:t>
      </w:r>
    </w:p>
    <w:p w14:paraId="6BC34AB2" w14:textId="77777777" w:rsidR="00A154E8" w:rsidRDefault="00A154E8" w:rsidP="0065198B">
      <w:pPr>
        <w:rPr>
          <w:lang w:val="en-GB"/>
        </w:rPr>
      </w:pPr>
    </w:p>
    <w:p w14:paraId="5BF42DF2" w14:textId="77777777" w:rsidR="00A154E8" w:rsidRDefault="00A154E8" w:rsidP="0065198B">
      <w:pPr>
        <w:rPr>
          <w:lang w:val="en-GB"/>
        </w:rPr>
      </w:pPr>
    </w:p>
    <w:p w14:paraId="53E31D65" w14:textId="77777777" w:rsidR="00A154E8" w:rsidRPr="0065198B" w:rsidRDefault="00A154E8" w:rsidP="0065198B">
      <w:pPr>
        <w:rPr>
          <w:lang w:val="en-GB"/>
        </w:rPr>
      </w:pPr>
    </w:p>
    <w:p w14:paraId="01C8A50B" w14:textId="77777777" w:rsidR="008837A0" w:rsidRDefault="008837A0" w:rsidP="00096573">
      <w:pPr>
        <w:pStyle w:val="Heading1"/>
        <w:rPr>
          <w:lang w:val="en-GB"/>
        </w:rPr>
      </w:pPr>
    </w:p>
    <w:p w14:paraId="31666E4B" w14:textId="77777777" w:rsidR="0070423D" w:rsidRPr="0070423D" w:rsidRDefault="0070423D" w:rsidP="0070423D">
      <w:pPr>
        <w:rPr>
          <w:lang w:val="en-GB"/>
        </w:rPr>
      </w:pPr>
    </w:p>
    <w:p w14:paraId="5E23D931" w14:textId="09705916" w:rsidR="00096573" w:rsidRPr="00A154E8" w:rsidRDefault="00145076" w:rsidP="00096573">
      <w:pPr>
        <w:pStyle w:val="Heading1"/>
        <w:rPr>
          <w:lang w:val="en-GB"/>
        </w:rPr>
      </w:pPr>
      <w:r>
        <w:rPr>
          <w:lang w:val="en-GB"/>
        </w:rPr>
        <w:t xml:space="preserve">Reference’s </w:t>
      </w:r>
    </w:p>
    <w:p w14:paraId="20500884" w14:textId="77777777" w:rsidR="00096573" w:rsidRPr="00A154E8" w:rsidRDefault="00096573" w:rsidP="00347EFF">
      <w:pPr>
        <w:rPr>
          <w:rFonts w:ascii="Arial" w:hAnsi="Arial" w:cs="Arial"/>
          <w:lang w:val="en-GB"/>
        </w:rPr>
      </w:pPr>
    </w:p>
    <w:p w14:paraId="23A5B4B8" w14:textId="77777777" w:rsidR="00C62453" w:rsidRDefault="00C62453" w:rsidP="00125F60">
      <w:pPr>
        <w:rPr>
          <w:rFonts w:ascii="Arial" w:hAnsi="Arial" w:cs="Arial"/>
          <w:lang w:val="en-GB"/>
        </w:rPr>
      </w:pPr>
    </w:p>
    <w:p w14:paraId="3FEE5156" w14:textId="77777777" w:rsidR="0014320D" w:rsidRPr="0014320D" w:rsidRDefault="0014320D" w:rsidP="00CB785D">
      <w:pPr>
        <w:rPr>
          <w:rFonts w:ascii="Arial" w:hAnsi="Arial" w:cs="Arial"/>
          <w:lang w:val="en-GB"/>
        </w:rPr>
      </w:pPr>
      <w:r w:rsidRPr="00127A19">
        <w:rPr>
          <w:rFonts w:ascii="Arial" w:hAnsi="Arial" w:cs="Arial"/>
          <w:lang w:val="en-GB"/>
        </w:rPr>
        <w:t>‌</w:t>
      </w:r>
      <w:r w:rsidRPr="00A154E8">
        <w:rPr>
          <w:rFonts w:ascii="Arial" w:eastAsia="Times New Roman" w:hAnsi="Arial" w:cs="Arial"/>
          <w:color w:val="000000"/>
          <w:sz w:val="27"/>
          <w:szCs w:val="27"/>
          <w:lang w:val="en-GB" w:eastAsia="en-GB"/>
        </w:rPr>
        <w:t xml:space="preserve"> </w:t>
      </w:r>
      <w:r w:rsidRPr="0014320D">
        <w:rPr>
          <w:rFonts w:ascii="Arial" w:hAnsi="Arial" w:cs="Arial"/>
          <w:lang w:val="en-GB"/>
        </w:rPr>
        <w:t>Brown, J., Acey, C.S., Anthonj, C., Barrington, D.J., Beal, C.D., Capone, D., Cumming, O., Pullen Fedinick, K., MacDonald Gibson, J., Hicks, B., Kozubik, M., Lakatosova, N., Linden, K.G., Love, N.G., Mattos, K.J., Murphy, H.M. and Winkler, I.T. (2023). The effects of racism, social exclusion, and discrimination on achieving universal safe water and sanitation in high-income countries. </w:t>
      </w:r>
      <w:r w:rsidRPr="00295D46">
        <w:rPr>
          <w:rFonts w:ascii="Arial" w:hAnsi="Arial" w:cs="Arial"/>
          <w:i/>
          <w:iCs/>
          <w:lang w:val="en-GB"/>
        </w:rPr>
        <w:t>The Lancet Global Health</w:t>
      </w:r>
      <w:r w:rsidRPr="0014320D">
        <w:rPr>
          <w:rFonts w:ascii="Arial" w:hAnsi="Arial" w:cs="Arial"/>
          <w:lang w:val="en-GB"/>
        </w:rPr>
        <w:t xml:space="preserve">, 11(4), pp. e606–e614. Doi: </w:t>
      </w:r>
      <w:hyperlink r:id="rId11" w:history="1">
        <w:r w:rsidRPr="0014320D">
          <w:rPr>
            <w:rStyle w:val="Hyperlink"/>
            <w:rFonts w:ascii="Arial" w:hAnsi="Arial" w:cs="Arial"/>
            <w:lang w:val="en-GB"/>
          </w:rPr>
          <w:t>HTTPs://doi.org/10.1016/s2214-109x(23)00006-2</w:t>
        </w:r>
      </w:hyperlink>
      <w:r w:rsidRPr="0014320D">
        <w:rPr>
          <w:rFonts w:ascii="Arial" w:hAnsi="Arial" w:cs="Arial"/>
          <w:lang w:val="en-GB"/>
        </w:rPr>
        <w:t xml:space="preserve">. </w:t>
      </w:r>
    </w:p>
    <w:p w14:paraId="34B31A1F" w14:textId="77777777" w:rsidR="0014320D" w:rsidRPr="0014320D" w:rsidRDefault="0014320D" w:rsidP="00A154E8">
      <w:pPr>
        <w:rPr>
          <w:rFonts w:ascii="Arial" w:hAnsi="Arial" w:cs="Arial"/>
          <w:lang w:val="en-GB"/>
        </w:rPr>
      </w:pPr>
      <w:r w:rsidRPr="0014320D">
        <w:rPr>
          <w:rFonts w:ascii="Arial" w:hAnsi="Arial" w:cs="Arial"/>
          <w:lang w:val="en-GB"/>
        </w:rPr>
        <w:t>‌</w:t>
      </w:r>
      <w:r w:rsidRPr="0014320D">
        <w:rPr>
          <w:rFonts w:ascii="Arial" w:eastAsia="Times New Roman" w:hAnsi="Arial" w:cs="Arial"/>
          <w:color w:val="000000"/>
          <w:sz w:val="27"/>
          <w:szCs w:val="27"/>
          <w:lang w:val="en-GB" w:eastAsia="en-GB"/>
        </w:rPr>
        <w:t xml:space="preserve"> </w:t>
      </w:r>
      <w:r w:rsidRPr="0014320D">
        <w:rPr>
          <w:rFonts w:ascii="Arial" w:hAnsi="Arial" w:cs="Arial"/>
          <w:lang w:val="en-GB"/>
        </w:rPr>
        <w:t>Collins, T., Akselrod, S., Rifat Atun, Bennett, S., Osondu Ogbuoji, Hanson, M.A., Dubois, G., Ani Shakarishvili, Inara Kalnina, Requejo, J., Andrei Mosneaga, Watabe, A., Berlina, D. and Allen, L. (2023). Converging global health agendas and universal health coverage: financing whole-of-government action through UHC+. </w:t>
      </w:r>
      <w:r w:rsidRPr="0014320D">
        <w:rPr>
          <w:rFonts w:ascii="Arial" w:hAnsi="Arial" w:cs="Arial"/>
          <w:i/>
          <w:iCs/>
          <w:lang w:val="en-GB"/>
        </w:rPr>
        <w:t>The Lancet Global Health</w:t>
      </w:r>
      <w:r w:rsidRPr="0014320D">
        <w:rPr>
          <w:rFonts w:ascii="Arial" w:hAnsi="Arial" w:cs="Arial"/>
          <w:lang w:val="en-GB"/>
        </w:rPr>
        <w:t xml:space="preserve">, 11(12), pp. e1978–e1985. Doi: </w:t>
      </w:r>
      <w:hyperlink r:id="rId12" w:history="1">
        <w:r w:rsidRPr="0014320D">
          <w:rPr>
            <w:rStyle w:val="Hyperlink"/>
            <w:rFonts w:ascii="Arial" w:hAnsi="Arial" w:cs="Arial"/>
            <w:lang w:val="en-GB"/>
          </w:rPr>
          <w:t>HTTPs://doi.org/10.1016/s2214-109x(23)00489-8</w:t>
        </w:r>
      </w:hyperlink>
      <w:r w:rsidRPr="0014320D">
        <w:rPr>
          <w:rFonts w:ascii="Arial" w:hAnsi="Arial" w:cs="Arial"/>
          <w:lang w:val="en-GB"/>
        </w:rPr>
        <w:t xml:space="preserve">. </w:t>
      </w:r>
    </w:p>
    <w:p w14:paraId="55FDF4D9" w14:textId="77777777" w:rsidR="0014320D" w:rsidRPr="006D1EEF" w:rsidRDefault="0014320D" w:rsidP="00127A19">
      <w:pPr>
        <w:rPr>
          <w:rFonts w:ascii="Arial" w:hAnsi="Arial" w:cs="Arial"/>
          <w:i/>
          <w:iCs/>
          <w:lang w:val="en-GB"/>
        </w:rPr>
      </w:pPr>
      <w:r w:rsidRPr="0014320D">
        <w:rPr>
          <w:rFonts w:ascii="Arial" w:hAnsi="Arial" w:cs="Arial"/>
          <w:lang w:val="nl-NL"/>
        </w:rPr>
        <w:t>‌</w:t>
      </w:r>
      <w:r w:rsidRPr="0014320D">
        <w:rPr>
          <w:rFonts w:ascii="Arial" w:eastAsia="Times New Roman" w:hAnsi="Arial" w:cs="Arial"/>
          <w:color w:val="000000"/>
          <w:sz w:val="27"/>
          <w:szCs w:val="27"/>
          <w:lang w:val="nl-NL" w:eastAsia="en-GB"/>
        </w:rPr>
        <w:t xml:space="preserve"> </w:t>
      </w:r>
      <w:r w:rsidRPr="0014320D">
        <w:rPr>
          <w:rFonts w:ascii="Arial" w:hAnsi="Arial" w:cs="Arial"/>
          <w:lang w:val="nl-NL"/>
        </w:rPr>
        <w:t xml:space="preserve">De, V., Cristina, A., Verdini, G. and De, R. (2025). </w:t>
      </w:r>
      <w:r w:rsidRPr="00494483">
        <w:rPr>
          <w:rFonts w:ascii="Arial" w:hAnsi="Arial" w:cs="Arial"/>
          <w:i/>
          <w:iCs/>
          <w:lang w:val="en-GB"/>
        </w:rPr>
        <w:t>Strategies and Sustainability in Motion: An Analysis of Mobility and Climate Change Policies in Greater London</w:t>
      </w:r>
      <w:r w:rsidRPr="0014320D">
        <w:rPr>
          <w:rFonts w:ascii="Arial" w:hAnsi="Arial" w:cs="Arial"/>
          <w:lang w:val="en-GB"/>
        </w:rPr>
        <w:t xml:space="preserve">.  Doi: </w:t>
      </w:r>
      <w:hyperlink r:id="rId13" w:history="1">
        <w:r w:rsidRPr="0014320D">
          <w:rPr>
            <w:rStyle w:val="Hyperlink"/>
            <w:rFonts w:ascii="Arial" w:hAnsi="Arial" w:cs="Arial"/>
            <w:lang w:val="en-GB"/>
          </w:rPr>
          <w:t>HTTPs://doi.org/10.2139/ssrn.5192293</w:t>
        </w:r>
      </w:hyperlink>
      <w:r w:rsidRPr="0014320D">
        <w:rPr>
          <w:rFonts w:ascii="Arial" w:hAnsi="Arial" w:cs="Arial"/>
          <w:lang w:val="en-GB"/>
        </w:rPr>
        <w:t xml:space="preserve">. </w:t>
      </w:r>
    </w:p>
    <w:p w14:paraId="0AA6FDA8" w14:textId="77777777" w:rsidR="0014320D" w:rsidRPr="0014320D" w:rsidRDefault="0014320D" w:rsidP="009E7497">
      <w:pPr>
        <w:rPr>
          <w:rFonts w:ascii="Arial" w:hAnsi="Arial" w:cs="Arial"/>
          <w:lang w:val="en-GB"/>
        </w:rPr>
      </w:pPr>
      <w:r w:rsidRPr="0014320D">
        <w:rPr>
          <w:rFonts w:ascii="Arial" w:hAnsi="Arial" w:cs="Arial"/>
          <w:lang w:val="en-GB"/>
        </w:rPr>
        <w:t>‌</w:t>
      </w:r>
      <w:r w:rsidRPr="0014320D">
        <w:rPr>
          <w:rFonts w:ascii="Arial" w:eastAsia="Times New Roman" w:hAnsi="Arial" w:cs="Arial"/>
          <w:color w:val="000000"/>
          <w:sz w:val="27"/>
          <w:szCs w:val="27"/>
          <w:lang w:val="en-GB" w:eastAsia="en-GB"/>
        </w:rPr>
        <w:t xml:space="preserve"> </w:t>
      </w:r>
      <w:r w:rsidRPr="0014320D">
        <w:rPr>
          <w:rFonts w:ascii="Arial" w:hAnsi="Arial" w:cs="Arial"/>
          <w:lang w:val="en-GB"/>
        </w:rPr>
        <w:t>Jano Reiss, M., Rotem, A., Gridinger, O., Tzur, Y., Reichman, G., Berenbaum, R. and Tziraki, C. (2022). Health and wellbeing (SDG3) in urban design and spatial planning – a retrospective roadmap towards the collective impact model. </w:t>
      </w:r>
      <w:r w:rsidRPr="0014320D">
        <w:rPr>
          <w:rFonts w:ascii="Arial" w:hAnsi="Arial" w:cs="Arial"/>
          <w:i/>
          <w:iCs/>
          <w:lang w:val="en-GB"/>
        </w:rPr>
        <w:t>Cities &amp; Health</w:t>
      </w:r>
      <w:r w:rsidRPr="0014320D">
        <w:rPr>
          <w:rFonts w:ascii="Arial" w:hAnsi="Arial" w:cs="Arial"/>
          <w:lang w:val="en-GB"/>
        </w:rPr>
        <w:t xml:space="preserve">, 6(5), pp.993–1003. Doi: </w:t>
      </w:r>
      <w:hyperlink r:id="rId14" w:history="1">
        <w:r w:rsidRPr="0014320D">
          <w:rPr>
            <w:rStyle w:val="Hyperlink"/>
            <w:rFonts w:ascii="Arial" w:hAnsi="Arial" w:cs="Arial"/>
            <w:lang w:val="en-GB"/>
          </w:rPr>
          <w:t>HTTPs://doi.org/10.1080/23748834.2022.2147469</w:t>
        </w:r>
      </w:hyperlink>
      <w:r w:rsidRPr="0014320D">
        <w:rPr>
          <w:rFonts w:ascii="Arial" w:hAnsi="Arial" w:cs="Arial"/>
          <w:lang w:val="en-GB"/>
        </w:rPr>
        <w:t xml:space="preserve">. </w:t>
      </w:r>
    </w:p>
    <w:p w14:paraId="435DBAD2" w14:textId="77777777" w:rsidR="0014320D" w:rsidRPr="0014320D" w:rsidRDefault="0014320D" w:rsidP="00FC0A6C">
      <w:pPr>
        <w:rPr>
          <w:rFonts w:ascii="Arial" w:hAnsi="Arial" w:cs="Arial"/>
          <w:lang w:val="en-GB"/>
        </w:rPr>
      </w:pPr>
      <w:r w:rsidRPr="0014320D">
        <w:rPr>
          <w:rFonts w:ascii="Arial" w:hAnsi="Arial" w:cs="Arial"/>
          <w:lang w:val="en-GB"/>
        </w:rPr>
        <w:t>‌</w:t>
      </w:r>
      <w:r w:rsidRPr="0014320D">
        <w:rPr>
          <w:rFonts w:ascii="Arial" w:eastAsia="Times New Roman" w:hAnsi="Arial" w:cs="Arial"/>
          <w:color w:val="000000"/>
          <w:sz w:val="27"/>
          <w:szCs w:val="27"/>
          <w:lang w:val="en-GB" w:eastAsia="en-GB"/>
        </w:rPr>
        <w:t xml:space="preserve"> </w:t>
      </w:r>
      <w:r w:rsidRPr="0014320D">
        <w:rPr>
          <w:rFonts w:ascii="Arial" w:hAnsi="Arial" w:cs="Arial"/>
          <w:lang w:val="en-GB"/>
        </w:rPr>
        <w:t>WHO (2023). </w:t>
      </w:r>
      <w:r w:rsidRPr="0014320D">
        <w:rPr>
          <w:rFonts w:ascii="Arial" w:hAnsi="Arial" w:cs="Arial"/>
          <w:i/>
          <w:iCs/>
          <w:lang w:val="en-GB"/>
        </w:rPr>
        <w:t>Monitoring Health for the SDGs Sustainable Development Goals</w:t>
      </w:r>
      <w:r w:rsidRPr="0014320D">
        <w:rPr>
          <w:rFonts w:ascii="Arial" w:hAnsi="Arial" w:cs="Arial"/>
          <w:lang w:val="en-GB"/>
        </w:rPr>
        <w:t xml:space="preserve">.  Available at: </w:t>
      </w:r>
      <w:hyperlink r:id="rId15" w:history="1">
        <w:r w:rsidRPr="0014320D">
          <w:rPr>
            <w:rStyle w:val="Hyperlink"/>
            <w:rFonts w:ascii="Arial" w:hAnsi="Arial" w:cs="Arial"/>
            <w:lang w:val="en-GB"/>
          </w:rPr>
          <w:t>https://cdn.who.int/media/docs/default-source/gho-documents/world-health-statistic-reports/2023/world-health-statistics-2023_20230519_.pdf</w:t>
        </w:r>
      </w:hyperlink>
      <w:r w:rsidRPr="0014320D">
        <w:rPr>
          <w:rFonts w:ascii="Arial" w:hAnsi="Arial" w:cs="Arial"/>
          <w:lang w:val="en-GB"/>
        </w:rPr>
        <w:t xml:space="preserve">. </w:t>
      </w:r>
    </w:p>
    <w:p w14:paraId="7DD4EB3E" w14:textId="77777777" w:rsidR="0014320D" w:rsidRPr="0014320D" w:rsidRDefault="0014320D" w:rsidP="000737C1">
      <w:pPr>
        <w:rPr>
          <w:rFonts w:ascii="Arial" w:hAnsi="Arial" w:cs="Arial"/>
          <w:lang w:val="en-GB"/>
        </w:rPr>
      </w:pPr>
      <w:r w:rsidRPr="0014320D">
        <w:rPr>
          <w:rFonts w:ascii="Arial" w:hAnsi="Arial" w:cs="Arial"/>
          <w:lang w:val="en-GB"/>
        </w:rPr>
        <w:t xml:space="preserve">Akselrod, S., Banerjee, A., Collins, T.E., Farrington, J., Weber, M., Were, W. and Yaqub, N. (2023). Integrating care across non-communicable diseases and maternal and child health.  pp. p1090–p1090. Doi: </w:t>
      </w:r>
      <w:hyperlink r:id="rId16" w:history="1">
        <w:r w:rsidRPr="0014320D">
          <w:rPr>
            <w:rStyle w:val="Hyperlink"/>
            <w:rFonts w:ascii="Arial" w:hAnsi="Arial" w:cs="Arial"/>
            <w:lang w:val="en-GB"/>
          </w:rPr>
          <w:t>HTTPs://doi.org/10.1136/bmj.p1090</w:t>
        </w:r>
      </w:hyperlink>
      <w:r w:rsidRPr="0014320D">
        <w:rPr>
          <w:rFonts w:ascii="Arial" w:hAnsi="Arial" w:cs="Arial"/>
          <w:lang w:val="en-GB"/>
        </w:rPr>
        <w:t xml:space="preserve">. </w:t>
      </w:r>
    </w:p>
    <w:p w14:paraId="6C51AB5F" w14:textId="77777777" w:rsidR="0014320D" w:rsidRPr="0014320D" w:rsidRDefault="0014320D" w:rsidP="00FC1F71">
      <w:pPr>
        <w:rPr>
          <w:rFonts w:ascii="Arial" w:hAnsi="Arial" w:cs="Arial"/>
          <w:lang w:val="en-GB"/>
        </w:rPr>
      </w:pPr>
      <w:r w:rsidRPr="0014320D">
        <w:rPr>
          <w:rFonts w:ascii="Arial" w:hAnsi="Arial" w:cs="Arial"/>
          <w:lang w:val="en-GB"/>
        </w:rPr>
        <w:t>Alderwick, H. and Dixon, J. (2019). The NHS long term plan. </w:t>
      </w:r>
      <w:r w:rsidRPr="0014320D">
        <w:rPr>
          <w:rFonts w:ascii="Arial" w:hAnsi="Arial" w:cs="Arial"/>
          <w:i/>
          <w:iCs/>
          <w:lang w:val="en-GB"/>
        </w:rPr>
        <w:t>BMJ</w:t>
      </w:r>
      <w:r w:rsidRPr="0014320D">
        <w:rPr>
          <w:rFonts w:ascii="Arial" w:hAnsi="Arial" w:cs="Arial"/>
          <w:lang w:val="en-GB"/>
        </w:rPr>
        <w:t xml:space="preserve">, 364(184), p.l84. Doi: </w:t>
      </w:r>
      <w:hyperlink r:id="rId17" w:history="1">
        <w:r w:rsidRPr="0014320D">
          <w:rPr>
            <w:rStyle w:val="Hyperlink"/>
            <w:rFonts w:ascii="Arial" w:hAnsi="Arial" w:cs="Arial"/>
            <w:lang w:val="en-GB"/>
          </w:rPr>
          <w:t>HTTPs://doi.org/10.1136/bmj.l84</w:t>
        </w:r>
      </w:hyperlink>
      <w:r w:rsidRPr="0014320D">
        <w:rPr>
          <w:rFonts w:ascii="Arial" w:hAnsi="Arial" w:cs="Arial"/>
          <w:lang w:val="en-GB"/>
        </w:rPr>
        <w:t xml:space="preserve">. </w:t>
      </w:r>
    </w:p>
    <w:p w14:paraId="1428537A" w14:textId="77777777" w:rsidR="0014320D" w:rsidRPr="0014320D" w:rsidRDefault="0014320D" w:rsidP="0016597D">
      <w:pPr>
        <w:rPr>
          <w:rFonts w:ascii="Arial" w:hAnsi="Arial" w:cs="Arial"/>
          <w:lang w:val="en-GB"/>
        </w:rPr>
      </w:pPr>
      <w:r w:rsidRPr="0014320D">
        <w:rPr>
          <w:rFonts w:ascii="Arial" w:hAnsi="Arial" w:cs="Arial"/>
          <w:lang w:val="en-GB"/>
        </w:rPr>
        <w:t>Ansari, Z., Carson, N.J., Ackland, M.J., Vaughan, L. and Serraglio, A. (2003). A public health model of the social determinants of health. </w:t>
      </w:r>
      <w:r w:rsidRPr="0014320D">
        <w:rPr>
          <w:rFonts w:ascii="Arial" w:hAnsi="Arial" w:cs="Arial"/>
          <w:i/>
          <w:iCs/>
          <w:lang w:val="en-GB"/>
        </w:rPr>
        <w:t>Social and Preventive Medicine</w:t>
      </w:r>
      <w:r w:rsidRPr="0014320D">
        <w:rPr>
          <w:rFonts w:ascii="Arial" w:hAnsi="Arial" w:cs="Arial"/>
          <w:lang w:val="en-GB"/>
        </w:rPr>
        <w:t xml:space="preserve">, 48(4), pp.242–251. Doi: </w:t>
      </w:r>
      <w:hyperlink r:id="rId18" w:history="1">
        <w:r w:rsidRPr="0014320D">
          <w:rPr>
            <w:rStyle w:val="Hyperlink"/>
            <w:rFonts w:ascii="Arial" w:hAnsi="Arial" w:cs="Arial"/>
            <w:lang w:val="en-GB"/>
          </w:rPr>
          <w:t>HTTPs://doi.org/10.1007/s00038-003-2052-4</w:t>
        </w:r>
      </w:hyperlink>
      <w:r w:rsidRPr="0014320D">
        <w:rPr>
          <w:rFonts w:ascii="Arial" w:hAnsi="Arial" w:cs="Arial"/>
          <w:lang w:val="en-GB"/>
        </w:rPr>
        <w:t xml:space="preserve">. </w:t>
      </w:r>
    </w:p>
    <w:p w14:paraId="6A171B73" w14:textId="77777777" w:rsidR="0014320D" w:rsidRPr="0014320D" w:rsidRDefault="0014320D" w:rsidP="000416DD">
      <w:pPr>
        <w:rPr>
          <w:rFonts w:ascii="Arial" w:hAnsi="Arial" w:cs="Arial"/>
          <w:lang w:val="en-GB"/>
        </w:rPr>
      </w:pPr>
      <w:r w:rsidRPr="0014320D">
        <w:rPr>
          <w:rFonts w:ascii="Arial" w:hAnsi="Arial" w:cs="Arial"/>
          <w:lang w:val="en-GB"/>
        </w:rPr>
        <w:lastRenderedPageBreak/>
        <w:t>Arora, N.K. and Mishra, I. (2022). Sustainable development goal 6: Global Water Security. </w:t>
      </w:r>
      <w:r w:rsidRPr="0014320D">
        <w:rPr>
          <w:rFonts w:ascii="Arial" w:hAnsi="Arial" w:cs="Arial"/>
          <w:i/>
          <w:iCs/>
          <w:lang w:val="en-GB"/>
        </w:rPr>
        <w:t>Environmental Sustainability</w:t>
      </w:r>
      <w:r w:rsidRPr="0014320D">
        <w:rPr>
          <w:rFonts w:ascii="Arial" w:hAnsi="Arial" w:cs="Arial"/>
          <w:lang w:val="en-GB"/>
        </w:rPr>
        <w:t xml:space="preserve">, 5. Doi: HTTPs://doi.org/10.1007/s42398-022-00246-5. </w:t>
      </w:r>
    </w:p>
    <w:p w14:paraId="13850A75" w14:textId="77777777" w:rsidR="0014320D" w:rsidRPr="0014320D" w:rsidRDefault="0014320D" w:rsidP="004E41DA">
      <w:pPr>
        <w:rPr>
          <w:rFonts w:ascii="Arial" w:hAnsi="Arial" w:cs="Arial"/>
          <w:lang w:val="en-GB"/>
        </w:rPr>
      </w:pPr>
      <w:r w:rsidRPr="0014320D">
        <w:rPr>
          <w:rFonts w:ascii="Arial" w:hAnsi="Arial" w:cs="Arial"/>
          <w:lang w:val="en-GB"/>
        </w:rPr>
        <w:t>Asma, S., Lozano, R., Chatterji, S., Swaminathan, S., de Fátima Marinho, M., Yamamoto, N., Varavikova, E., Misganaw, A., Ryan, M., Dandona, L., Minghui, R. and Murray, C.J.L. (2020). Monitoring the health-related Sustainable Development Goals: lessons learned and recommendations for improved measurement. </w:t>
      </w:r>
      <w:r w:rsidRPr="0014320D">
        <w:rPr>
          <w:rFonts w:ascii="Arial" w:hAnsi="Arial" w:cs="Arial"/>
          <w:i/>
          <w:iCs/>
          <w:lang w:val="en-GB"/>
        </w:rPr>
        <w:t>The Lancet</w:t>
      </w:r>
      <w:r w:rsidRPr="0014320D">
        <w:rPr>
          <w:rFonts w:ascii="Arial" w:hAnsi="Arial" w:cs="Arial"/>
          <w:lang w:val="en-GB"/>
        </w:rPr>
        <w:t xml:space="preserve">, 395(10219), pp.240–246. Doi: </w:t>
      </w:r>
      <w:hyperlink r:id="rId19" w:history="1">
        <w:r w:rsidRPr="0014320D">
          <w:rPr>
            <w:rStyle w:val="Hyperlink"/>
            <w:rFonts w:ascii="Arial" w:hAnsi="Arial" w:cs="Arial"/>
            <w:lang w:val="en-GB"/>
          </w:rPr>
          <w:t>HTTPs://doi.org/10.1016/s0140-6736(19)32523-1</w:t>
        </w:r>
      </w:hyperlink>
      <w:r w:rsidRPr="0014320D">
        <w:rPr>
          <w:rFonts w:ascii="Arial" w:hAnsi="Arial" w:cs="Arial"/>
          <w:lang w:val="en-GB"/>
        </w:rPr>
        <w:t xml:space="preserve">. </w:t>
      </w:r>
    </w:p>
    <w:p w14:paraId="71EEF1C2" w14:textId="77777777" w:rsidR="0014320D" w:rsidRPr="0014320D" w:rsidRDefault="0014320D" w:rsidP="000F445F">
      <w:pPr>
        <w:rPr>
          <w:rFonts w:ascii="Arial" w:hAnsi="Arial" w:cs="Arial"/>
          <w:lang w:val="en-GB"/>
        </w:rPr>
      </w:pPr>
      <w:r w:rsidRPr="0014320D">
        <w:rPr>
          <w:rFonts w:ascii="Arial" w:hAnsi="Arial" w:cs="Arial"/>
          <w:lang w:val="en-GB"/>
        </w:rPr>
        <w:t>Charles, A., Ewbank, L., McKenna, H. and Wenzel, L. (2019). </w:t>
      </w:r>
      <w:r w:rsidRPr="0014320D">
        <w:rPr>
          <w:rFonts w:ascii="Arial" w:hAnsi="Arial" w:cs="Arial"/>
          <w:i/>
          <w:iCs/>
          <w:lang w:val="en-GB"/>
        </w:rPr>
        <w:t>The NHS Long-term Plan Explained</w:t>
      </w:r>
      <w:r w:rsidRPr="0014320D">
        <w:rPr>
          <w:rFonts w:ascii="Arial" w:hAnsi="Arial" w:cs="Arial"/>
          <w:lang w:val="en-GB"/>
        </w:rPr>
        <w:t xml:space="preserve">.  The King’s Fund. Available at: </w:t>
      </w:r>
      <w:hyperlink r:id="rId20" w:history="1">
        <w:r w:rsidRPr="0014320D">
          <w:rPr>
            <w:rStyle w:val="Hyperlink"/>
            <w:rFonts w:ascii="Arial" w:hAnsi="Arial" w:cs="Arial"/>
            <w:lang w:val="en-GB"/>
          </w:rPr>
          <w:t>https://www.kingsfund.org.uk/insight-and-analysis/long-reads/nhs-long-term-plan-explained</w:t>
        </w:r>
      </w:hyperlink>
      <w:r w:rsidRPr="0014320D">
        <w:rPr>
          <w:rFonts w:ascii="Arial" w:hAnsi="Arial" w:cs="Arial"/>
          <w:lang w:val="en-GB"/>
        </w:rPr>
        <w:t xml:space="preserve">. </w:t>
      </w:r>
    </w:p>
    <w:p w14:paraId="76BD95B6" w14:textId="77777777" w:rsidR="0014320D" w:rsidRPr="0014320D" w:rsidRDefault="0014320D" w:rsidP="00427628">
      <w:pPr>
        <w:rPr>
          <w:rFonts w:ascii="Arial" w:hAnsi="Arial" w:cs="Arial"/>
          <w:lang w:val="en-GB"/>
        </w:rPr>
      </w:pPr>
      <w:r w:rsidRPr="0014320D">
        <w:rPr>
          <w:rFonts w:ascii="Arial" w:hAnsi="Arial" w:cs="Arial"/>
          <w:lang w:val="en-GB"/>
        </w:rPr>
        <w:t>Corrigan, O., Danielsen, S., Doherty, S., and Lane, P. (2024). Integrated care systems in England: the significance of collaborative community assets in promoting and sustaining health and wellbeing. </w:t>
      </w:r>
      <w:r w:rsidRPr="0014320D">
        <w:rPr>
          <w:rFonts w:ascii="Arial" w:hAnsi="Arial" w:cs="Arial"/>
          <w:i/>
          <w:iCs/>
          <w:lang w:val="en-GB"/>
        </w:rPr>
        <w:t>Frontiers in Sociology</w:t>
      </w:r>
      <w:r w:rsidRPr="0014320D">
        <w:rPr>
          <w:rFonts w:ascii="Arial" w:hAnsi="Arial" w:cs="Arial"/>
          <w:lang w:val="en-GB"/>
        </w:rPr>
        <w:t xml:space="preserve">, 9. Doi: </w:t>
      </w:r>
      <w:hyperlink r:id="rId21" w:history="1">
        <w:r w:rsidRPr="0014320D">
          <w:rPr>
            <w:rStyle w:val="Hyperlink"/>
            <w:rFonts w:ascii="Arial" w:hAnsi="Arial" w:cs="Arial"/>
            <w:lang w:val="en-GB"/>
          </w:rPr>
          <w:t>HTTPs://doi.org/10.3389/fsoc.2024.1355215</w:t>
        </w:r>
      </w:hyperlink>
      <w:r w:rsidRPr="0014320D">
        <w:rPr>
          <w:rFonts w:ascii="Arial" w:hAnsi="Arial" w:cs="Arial"/>
          <w:lang w:val="en-GB"/>
        </w:rPr>
        <w:t xml:space="preserve">. </w:t>
      </w:r>
    </w:p>
    <w:p w14:paraId="6225593B" w14:textId="77777777" w:rsidR="0014320D" w:rsidRPr="0014320D" w:rsidRDefault="0014320D" w:rsidP="00C53F26">
      <w:pPr>
        <w:rPr>
          <w:rFonts w:ascii="Arial" w:hAnsi="Arial" w:cs="Arial"/>
          <w:lang w:val="en-GB"/>
        </w:rPr>
      </w:pPr>
      <w:r w:rsidRPr="0014320D">
        <w:rPr>
          <w:rFonts w:ascii="Arial" w:hAnsi="Arial" w:cs="Arial"/>
          <w:lang w:val="en-GB"/>
        </w:rPr>
        <w:t xml:space="preserve">Get River Positive Report. (2024). Available at: </w:t>
      </w:r>
      <w:hyperlink r:id="rId22" w:history="1">
        <w:r w:rsidRPr="0014320D">
          <w:rPr>
            <w:rStyle w:val="Hyperlink"/>
            <w:rFonts w:ascii="Arial" w:hAnsi="Arial" w:cs="Arial"/>
            <w:lang w:val="en-GB"/>
          </w:rPr>
          <w:t>https://www.stwater.co.uk/content/dam/stw/river-positive/Get-River-Positive-Annual-Report-24.pdf</w:t>
        </w:r>
      </w:hyperlink>
      <w:r w:rsidRPr="0014320D">
        <w:rPr>
          <w:rFonts w:ascii="Arial" w:hAnsi="Arial" w:cs="Arial"/>
          <w:lang w:val="en-GB"/>
        </w:rPr>
        <w:t xml:space="preserve">. </w:t>
      </w:r>
    </w:p>
    <w:p w14:paraId="4DDD1ED9" w14:textId="77777777" w:rsidR="0014320D" w:rsidRPr="0014320D" w:rsidRDefault="0014320D" w:rsidP="00693599">
      <w:pPr>
        <w:rPr>
          <w:rFonts w:ascii="Arial" w:hAnsi="Arial" w:cs="Arial"/>
          <w:lang w:val="en-GB"/>
        </w:rPr>
      </w:pPr>
      <w:r w:rsidRPr="0014320D">
        <w:rPr>
          <w:rFonts w:ascii="Arial" w:hAnsi="Arial" w:cs="Arial"/>
          <w:lang w:val="en-GB"/>
        </w:rPr>
        <w:t>Hayvon, J.C. (2025). Disability in sustainability theories, models, and frameworks: a scoping review guided by the international classification of functioning and the sustainable development goals. </w:t>
      </w:r>
      <w:r w:rsidRPr="0014320D">
        <w:rPr>
          <w:rFonts w:ascii="Arial" w:hAnsi="Arial" w:cs="Arial"/>
          <w:i/>
          <w:iCs/>
          <w:lang w:val="en-GB"/>
        </w:rPr>
        <w:t>Sustainability: Science, Practice and Policy</w:t>
      </w:r>
      <w:r w:rsidRPr="0014320D">
        <w:rPr>
          <w:rFonts w:ascii="Arial" w:hAnsi="Arial" w:cs="Arial"/>
          <w:lang w:val="en-GB"/>
        </w:rPr>
        <w:t xml:space="preserve">, 21(1). doi: </w:t>
      </w:r>
      <w:hyperlink r:id="rId23" w:history="1">
        <w:r w:rsidRPr="0014320D">
          <w:rPr>
            <w:rStyle w:val="Hyperlink"/>
            <w:rFonts w:ascii="Arial" w:hAnsi="Arial" w:cs="Arial"/>
            <w:lang w:val="en-GB"/>
          </w:rPr>
          <w:t>https://doi.org/10.1080/15487733.2025.2497141</w:t>
        </w:r>
      </w:hyperlink>
      <w:r w:rsidRPr="0014320D">
        <w:rPr>
          <w:rFonts w:ascii="Arial" w:hAnsi="Arial" w:cs="Arial"/>
          <w:lang w:val="en-GB"/>
        </w:rPr>
        <w:t xml:space="preserve">. </w:t>
      </w:r>
    </w:p>
    <w:p w14:paraId="36F552AF" w14:textId="77777777" w:rsidR="0014320D" w:rsidRPr="0014320D" w:rsidRDefault="0014320D" w:rsidP="005E3F94">
      <w:pPr>
        <w:rPr>
          <w:rFonts w:ascii="Arial" w:hAnsi="Arial" w:cs="Arial"/>
          <w:lang w:val="en-GB"/>
        </w:rPr>
      </w:pPr>
      <w:r w:rsidRPr="0014320D">
        <w:rPr>
          <w:rFonts w:ascii="Arial" w:hAnsi="Arial" w:cs="Arial"/>
          <w:lang w:val="en-GB"/>
        </w:rPr>
        <w:t>Herrera, V. (2019). Reconciling global aspirations and local realities: Challenges facing the Sustainable Development Goals for water and sanitation. </w:t>
      </w:r>
      <w:r w:rsidRPr="0014320D">
        <w:rPr>
          <w:rFonts w:ascii="Arial" w:hAnsi="Arial" w:cs="Arial"/>
          <w:i/>
          <w:iCs/>
          <w:lang w:val="en-GB"/>
        </w:rPr>
        <w:t>World Development</w:t>
      </w:r>
      <w:r w:rsidRPr="0014320D">
        <w:rPr>
          <w:rFonts w:ascii="Arial" w:hAnsi="Arial" w:cs="Arial"/>
          <w:lang w:val="en-GB"/>
        </w:rPr>
        <w:t xml:space="preserve">, 118, pp.106–117. Doi: </w:t>
      </w:r>
      <w:hyperlink r:id="rId24" w:history="1">
        <w:r w:rsidRPr="0014320D">
          <w:rPr>
            <w:rStyle w:val="Hyperlink"/>
            <w:rFonts w:ascii="Arial" w:hAnsi="Arial" w:cs="Arial"/>
            <w:lang w:val="en-GB"/>
          </w:rPr>
          <w:t>HTTPs://doi.org/10.1016/j.worlddev.2019.02.009</w:t>
        </w:r>
      </w:hyperlink>
      <w:r w:rsidRPr="0014320D">
        <w:rPr>
          <w:rFonts w:ascii="Arial" w:hAnsi="Arial" w:cs="Arial"/>
          <w:lang w:val="en-GB"/>
        </w:rPr>
        <w:t xml:space="preserve">. </w:t>
      </w:r>
    </w:p>
    <w:p w14:paraId="7C71D3F8" w14:textId="77777777" w:rsidR="0014320D" w:rsidRPr="0014320D" w:rsidRDefault="0014320D" w:rsidP="00225AEC">
      <w:pPr>
        <w:rPr>
          <w:rFonts w:ascii="Arial" w:hAnsi="Arial" w:cs="Arial"/>
          <w:lang w:val="en-GB"/>
        </w:rPr>
      </w:pPr>
      <w:r w:rsidRPr="0014320D">
        <w:rPr>
          <w:rFonts w:ascii="Arial" w:hAnsi="Arial" w:cs="Arial"/>
          <w:lang w:val="en-GB"/>
        </w:rPr>
        <w:t>Houlden, S., Hodson, J., Veletsianos, G., Reid, D., and Thompson-Wagner, C. (2021). The health belief model: How public health can address the misinformation crisis beyond COVID-19. </w:t>
      </w:r>
      <w:r w:rsidRPr="0014320D">
        <w:rPr>
          <w:rFonts w:ascii="Arial" w:hAnsi="Arial" w:cs="Arial"/>
          <w:i/>
          <w:iCs/>
          <w:lang w:val="en-GB"/>
        </w:rPr>
        <w:t>Public Health in Practice</w:t>
      </w:r>
      <w:r w:rsidRPr="0014320D">
        <w:rPr>
          <w:rFonts w:ascii="Arial" w:hAnsi="Arial" w:cs="Arial"/>
          <w:lang w:val="en-GB"/>
        </w:rPr>
        <w:t xml:space="preserve">, 2(100151), p.100151. Doi: </w:t>
      </w:r>
      <w:hyperlink r:id="rId25" w:history="1">
        <w:r w:rsidRPr="0014320D">
          <w:rPr>
            <w:rStyle w:val="Hyperlink"/>
            <w:rFonts w:ascii="Arial" w:hAnsi="Arial" w:cs="Arial"/>
            <w:lang w:val="en-GB"/>
          </w:rPr>
          <w:t>HTTPs://doi.org/10.1016/j.puhip.2021.100151</w:t>
        </w:r>
      </w:hyperlink>
      <w:r w:rsidRPr="0014320D">
        <w:rPr>
          <w:rFonts w:ascii="Arial" w:hAnsi="Arial" w:cs="Arial"/>
          <w:lang w:val="en-GB"/>
        </w:rPr>
        <w:t xml:space="preserve">. </w:t>
      </w:r>
    </w:p>
    <w:p w14:paraId="35DDCD7A" w14:textId="77777777" w:rsidR="0014320D" w:rsidRPr="0014320D" w:rsidRDefault="0014320D" w:rsidP="006D7212">
      <w:pPr>
        <w:rPr>
          <w:rFonts w:ascii="Arial" w:hAnsi="Arial" w:cs="Arial"/>
          <w:lang w:val="en-GB"/>
        </w:rPr>
      </w:pPr>
      <w:r w:rsidRPr="0014320D">
        <w:rPr>
          <w:rFonts w:ascii="Arial" w:hAnsi="Arial" w:cs="Arial"/>
          <w:lang w:val="en-GB"/>
        </w:rPr>
        <w:t>Howden-Chapman, P., Siri, J., Chisholm, E., Chapman, R., Doll, C., and Capon, A. (2017). </w:t>
      </w:r>
      <w:r w:rsidRPr="0014320D">
        <w:rPr>
          <w:rFonts w:ascii="Arial" w:hAnsi="Arial" w:cs="Arial"/>
          <w:i/>
          <w:iCs/>
          <w:lang w:val="en-GB"/>
        </w:rPr>
        <w:t>SDG 3 ENSURE HEALTHY LIVES AND PROMOTE WELL- BEING FOR ALL AT ALL AGES</w:t>
      </w:r>
      <w:r w:rsidRPr="0014320D">
        <w:rPr>
          <w:rFonts w:ascii="Arial" w:hAnsi="Arial" w:cs="Arial"/>
          <w:lang w:val="en-GB"/>
        </w:rPr>
        <w:t xml:space="preserve">. Available at: </w:t>
      </w:r>
      <w:hyperlink r:id="rId26" w:history="1">
        <w:r w:rsidRPr="0014320D">
          <w:rPr>
            <w:rStyle w:val="Hyperlink"/>
            <w:rFonts w:ascii="Arial" w:hAnsi="Arial" w:cs="Arial"/>
            <w:lang w:val="en-GB"/>
          </w:rPr>
          <w:t>https://council.science/wp-content/uploads/2017/03/SDGs-interactions-3-healthy-lives.pdf</w:t>
        </w:r>
      </w:hyperlink>
      <w:r w:rsidRPr="0014320D">
        <w:rPr>
          <w:rFonts w:ascii="Arial" w:hAnsi="Arial" w:cs="Arial"/>
          <w:lang w:val="en-GB"/>
        </w:rPr>
        <w:t xml:space="preserve">. </w:t>
      </w:r>
    </w:p>
    <w:p w14:paraId="192088E1" w14:textId="77777777" w:rsidR="0014320D" w:rsidRPr="0014320D" w:rsidRDefault="0014320D" w:rsidP="00CF0151">
      <w:pPr>
        <w:rPr>
          <w:rFonts w:ascii="Arial" w:hAnsi="Arial" w:cs="Arial"/>
          <w:lang w:val="en-GB"/>
        </w:rPr>
      </w:pPr>
      <w:r w:rsidRPr="0014320D">
        <w:rPr>
          <w:rFonts w:ascii="Arial" w:hAnsi="Arial" w:cs="Arial"/>
          <w:lang w:val="en-GB"/>
        </w:rPr>
        <w:t>Koivusalo, M. (2017). Global health policy in Sustainable Development Goals. </w:t>
      </w:r>
      <w:r w:rsidRPr="0014320D">
        <w:rPr>
          <w:rFonts w:ascii="Arial" w:hAnsi="Arial" w:cs="Arial"/>
          <w:i/>
          <w:iCs/>
          <w:lang w:val="en-GB"/>
        </w:rPr>
        <w:t>Global Social Policy: An Interdisciplinary Journal of Public Policy and Social Development</w:t>
      </w:r>
      <w:r w:rsidRPr="0014320D">
        <w:rPr>
          <w:rFonts w:ascii="Arial" w:hAnsi="Arial" w:cs="Arial"/>
          <w:lang w:val="en-GB"/>
        </w:rPr>
        <w:t xml:space="preserve">, 17(2), pp.224–230. Doi: </w:t>
      </w:r>
      <w:hyperlink r:id="rId27" w:history="1">
        <w:r w:rsidRPr="0014320D">
          <w:rPr>
            <w:rStyle w:val="Hyperlink"/>
            <w:rFonts w:ascii="Arial" w:hAnsi="Arial" w:cs="Arial"/>
            <w:lang w:val="en-GB"/>
          </w:rPr>
          <w:t>HTTPs://doi.org/10.1177/1468018117703442</w:t>
        </w:r>
      </w:hyperlink>
      <w:r w:rsidRPr="0014320D">
        <w:rPr>
          <w:rFonts w:ascii="Arial" w:hAnsi="Arial" w:cs="Arial"/>
          <w:lang w:val="en-GB"/>
        </w:rPr>
        <w:t xml:space="preserve">. </w:t>
      </w:r>
    </w:p>
    <w:p w14:paraId="102FE520" w14:textId="77777777" w:rsidR="0014320D" w:rsidRPr="0014320D" w:rsidRDefault="0014320D" w:rsidP="00806182">
      <w:pPr>
        <w:rPr>
          <w:rFonts w:ascii="Arial" w:hAnsi="Arial" w:cs="Arial"/>
          <w:lang w:val="en-GB"/>
        </w:rPr>
      </w:pPr>
      <w:r w:rsidRPr="0014320D">
        <w:rPr>
          <w:rFonts w:ascii="Arial" w:hAnsi="Arial" w:cs="Arial"/>
          <w:lang w:val="en-GB"/>
        </w:rPr>
        <w:t>Mair, S., Jones, A., Ward, J., Christie, I., Druckman, A. and Lyon, F. (2017). A Critical Review of the Role of Indicators in Implementing the Sustainable Development Goals. </w:t>
      </w:r>
      <w:r w:rsidRPr="0014320D">
        <w:rPr>
          <w:rFonts w:ascii="Arial" w:hAnsi="Arial" w:cs="Arial"/>
          <w:i/>
          <w:iCs/>
          <w:lang w:val="en-GB"/>
        </w:rPr>
        <w:t>World Sustainability Series</w:t>
      </w:r>
      <w:r w:rsidRPr="0014320D">
        <w:rPr>
          <w:rFonts w:ascii="Arial" w:hAnsi="Arial" w:cs="Arial"/>
          <w:lang w:val="en-GB"/>
        </w:rPr>
        <w:t xml:space="preserve">, pp.41–56. Doi: </w:t>
      </w:r>
      <w:hyperlink r:id="rId28" w:history="1">
        <w:r w:rsidRPr="0014320D">
          <w:rPr>
            <w:rStyle w:val="Hyperlink"/>
            <w:rFonts w:ascii="Arial" w:hAnsi="Arial" w:cs="Arial"/>
            <w:lang w:val="en-GB"/>
          </w:rPr>
          <w:t>HTTPs://doi.org/10.1007/978-3-319-63007-6_3</w:t>
        </w:r>
      </w:hyperlink>
      <w:r w:rsidRPr="0014320D">
        <w:rPr>
          <w:rFonts w:ascii="Arial" w:hAnsi="Arial" w:cs="Arial"/>
          <w:lang w:val="en-GB"/>
        </w:rPr>
        <w:t xml:space="preserve">. </w:t>
      </w:r>
    </w:p>
    <w:p w14:paraId="1875B7BF" w14:textId="77777777" w:rsidR="0014320D" w:rsidRPr="0014320D" w:rsidRDefault="0014320D" w:rsidP="00907736">
      <w:pPr>
        <w:rPr>
          <w:rFonts w:ascii="Arial" w:hAnsi="Arial" w:cs="Arial"/>
          <w:lang w:val="en-GB"/>
        </w:rPr>
      </w:pPr>
      <w:r w:rsidRPr="0014320D">
        <w:rPr>
          <w:rFonts w:ascii="Arial" w:hAnsi="Arial" w:cs="Arial"/>
          <w:lang w:val="en-GB"/>
        </w:rPr>
        <w:t>Mansell, P., Van Rooyen, D., Philbin, S. and Sabini, L. (2021). INFRASTRUCTURE PROJECTS’ ASSESSMENT THROUGH SDG TARGETS: TOWARDS a COMPREHENSIVE FRAMEWORK. </w:t>
      </w:r>
      <w:r w:rsidRPr="0014320D">
        <w:rPr>
          <w:rFonts w:ascii="Arial" w:hAnsi="Arial" w:cs="Arial"/>
          <w:i/>
          <w:iCs/>
          <w:lang w:val="en-GB"/>
        </w:rPr>
        <w:t>Issue 2</w:t>
      </w:r>
      <w:r w:rsidRPr="0014320D">
        <w:rPr>
          <w:rFonts w:ascii="Arial" w:hAnsi="Arial" w:cs="Arial"/>
          <w:lang w:val="en-GB"/>
        </w:rPr>
        <w:t xml:space="preserve">, 10(2). Doi: </w:t>
      </w:r>
      <w:hyperlink r:id="rId29" w:history="1">
        <w:r w:rsidRPr="0014320D">
          <w:rPr>
            <w:rStyle w:val="Hyperlink"/>
            <w:rFonts w:ascii="Arial" w:hAnsi="Arial" w:cs="Arial"/>
            <w:lang w:val="en-GB"/>
          </w:rPr>
          <w:t>HTTPs://doi.org/10.25219/epoj.2021.00108</w:t>
        </w:r>
      </w:hyperlink>
      <w:r w:rsidRPr="0014320D">
        <w:rPr>
          <w:rFonts w:ascii="Arial" w:hAnsi="Arial" w:cs="Arial"/>
          <w:lang w:val="en-GB"/>
        </w:rPr>
        <w:t xml:space="preserve">. </w:t>
      </w:r>
    </w:p>
    <w:p w14:paraId="7716D9EC" w14:textId="77777777" w:rsidR="0014320D" w:rsidRPr="0014320D" w:rsidRDefault="0014320D" w:rsidP="00D97A34">
      <w:pPr>
        <w:rPr>
          <w:rFonts w:ascii="Arial" w:hAnsi="Arial" w:cs="Arial"/>
          <w:lang w:val="en-GB"/>
        </w:rPr>
      </w:pPr>
      <w:r w:rsidRPr="0014320D">
        <w:rPr>
          <w:rFonts w:ascii="Arial" w:hAnsi="Arial" w:cs="Arial"/>
          <w:lang w:val="en-GB"/>
        </w:rPr>
        <w:lastRenderedPageBreak/>
        <w:t>Mohieldin, M. and Shehata, M. (2021). The SDGs as an Operational Framework for Post COVID-19 Response and Recovery. </w:t>
      </w:r>
      <w:r w:rsidRPr="0014320D">
        <w:rPr>
          <w:rFonts w:ascii="Arial" w:hAnsi="Arial" w:cs="Arial"/>
          <w:i/>
          <w:iCs/>
          <w:lang w:val="en-GB"/>
        </w:rPr>
        <w:t>AD-minister</w:t>
      </w:r>
      <w:r w:rsidRPr="0014320D">
        <w:rPr>
          <w:rFonts w:ascii="Arial" w:hAnsi="Arial" w:cs="Arial"/>
          <w:lang w:val="en-GB"/>
        </w:rPr>
        <w:t xml:space="preserve">, (38), pp.5–42. Doi: </w:t>
      </w:r>
      <w:hyperlink r:id="rId30" w:history="1">
        <w:r w:rsidRPr="0014320D">
          <w:rPr>
            <w:rStyle w:val="Hyperlink"/>
            <w:rFonts w:ascii="Arial" w:hAnsi="Arial" w:cs="Arial"/>
            <w:lang w:val="en-GB"/>
          </w:rPr>
          <w:t>HTTPs://doi.org/10.17230/ad-minister.38.1</w:t>
        </w:r>
      </w:hyperlink>
      <w:r w:rsidRPr="0014320D">
        <w:rPr>
          <w:rFonts w:ascii="Arial" w:hAnsi="Arial" w:cs="Arial"/>
          <w:lang w:val="en-GB"/>
        </w:rPr>
        <w:t xml:space="preserve">. </w:t>
      </w:r>
    </w:p>
    <w:p w14:paraId="42B33423" w14:textId="77777777" w:rsidR="0014320D" w:rsidRPr="0014320D" w:rsidRDefault="0014320D" w:rsidP="007D2D88">
      <w:pPr>
        <w:rPr>
          <w:rFonts w:ascii="Arial" w:hAnsi="Arial" w:cs="Arial"/>
          <w:lang w:val="en-GB"/>
        </w:rPr>
      </w:pPr>
      <w:r w:rsidRPr="0014320D">
        <w:rPr>
          <w:rFonts w:ascii="Arial" w:hAnsi="Arial" w:cs="Arial"/>
          <w:lang w:val="en-GB"/>
        </w:rPr>
        <w:t>Morse, T. (2022). </w:t>
      </w:r>
      <w:r w:rsidRPr="0014320D">
        <w:rPr>
          <w:rFonts w:ascii="Arial" w:hAnsi="Arial" w:cs="Arial"/>
          <w:i/>
          <w:iCs/>
          <w:lang w:val="en-GB"/>
        </w:rPr>
        <w:t>Good health and well-being</w:t>
      </w:r>
      <w:r w:rsidRPr="0014320D">
        <w:rPr>
          <w:rFonts w:ascii="Arial" w:hAnsi="Arial" w:cs="Arial"/>
          <w:lang w:val="en-GB"/>
        </w:rPr>
        <w:t xml:space="preserve">. strathprints.strath.ac.uk. Available at: </w:t>
      </w:r>
      <w:hyperlink r:id="rId31" w:history="1">
        <w:r w:rsidRPr="0014320D">
          <w:rPr>
            <w:rStyle w:val="Hyperlink"/>
            <w:rFonts w:ascii="Arial" w:hAnsi="Arial" w:cs="Arial"/>
            <w:lang w:val="en-GB"/>
          </w:rPr>
          <w:t>https://strathprints.strath.ac.uk/83075/</w:t>
        </w:r>
      </w:hyperlink>
      <w:r w:rsidRPr="0014320D">
        <w:rPr>
          <w:rFonts w:ascii="Arial" w:hAnsi="Arial" w:cs="Arial"/>
          <w:lang w:val="en-GB"/>
        </w:rPr>
        <w:t xml:space="preserve">. </w:t>
      </w:r>
    </w:p>
    <w:p w14:paraId="6FE3F0DD" w14:textId="77777777" w:rsidR="0014320D" w:rsidRPr="0014320D" w:rsidRDefault="0014320D" w:rsidP="009149F8">
      <w:pPr>
        <w:rPr>
          <w:rFonts w:ascii="Arial" w:hAnsi="Arial" w:cs="Arial"/>
          <w:lang w:val="en-GB"/>
        </w:rPr>
      </w:pPr>
      <w:r w:rsidRPr="0014320D">
        <w:rPr>
          <w:rFonts w:ascii="Arial" w:hAnsi="Arial" w:cs="Arial"/>
          <w:lang w:val="en-GB"/>
        </w:rPr>
        <w:t>NCD Alliance. (2025). </w:t>
      </w:r>
      <w:r w:rsidRPr="0014320D">
        <w:rPr>
          <w:rFonts w:ascii="Arial" w:hAnsi="Arial" w:cs="Arial"/>
          <w:i/>
          <w:iCs/>
          <w:lang w:val="en-GB"/>
        </w:rPr>
        <w:t>Universal Health Coverage (UHC)</w:t>
      </w:r>
      <w:r w:rsidRPr="0014320D">
        <w:rPr>
          <w:rFonts w:ascii="Arial" w:hAnsi="Arial" w:cs="Arial"/>
          <w:lang w:val="en-GB"/>
        </w:rPr>
        <w:t xml:space="preserve">. Available at: </w:t>
      </w:r>
      <w:hyperlink r:id="rId32" w:history="1">
        <w:r w:rsidRPr="0014320D">
          <w:rPr>
            <w:rStyle w:val="Hyperlink"/>
            <w:rFonts w:ascii="Arial" w:hAnsi="Arial" w:cs="Arial"/>
            <w:lang w:val="en-GB"/>
          </w:rPr>
          <w:t>https://ncdalliance.org/explore-ncds/solutions/universal-health-coverage</w:t>
        </w:r>
      </w:hyperlink>
      <w:r w:rsidRPr="0014320D">
        <w:rPr>
          <w:rFonts w:ascii="Arial" w:hAnsi="Arial" w:cs="Arial"/>
          <w:lang w:val="en-GB"/>
        </w:rPr>
        <w:t xml:space="preserve">. </w:t>
      </w:r>
    </w:p>
    <w:p w14:paraId="169C396F" w14:textId="60EC9650" w:rsidR="0014320D" w:rsidRPr="0014320D" w:rsidRDefault="0014320D" w:rsidP="00EE389B">
      <w:pPr>
        <w:rPr>
          <w:rFonts w:ascii="Arial" w:hAnsi="Arial" w:cs="Arial"/>
          <w:lang w:val="en-GB"/>
        </w:rPr>
      </w:pPr>
      <w:r w:rsidRPr="0014320D">
        <w:rPr>
          <w:rFonts w:ascii="Arial" w:hAnsi="Arial" w:cs="Arial"/>
          <w:lang w:val="en-GB"/>
        </w:rPr>
        <w:t>Okumah, M., Martin-Ortega, J., and Novo, P. (2018). Effects of awareness on farmers’ compliance with diffuse pollution mitigation measures: A conditional process modelling. </w:t>
      </w:r>
      <w:r w:rsidRPr="0014320D">
        <w:rPr>
          <w:rFonts w:ascii="Arial" w:hAnsi="Arial" w:cs="Arial"/>
          <w:i/>
          <w:iCs/>
          <w:lang w:val="en-GB"/>
        </w:rPr>
        <w:t>Land Use Policy</w:t>
      </w:r>
      <w:r w:rsidRPr="0014320D">
        <w:rPr>
          <w:rFonts w:ascii="Arial" w:hAnsi="Arial" w:cs="Arial"/>
          <w:lang w:val="en-GB"/>
        </w:rPr>
        <w:t xml:space="preserve">,  76, pp.36–45. Doi: </w:t>
      </w:r>
      <w:hyperlink r:id="rId33" w:history="1">
        <w:r w:rsidRPr="0014320D">
          <w:rPr>
            <w:rStyle w:val="Hyperlink"/>
            <w:rFonts w:ascii="Arial" w:hAnsi="Arial" w:cs="Arial"/>
            <w:lang w:val="en-GB"/>
          </w:rPr>
          <w:t>HTTPs://doi.org/10.1016/j.landusepol.2018.04.051</w:t>
        </w:r>
      </w:hyperlink>
      <w:r w:rsidRPr="0014320D">
        <w:rPr>
          <w:rFonts w:ascii="Arial" w:hAnsi="Arial" w:cs="Arial"/>
          <w:lang w:val="en-GB"/>
        </w:rPr>
        <w:t xml:space="preserve">. </w:t>
      </w:r>
    </w:p>
    <w:p w14:paraId="1C9CCFE9" w14:textId="77777777" w:rsidR="0014320D" w:rsidRDefault="0014320D" w:rsidP="00125F60">
      <w:pPr>
        <w:rPr>
          <w:rFonts w:ascii="Arial" w:hAnsi="Arial" w:cs="Arial"/>
          <w:lang w:val="en-GB"/>
        </w:rPr>
      </w:pPr>
    </w:p>
    <w:p w14:paraId="02542794" w14:textId="3AF9CF91" w:rsidR="0014320D" w:rsidRPr="0014320D" w:rsidRDefault="0014320D" w:rsidP="00125F60">
      <w:pPr>
        <w:rPr>
          <w:rFonts w:ascii="Arial" w:hAnsi="Arial" w:cs="Arial"/>
          <w:lang w:val="en-GB"/>
        </w:rPr>
      </w:pPr>
      <w:r w:rsidRPr="0014320D">
        <w:rPr>
          <w:rFonts w:ascii="Arial" w:hAnsi="Arial" w:cs="Arial"/>
          <w:lang w:val="en-GB"/>
        </w:rPr>
        <w:t xml:space="preserve">Sustainable Development Goals A SRHR CSO guide for national implementation. (n.d.). Available at: </w:t>
      </w:r>
      <w:hyperlink r:id="rId34" w:history="1">
        <w:r w:rsidRPr="0014320D">
          <w:rPr>
            <w:rStyle w:val="Hyperlink"/>
            <w:rFonts w:ascii="Arial" w:hAnsi="Arial" w:cs="Arial"/>
            <w:lang w:val="en-GB"/>
          </w:rPr>
          <w:t>https://countdown2030europe.org/storage/app/media/SDG%20SRHR%20CSO%20implementation%20guide.pdf</w:t>
        </w:r>
      </w:hyperlink>
      <w:r w:rsidRPr="0014320D">
        <w:rPr>
          <w:rFonts w:ascii="Arial" w:hAnsi="Arial" w:cs="Arial"/>
          <w:lang w:val="en-GB"/>
        </w:rPr>
        <w:t xml:space="preserve">. </w:t>
      </w:r>
    </w:p>
    <w:p w14:paraId="717EFA7B" w14:textId="77777777" w:rsidR="0014320D" w:rsidRPr="0014320D" w:rsidRDefault="0014320D" w:rsidP="00084A5C">
      <w:pPr>
        <w:rPr>
          <w:rFonts w:ascii="Arial" w:hAnsi="Arial" w:cs="Arial"/>
          <w:lang w:val="en-GB"/>
        </w:rPr>
      </w:pPr>
      <w:r w:rsidRPr="0014320D">
        <w:rPr>
          <w:rFonts w:ascii="Arial" w:hAnsi="Arial" w:cs="Arial"/>
          <w:lang w:val="en-GB"/>
        </w:rPr>
        <w:t>Sweileh, W.M. (2020). Bibliometric analysis of scientific publications on ‘sustainable development goals’ with emphasis on ‘good health and well-being’ goal (2015–2019). </w:t>
      </w:r>
      <w:r w:rsidRPr="0014320D">
        <w:rPr>
          <w:rFonts w:ascii="Arial" w:hAnsi="Arial" w:cs="Arial"/>
          <w:i/>
          <w:iCs/>
          <w:lang w:val="en-GB"/>
        </w:rPr>
        <w:t>Globalization and Health</w:t>
      </w:r>
      <w:r w:rsidRPr="0014320D">
        <w:rPr>
          <w:rFonts w:ascii="Arial" w:hAnsi="Arial" w:cs="Arial"/>
          <w:lang w:val="en-GB"/>
        </w:rPr>
        <w:t xml:space="preserve">, 16(1). Doi: </w:t>
      </w:r>
      <w:hyperlink r:id="rId35" w:history="1">
        <w:r w:rsidRPr="0014320D">
          <w:rPr>
            <w:rStyle w:val="Hyperlink"/>
            <w:rFonts w:ascii="Arial" w:hAnsi="Arial" w:cs="Arial"/>
            <w:lang w:val="en-GB"/>
          </w:rPr>
          <w:t>HTTPs://doi.org/10.1186/s12992-020-00602-2</w:t>
        </w:r>
      </w:hyperlink>
      <w:r w:rsidRPr="0014320D">
        <w:rPr>
          <w:rFonts w:ascii="Arial" w:hAnsi="Arial" w:cs="Arial"/>
          <w:lang w:val="en-GB"/>
        </w:rPr>
        <w:t xml:space="preserve">. </w:t>
      </w:r>
    </w:p>
    <w:p w14:paraId="2F5C36D9" w14:textId="77777777" w:rsidR="0014320D" w:rsidRPr="0014320D" w:rsidRDefault="0014320D" w:rsidP="000B2B51">
      <w:pPr>
        <w:rPr>
          <w:rFonts w:ascii="Arial" w:hAnsi="Arial" w:cs="Arial"/>
          <w:lang w:val="en-GB"/>
        </w:rPr>
      </w:pPr>
      <w:r w:rsidRPr="0014320D">
        <w:rPr>
          <w:rFonts w:ascii="Arial" w:hAnsi="Arial" w:cs="Arial"/>
          <w:lang w:val="en-GB"/>
        </w:rPr>
        <w:t>The Global Goals (2015). </w:t>
      </w:r>
      <w:r w:rsidRPr="0014320D">
        <w:rPr>
          <w:rFonts w:ascii="Arial" w:hAnsi="Arial" w:cs="Arial"/>
          <w:i/>
          <w:iCs/>
          <w:lang w:val="en-GB"/>
        </w:rPr>
        <w:t>Goal 6: Clean water and sanitation</w:t>
      </w:r>
      <w:r w:rsidRPr="0014320D">
        <w:rPr>
          <w:rFonts w:ascii="Arial" w:hAnsi="Arial" w:cs="Arial"/>
          <w:lang w:val="en-GB"/>
        </w:rPr>
        <w:t xml:space="preserve">. The Global Goals. Available at: </w:t>
      </w:r>
      <w:hyperlink r:id="rId36" w:history="1">
        <w:r w:rsidRPr="0014320D">
          <w:rPr>
            <w:rStyle w:val="Hyperlink"/>
            <w:rFonts w:ascii="Arial" w:hAnsi="Arial" w:cs="Arial"/>
            <w:lang w:val="en-GB"/>
          </w:rPr>
          <w:t>https://globalgoals.org/goals/6-clean-water-and-sanitation/</w:t>
        </w:r>
      </w:hyperlink>
      <w:r w:rsidRPr="0014320D">
        <w:rPr>
          <w:rFonts w:ascii="Arial" w:hAnsi="Arial" w:cs="Arial"/>
          <w:lang w:val="en-GB"/>
        </w:rPr>
        <w:t xml:space="preserve">. </w:t>
      </w:r>
    </w:p>
    <w:p w14:paraId="7FB0FE77" w14:textId="77777777" w:rsidR="0014320D" w:rsidRPr="0014320D" w:rsidRDefault="0014320D" w:rsidP="00EB1189">
      <w:pPr>
        <w:rPr>
          <w:rFonts w:ascii="Arial" w:hAnsi="Arial" w:cs="Arial"/>
          <w:lang w:val="en-GB"/>
        </w:rPr>
      </w:pPr>
      <w:r w:rsidRPr="0014320D">
        <w:rPr>
          <w:rFonts w:ascii="Arial" w:hAnsi="Arial" w:cs="Arial"/>
          <w:lang w:val="en-GB"/>
        </w:rPr>
        <w:t>Thorlby, R., Gardner, T., Allen, L. and Alderwick, H. (2021). The NHS Long Term Plan and COVID-19: Assessing Progress and the Pandemic’s Impact. </w:t>
      </w:r>
      <w:r w:rsidRPr="0014320D">
        <w:rPr>
          <w:rFonts w:ascii="Arial" w:hAnsi="Arial" w:cs="Arial"/>
          <w:i/>
          <w:iCs/>
          <w:lang w:val="en-GB"/>
        </w:rPr>
        <w:t>The Health Foundation</w:t>
      </w:r>
      <w:r w:rsidRPr="0014320D">
        <w:rPr>
          <w:rFonts w:ascii="Arial" w:hAnsi="Arial" w:cs="Arial"/>
          <w:lang w:val="en-GB"/>
        </w:rPr>
        <w:t xml:space="preserve">. Doi: </w:t>
      </w:r>
      <w:hyperlink r:id="rId37" w:history="1">
        <w:r w:rsidRPr="0014320D">
          <w:rPr>
            <w:rStyle w:val="Hyperlink"/>
            <w:rFonts w:ascii="Arial" w:hAnsi="Arial" w:cs="Arial"/>
            <w:lang w:val="en-GB"/>
          </w:rPr>
          <w:t>HTTPs://doi.org/10.37829/hf-2021-p08</w:t>
        </w:r>
      </w:hyperlink>
      <w:r w:rsidRPr="0014320D">
        <w:rPr>
          <w:rFonts w:ascii="Arial" w:hAnsi="Arial" w:cs="Arial"/>
          <w:lang w:val="en-GB"/>
        </w:rPr>
        <w:t xml:space="preserve">. </w:t>
      </w:r>
    </w:p>
    <w:p w14:paraId="441F210D" w14:textId="77777777" w:rsidR="0014320D" w:rsidRPr="0014320D" w:rsidRDefault="0014320D" w:rsidP="00EA4793">
      <w:pPr>
        <w:rPr>
          <w:rFonts w:ascii="Arial" w:hAnsi="Arial" w:cs="Arial"/>
          <w:lang w:val="en-GB"/>
        </w:rPr>
      </w:pPr>
      <w:r w:rsidRPr="0014320D">
        <w:rPr>
          <w:rFonts w:ascii="Arial" w:hAnsi="Arial" w:cs="Arial"/>
          <w:lang w:val="en-GB"/>
        </w:rPr>
        <w:t>Who.int. (2018). </w:t>
      </w:r>
      <w:r w:rsidRPr="0014320D">
        <w:rPr>
          <w:rFonts w:ascii="Arial" w:hAnsi="Arial" w:cs="Arial"/>
          <w:i/>
          <w:iCs/>
          <w:lang w:val="en-GB"/>
        </w:rPr>
        <w:t>Water supply, sanitation, and hygiene monitoring</w:t>
      </w:r>
      <w:r w:rsidRPr="0014320D">
        <w:rPr>
          <w:rFonts w:ascii="Arial" w:hAnsi="Arial" w:cs="Arial"/>
          <w:lang w:val="en-GB"/>
        </w:rPr>
        <w:t xml:space="preserve">. Available at: </w:t>
      </w:r>
      <w:hyperlink r:id="rId38" w:history="1">
        <w:r w:rsidRPr="0014320D">
          <w:rPr>
            <w:rStyle w:val="Hyperlink"/>
            <w:rFonts w:ascii="Arial" w:hAnsi="Arial" w:cs="Arial"/>
            <w:lang w:val="en-GB"/>
          </w:rPr>
          <w:t>https://www.who.int/teams/environment-climate-change-and-health/water-sanitation-and-health/monitoring-and-evidence/wash-monitoring</w:t>
        </w:r>
      </w:hyperlink>
      <w:r w:rsidRPr="0014320D">
        <w:rPr>
          <w:rFonts w:ascii="Arial" w:hAnsi="Arial" w:cs="Arial"/>
          <w:lang w:val="en-GB"/>
        </w:rPr>
        <w:t xml:space="preserve"> </w:t>
      </w:r>
    </w:p>
    <w:p w14:paraId="7943D971" w14:textId="77777777" w:rsidR="0014320D" w:rsidRPr="0014320D" w:rsidRDefault="0014320D" w:rsidP="00CF0151">
      <w:pPr>
        <w:rPr>
          <w:rFonts w:ascii="Arial" w:hAnsi="Arial" w:cs="Arial"/>
          <w:lang w:val="en-GB"/>
        </w:rPr>
      </w:pPr>
      <w:r w:rsidRPr="0014320D">
        <w:rPr>
          <w:rFonts w:ascii="Arial" w:hAnsi="Arial" w:cs="Arial"/>
          <w:lang w:val="en-GB"/>
        </w:rPr>
        <w:t>www.london.gov.uk. (n.d.). </w:t>
      </w:r>
      <w:r w:rsidRPr="0014320D">
        <w:rPr>
          <w:rFonts w:ascii="Arial" w:hAnsi="Arial" w:cs="Arial"/>
          <w:i/>
          <w:iCs/>
          <w:lang w:val="en-GB"/>
        </w:rPr>
        <w:t>Water Use | London City Hall</w:t>
      </w:r>
      <w:r w:rsidRPr="0014320D">
        <w:rPr>
          <w:rFonts w:ascii="Arial" w:hAnsi="Arial" w:cs="Arial"/>
          <w:lang w:val="en-GB"/>
        </w:rPr>
        <w:t xml:space="preserve">. Available at: </w:t>
      </w:r>
      <w:hyperlink r:id="rId39" w:history="1">
        <w:r w:rsidRPr="0014320D">
          <w:rPr>
            <w:rStyle w:val="Hyperlink"/>
            <w:rFonts w:ascii="Arial" w:hAnsi="Arial" w:cs="Arial"/>
            <w:lang w:val="en-GB"/>
          </w:rPr>
          <w:t>https://www.london.gov.uk/who-we-are/what-london-assembly-does/questions-mayor/find-an-answer/water-use</w:t>
        </w:r>
      </w:hyperlink>
      <w:r w:rsidRPr="0014320D">
        <w:rPr>
          <w:rFonts w:ascii="Arial" w:hAnsi="Arial" w:cs="Arial"/>
          <w:lang w:val="en-GB"/>
        </w:rPr>
        <w:t xml:space="preserve">. </w:t>
      </w:r>
    </w:p>
    <w:sectPr w:rsidR="0014320D" w:rsidRPr="001432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C52A30" w14:textId="77777777" w:rsidR="00D74CFD" w:rsidRDefault="00D74CFD" w:rsidP="001517F4">
      <w:pPr>
        <w:spacing w:after="0"/>
      </w:pPr>
      <w:r>
        <w:separator/>
      </w:r>
    </w:p>
  </w:endnote>
  <w:endnote w:type="continuationSeparator" w:id="0">
    <w:p w14:paraId="2F89E8B8" w14:textId="77777777" w:rsidR="00D74CFD" w:rsidRDefault="00D74CFD" w:rsidP="001517F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8C3BA" w14:textId="77777777" w:rsidR="00D74CFD" w:rsidRDefault="00D74CFD" w:rsidP="001517F4">
      <w:pPr>
        <w:spacing w:after="0"/>
      </w:pPr>
      <w:r>
        <w:separator/>
      </w:r>
    </w:p>
  </w:footnote>
  <w:footnote w:type="continuationSeparator" w:id="0">
    <w:p w14:paraId="770BA3B5" w14:textId="77777777" w:rsidR="00D74CFD" w:rsidRDefault="00D74CFD" w:rsidP="001517F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8D53A5"/>
    <w:multiLevelType w:val="multilevel"/>
    <w:tmpl w:val="6A107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9DC7905"/>
    <w:multiLevelType w:val="multilevel"/>
    <w:tmpl w:val="2B84D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5054926"/>
    <w:multiLevelType w:val="multilevel"/>
    <w:tmpl w:val="0D82B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82487146">
    <w:abstractNumId w:val="0"/>
  </w:num>
  <w:num w:numId="2" w16cid:durableId="984162392">
    <w:abstractNumId w:val="1"/>
  </w:num>
  <w:num w:numId="3" w16cid:durableId="16996968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8CC"/>
    <w:rsid w:val="00026094"/>
    <w:rsid w:val="000303AC"/>
    <w:rsid w:val="000416DD"/>
    <w:rsid w:val="00044B88"/>
    <w:rsid w:val="00044E72"/>
    <w:rsid w:val="00054133"/>
    <w:rsid w:val="000659BB"/>
    <w:rsid w:val="000737C1"/>
    <w:rsid w:val="00084A5C"/>
    <w:rsid w:val="00092F92"/>
    <w:rsid w:val="00093AA5"/>
    <w:rsid w:val="00095E16"/>
    <w:rsid w:val="00096034"/>
    <w:rsid w:val="00096561"/>
    <w:rsid w:val="00096573"/>
    <w:rsid w:val="000B2B51"/>
    <w:rsid w:val="000B67B8"/>
    <w:rsid w:val="000C571F"/>
    <w:rsid w:val="000D1EE4"/>
    <w:rsid w:val="000E06B4"/>
    <w:rsid w:val="000E11A4"/>
    <w:rsid w:val="000F2619"/>
    <w:rsid w:val="000F445F"/>
    <w:rsid w:val="00103997"/>
    <w:rsid w:val="001143AD"/>
    <w:rsid w:val="00116487"/>
    <w:rsid w:val="00125F60"/>
    <w:rsid w:val="00127A19"/>
    <w:rsid w:val="001302A2"/>
    <w:rsid w:val="00131953"/>
    <w:rsid w:val="00132635"/>
    <w:rsid w:val="00142D42"/>
    <w:rsid w:val="0014320D"/>
    <w:rsid w:val="00145076"/>
    <w:rsid w:val="001517F4"/>
    <w:rsid w:val="00154B79"/>
    <w:rsid w:val="00156B7A"/>
    <w:rsid w:val="0016597D"/>
    <w:rsid w:val="001862C7"/>
    <w:rsid w:val="001B00C6"/>
    <w:rsid w:val="001B2017"/>
    <w:rsid w:val="001C316D"/>
    <w:rsid w:val="001E2776"/>
    <w:rsid w:val="001E3000"/>
    <w:rsid w:val="001E419C"/>
    <w:rsid w:val="0020178C"/>
    <w:rsid w:val="002056A2"/>
    <w:rsid w:val="00206354"/>
    <w:rsid w:val="00211CE4"/>
    <w:rsid w:val="0021567C"/>
    <w:rsid w:val="00225AEC"/>
    <w:rsid w:val="00233D6D"/>
    <w:rsid w:val="0025078F"/>
    <w:rsid w:val="00251789"/>
    <w:rsid w:val="0025485A"/>
    <w:rsid w:val="00265549"/>
    <w:rsid w:val="00285280"/>
    <w:rsid w:val="00285407"/>
    <w:rsid w:val="00290178"/>
    <w:rsid w:val="00295D46"/>
    <w:rsid w:val="002B3037"/>
    <w:rsid w:val="002B5788"/>
    <w:rsid w:val="002B7221"/>
    <w:rsid w:val="002C10EB"/>
    <w:rsid w:val="002D550B"/>
    <w:rsid w:val="002D57D4"/>
    <w:rsid w:val="002E3B04"/>
    <w:rsid w:val="002E3E07"/>
    <w:rsid w:val="002E5031"/>
    <w:rsid w:val="002F5429"/>
    <w:rsid w:val="00313AD0"/>
    <w:rsid w:val="00314E7C"/>
    <w:rsid w:val="003166D1"/>
    <w:rsid w:val="0033227D"/>
    <w:rsid w:val="00336D01"/>
    <w:rsid w:val="00341E67"/>
    <w:rsid w:val="00347EFF"/>
    <w:rsid w:val="00350EAF"/>
    <w:rsid w:val="0037767E"/>
    <w:rsid w:val="0038637B"/>
    <w:rsid w:val="003B66BB"/>
    <w:rsid w:val="003B7DE4"/>
    <w:rsid w:val="003C251A"/>
    <w:rsid w:val="003C341F"/>
    <w:rsid w:val="003C5971"/>
    <w:rsid w:val="003D0DAE"/>
    <w:rsid w:val="003E3DDB"/>
    <w:rsid w:val="003E5226"/>
    <w:rsid w:val="004004BA"/>
    <w:rsid w:val="00403EBB"/>
    <w:rsid w:val="00406A8B"/>
    <w:rsid w:val="00413732"/>
    <w:rsid w:val="004206B7"/>
    <w:rsid w:val="0042094F"/>
    <w:rsid w:val="00427628"/>
    <w:rsid w:val="0043597C"/>
    <w:rsid w:val="00436D46"/>
    <w:rsid w:val="00442C94"/>
    <w:rsid w:val="00451D67"/>
    <w:rsid w:val="00451EB9"/>
    <w:rsid w:val="004525A6"/>
    <w:rsid w:val="00494483"/>
    <w:rsid w:val="004A74C2"/>
    <w:rsid w:val="004B3437"/>
    <w:rsid w:val="004C16C7"/>
    <w:rsid w:val="004C477B"/>
    <w:rsid w:val="004E41DA"/>
    <w:rsid w:val="004F3E75"/>
    <w:rsid w:val="00502478"/>
    <w:rsid w:val="0051062D"/>
    <w:rsid w:val="00530707"/>
    <w:rsid w:val="0055064B"/>
    <w:rsid w:val="005546A7"/>
    <w:rsid w:val="00585A07"/>
    <w:rsid w:val="005A303B"/>
    <w:rsid w:val="005A3082"/>
    <w:rsid w:val="005C15F8"/>
    <w:rsid w:val="005D302D"/>
    <w:rsid w:val="005D4CE6"/>
    <w:rsid w:val="005E3F94"/>
    <w:rsid w:val="005E4C5F"/>
    <w:rsid w:val="005F0D05"/>
    <w:rsid w:val="005F2BDE"/>
    <w:rsid w:val="006032E4"/>
    <w:rsid w:val="006143E7"/>
    <w:rsid w:val="00617944"/>
    <w:rsid w:val="00625B60"/>
    <w:rsid w:val="006512A7"/>
    <w:rsid w:val="00651834"/>
    <w:rsid w:val="0065198B"/>
    <w:rsid w:val="006615F2"/>
    <w:rsid w:val="00672D01"/>
    <w:rsid w:val="00676A39"/>
    <w:rsid w:val="00692206"/>
    <w:rsid w:val="00693599"/>
    <w:rsid w:val="006B0DDB"/>
    <w:rsid w:val="006B16A2"/>
    <w:rsid w:val="006C133C"/>
    <w:rsid w:val="006D1EEF"/>
    <w:rsid w:val="006D44D7"/>
    <w:rsid w:val="006D7212"/>
    <w:rsid w:val="006E3416"/>
    <w:rsid w:val="006F32D1"/>
    <w:rsid w:val="006F70C2"/>
    <w:rsid w:val="00702278"/>
    <w:rsid w:val="0070423D"/>
    <w:rsid w:val="00722394"/>
    <w:rsid w:val="00722A70"/>
    <w:rsid w:val="00735EC1"/>
    <w:rsid w:val="00761D95"/>
    <w:rsid w:val="00774492"/>
    <w:rsid w:val="00785BF2"/>
    <w:rsid w:val="007954F5"/>
    <w:rsid w:val="007D139C"/>
    <w:rsid w:val="007D2D88"/>
    <w:rsid w:val="007D7EE7"/>
    <w:rsid w:val="007F0CC8"/>
    <w:rsid w:val="007F5AB1"/>
    <w:rsid w:val="00806182"/>
    <w:rsid w:val="008078CC"/>
    <w:rsid w:val="00811AE9"/>
    <w:rsid w:val="00813659"/>
    <w:rsid w:val="00814258"/>
    <w:rsid w:val="008205A5"/>
    <w:rsid w:val="00821F94"/>
    <w:rsid w:val="00822D0D"/>
    <w:rsid w:val="00824705"/>
    <w:rsid w:val="00830EBD"/>
    <w:rsid w:val="00847471"/>
    <w:rsid w:val="00856454"/>
    <w:rsid w:val="0086092F"/>
    <w:rsid w:val="00865B37"/>
    <w:rsid w:val="00874092"/>
    <w:rsid w:val="008837A0"/>
    <w:rsid w:val="00895A26"/>
    <w:rsid w:val="008E4FE0"/>
    <w:rsid w:val="008E6CFF"/>
    <w:rsid w:val="008F1E27"/>
    <w:rsid w:val="008F6E85"/>
    <w:rsid w:val="009042E1"/>
    <w:rsid w:val="00907736"/>
    <w:rsid w:val="009149F8"/>
    <w:rsid w:val="00926890"/>
    <w:rsid w:val="0094314B"/>
    <w:rsid w:val="00950289"/>
    <w:rsid w:val="00974212"/>
    <w:rsid w:val="00977B2D"/>
    <w:rsid w:val="00980C46"/>
    <w:rsid w:val="009844FE"/>
    <w:rsid w:val="00984644"/>
    <w:rsid w:val="00985335"/>
    <w:rsid w:val="00993A19"/>
    <w:rsid w:val="009A3B2F"/>
    <w:rsid w:val="009B33A5"/>
    <w:rsid w:val="009B393B"/>
    <w:rsid w:val="009C2A79"/>
    <w:rsid w:val="009D6D2F"/>
    <w:rsid w:val="009E2508"/>
    <w:rsid w:val="009E2839"/>
    <w:rsid w:val="009E64B7"/>
    <w:rsid w:val="009E7497"/>
    <w:rsid w:val="009F394D"/>
    <w:rsid w:val="00A0569B"/>
    <w:rsid w:val="00A154E8"/>
    <w:rsid w:val="00A304DB"/>
    <w:rsid w:val="00A319F9"/>
    <w:rsid w:val="00A3609C"/>
    <w:rsid w:val="00A51073"/>
    <w:rsid w:val="00A51CE7"/>
    <w:rsid w:val="00A5582C"/>
    <w:rsid w:val="00A930A8"/>
    <w:rsid w:val="00A941E6"/>
    <w:rsid w:val="00A9519E"/>
    <w:rsid w:val="00AA473E"/>
    <w:rsid w:val="00AB6637"/>
    <w:rsid w:val="00AC0AB2"/>
    <w:rsid w:val="00AC7B61"/>
    <w:rsid w:val="00AD2572"/>
    <w:rsid w:val="00AD3CA1"/>
    <w:rsid w:val="00B40B0B"/>
    <w:rsid w:val="00B46C91"/>
    <w:rsid w:val="00B6329D"/>
    <w:rsid w:val="00B73E54"/>
    <w:rsid w:val="00B92D3E"/>
    <w:rsid w:val="00B965DE"/>
    <w:rsid w:val="00BA2001"/>
    <w:rsid w:val="00BA22A6"/>
    <w:rsid w:val="00BA5D8D"/>
    <w:rsid w:val="00BA6769"/>
    <w:rsid w:val="00BA6E09"/>
    <w:rsid w:val="00BC2384"/>
    <w:rsid w:val="00BC2D9B"/>
    <w:rsid w:val="00BC6739"/>
    <w:rsid w:val="00BF08CB"/>
    <w:rsid w:val="00C06200"/>
    <w:rsid w:val="00C06E3C"/>
    <w:rsid w:val="00C11E70"/>
    <w:rsid w:val="00C319B5"/>
    <w:rsid w:val="00C31F96"/>
    <w:rsid w:val="00C37CC7"/>
    <w:rsid w:val="00C52A27"/>
    <w:rsid w:val="00C53F26"/>
    <w:rsid w:val="00C62453"/>
    <w:rsid w:val="00C71FDC"/>
    <w:rsid w:val="00C7549E"/>
    <w:rsid w:val="00C80332"/>
    <w:rsid w:val="00C82FA1"/>
    <w:rsid w:val="00CA105D"/>
    <w:rsid w:val="00CA64E7"/>
    <w:rsid w:val="00CB785D"/>
    <w:rsid w:val="00CC2FA8"/>
    <w:rsid w:val="00CD66D2"/>
    <w:rsid w:val="00CE0415"/>
    <w:rsid w:val="00CF0151"/>
    <w:rsid w:val="00CF2B00"/>
    <w:rsid w:val="00D13DE3"/>
    <w:rsid w:val="00D16D65"/>
    <w:rsid w:val="00D33C6C"/>
    <w:rsid w:val="00D44DE7"/>
    <w:rsid w:val="00D45631"/>
    <w:rsid w:val="00D5073E"/>
    <w:rsid w:val="00D51613"/>
    <w:rsid w:val="00D6281B"/>
    <w:rsid w:val="00D73BBA"/>
    <w:rsid w:val="00D74CB8"/>
    <w:rsid w:val="00D74CFD"/>
    <w:rsid w:val="00D80DCC"/>
    <w:rsid w:val="00D96A39"/>
    <w:rsid w:val="00D970B2"/>
    <w:rsid w:val="00D97A34"/>
    <w:rsid w:val="00DA34ED"/>
    <w:rsid w:val="00DA58BB"/>
    <w:rsid w:val="00DB7DB8"/>
    <w:rsid w:val="00DD49EC"/>
    <w:rsid w:val="00DD4B5C"/>
    <w:rsid w:val="00DD76B0"/>
    <w:rsid w:val="00E20AE8"/>
    <w:rsid w:val="00E2296D"/>
    <w:rsid w:val="00E25C84"/>
    <w:rsid w:val="00E3271E"/>
    <w:rsid w:val="00E32B72"/>
    <w:rsid w:val="00E40EF7"/>
    <w:rsid w:val="00E42074"/>
    <w:rsid w:val="00E744A8"/>
    <w:rsid w:val="00E75FD3"/>
    <w:rsid w:val="00E82E2A"/>
    <w:rsid w:val="00E8560E"/>
    <w:rsid w:val="00E90C16"/>
    <w:rsid w:val="00E9195A"/>
    <w:rsid w:val="00E9249A"/>
    <w:rsid w:val="00EA4793"/>
    <w:rsid w:val="00EB1189"/>
    <w:rsid w:val="00ED726F"/>
    <w:rsid w:val="00EE389B"/>
    <w:rsid w:val="00EF7168"/>
    <w:rsid w:val="00F14C53"/>
    <w:rsid w:val="00F14F21"/>
    <w:rsid w:val="00F43172"/>
    <w:rsid w:val="00F52C1C"/>
    <w:rsid w:val="00F6528A"/>
    <w:rsid w:val="00F66E56"/>
    <w:rsid w:val="00F86796"/>
    <w:rsid w:val="00F9158D"/>
    <w:rsid w:val="00F92204"/>
    <w:rsid w:val="00FA3C23"/>
    <w:rsid w:val="00FA6555"/>
    <w:rsid w:val="00FC0A6C"/>
    <w:rsid w:val="00FC1F71"/>
    <w:rsid w:val="00FE03F7"/>
    <w:rsid w:val="00FE14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5837A"/>
  <w15:chartTrackingRefBased/>
  <w15:docId w15:val="{174E1A2E-7F77-4F36-ABC9-069009929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96D"/>
    <w:pPr>
      <w:spacing w:after="220" w:line="240" w:lineRule="auto"/>
    </w:pPr>
    <w:rPr>
      <w:kern w:val="0"/>
      <w:lang w:val="en-US"/>
      <w14:ligatures w14:val="none"/>
    </w:rPr>
  </w:style>
  <w:style w:type="paragraph" w:styleId="Heading1">
    <w:name w:val="heading 1"/>
    <w:basedOn w:val="Normal"/>
    <w:next w:val="Normal"/>
    <w:link w:val="Heading1Char"/>
    <w:uiPriority w:val="9"/>
    <w:qFormat/>
    <w:rsid w:val="008078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78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78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78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78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78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78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78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78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78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78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78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78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78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78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78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78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78CC"/>
    <w:rPr>
      <w:rFonts w:eastAsiaTheme="majorEastAsia" w:cstheme="majorBidi"/>
      <w:color w:val="272727" w:themeColor="text1" w:themeTint="D8"/>
    </w:rPr>
  </w:style>
  <w:style w:type="paragraph" w:styleId="Title">
    <w:name w:val="Title"/>
    <w:basedOn w:val="Normal"/>
    <w:next w:val="Normal"/>
    <w:link w:val="TitleChar"/>
    <w:uiPriority w:val="10"/>
    <w:qFormat/>
    <w:rsid w:val="008078C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78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78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78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78CC"/>
    <w:pPr>
      <w:spacing w:before="160"/>
      <w:jc w:val="center"/>
    </w:pPr>
    <w:rPr>
      <w:i/>
      <w:iCs/>
      <w:color w:val="404040" w:themeColor="text1" w:themeTint="BF"/>
    </w:rPr>
  </w:style>
  <w:style w:type="character" w:customStyle="1" w:styleId="QuoteChar">
    <w:name w:val="Quote Char"/>
    <w:basedOn w:val="DefaultParagraphFont"/>
    <w:link w:val="Quote"/>
    <w:uiPriority w:val="29"/>
    <w:rsid w:val="008078CC"/>
    <w:rPr>
      <w:i/>
      <w:iCs/>
      <w:color w:val="404040" w:themeColor="text1" w:themeTint="BF"/>
    </w:rPr>
  </w:style>
  <w:style w:type="paragraph" w:styleId="ListParagraph">
    <w:name w:val="List Paragraph"/>
    <w:basedOn w:val="Normal"/>
    <w:uiPriority w:val="34"/>
    <w:qFormat/>
    <w:rsid w:val="008078CC"/>
    <w:pPr>
      <w:ind w:left="720"/>
      <w:contextualSpacing/>
    </w:pPr>
  </w:style>
  <w:style w:type="character" w:styleId="IntenseEmphasis">
    <w:name w:val="Intense Emphasis"/>
    <w:basedOn w:val="DefaultParagraphFont"/>
    <w:uiPriority w:val="21"/>
    <w:qFormat/>
    <w:rsid w:val="008078CC"/>
    <w:rPr>
      <w:i/>
      <w:iCs/>
      <w:color w:val="0F4761" w:themeColor="accent1" w:themeShade="BF"/>
    </w:rPr>
  </w:style>
  <w:style w:type="paragraph" w:styleId="IntenseQuote">
    <w:name w:val="Intense Quote"/>
    <w:basedOn w:val="Normal"/>
    <w:next w:val="Normal"/>
    <w:link w:val="IntenseQuoteChar"/>
    <w:uiPriority w:val="30"/>
    <w:qFormat/>
    <w:rsid w:val="008078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78CC"/>
    <w:rPr>
      <w:i/>
      <w:iCs/>
      <w:color w:val="0F4761" w:themeColor="accent1" w:themeShade="BF"/>
    </w:rPr>
  </w:style>
  <w:style w:type="character" w:styleId="IntenseReference">
    <w:name w:val="Intense Reference"/>
    <w:basedOn w:val="DefaultParagraphFont"/>
    <w:uiPriority w:val="32"/>
    <w:qFormat/>
    <w:rsid w:val="008078CC"/>
    <w:rPr>
      <w:b/>
      <w:bCs/>
      <w:smallCaps/>
      <w:color w:val="0F4761" w:themeColor="accent1" w:themeShade="BF"/>
      <w:spacing w:val="5"/>
    </w:rPr>
  </w:style>
  <w:style w:type="paragraph" w:styleId="Header">
    <w:name w:val="header"/>
    <w:basedOn w:val="Normal"/>
    <w:link w:val="HeaderChar"/>
    <w:uiPriority w:val="99"/>
    <w:unhideWhenUsed/>
    <w:rsid w:val="001517F4"/>
    <w:pPr>
      <w:tabs>
        <w:tab w:val="center" w:pos="4513"/>
        <w:tab w:val="right" w:pos="9026"/>
      </w:tabs>
      <w:spacing w:after="0"/>
    </w:pPr>
  </w:style>
  <w:style w:type="character" w:customStyle="1" w:styleId="HeaderChar">
    <w:name w:val="Header Char"/>
    <w:basedOn w:val="DefaultParagraphFont"/>
    <w:link w:val="Header"/>
    <w:uiPriority w:val="99"/>
    <w:rsid w:val="001517F4"/>
    <w:rPr>
      <w:kern w:val="0"/>
      <w:lang w:val="en-US"/>
      <w14:ligatures w14:val="none"/>
    </w:rPr>
  </w:style>
  <w:style w:type="paragraph" w:styleId="Footer">
    <w:name w:val="footer"/>
    <w:basedOn w:val="Normal"/>
    <w:link w:val="FooterChar"/>
    <w:uiPriority w:val="99"/>
    <w:unhideWhenUsed/>
    <w:rsid w:val="001517F4"/>
    <w:pPr>
      <w:tabs>
        <w:tab w:val="center" w:pos="4513"/>
        <w:tab w:val="right" w:pos="9026"/>
      </w:tabs>
      <w:spacing w:after="0"/>
    </w:pPr>
  </w:style>
  <w:style w:type="character" w:customStyle="1" w:styleId="FooterChar">
    <w:name w:val="Footer Char"/>
    <w:basedOn w:val="DefaultParagraphFont"/>
    <w:link w:val="Footer"/>
    <w:uiPriority w:val="99"/>
    <w:rsid w:val="001517F4"/>
    <w:rPr>
      <w:kern w:val="0"/>
      <w:lang w:val="en-US"/>
      <w14:ligatures w14:val="none"/>
    </w:rPr>
  </w:style>
  <w:style w:type="character" w:styleId="Hyperlink">
    <w:name w:val="Hyperlink"/>
    <w:basedOn w:val="DefaultParagraphFont"/>
    <w:uiPriority w:val="99"/>
    <w:unhideWhenUsed/>
    <w:rsid w:val="00347EFF"/>
    <w:rPr>
      <w:color w:val="467886" w:themeColor="hyperlink"/>
      <w:u w:val="single"/>
    </w:rPr>
  </w:style>
  <w:style w:type="character" w:styleId="UnresolvedMention">
    <w:name w:val="Unresolved Mention"/>
    <w:basedOn w:val="DefaultParagraphFont"/>
    <w:uiPriority w:val="99"/>
    <w:semiHidden/>
    <w:unhideWhenUsed/>
    <w:rsid w:val="00347EFF"/>
    <w:rPr>
      <w:color w:val="605E5C"/>
      <w:shd w:val="clear" w:color="auto" w:fill="E1DFDD"/>
    </w:rPr>
  </w:style>
  <w:style w:type="paragraph" w:styleId="NormalWeb">
    <w:name w:val="Normal (Web)"/>
    <w:basedOn w:val="Normal"/>
    <w:uiPriority w:val="99"/>
    <w:semiHidden/>
    <w:unhideWhenUsed/>
    <w:rsid w:val="00FC0A6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139/ssrn.5192293" TargetMode="External"/><Relationship Id="rId18" Type="http://schemas.openxmlformats.org/officeDocument/2006/relationships/hyperlink" Target="HTTPs://doi.org/10.1007/s00038-003-2052-4" TargetMode="External"/><Relationship Id="rId26" Type="http://schemas.openxmlformats.org/officeDocument/2006/relationships/hyperlink" Target="https://council.science/wp-content/uploads/2017/03/SDGs-interactions-3-healthy-lives.pdf" TargetMode="External"/><Relationship Id="rId39" Type="http://schemas.openxmlformats.org/officeDocument/2006/relationships/hyperlink" Target="https://www.london.gov.uk/who-we-are/what-london-assembly-does/questions-mayor/find-an-answer/water-use" TargetMode="External"/><Relationship Id="rId21" Type="http://schemas.openxmlformats.org/officeDocument/2006/relationships/hyperlink" Target="HTTPs://doi.org/10.3389/fsoc.2024.1355215" TargetMode="External"/><Relationship Id="rId34" Type="http://schemas.openxmlformats.org/officeDocument/2006/relationships/hyperlink" Target="https://countdown2030europe.org/storage/app/media/SDG%20SRHR%20CSO%20implementation%20guide.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oi.org/10.1136/bmj.p1090" TargetMode="External"/><Relationship Id="rId20" Type="http://schemas.openxmlformats.org/officeDocument/2006/relationships/hyperlink" Target="https://www.kingsfund.org.uk/insight-and-analysis/long-reads/nhs-long-term-plan-explained" TargetMode="External"/><Relationship Id="rId29" Type="http://schemas.openxmlformats.org/officeDocument/2006/relationships/hyperlink" Target="HTTPs://doi.org/10.25219/epoj.2021.00108"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016/s2214-109x(23)00006-2" TargetMode="External"/><Relationship Id="rId24" Type="http://schemas.openxmlformats.org/officeDocument/2006/relationships/hyperlink" Target="HTTPs://doi.org/10.1016/j.worlddev.2019.02.009" TargetMode="External"/><Relationship Id="rId32" Type="http://schemas.openxmlformats.org/officeDocument/2006/relationships/hyperlink" Target="https://ncdalliance.org/explore-ncds/solutions/universal-health-coverage" TargetMode="External"/><Relationship Id="rId37" Type="http://schemas.openxmlformats.org/officeDocument/2006/relationships/hyperlink" Target="HTTPs://doi.org/10.37829/hf-2021-p08"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cdn.who.int/media/docs/default-source/gho-documents/world-health-statistic-reports/2023/world-health-statistics-2023_20230519_.pdf" TargetMode="External"/><Relationship Id="rId23" Type="http://schemas.openxmlformats.org/officeDocument/2006/relationships/hyperlink" Target="https://doi.org/10.1080/15487733.2025.2497141" TargetMode="External"/><Relationship Id="rId28" Type="http://schemas.openxmlformats.org/officeDocument/2006/relationships/hyperlink" Target="HTTPs://doi.org/10.1007/978-3-319-63007-6_3" TargetMode="External"/><Relationship Id="rId36" Type="http://schemas.openxmlformats.org/officeDocument/2006/relationships/hyperlink" Target="https://globalgoals.org/goals/6-clean-water-and-sanitation/" TargetMode="External"/><Relationship Id="rId10" Type="http://schemas.openxmlformats.org/officeDocument/2006/relationships/endnotes" Target="endnotes.xml"/><Relationship Id="rId19" Type="http://schemas.openxmlformats.org/officeDocument/2006/relationships/hyperlink" Target="HTTPs://doi.org/10.1016/s0140-6736(19)32523-1" TargetMode="External"/><Relationship Id="rId31" Type="http://schemas.openxmlformats.org/officeDocument/2006/relationships/hyperlink" Target="https://strathprints.strath.ac.uk/8307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80/23748834.2022.2147469" TargetMode="External"/><Relationship Id="rId22" Type="http://schemas.openxmlformats.org/officeDocument/2006/relationships/hyperlink" Target="https://www.stwater.co.uk/content/dam/stw/river-positive/Get-River-Positive-Annual-Report-24.pdf" TargetMode="External"/><Relationship Id="rId27" Type="http://schemas.openxmlformats.org/officeDocument/2006/relationships/hyperlink" Target="HTTPs://doi.org/10.1177/1468018117703442" TargetMode="External"/><Relationship Id="rId30" Type="http://schemas.openxmlformats.org/officeDocument/2006/relationships/hyperlink" Target="HTTPs://doi.org/10.17230/ad-minister.38.1" TargetMode="External"/><Relationship Id="rId35" Type="http://schemas.openxmlformats.org/officeDocument/2006/relationships/hyperlink" Target="HTTPs://doi.org/10.1186/s12992-020-00602-2"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doi.org/10.1016/s2214-109x(23)00489-8" TargetMode="External"/><Relationship Id="rId17" Type="http://schemas.openxmlformats.org/officeDocument/2006/relationships/hyperlink" Target="HTTPs://doi.org/10.1136/bmj.l84" TargetMode="External"/><Relationship Id="rId25" Type="http://schemas.openxmlformats.org/officeDocument/2006/relationships/hyperlink" Target="HTTPs://doi.org/10.1016/j.puhip.2021.100151" TargetMode="External"/><Relationship Id="rId33" Type="http://schemas.openxmlformats.org/officeDocument/2006/relationships/hyperlink" Target="HTTPs://doi.org/10.1016/j.landusepol.2018.04.051" TargetMode="External"/><Relationship Id="rId38" Type="http://schemas.openxmlformats.org/officeDocument/2006/relationships/hyperlink" Target="https://www.who.int/teams/environment-climate-change-and-health/water-sanitation-and-health/monitoring-and-evidence/wash-monito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5" ma:contentTypeDescription="Create a new document." ma:contentTypeScope="" ma:versionID="1a645dc6a34b0378738a008f3c202126">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73fb57dc49528cc0240e8f172f2980d3"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88128A-9203-4CAB-9462-ADD33CE5345C}">
  <ds:schemaRefs>
    <ds:schemaRef ds:uri="http://schemas.microsoft.com/office/2006/metadata/properties"/>
    <ds:schemaRef ds:uri="http://schemas.microsoft.com/office/infopath/2007/PartnerControls"/>
    <ds:schemaRef ds:uri="d8e79d84-78fb-44a9-92e9-d04bdd8f0359"/>
  </ds:schemaRefs>
</ds:datastoreItem>
</file>

<file path=customXml/itemProps2.xml><?xml version="1.0" encoding="utf-8"?>
<ds:datastoreItem xmlns:ds="http://schemas.openxmlformats.org/officeDocument/2006/customXml" ds:itemID="{8DD92360-B6B2-4F9B-B857-5DDC5758EABD}">
  <ds:schemaRefs>
    <ds:schemaRef ds:uri="http://schemas.microsoft.com/sharepoint/v3/contenttype/forms"/>
  </ds:schemaRefs>
</ds:datastoreItem>
</file>

<file path=customXml/itemProps3.xml><?xml version="1.0" encoding="utf-8"?>
<ds:datastoreItem xmlns:ds="http://schemas.openxmlformats.org/officeDocument/2006/customXml" ds:itemID="{096E48C9-45BC-4EA3-BC82-3A8E7151C6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40BF2F-0A57-498C-8B95-5C9BF7CB9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12</Pages>
  <Words>3824</Words>
  <Characters>21803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 Choglay (2220785)</dc:creator>
  <cp:keywords/>
  <dc:description/>
  <cp:lastModifiedBy>Samina Choglay (2220785)</cp:lastModifiedBy>
  <cp:revision>9</cp:revision>
  <dcterms:created xsi:type="dcterms:W3CDTF">2025-11-12T09:21:00Z</dcterms:created>
  <dcterms:modified xsi:type="dcterms:W3CDTF">2025-11-12T10:19:00Z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