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B6D80" w14:textId="58AEF0A0" w:rsidR="007170BA" w:rsidRDefault="00895DC9">
      <w:r>
        <w:rPr>
          <w:noProof/>
        </w:rPr>
        <w:drawing>
          <wp:inline distT="0" distB="0" distL="0" distR="0" wp14:anchorId="3094C554" wp14:editId="3DCE83C7">
            <wp:extent cx="3009709" cy="998220"/>
            <wp:effectExtent l="0" t="0" r="63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028001" cy="1004287"/>
                    </a:xfrm>
                    <a:prstGeom prst="rect">
                      <a:avLst/>
                    </a:prstGeom>
                  </pic:spPr>
                </pic:pic>
              </a:graphicData>
            </a:graphic>
          </wp:inline>
        </w:drawing>
      </w:r>
    </w:p>
    <w:p w14:paraId="4A520DC8" w14:textId="48E77B76" w:rsidR="00895DC9" w:rsidRDefault="00895DC9"/>
    <w:p w14:paraId="539021C3" w14:textId="6B62D899" w:rsidR="00895DC9" w:rsidRPr="00895DC9" w:rsidRDefault="00895DC9" w:rsidP="00895DC9">
      <w:pPr>
        <w:jc w:val="center"/>
        <w:rPr>
          <w:rFonts w:ascii="Bell MT" w:hAnsi="Bell MT"/>
          <w:sz w:val="96"/>
          <w:szCs w:val="96"/>
        </w:rPr>
      </w:pPr>
      <w:r w:rsidRPr="00895DC9">
        <w:rPr>
          <w:rFonts w:ascii="Bell MT" w:hAnsi="Bell MT"/>
          <w:sz w:val="96"/>
          <w:szCs w:val="96"/>
        </w:rPr>
        <w:t>Accounting Fundamentals</w:t>
      </w:r>
    </w:p>
    <w:p w14:paraId="3AB3CD38" w14:textId="4B151BD8" w:rsidR="00895DC9" w:rsidRDefault="00895DC9" w:rsidP="00895DC9">
      <w:pPr>
        <w:rPr>
          <w:rFonts w:ascii="Bell MT" w:hAnsi="Bell MT"/>
          <w:i/>
          <w:iCs/>
          <w:sz w:val="56"/>
          <w:szCs w:val="56"/>
        </w:rPr>
      </w:pPr>
      <w:r w:rsidRPr="00420076">
        <w:rPr>
          <w:rFonts w:ascii="Bell MT" w:hAnsi="Bell MT"/>
          <w:b/>
          <w:bCs/>
          <w:i/>
          <w:iCs/>
          <w:sz w:val="56"/>
          <w:szCs w:val="56"/>
        </w:rPr>
        <w:t>Module</w:t>
      </w:r>
      <w:r>
        <w:rPr>
          <w:rFonts w:ascii="Bell MT" w:hAnsi="Bell MT"/>
          <w:b/>
          <w:bCs/>
          <w:i/>
          <w:iCs/>
          <w:sz w:val="56"/>
          <w:szCs w:val="56"/>
        </w:rPr>
        <w:t xml:space="preserve">: </w:t>
      </w:r>
      <w:r>
        <w:rPr>
          <w:rFonts w:ascii="Bell MT" w:hAnsi="Bell MT"/>
          <w:i/>
          <w:iCs/>
          <w:sz w:val="56"/>
          <w:szCs w:val="56"/>
        </w:rPr>
        <w:t>Accounting Fundamentals</w:t>
      </w:r>
    </w:p>
    <w:p w14:paraId="1ED4C14D" w14:textId="5D433FC9" w:rsidR="00895DC9" w:rsidRDefault="00895DC9" w:rsidP="00895DC9">
      <w:pPr>
        <w:rPr>
          <w:rFonts w:ascii="Bell MT" w:hAnsi="Bell MT"/>
          <w:i/>
          <w:iCs/>
          <w:sz w:val="56"/>
          <w:szCs w:val="56"/>
        </w:rPr>
      </w:pPr>
      <w:r w:rsidRPr="00420076">
        <w:rPr>
          <w:rFonts w:ascii="Bell MT" w:hAnsi="Bell MT"/>
          <w:b/>
          <w:bCs/>
          <w:i/>
          <w:iCs/>
          <w:sz w:val="56"/>
          <w:szCs w:val="56"/>
        </w:rPr>
        <w:t>Code</w:t>
      </w:r>
      <w:r>
        <w:rPr>
          <w:rFonts w:ascii="Bell MT" w:hAnsi="Bell MT"/>
          <w:b/>
          <w:bCs/>
          <w:i/>
          <w:iCs/>
          <w:sz w:val="56"/>
          <w:szCs w:val="56"/>
        </w:rPr>
        <w:t xml:space="preserve">: </w:t>
      </w:r>
      <w:r w:rsidRPr="00420076">
        <w:rPr>
          <w:rFonts w:ascii="Bell MT" w:hAnsi="Bell MT"/>
          <w:i/>
          <w:iCs/>
          <w:sz w:val="56"/>
          <w:szCs w:val="56"/>
        </w:rPr>
        <w:t>LCBB</w:t>
      </w:r>
      <w:r>
        <w:rPr>
          <w:rFonts w:ascii="Bell MT" w:hAnsi="Bell MT"/>
          <w:i/>
          <w:iCs/>
          <w:sz w:val="56"/>
          <w:szCs w:val="56"/>
        </w:rPr>
        <w:t>4001</w:t>
      </w:r>
    </w:p>
    <w:p w14:paraId="63086649" w14:textId="0DD4E949" w:rsidR="00895DC9" w:rsidRDefault="00895DC9" w:rsidP="00895DC9">
      <w:pPr>
        <w:rPr>
          <w:rFonts w:ascii="Bell MT" w:hAnsi="Bell MT"/>
          <w:i/>
          <w:iCs/>
          <w:sz w:val="56"/>
          <w:szCs w:val="56"/>
        </w:rPr>
      </w:pPr>
      <w:r w:rsidRPr="00420076">
        <w:rPr>
          <w:rFonts w:ascii="Bell MT" w:hAnsi="Bell MT"/>
          <w:b/>
          <w:bCs/>
          <w:i/>
          <w:iCs/>
          <w:sz w:val="56"/>
          <w:szCs w:val="56"/>
        </w:rPr>
        <w:t>Lecturer</w:t>
      </w:r>
      <w:r>
        <w:rPr>
          <w:rFonts w:ascii="Bell MT" w:hAnsi="Bell MT"/>
          <w:b/>
          <w:bCs/>
          <w:i/>
          <w:iCs/>
          <w:sz w:val="56"/>
          <w:szCs w:val="56"/>
        </w:rPr>
        <w:t xml:space="preserve">: </w:t>
      </w:r>
      <w:r w:rsidRPr="00895DC9">
        <w:rPr>
          <w:rFonts w:ascii="Bell MT" w:hAnsi="Bell MT"/>
          <w:i/>
          <w:iCs/>
          <w:sz w:val="56"/>
          <w:szCs w:val="56"/>
        </w:rPr>
        <w:t>Rita Ukachi</w:t>
      </w:r>
      <w:r>
        <w:rPr>
          <w:rFonts w:ascii="Bell MT" w:hAnsi="Bell MT"/>
          <w:i/>
          <w:iCs/>
          <w:sz w:val="56"/>
          <w:szCs w:val="56"/>
        </w:rPr>
        <w:t xml:space="preserve"> </w:t>
      </w:r>
      <w:r w:rsidRPr="00895DC9">
        <w:rPr>
          <w:rFonts w:ascii="Bell MT" w:hAnsi="Bell MT"/>
          <w:i/>
          <w:iCs/>
          <w:sz w:val="56"/>
          <w:szCs w:val="56"/>
        </w:rPr>
        <w:t>-Lois</w:t>
      </w:r>
    </w:p>
    <w:p w14:paraId="5448EB04" w14:textId="77777777" w:rsidR="00895DC9" w:rsidRDefault="00895DC9" w:rsidP="00895DC9">
      <w:pPr>
        <w:rPr>
          <w:rFonts w:ascii="Bell MT" w:hAnsi="Bell MT"/>
          <w:i/>
          <w:iCs/>
          <w:sz w:val="56"/>
          <w:szCs w:val="56"/>
        </w:rPr>
      </w:pPr>
      <w:r w:rsidRPr="00420076">
        <w:rPr>
          <w:rFonts w:ascii="Bell MT" w:hAnsi="Bell MT"/>
          <w:b/>
          <w:bCs/>
          <w:i/>
          <w:iCs/>
          <w:sz w:val="56"/>
          <w:szCs w:val="56"/>
        </w:rPr>
        <w:t>Name</w:t>
      </w:r>
      <w:r>
        <w:rPr>
          <w:rFonts w:ascii="Bell MT" w:hAnsi="Bell MT"/>
          <w:b/>
          <w:bCs/>
          <w:i/>
          <w:iCs/>
          <w:sz w:val="56"/>
          <w:szCs w:val="56"/>
        </w:rPr>
        <w:t xml:space="preserve">: </w:t>
      </w:r>
      <w:r w:rsidRPr="00420076">
        <w:rPr>
          <w:rFonts w:ascii="Bell MT" w:hAnsi="Bell MT"/>
          <w:i/>
          <w:iCs/>
          <w:sz w:val="56"/>
          <w:szCs w:val="56"/>
        </w:rPr>
        <w:t>Mirena Terzieva</w:t>
      </w:r>
    </w:p>
    <w:p w14:paraId="0C6CD2E5" w14:textId="77777777" w:rsidR="00895DC9" w:rsidRDefault="00895DC9" w:rsidP="00895DC9">
      <w:pPr>
        <w:rPr>
          <w:rFonts w:ascii="Bell MT" w:hAnsi="Bell MT"/>
          <w:i/>
          <w:iCs/>
          <w:sz w:val="56"/>
          <w:szCs w:val="56"/>
        </w:rPr>
      </w:pPr>
      <w:r w:rsidRPr="00850F0D">
        <w:rPr>
          <w:rFonts w:ascii="Bell MT" w:hAnsi="Bell MT"/>
          <w:b/>
          <w:bCs/>
          <w:i/>
          <w:iCs/>
          <w:sz w:val="56"/>
          <w:szCs w:val="56"/>
        </w:rPr>
        <w:t>Student ID</w:t>
      </w:r>
      <w:r>
        <w:rPr>
          <w:rFonts w:ascii="Bell MT" w:hAnsi="Bell MT"/>
          <w:b/>
          <w:bCs/>
          <w:i/>
          <w:iCs/>
          <w:sz w:val="56"/>
          <w:szCs w:val="56"/>
        </w:rPr>
        <w:t xml:space="preserve">: </w:t>
      </w:r>
      <w:r w:rsidRPr="00850F0D">
        <w:rPr>
          <w:rFonts w:ascii="Bell MT" w:hAnsi="Bell MT"/>
          <w:i/>
          <w:iCs/>
          <w:sz w:val="56"/>
          <w:szCs w:val="56"/>
        </w:rPr>
        <w:t>2130468</w:t>
      </w:r>
    </w:p>
    <w:p w14:paraId="4CBD7503" w14:textId="2BBEB2FD" w:rsidR="00895DC9" w:rsidRDefault="00895DC9" w:rsidP="00895DC9">
      <w:pPr>
        <w:jc w:val="right"/>
        <w:rPr>
          <w:rFonts w:ascii="Bell MT" w:hAnsi="Bell MT"/>
          <w:b/>
          <w:bCs/>
          <w:i/>
          <w:iCs/>
          <w:sz w:val="56"/>
          <w:szCs w:val="56"/>
        </w:rPr>
      </w:pPr>
      <w:r w:rsidRPr="00850F0D">
        <w:rPr>
          <w:rFonts w:ascii="Bell MT" w:hAnsi="Bell MT"/>
          <w:b/>
          <w:bCs/>
          <w:i/>
          <w:iCs/>
          <w:sz w:val="56"/>
          <w:szCs w:val="56"/>
        </w:rPr>
        <w:t xml:space="preserve">Submitted on the </w:t>
      </w:r>
      <w:r w:rsidR="00C44655">
        <w:rPr>
          <w:rFonts w:ascii="Bell MT" w:hAnsi="Bell MT"/>
          <w:b/>
          <w:bCs/>
          <w:i/>
          <w:iCs/>
          <w:sz w:val="56"/>
          <w:szCs w:val="56"/>
        </w:rPr>
        <w:t>10th of</w:t>
      </w:r>
      <w:r w:rsidRPr="00850F0D">
        <w:rPr>
          <w:rFonts w:ascii="Bell MT" w:hAnsi="Bell MT"/>
          <w:b/>
          <w:bCs/>
          <w:i/>
          <w:iCs/>
          <w:sz w:val="56"/>
          <w:szCs w:val="56"/>
        </w:rPr>
        <w:t xml:space="preserve"> </w:t>
      </w:r>
      <w:r>
        <w:rPr>
          <w:rFonts w:ascii="Bell MT" w:hAnsi="Bell MT"/>
          <w:b/>
          <w:bCs/>
          <w:i/>
          <w:iCs/>
          <w:sz w:val="56"/>
          <w:szCs w:val="56"/>
        </w:rPr>
        <w:t>January</w:t>
      </w:r>
    </w:p>
    <w:p w14:paraId="45E357E2" w14:textId="77777777" w:rsidR="00895DC9" w:rsidRDefault="00895DC9" w:rsidP="00895DC9">
      <w:pPr>
        <w:rPr>
          <w:rFonts w:ascii="Bell MT" w:hAnsi="Bell MT"/>
          <w:i/>
          <w:iCs/>
          <w:sz w:val="56"/>
          <w:szCs w:val="56"/>
        </w:rPr>
      </w:pPr>
    </w:p>
    <w:p w14:paraId="4A1C4C9C" w14:textId="77777777" w:rsidR="00895DC9" w:rsidRPr="00895DC9" w:rsidRDefault="00895DC9" w:rsidP="00895DC9">
      <w:pPr>
        <w:rPr>
          <w:sz w:val="96"/>
          <w:szCs w:val="96"/>
        </w:rPr>
      </w:pPr>
    </w:p>
    <w:p w14:paraId="30C2B21D" w14:textId="77777777" w:rsidR="008B78F4" w:rsidRDefault="008B78F4" w:rsidP="008B78F4">
      <w:pPr>
        <w:pStyle w:val="TOCHeading"/>
      </w:pPr>
    </w:p>
    <w:p w14:paraId="51F89184" w14:textId="77777777" w:rsidR="008B78F4" w:rsidRDefault="008B78F4" w:rsidP="008B78F4">
      <w:pPr>
        <w:pStyle w:val="TOCHeading"/>
      </w:pPr>
    </w:p>
    <w:p w14:paraId="10D17517" w14:textId="3837DBD0" w:rsidR="008B78F4" w:rsidRPr="008B78F4" w:rsidRDefault="008B78F4" w:rsidP="008B78F4">
      <w:pPr>
        <w:pStyle w:val="TOCHeading"/>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78F4">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p w14:paraId="4E85B272" w14:textId="77777777" w:rsidR="008B78F4" w:rsidRPr="008A6AED" w:rsidRDefault="008B78F4" w:rsidP="008B78F4">
      <w:pPr>
        <w:pStyle w:val="TOC1"/>
        <w:tabs>
          <w:tab w:val="right" w:leader="dot" w:pos="9350"/>
        </w:tabs>
        <w:rPr>
          <w:rFonts w:ascii="Calibri" w:eastAsia="Times New Roman" w:hAnsi="Calibri"/>
          <w:noProof/>
          <w:color w:val="auto"/>
          <w:sz w:val="22"/>
          <w:lang w:val="en-US" w:eastAsia="en-US"/>
        </w:rPr>
      </w:pPr>
      <w:r>
        <w:fldChar w:fldCharType="begin"/>
      </w:r>
      <w:r>
        <w:instrText xml:space="preserve"> TOC \o "1-3" \h \z \u </w:instrText>
      </w:r>
      <w:r>
        <w:fldChar w:fldCharType="separate"/>
      </w:r>
      <w:hyperlink w:anchor="_Toc123833176" w:history="1">
        <w:r w:rsidRPr="002E1EF3">
          <w:rPr>
            <w:rStyle w:val="Hyperlink"/>
            <w:noProof/>
            <w:shd w:val="clear" w:color="auto" w:fill="FFFFFF"/>
          </w:rPr>
          <w:t>INTRODUCTION</w:t>
        </w:r>
        <w:r>
          <w:rPr>
            <w:noProof/>
            <w:webHidden/>
          </w:rPr>
          <w:tab/>
        </w:r>
        <w:r>
          <w:rPr>
            <w:noProof/>
            <w:webHidden/>
          </w:rPr>
          <w:fldChar w:fldCharType="begin"/>
        </w:r>
        <w:r>
          <w:rPr>
            <w:noProof/>
            <w:webHidden/>
          </w:rPr>
          <w:instrText xml:space="preserve"> PAGEREF _Toc123833176 \h </w:instrText>
        </w:r>
        <w:r>
          <w:rPr>
            <w:noProof/>
            <w:webHidden/>
          </w:rPr>
        </w:r>
        <w:r>
          <w:rPr>
            <w:noProof/>
            <w:webHidden/>
          </w:rPr>
          <w:fldChar w:fldCharType="separate"/>
        </w:r>
        <w:r>
          <w:rPr>
            <w:noProof/>
            <w:webHidden/>
          </w:rPr>
          <w:t>3</w:t>
        </w:r>
        <w:r>
          <w:rPr>
            <w:noProof/>
            <w:webHidden/>
          </w:rPr>
          <w:fldChar w:fldCharType="end"/>
        </w:r>
      </w:hyperlink>
    </w:p>
    <w:p w14:paraId="7A1B9701" w14:textId="57E77591" w:rsidR="008B78F4" w:rsidRPr="008A6AED" w:rsidRDefault="000C7031" w:rsidP="008B78F4">
      <w:pPr>
        <w:pStyle w:val="TOC1"/>
        <w:tabs>
          <w:tab w:val="right" w:leader="dot" w:pos="9350"/>
        </w:tabs>
        <w:rPr>
          <w:rFonts w:ascii="Calibri" w:eastAsia="Times New Roman" w:hAnsi="Calibri"/>
          <w:noProof/>
          <w:color w:val="auto"/>
          <w:sz w:val="22"/>
          <w:lang w:val="en-US" w:eastAsia="en-US"/>
        </w:rPr>
      </w:pPr>
      <w:hyperlink w:anchor="_Toc123833177" w:history="1">
        <w:r w:rsidR="008B78F4" w:rsidRPr="002E1EF3">
          <w:rPr>
            <w:rStyle w:val="Hyperlink"/>
            <w:noProof/>
            <w:shd w:val="clear" w:color="auto" w:fill="FFFFFF"/>
          </w:rPr>
          <w:t>TASK</w:t>
        </w:r>
        <w:r w:rsidR="008B78F4">
          <w:rPr>
            <w:noProof/>
            <w:webHidden/>
          </w:rPr>
          <w:tab/>
        </w:r>
        <w:r w:rsidR="008B78F4">
          <w:rPr>
            <w:noProof/>
            <w:webHidden/>
          </w:rPr>
          <w:fldChar w:fldCharType="begin"/>
        </w:r>
        <w:r w:rsidR="008B78F4">
          <w:rPr>
            <w:noProof/>
            <w:webHidden/>
          </w:rPr>
          <w:instrText xml:space="preserve"> PAGEREF _Toc123833177 \h </w:instrText>
        </w:r>
        <w:r w:rsidR="008B78F4">
          <w:rPr>
            <w:noProof/>
            <w:webHidden/>
          </w:rPr>
        </w:r>
        <w:r w:rsidR="008B78F4">
          <w:rPr>
            <w:noProof/>
            <w:webHidden/>
          </w:rPr>
          <w:fldChar w:fldCharType="separate"/>
        </w:r>
        <w:r w:rsidR="008B78F4">
          <w:rPr>
            <w:noProof/>
            <w:webHidden/>
          </w:rPr>
          <w:t>3</w:t>
        </w:r>
        <w:r w:rsidR="008B78F4">
          <w:rPr>
            <w:noProof/>
            <w:webHidden/>
          </w:rPr>
          <w:fldChar w:fldCharType="end"/>
        </w:r>
      </w:hyperlink>
    </w:p>
    <w:p w14:paraId="0F7CE82B" w14:textId="77777777" w:rsidR="008B78F4" w:rsidRPr="008A6AED" w:rsidRDefault="000C7031" w:rsidP="008B78F4">
      <w:pPr>
        <w:pStyle w:val="TOC2"/>
        <w:tabs>
          <w:tab w:val="right" w:leader="dot" w:pos="9350"/>
        </w:tabs>
        <w:rPr>
          <w:rFonts w:ascii="Calibri" w:eastAsia="Times New Roman" w:hAnsi="Calibri"/>
          <w:noProof/>
          <w:color w:val="auto"/>
          <w:sz w:val="22"/>
          <w:lang w:val="en-US" w:eastAsia="en-US"/>
        </w:rPr>
      </w:pPr>
      <w:hyperlink w:anchor="_Toc123833178" w:history="1">
        <w:r w:rsidR="008B78F4" w:rsidRPr="002E1EF3">
          <w:rPr>
            <w:rStyle w:val="Hyperlink"/>
            <w:b/>
            <w:noProof/>
            <w:shd w:val="clear" w:color="auto" w:fill="FFFFFF"/>
          </w:rPr>
          <w:t>Question 1</w:t>
        </w:r>
        <w:r w:rsidR="008B78F4">
          <w:rPr>
            <w:noProof/>
            <w:webHidden/>
          </w:rPr>
          <w:tab/>
        </w:r>
        <w:r w:rsidR="008B78F4">
          <w:rPr>
            <w:noProof/>
            <w:webHidden/>
          </w:rPr>
          <w:fldChar w:fldCharType="begin"/>
        </w:r>
        <w:r w:rsidR="008B78F4">
          <w:rPr>
            <w:noProof/>
            <w:webHidden/>
          </w:rPr>
          <w:instrText xml:space="preserve"> PAGEREF _Toc123833178 \h </w:instrText>
        </w:r>
        <w:r w:rsidR="008B78F4">
          <w:rPr>
            <w:noProof/>
            <w:webHidden/>
          </w:rPr>
        </w:r>
        <w:r w:rsidR="008B78F4">
          <w:rPr>
            <w:noProof/>
            <w:webHidden/>
          </w:rPr>
          <w:fldChar w:fldCharType="separate"/>
        </w:r>
        <w:r w:rsidR="008B78F4">
          <w:rPr>
            <w:noProof/>
            <w:webHidden/>
          </w:rPr>
          <w:t>3</w:t>
        </w:r>
        <w:r w:rsidR="008B78F4">
          <w:rPr>
            <w:noProof/>
            <w:webHidden/>
          </w:rPr>
          <w:fldChar w:fldCharType="end"/>
        </w:r>
      </w:hyperlink>
    </w:p>
    <w:p w14:paraId="45E37530" w14:textId="77777777" w:rsidR="008B78F4" w:rsidRPr="008A6AED" w:rsidRDefault="000C7031" w:rsidP="008B78F4">
      <w:pPr>
        <w:pStyle w:val="TOC2"/>
        <w:tabs>
          <w:tab w:val="right" w:leader="dot" w:pos="9350"/>
        </w:tabs>
        <w:rPr>
          <w:rFonts w:ascii="Calibri" w:eastAsia="Times New Roman" w:hAnsi="Calibri"/>
          <w:noProof/>
          <w:color w:val="auto"/>
          <w:sz w:val="22"/>
          <w:lang w:val="en-US" w:eastAsia="en-US"/>
        </w:rPr>
      </w:pPr>
      <w:hyperlink w:anchor="_Toc123833179" w:history="1">
        <w:r w:rsidR="008B78F4" w:rsidRPr="002E1EF3">
          <w:rPr>
            <w:rStyle w:val="Hyperlink"/>
            <w:b/>
            <w:noProof/>
          </w:rPr>
          <w:t>Question 2</w:t>
        </w:r>
        <w:r w:rsidR="008B78F4">
          <w:rPr>
            <w:noProof/>
            <w:webHidden/>
          </w:rPr>
          <w:tab/>
        </w:r>
        <w:r w:rsidR="008B78F4">
          <w:rPr>
            <w:noProof/>
            <w:webHidden/>
          </w:rPr>
          <w:fldChar w:fldCharType="begin"/>
        </w:r>
        <w:r w:rsidR="008B78F4">
          <w:rPr>
            <w:noProof/>
            <w:webHidden/>
          </w:rPr>
          <w:instrText xml:space="preserve"> PAGEREF _Toc123833179 \h </w:instrText>
        </w:r>
        <w:r w:rsidR="008B78F4">
          <w:rPr>
            <w:noProof/>
            <w:webHidden/>
          </w:rPr>
        </w:r>
        <w:r w:rsidR="008B78F4">
          <w:rPr>
            <w:noProof/>
            <w:webHidden/>
          </w:rPr>
          <w:fldChar w:fldCharType="separate"/>
        </w:r>
        <w:r w:rsidR="008B78F4">
          <w:rPr>
            <w:noProof/>
            <w:webHidden/>
          </w:rPr>
          <w:t>5</w:t>
        </w:r>
        <w:r w:rsidR="008B78F4">
          <w:rPr>
            <w:noProof/>
            <w:webHidden/>
          </w:rPr>
          <w:fldChar w:fldCharType="end"/>
        </w:r>
      </w:hyperlink>
    </w:p>
    <w:p w14:paraId="42139BC9" w14:textId="77777777" w:rsidR="008B78F4" w:rsidRPr="008A6AED" w:rsidRDefault="000C7031" w:rsidP="008B78F4">
      <w:pPr>
        <w:pStyle w:val="TOC1"/>
        <w:tabs>
          <w:tab w:val="right" w:leader="dot" w:pos="9350"/>
        </w:tabs>
        <w:rPr>
          <w:rFonts w:ascii="Calibri" w:eastAsia="Times New Roman" w:hAnsi="Calibri"/>
          <w:noProof/>
          <w:color w:val="auto"/>
          <w:sz w:val="22"/>
          <w:lang w:val="en-US" w:eastAsia="en-US"/>
        </w:rPr>
      </w:pPr>
      <w:hyperlink w:anchor="_Toc123833180" w:history="1">
        <w:r w:rsidR="008B78F4" w:rsidRPr="002E1EF3">
          <w:rPr>
            <w:rStyle w:val="Hyperlink"/>
            <w:noProof/>
            <w:shd w:val="clear" w:color="auto" w:fill="FFFFFF"/>
          </w:rPr>
          <w:t>CONCLUSION</w:t>
        </w:r>
        <w:r w:rsidR="008B78F4">
          <w:rPr>
            <w:noProof/>
            <w:webHidden/>
          </w:rPr>
          <w:tab/>
        </w:r>
        <w:r w:rsidR="008B78F4">
          <w:rPr>
            <w:noProof/>
            <w:webHidden/>
          </w:rPr>
          <w:fldChar w:fldCharType="begin"/>
        </w:r>
        <w:r w:rsidR="008B78F4">
          <w:rPr>
            <w:noProof/>
            <w:webHidden/>
          </w:rPr>
          <w:instrText xml:space="preserve"> PAGEREF _Toc123833180 \h </w:instrText>
        </w:r>
        <w:r w:rsidR="008B78F4">
          <w:rPr>
            <w:noProof/>
            <w:webHidden/>
          </w:rPr>
        </w:r>
        <w:r w:rsidR="008B78F4">
          <w:rPr>
            <w:noProof/>
            <w:webHidden/>
          </w:rPr>
          <w:fldChar w:fldCharType="separate"/>
        </w:r>
        <w:r w:rsidR="008B78F4">
          <w:rPr>
            <w:noProof/>
            <w:webHidden/>
          </w:rPr>
          <w:t>10</w:t>
        </w:r>
        <w:r w:rsidR="008B78F4">
          <w:rPr>
            <w:noProof/>
            <w:webHidden/>
          </w:rPr>
          <w:fldChar w:fldCharType="end"/>
        </w:r>
      </w:hyperlink>
    </w:p>
    <w:p w14:paraId="054C56B3" w14:textId="77777777" w:rsidR="008B78F4" w:rsidRPr="008A6AED" w:rsidRDefault="000C7031" w:rsidP="008B78F4">
      <w:pPr>
        <w:pStyle w:val="TOC1"/>
        <w:tabs>
          <w:tab w:val="right" w:leader="dot" w:pos="9350"/>
        </w:tabs>
        <w:rPr>
          <w:rFonts w:ascii="Calibri" w:eastAsia="Times New Roman" w:hAnsi="Calibri"/>
          <w:noProof/>
          <w:color w:val="auto"/>
          <w:sz w:val="22"/>
          <w:lang w:val="en-US" w:eastAsia="en-US"/>
        </w:rPr>
      </w:pPr>
      <w:hyperlink w:anchor="_Toc123833181" w:history="1">
        <w:r w:rsidR="008B78F4" w:rsidRPr="002E1EF3">
          <w:rPr>
            <w:rStyle w:val="Hyperlink"/>
            <w:noProof/>
          </w:rPr>
          <w:t>REFERENCES</w:t>
        </w:r>
        <w:r w:rsidR="008B78F4">
          <w:rPr>
            <w:noProof/>
            <w:webHidden/>
          </w:rPr>
          <w:tab/>
        </w:r>
        <w:r w:rsidR="008B78F4">
          <w:rPr>
            <w:noProof/>
            <w:webHidden/>
          </w:rPr>
          <w:fldChar w:fldCharType="begin"/>
        </w:r>
        <w:r w:rsidR="008B78F4">
          <w:rPr>
            <w:noProof/>
            <w:webHidden/>
          </w:rPr>
          <w:instrText xml:space="preserve"> PAGEREF _Toc123833181 \h </w:instrText>
        </w:r>
        <w:r w:rsidR="008B78F4">
          <w:rPr>
            <w:noProof/>
            <w:webHidden/>
          </w:rPr>
        </w:r>
        <w:r w:rsidR="008B78F4">
          <w:rPr>
            <w:noProof/>
            <w:webHidden/>
          </w:rPr>
          <w:fldChar w:fldCharType="separate"/>
        </w:r>
        <w:r w:rsidR="008B78F4">
          <w:rPr>
            <w:noProof/>
            <w:webHidden/>
          </w:rPr>
          <w:t>11</w:t>
        </w:r>
        <w:r w:rsidR="008B78F4">
          <w:rPr>
            <w:noProof/>
            <w:webHidden/>
          </w:rPr>
          <w:fldChar w:fldCharType="end"/>
        </w:r>
      </w:hyperlink>
    </w:p>
    <w:p w14:paraId="1FDE6982" w14:textId="484BB283" w:rsidR="008B78F4" w:rsidRPr="008B78F4" w:rsidRDefault="008B78F4" w:rsidP="008B78F4">
      <w:pPr>
        <w:pStyle w:val="Heading1"/>
        <w:pageBreakBefore/>
        <w:numPr>
          <w:ilvl w:val="0"/>
          <w:numId w:val="1"/>
        </w:numPr>
        <w:tabs>
          <w:tab w:val="clear" w:pos="0"/>
        </w:tabs>
        <w:ind w:left="0" w:firstLine="0"/>
        <w:rPr>
          <w:b/>
          <w:bCs/>
          <w:shd w:val="clear" w:color="auto" w:fill="FFFFFF"/>
        </w:rPr>
      </w:pPr>
      <w:r>
        <w:rPr>
          <w:b/>
          <w:bCs/>
          <w:noProof/>
        </w:rPr>
        <w:lastRenderedPageBreak/>
        <w:fldChar w:fldCharType="end"/>
      </w:r>
      <w:bookmarkStart w:id="0" w:name="_Toc123833176"/>
      <w:r w:rsidRPr="008B78F4">
        <w:rPr>
          <w:shd w:val="clear" w:color="auto" w:fill="FFFFFF"/>
        </w:rPr>
        <w:t xml:space="preserve"> </w:t>
      </w:r>
      <w:r w:rsidRPr="008B78F4">
        <w:rPr>
          <w:b/>
          <w:bCs/>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0"/>
      <w:r w:rsidRPr="008B78F4">
        <w:rPr>
          <w:b/>
          <w:bCs/>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2826AB5" w14:textId="5087F4E0" w:rsidR="008B78F4" w:rsidRPr="00746151" w:rsidRDefault="008B78F4" w:rsidP="008B78F4">
      <w:pPr>
        <w:pStyle w:val="Standard"/>
        <w:spacing w:line="360" w:lineRule="auto"/>
        <w:jc w:val="both"/>
        <w:rPr>
          <w:rFonts w:asciiTheme="minorHAnsi" w:hAnsiTheme="minorHAnsi" w:cstheme="minorHAnsi"/>
          <w:sz w:val="28"/>
          <w:szCs w:val="28"/>
          <w:shd w:val="clear" w:color="auto" w:fill="FFFFFF"/>
        </w:rPr>
      </w:pPr>
      <w:r>
        <w:rPr>
          <w:shd w:val="clear" w:color="auto" w:fill="FFFFFF"/>
        </w:rPr>
        <w:tab/>
      </w:r>
      <w:r w:rsidR="00746151" w:rsidRPr="00746151">
        <w:rPr>
          <w:rFonts w:asciiTheme="minorHAnsi" w:hAnsiTheme="minorHAnsi" w:cstheme="minorHAnsi"/>
          <w:sz w:val="28"/>
          <w:szCs w:val="28"/>
          <w:shd w:val="clear" w:color="auto" w:fill="FFFFFF"/>
        </w:rPr>
        <w:t>Accounting can be named as a course of recording, summing up, sorting out, characterizing monetary information at one spot. Various proclamations showing the benefits, costs, pay, resources, liabilities, and so forth are ready to distinguish the monetary wellbeing of the substance (</w:t>
      </w:r>
      <w:proofErr w:type="spellStart"/>
      <w:r w:rsidR="00746151" w:rsidRPr="00746151">
        <w:rPr>
          <w:rFonts w:asciiTheme="minorHAnsi" w:hAnsiTheme="minorHAnsi" w:cstheme="minorHAnsi"/>
          <w:sz w:val="28"/>
          <w:szCs w:val="28"/>
          <w:shd w:val="clear" w:color="auto" w:fill="FFFFFF"/>
        </w:rPr>
        <w:t>Antar</w:t>
      </w:r>
      <w:proofErr w:type="spellEnd"/>
      <w:r w:rsidR="00746151" w:rsidRPr="00746151">
        <w:rPr>
          <w:rFonts w:asciiTheme="minorHAnsi" w:hAnsiTheme="minorHAnsi" w:cstheme="minorHAnsi"/>
          <w:sz w:val="28"/>
          <w:szCs w:val="28"/>
          <w:shd w:val="clear" w:color="auto" w:fill="FFFFFF"/>
        </w:rPr>
        <w:t>, and et.al., 2021). Proportions are likewise used to find out the place of association on the lookout. In this report, pay explanation of Grains private Ltd. For the year finished 31st December 2021, additionally accounting report for the equivalent is ready. Different proportions to survey the benefit condition, proficiency position and liquidity circumstance is likewise analysed.</w:t>
      </w:r>
    </w:p>
    <w:p w14:paraId="50446A5C" w14:textId="77777777" w:rsidR="008B78F4" w:rsidRPr="008B78F4" w:rsidRDefault="008B78F4" w:rsidP="008B78F4">
      <w:pPr>
        <w:rPr>
          <w:sz w:val="28"/>
          <w:szCs w:val="28"/>
        </w:rPr>
      </w:pPr>
    </w:p>
    <w:p w14:paraId="6BB125A2" w14:textId="77777777" w:rsidR="008B78F4" w:rsidRPr="008B78F4" w:rsidRDefault="008B78F4" w:rsidP="008B78F4">
      <w:pPr>
        <w:pStyle w:val="Heading1"/>
        <w:numPr>
          <w:ilvl w:val="0"/>
          <w:numId w:val="1"/>
        </w:numPr>
        <w:tabs>
          <w:tab w:val="clear" w:pos="0"/>
        </w:tabs>
        <w:ind w:left="0" w:firstLine="0"/>
        <w:rPr>
          <w:b/>
          <w:bCs/>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23833177"/>
      <w:r w:rsidRPr="008B78F4">
        <w:rPr>
          <w:b/>
          <w:bCs/>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w:t>
      </w:r>
      <w:bookmarkEnd w:id="1"/>
    </w:p>
    <w:p w14:paraId="05FDAC5E" w14:textId="77777777" w:rsidR="008B78F4" w:rsidRPr="008B78F4" w:rsidRDefault="008B78F4" w:rsidP="008B78F4">
      <w:pPr>
        <w:pStyle w:val="Heading2"/>
        <w:rPr>
          <w:b/>
          <w:sz w:val="28"/>
          <w:szCs w:val="28"/>
          <w:shd w:val="clear" w:color="auto" w:fill="FFFFFF"/>
        </w:rPr>
      </w:pPr>
      <w:bookmarkStart w:id="2" w:name="_Toc123833178"/>
      <w:r w:rsidRPr="008B78F4">
        <w:rPr>
          <w:b/>
          <w:sz w:val="28"/>
          <w:szCs w:val="28"/>
          <w:shd w:val="clear" w:color="auto" w:fill="FFFFFF"/>
        </w:rPr>
        <w:t>Question 1</w:t>
      </w:r>
      <w:bookmarkEnd w:id="2"/>
    </w:p>
    <w:p w14:paraId="6FCA5701" w14:textId="77777777" w:rsidR="008B78F4" w:rsidRPr="00235295" w:rsidRDefault="008B78F4" w:rsidP="008B78F4">
      <w:pPr>
        <w:numPr>
          <w:ilvl w:val="0"/>
          <w:numId w:val="2"/>
        </w:numPr>
        <w:suppressAutoHyphens/>
        <w:spacing w:after="0" w:line="360" w:lineRule="auto"/>
        <w:jc w:val="both"/>
        <w:rPr>
          <w:rFonts w:eastAsia="Times New Roman" w:cs="Calibri"/>
          <w:b/>
          <w:bCs/>
          <w:szCs w:val="24"/>
          <w:u w:val="single"/>
          <w:shd w:val="clear" w:color="auto" w:fill="FFFFFF"/>
          <w:lang w:val="en-US"/>
        </w:rPr>
      </w:pPr>
      <w:r>
        <w:rPr>
          <w:b/>
          <w:bCs/>
          <w:shd w:val="clear" w:color="auto" w:fill="FFFFFF"/>
        </w:rPr>
        <w:t xml:space="preserve"> </w:t>
      </w:r>
      <w:r w:rsidRPr="008B78F4">
        <w:rPr>
          <w:b/>
          <w:bCs/>
          <w:sz w:val="24"/>
          <w:szCs w:val="24"/>
          <w:u w:val="single"/>
          <w:shd w:val="clear" w:color="auto" w:fill="FFFFFF"/>
        </w:rPr>
        <w:t>Income statement for the year ended 31</w:t>
      </w:r>
      <w:r w:rsidRPr="008B78F4">
        <w:rPr>
          <w:b/>
          <w:bCs/>
          <w:sz w:val="24"/>
          <w:szCs w:val="24"/>
          <w:u w:val="single"/>
          <w:shd w:val="clear" w:color="auto" w:fill="FFFFFF"/>
          <w:vertAlign w:val="superscript"/>
        </w:rPr>
        <w:t>st</w:t>
      </w:r>
      <w:r w:rsidRPr="008B78F4">
        <w:rPr>
          <w:b/>
          <w:bCs/>
          <w:sz w:val="24"/>
          <w:szCs w:val="24"/>
          <w:u w:val="single"/>
          <w:shd w:val="clear" w:color="auto" w:fill="FFFFFF"/>
        </w:rPr>
        <w:t xml:space="preserve"> December 2021 for Wales plc and statement of financial statement</w:t>
      </w:r>
      <w:r w:rsidRPr="00235295">
        <w:rPr>
          <w:b/>
          <w:bCs/>
          <w:u w:val="single"/>
          <w:shd w:val="clear" w:color="auto" w:fill="FFFFFF"/>
        </w:rPr>
        <w:t xml:space="preserve">.        </w:t>
      </w:r>
      <w:r w:rsidRPr="00235295">
        <w:rPr>
          <w:u w:val="single"/>
          <w:shd w:val="clear" w:color="auto" w:fill="FFFFFF"/>
        </w:rPr>
        <w:t xml:space="preserve">           </w:t>
      </w:r>
    </w:p>
    <w:tbl>
      <w:tblPr>
        <w:tblW w:w="0" w:type="auto"/>
        <w:tblInd w:w="592" w:type="dxa"/>
        <w:tblLayout w:type="fixed"/>
        <w:tblLook w:val="0000" w:firstRow="0" w:lastRow="0" w:firstColumn="0" w:lastColumn="0" w:noHBand="0" w:noVBand="0"/>
      </w:tblPr>
      <w:tblGrid>
        <w:gridCol w:w="2953"/>
        <w:gridCol w:w="1361"/>
        <w:gridCol w:w="2445"/>
        <w:gridCol w:w="1391"/>
        <w:gridCol w:w="236"/>
      </w:tblGrid>
      <w:tr w:rsidR="008B78F4" w14:paraId="6B940682" w14:textId="77777777" w:rsidTr="00E07D57">
        <w:trPr>
          <w:trHeight w:val="315"/>
        </w:trPr>
        <w:tc>
          <w:tcPr>
            <w:tcW w:w="8150"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4078BECB" w14:textId="77777777" w:rsidR="008B78F4" w:rsidRDefault="008B78F4" w:rsidP="00E07D57">
            <w:pPr>
              <w:spacing w:line="240" w:lineRule="auto"/>
              <w:jc w:val="center"/>
              <w:rPr>
                <w:szCs w:val="24"/>
              </w:rPr>
            </w:pPr>
            <w:r>
              <w:rPr>
                <w:rFonts w:eastAsia="Times New Roman" w:cs="Calibri"/>
                <w:b/>
                <w:bCs/>
                <w:szCs w:val="24"/>
                <w:shd w:val="clear" w:color="auto" w:fill="FFFFFF"/>
                <w:lang w:val="en-US"/>
              </w:rPr>
              <w:t>Income statement for Wales Plc for the year ended 31st Dec 2021</w:t>
            </w:r>
          </w:p>
        </w:tc>
        <w:tc>
          <w:tcPr>
            <w:tcW w:w="3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33C4E48" w14:textId="77777777" w:rsidR="008B78F4" w:rsidRDefault="008B78F4" w:rsidP="00E07D57">
            <w:pPr>
              <w:rPr>
                <w:szCs w:val="24"/>
              </w:rPr>
            </w:pPr>
          </w:p>
        </w:tc>
      </w:tr>
      <w:tr w:rsidR="008B78F4" w14:paraId="168D0E24" w14:textId="77777777" w:rsidTr="00E07D57">
        <w:trPr>
          <w:trHeight w:val="315"/>
        </w:trPr>
        <w:tc>
          <w:tcPr>
            <w:tcW w:w="2953" w:type="dxa"/>
            <w:tcBorders>
              <w:top w:val="single" w:sz="4" w:space="0" w:color="000000"/>
              <w:left w:val="single" w:sz="8" w:space="0" w:color="000000"/>
              <w:bottom w:val="single" w:sz="8" w:space="0" w:color="000000"/>
            </w:tcBorders>
            <w:shd w:val="clear" w:color="auto" w:fill="auto"/>
            <w:vAlign w:val="bottom"/>
          </w:tcPr>
          <w:p w14:paraId="28CA87DD"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b/>
                <w:bCs/>
                <w:szCs w:val="24"/>
                <w:shd w:val="clear" w:color="auto" w:fill="FFFFFF"/>
                <w:lang w:val="en-US"/>
              </w:rPr>
              <w:t>Particulars</w:t>
            </w:r>
          </w:p>
        </w:tc>
        <w:tc>
          <w:tcPr>
            <w:tcW w:w="1361" w:type="dxa"/>
            <w:tcBorders>
              <w:top w:val="single" w:sz="4" w:space="0" w:color="000000"/>
              <w:left w:val="single" w:sz="8" w:space="0" w:color="000000"/>
              <w:bottom w:val="single" w:sz="8" w:space="0" w:color="000000"/>
            </w:tcBorders>
            <w:shd w:val="clear" w:color="auto" w:fill="auto"/>
            <w:vAlign w:val="bottom"/>
          </w:tcPr>
          <w:p w14:paraId="7CCAECA4"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b/>
                <w:bCs/>
                <w:szCs w:val="24"/>
                <w:shd w:val="clear" w:color="auto" w:fill="FFFFFF"/>
                <w:lang w:val="en-US"/>
              </w:rPr>
              <w:t>Amount</w:t>
            </w:r>
          </w:p>
        </w:tc>
        <w:tc>
          <w:tcPr>
            <w:tcW w:w="2445" w:type="dxa"/>
            <w:tcBorders>
              <w:top w:val="single" w:sz="4" w:space="0" w:color="000000"/>
              <w:left w:val="single" w:sz="8" w:space="0" w:color="000000"/>
              <w:bottom w:val="single" w:sz="8" w:space="0" w:color="000000"/>
            </w:tcBorders>
            <w:shd w:val="clear" w:color="auto" w:fill="auto"/>
            <w:vAlign w:val="bottom"/>
          </w:tcPr>
          <w:p w14:paraId="0FE55B19"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b/>
                <w:bCs/>
                <w:szCs w:val="24"/>
                <w:shd w:val="clear" w:color="auto" w:fill="FFFFFF"/>
                <w:lang w:val="en-US"/>
              </w:rPr>
              <w:t>Particulars</w:t>
            </w:r>
          </w:p>
        </w:tc>
        <w:tc>
          <w:tcPr>
            <w:tcW w:w="1421" w:type="dxa"/>
            <w:gridSpan w:val="2"/>
            <w:tcBorders>
              <w:top w:val="single" w:sz="4" w:space="0" w:color="000000"/>
              <w:left w:val="single" w:sz="8" w:space="0" w:color="000000"/>
              <w:bottom w:val="single" w:sz="8" w:space="0" w:color="000000"/>
              <w:right w:val="single" w:sz="8" w:space="0" w:color="000000"/>
            </w:tcBorders>
            <w:shd w:val="clear" w:color="auto" w:fill="auto"/>
            <w:vAlign w:val="bottom"/>
          </w:tcPr>
          <w:p w14:paraId="6CE489F3" w14:textId="77777777" w:rsidR="008B78F4" w:rsidRDefault="008B78F4" w:rsidP="00E07D57">
            <w:pPr>
              <w:spacing w:line="240" w:lineRule="auto"/>
            </w:pPr>
            <w:r>
              <w:rPr>
                <w:rFonts w:eastAsia="Times New Roman" w:cs="Calibri"/>
                <w:b/>
                <w:bCs/>
                <w:szCs w:val="24"/>
                <w:shd w:val="clear" w:color="auto" w:fill="FFFFFF"/>
                <w:lang w:val="en-US"/>
              </w:rPr>
              <w:t>Amount</w:t>
            </w:r>
          </w:p>
        </w:tc>
      </w:tr>
      <w:tr w:rsidR="008B78F4" w14:paraId="21089F40" w14:textId="77777777" w:rsidTr="00E07D57">
        <w:trPr>
          <w:trHeight w:val="300"/>
        </w:trPr>
        <w:tc>
          <w:tcPr>
            <w:tcW w:w="2953" w:type="dxa"/>
            <w:tcBorders>
              <w:left w:val="single" w:sz="4" w:space="0" w:color="000000"/>
              <w:bottom w:val="single" w:sz="4" w:space="0" w:color="000000"/>
            </w:tcBorders>
            <w:shd w:val="clear" w:color="auto" w:fill="auto"/>
            <w:vAlign w:val="bottom"/>
          </w:tcPr>
          <w:p w14:paraId="3C642D0E"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To opening stock A/c</w:t>
            </w:r>
          </w:p>
        </w:tc>
        <w:tc>
          <w:tcPr>
            <w:tcW w:w="1361" w:type="dxa"/>
            <w:tcBorders>
              <w:left w:val="single" w:sz="8" w:space="0" w:color="000000"/>
              <w:bottom w:val="single" w:sz="4" w:space="0" w:color="000000"/>
            </w:tcBorders>
            <w:shd w:val="clear" w:color="auto" w:fill="auto"/>
            <w:vAlign w:val="bottom"/>
          </w:tcPr>
          <w:p w14:paraId="6A2151D8"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w:t>
            </w:r>
          </w:p>
        </w:tc>
        <w:tc>
          <w:tcPr>
            <w:tcW w:w="2445" w:type="dxa"/>
            <w:tcBorders>
              <w:left w:val="single" w:sz="8" w:space="0" w:color="000000"/>
              <w:bottom w:val="single" w:sz="4" w:space="0" w:color="000000"/>
            </w:tcBorders>
            <w:shd w:val="clear" w:color="auto" w:fill="auto"/>
            <w:vAlign w:val="bottom"/>
          </w:tcPr>
          <w:p w14:paraId="1B4DAA8E"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By sales</w:t>
            </w:r>
          </w:p>
        </w:tc>
        <w:tc>
          <w:tcPr>
            <w:tcW w:w="1421" w:type="dxa"/>
            <w:gridSpan w:val="2"/>
            <w:tcBorders>
              <w:left w:val="single" w:sz="8" w:space="0" w:color="000000"/>
              <w:bottom w:val="single" w:sz="4" w:space="0" w:color="000000"/>
              <w:right w:val="single" w:sz="8" w:space="0" w:color="000000"/>
            </w:tcBorders>
            <w:shd w:val="clear" w:color="auto" w:fill="auto"/>
            <w:vAlign w:val="bottom"/>
          </w:tcPr>
          <w:p w14:paraId="0D94D052" w14:textId="77777777" w:rsidR="008B78F4" w:rsidRDefault="008B78F4" w:rsidP="00E07D57">
            <w:pPr>
              <w:spacing w:line="240" w:lineRule="auto"/>
              <w:jc w:val="right"/>
            </w:pPr>
            <w:r>
              <w:rPr>
                <w:rFonts w:eastAsia="Times New Roman" w:cs="Calibri"/>
                <w:szCs w:val="24"/>
                <w:shd w:val="clear" w:color="auto" w:fill="FFFFFF"/>
                <w:lang w:val="en-US"/>
              </w:rPr>
              <w:t>800000</w:t>
            </w:r>
          </w:p>
        </w:tc>
      </w:tr>
      <w:tr w:rsidR="008B78F4" w14:paraId="621B6680" w14:textId="77777777" w:rsidTr="00E07D57">
        <w:trPr>
          <w:trHeight w:val="300"/>
        </w:trPr>
        <w:tc>
          <w:tcPr>
            <w:tcW w:w="2953" w:type="dxa"/>
            <w:tcBorders>
              <w:left w:val="single" w:sz="4" w:space="0" w:color="000000"/>
              <w:bottom w:val="single" w:sz="4" w:space="0" w:color="000000"/>
            </w:tcBorders>
            <w:shd w:val="clear" w:color="auto" w:fill="auto"/>
            <w:vAlign w:val="bottom"/>
          </w:tcPr>
          <w:p w14:paraId="62D21C56"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To Purchases A/c</w:t>
            </w:r>
          </w:p>
        </w:tc>
        <w:tc>
          <w:tcPr>
            <w:tcW w:w="1361" w:type="dxa"/>
            <w:tcBorders>
              <w:left w:val="single" w:sz="8" w:space="0" w:color="000000"/>
              <w:bottom w:val="single" w:sz="4" w:space="0" w:color="000000"/>
            </w:tcBorders>
            <w:shd w:val="clear" w:color="auto" w:fill="auto"/>
            <w:vAlign w:val="bottom"/>
          </w:tcPr>
          <w:p w14:paraId="3195F106" w14:textId="77777777" w:rsidR="008B78F4" w:rsidRDefault="008B78F4" w:rsidP="00E07D57">
            <w:pPr>
              <w:spacing w:line="240" w:lineRule="auto"/>
              <w:jc w:val="right"/>
              <w:rPr>
                <w:rFonts w:eastAsia="Times New Roman" w:cs="Calibri"/>
                <w:szCs w:val="24"/>
                <w:shd w:val="clear" w:color="auto" w:fill="FFFFFF"/>
                <w:lang w:val="en-US"/>
              </w:rPr>
            </w:pPr>
            <w:r>
              <w:rPr>
                <w:rFonts w:eastAsia="Times New Roman" w:cs="Calibri"/>
                <w:szCs w:val="24"/>
                <w:shd w:val="clear" w:color="auto" w:fill="FFFFFF"/>
                <w:lang w:val="en-US"/>
              </w:rPr>
              <w:t>1009250</w:t>
            </w:r>
          </w:p>
        </w:tc>
        <w:tc>
          <w:tcPr>
            <w:tcW w:w="2445" w:type="dxa"/>
            <w:tcBorders>
              <w:left w:val="single" w:sz="8" w:space="0" w:color="000000"/>
              <w:bottom w:val="single" w:sz="4" w:space="0" w:color="000000"/>
            </w:tcBorders>
            <w:shd w:val="clear" w:color="auto" w:fill="auto"/>
            <w:vAlign w:val="bottom"/>
          </w:tcPr>
          <w:p w14:paraId="604C4E97"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By Closing stock</w:t>
            </w:r>
          </w:p>
        </w:tc>
        <w:tc>
          <w:tcPr>
            <w:tcW w:w="1421" w:type="dxa"/>
            <w:gridSpan w:val="2"/>
            <w:tcBorders>
              <w:left w:val="single" w:sz="8" w:space="0" w:color="000000"/>
              <w:bottom w:val="single" w:sz="4" w:space="0" w:color="000000"/>
              <w:right w:val="single" w:sz="8" w:space="0" w:color="000000"/>
            </w:tcBorders>
            <w:shd w:val="clear" w:color="auto" w:fill="auto"/>
            <w:vAlign w:val="bottom"/>
          </w:tcPr>
          <w:p w14:paraId="6A6FE7C5" w14:textId="77777777" w:rsidR="008B78F4" w:rsidRDefault="008B78F4" w:rsidP="00E07D57">
            <w:pPr>
              <w:spacing w:line="240" w:lineRule="auto"/>
              <w:jc w:val="right"/>
            </w:pPr>
            <w:r>
              <w:rPr>
                <w:rFonts w:eastAsia="Times New Roman" w:cs="Calibri"/>
                <w:szCs w:val="24"/>
                <w:shd w:val="clear" w:color="auto" w:fill="FFFFFF"/>
                <w:lang w:val="en-US"/>
              </w:rPr>
              <w:t>430600</w:t>
            </w:r>
          </w:p>
        </w:tc>
      </w:tr>
      <w:tr w:rsidR="008B78F4" w14:paraId="43C03934" w14:textId="77777777" w:rsidTr="00E07D57">
        <w:trPr>
          <w:trHeight w:val="315"/>
        </w:trPr>
        <w:tc>
          <w:tcPr>
            <w:tcW w:w="2953" w:type="dxa"/>
            <w:tcBorders>
              <w:left w:val="single" w:sz="4" w:space="0" w:color="000000"/>
            </w:tcBorders>
            <w:shd w:val="clear" w:color="auto" w:fill="auto"/>
            <w:vAlign w:val="bottom"/>
          </w:tcPr>
          <w:p w14:paraId="503838F5"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To gross profit A/c</w:t>
            </w:r>
          </w:p>
        </w:tc>
        <w:tc>
          <w:tcPr>
            <w:tcW w:w="1361" w:type="dxa"/>
            <w:tcBorders>
              <w:left w:val="single" w:sz="8" w:space="0" w:color="000000"/>
            </w:tcBorders>
            <w:shd w:val="clear" w:color="auto" w:fill="auto"/>
            <w:vAlign w:val="bottom"/>
          </w:tcPr>
          <w:p w14:paraId="17EDDD88" w14:textId="77777777" w:rsidR="008B78F4" w:rsidRDefault="008B78F4" w:rsidP="00E07D57">
            <w:pPr>
              <w:spacing w:line="240" w:lineRule="auto"/>
              <w:jc w:val="right"/>
              <w:rPr>
                <w:rFonts w:eastAsia="Times New Roman" w:cs="Calibri"/>
                <w:szCs w:val="24"/>
                <w:shd w:val="clear" w:color="auto" w:fill="FFFFFF"/>
                <w:lang w:val="en-US"/>
              </w:rPr>
            </w:pPr>
            <w:r>
              <w:rPr>
                <w:rFonts w:eastAsia="Times New Roman" w:cs="Calibri"/>
                <w:szCs w:val="24"/>
                <w:shd w:val="clear" w:color="auto" w:fill="FFFFFF"/>
                <w:lang w:val="en-US"/>
              </w:rPr>
              <w:t>221350</w:t>
            </w:r>
          </w:p>
        </w:tc>
        <w:tc>
          <w:tcPr>
            <w:tcW w:w="2445" w:type="dxa"/>
            <w:tcBorders>
              <w:left w:val="single" w:sz="8" w:space="0" w:color="000000"/>
            </w:tcBorders>
            <w:shd w:val="clear" w:color="auto" w:fill="auto"/>
            <w:vAlign w:val="bottom"/>
          </w:tcPr>
          <w:p w14:paraId="1B586BAC"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 </w:t>
            </w:r>
          </w:p>
        </w:tc>
        <w:tc>
          <w:tcPr>
            <w:tcW w:w="1421" w:type="dxa"/>
            <w:gridSpan w:val="2"/>
            <w:tcBorders>
              <w:left w:val="single" w:sz="8" w:space="0" w:color="000000"/>
              <w:right w:val="single" w:sz="8" w:space="0" w:color="000000"/>
            </w:tcBorders>
            <w:shd w:val="clear" w:color="auto" w:fill="auto"/>
            <w:vAlign w:val="bottom"/>
          </w:tcPr>
          <w:p w14:paraId="2A2760FB" w14:textId="77777777" w:rsidR="008B78F4" w:rsidRDefault="008B78F4" w:rsidP="00E07D57">
            <w:pPr>
              <w:spacing w:line="240" w:lineRule="auto"/>
            </w:pPr>
            <w:r>
              <w:rPr>
                <w:rFonts w:eastAsia="Times New Roman" w:cs="Calibri"/>
                <w:szCs w:val="24"/>
                <w:shd w:val="clear" w:color="auto" w:fill="FFFFFF"/>
                <w:lang w:val="en-US"/>
              </w:rPr>
              <w:t> </w:t>
            </w:r>
          </w:p>
        </w:tc>
      </w:tr>
      <w:tr w:rsidR="008B78F4" w14:paraId="736CE8CB" w14:textId="77777777" w:rsidTr="00E07D57">
        <w:trPr>
          <w:trHeight w:val="450"/>
        </w:trPr>
        <w:tc>
          <w:tcPr>
            <w:tcW w:w="2953" w:type="dxa"/>
            <w:tcBorders>
              <w:top w:val="single" w:sz="8" w:space="0" w:color="000000"/>
              <w:left w:val="single" w:sz="8" w:space="0" w:color="000000"/>
              <w:bottom w:val="single" w:sz="8" w:space="0" w:color="000000"/>
            </w:tcBorders>
            <w:shd w:val="clear" w:color="auto" w:fill="auto"/>
            <w:vAlign w:val="bottom"/>
          </w:tcPr>
          <w:p w14:paraId="405F4653"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b/>
                <w:bCs/>
                <w:szCs w:val="24"/>
                <w:shd w:val="clear" w:color="auto" w:fill="FFFFFF"/>
                <w:lang w:val="en-US"/>
              </w:rPr>
              <w:t xml:space="preserve">Total </w:t>
            </w:r>
          </w:p>
        </w:tc>
        <w:tc>
          <w:tcPr>
            <w:tcW w:w="1361" w:type="dxa"/>
            <w:tcBorders>
              <w:top w:val="single" w:sz="8" w:space="0" w:color="000000"/>
              <w:left w:val="single" w:sz="8" w:space="0" w:color="000000"/>
              <w:bottom w:val="single" w:sz="8" w:space="0" w:color="000000"/>
            </w:tcBorders>
            <w:shd w:val="clear" w:color="auto" w:fill="auto"/>
            <w:vAlign w:val="bottom"/>
          </w:tcPr>
          <w:p w14:paraId="2219AE1A" w14:textId="77777777" w:rsidR="008B78F4" w:rsidRDefault="008B78F4" w:rsidP="00E07D57">
            <w:pPr>
              <w:spacing w:line="240" w:lineRule="auto"/>
              <w:jc w:val="right"/>
              <w:rPr>
                <w:rFonts w:eastAsia="Times New Roman" w:cs="Calibri"/>
                <w:b/>
                <w:bCs/>
                <w:szCs w:val="24"/>
                <w:shd w:val="clear" w:color="auto" w:fill="FFFFFF"/>
                <w:lang w:val="en-US"/>
              </w:rPr>
            </w:pPr>
            <w:r>
              <w:rPr>
                <w:rFonts w:eastAsia="Times New Roman" w:cs="Calibri"/>
                <w:b/>
                <w:bCs/>
                <w:szCs w:val="24"/>
                <w:shd w:val="clear" w:color="auto" w:fill="FFFFFF"/>
                <w:lang w:val="en-US"/>
              </w:rPr>
              <w:t>1230600</w:t>
            </w:r>
          </w:p>
        </w:tc>
        <w:tc>
          <w:tcPr>
            <w:tcW w:w="2445" w:type="dxa"/>
            <w:tcBorders>
              <w:top w:val="single" w:sz="8" w:space="0" w:color="000000"/>
              <w:left w:val="single" w:sz="8" w:space="0" w:color="000000"/>
              <w:bottom w:val="single" w:sz="8" w:space="0" w:color="000000"/>
            </w:tcBorders>
            <w:shd w:val="clear" w:color="auto" w:fill="auto"/>
            <w:vAlign w:val="bottom"/>
          </w:tcPr>
          <w:p w14:paraId="4E38EE04"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b/>
                <w:bCs/>
                <w:szCs w:val="24"/>
                <w:shd w:val="clear" w:color="auto" w:fill="FFFFFF"/>
                <w:lang w:val="en-US"/>
              </w:rPr>
              <w:t xml:space="preserve">Total </w:t>
            </w:r>
          </w:p>
        </w:tc>
        <w:tc>
          <w:tcPr>
            <w:tcW w:w="1421"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14:paraId="790FEFBC" w14:textId="77777777" w:rsidR="008B78F4" w:rsidRDefault="008B78F4" w:rsidP="00E07D57">
            <w:pPr>
              <w:spacing w:line="240" w:lineRule="auto"/>
              <w:jc w:val="right"/>
            </w:pPr>
            <w:r>
              <w:rPr>
                <w:rFonts w:eastAsia="Times New Roman" w:cs="Calibri"/>
                <w:b/>
                <w:bCs/>
                <w:szCs w:val="24"/>
                <w:shd w:val="clear" w:color="auto" w:fill="FFFFFF"/>
                <w:lang w:val="en-US"/>
              </w:rPr>
              <w:t>1230600</w:t>
            </w:r>
          </w:p>
        </w:tc>
      </w:tr>
      <w:tr w:rsidR="008B78F4" w14:paraId="40299E22" w14:textId="77777777" w:rsidTr="00E07D57">
        <w:trPr>
          <w:trHeight w:val="300"/>
        </w:trPr>
        <w:tc>
          <w:tcPr>
            <w:tcW w:w="2953" w:type="dxa"/>
            <w:tcBorders>
              <w:left w:val="single" w:sz="4" w:space="0" w:color="000000"/>
              <w:bottom w:val="single" w:sz="4" w:space="0" w:color="000000"/>
            </w:tcBorders>
            <w:shd w:val="clear" w:color="auto" w:fill="auto"/>
            <w:vAlign w:val="bottom"/>
          </w:tcPr>
          <w:p w14:paraId="342BAA5C"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 </w:t>
            </w:r>
          </w:p>
        </w:tc>
        <w:tc>
          <w:tcPr>
            <w:tcW w:w="1361" w:type="dxa"/>
            <w:tcBorders>
              <w:left w:val="single" w:sz="8" w:space="0" w:color="000000"/>
              <w:bottom w:val="single" w:sz="4" w:space="0" w:color="000000"/>
            </w:tcBorders>
            <w:shd w:val="clear" w:color="auto" w:fill="auto"/>
            <w:vAlign w:val="bottom"/>
          </w:tcPr>
          <w:p w14:paraId="0A335395"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 </w:t>
            </w:r>
          </w:p>
        </w:tc>
        <w:tc>
          <w:tcPr>
            <w:tcW w:w="2445" w:type="dxa"/>
            <w:tcBorders>
              <w:left w:val="single" w:sz="8" w:space="0" w:color="000000"/>
              <w:bottom w:val="single" w:sz="4" w:space="0" w:color="000000"/>
            </w:tcBorders>
            <w:shd w:val="clear" w:color="auto" w:fill="auto"/>
            <w:vAlign w:val="bottom"/>
          </w:tcPr>
          <w:p w14:paraId="6E1A2B88"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By GP</w:t>
            </w:r>
          </w:p>
        </w:tc>
        <w:tc>
          <w:tcPr>
            <w:tcW w:w="1421" w:type="dxa"/>
            <w:gridSpan w:val="2"/>
            <w:tcBorders>
              <w:left w:val="single" w:sz="8" w:space="0" w:color="000000"/>
              <w:bottom w:val="single" w:sz="4" w:space="0" w:color="000000"/>
              <w:right w:val="single" w:sz="8" w:space="0" w:color="000000"/>
            </w:tcBorders>
            <w:shd w:val="clear" w:color="auto" w:fill="auto"/>
            <w:vAlign w:val="bottom"/>
          </w:tcPr>
          <w:p w14:paraId="7D04E748" w14:textId="77777777" w:rsidR="008B78F4" w:rsidRDefault="008B78F4" w:rsidP="00E07D57">
            <w:pPr>
              <w:spacing w:line="240" w:lineRule="auto"/>
              <w:jc w:val="right"/>
            </w:pPr>
            <w:r>
              <w:rPr>
                <w:rFonts w:eastAsia="Times New Roman" w:cs="Calibri"/>
                <w:szCs w:val="24"/>
                <w:shd w:val="clear" w:color="auto" w:fill="FFFFFF"/>
                <w:lang w:val="en-US"/>
              </w:rPr>
              <w:t>221350</w:t>
            </w:r>
          </w:p>
        </w:tc>
      </w:tr>
      <w:tr w:rsidR="008B78F4" w14:paraId="607C3D8C" w14:textId="77777777" w:rsidTr="00E07D57">
        <w:trPr>
          <w:trHeight w:val="300"/>
        </w:trPr>
        <w:tc>
          <w:tcPr>
            <w:tcW w:w="2953" w:type="dxa"/>
            <w:tcBorders>
              <w:left w:val="single" w:sz="4" w:space="0" w:color="000000"/>
              <w:bottom w:val="single" w:sz="4" w:space="0" w:color="000000"/>
            </w:tcBorders>
            <w:shd w:val="clear" w:color="auto" w:fill="auto"/>
            <w:vAlign w:val="bottom"/>
          </w:tcPr>
          <w:p w14:paraId="17A44443"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Admin Exp.</w:t>
            </w:r>
          </w:p>
        </w:tc>
        <w:tc>
          <w:tcPr>
            <w:tcW w:w="1361" w:type="dxa"/>
            <w:tcBorders>
              <w:left w:val="single" w:sz="8" w:space="0" w:color="000000"/>
              <w:bottom w:val="single" w:sz="4" w:space="0" w:color="000000"/>
            </w:tcBorders>
            <w:shd w:val="clear" w:color="auto" w:fill="auto"/>
            <w:vAlign w:val="bottom"/>
          </w:tcPr>
          <w:p w14:paraId="13DB83E0" w14:textId="77777777" w:rsidR="008B78F4" w:rsidRDefault="008B78F4" w:rsidP="00E07D57">
            <w:pPr>
              <w:spacing w:line="240" w:lineRule="auto"/>
              <w:jc w:val="right"/>
              <w:rPr>
                <w:rFonts w:eastAsia="Times New Roman" w:cs="Calibri"/>
                <w:szCs w:val="24"/>
                <w:shd w:val="clear" w:color="auto" w:fill="FFFFFF"/>
                <w:lang w:val="en-US"/>
              </w:rPr>
            </w:pPr>
            <w:r>
              <w:rPr>
                <w:rFonts w:eastAsia="Times New Roman" w:cs="Calibri"/>
                <w:szCs w:val="24"/>
                <w:shd w:val="clear" w:color="auto" w:fill="FFFFFF"/>
                <w:lang w:val="en-US"/>
              </w:rPr>
              <w:t>30000</w:t>
            </w:r>
          </w:p>
        </w:tc>
        <w:tc>
          <w:tcPr>
            <w:tcW w:w="2445" w:type="dxa"/>
            <w:tcBorders>
              <w:left w:val="single" w:sz="8" w:space="0" w:color="000000"/>
              <w:bottom w:val="single" w:sz="4" w:space="0" w:color="000000"/>
            </w:tcBorders>
            <w:shd w:val="clear" w:color="auto" w:fill="auto"/>
            <w:vAlign w:val="bottom"/>
          </w:tcPr>
          <w:p w14:paraId="675EF16E"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 </w:t>
            </w:r>
          </w:p>
        </w:tc>
        <w:tc>
          <w:tcPr>
            <w:tcW w:w="1421" w:type="dxa"/>
            <w:gridSpan w:val="2"/>
            <w:tcBorders>
              <w:left w:val="single" w:sz="8" w:space="0" w:color="000000"/>
              <w:bottom w:val="single" w:sz="4" w:space="0" w:color="000000"/>
              <w:right w:val="single" w:sz="8" w:space="0" w:color="000000"/>
            </w:tcBorders>
            <w:shd w:val="clear" w:color="auto" w:fill="auto"/>
            <w:vAlign w:val="bottom"/>
          </w:tcPr>
          <w:p w14:paraId="4060E69F" w14:textId="77777777" w:rsidR="008B78F4" w:rsidRDefault="008B78F4" w:rsidP="00E07D57">
            <w:pPr>
              <w:spacing w:line="240" w:lineRule="auto"/>
            </w:pPr>
            <w:r>
              <w:rPr>
                <w:rFonts w:eastAsia="Times New Roman" w:cs="Calibri"/>
                <w:szCs w:val="24"/>
                <w:shd w:val="clear" w:color="auto" w:fill="FFFFFF"/>
                <w:lang w:val="en-US"/>
              </w:rPr>
              <w:t> </w:t>
            </w:r>
          </w:p>
        </w:tc>
      </w:tr>
      <w:tr w:rsidR="008B78F4" w14:paraId="6338C5F5" w14:textId="77777777" w:rsidTr="00E07D57">
        <w:trPr>
          <w:trHeight w:val="300"/>
        </w:trPr>
        <w:tc>
          <w:tcPr>
            <w:tcW w:w="2953" w:type="dxa"/>
            <w:tcBorders>
              <w:left w:val="single" w:sz="4" w:space="0" w:color="000000"/>
              <w:bottom w:val="single" w:sz="4" w:space="0" w:color="000000"/>
            </w:tcBorders>
            <w:shd w:val="clear" w:color="auto" w:fill="auto"/>
            <w:vAlign w:val="bottom"/>
          </w:tcPr>
          <w:p w14:paraId="19521142"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Interest Exp.</w:t>
            </w:r>
          </w:p>
        </w:tc>
        <w:tc>
          <w:tcPr>
            <w:tcW w:w="1361" w:type="dxa"/>
            <w:tcBorders>
              <w:left w:val="single" w:sz="8" w:space="0" w:color="000000"/>
              <w:bottom w:val="single" w:sz="4" w:space="0" w:color="000000"/>
            </w:tcBorders>
            <w:shd w:val="clear" w:color="auto" w:fill="auto"/>
            <w:vAlign w:val="bottom"/>
          </w:tcPr>
          <w:p w14:paraId="7C6CCBF1" w14:textId="77777777" w:rsidR="008B78F4" w:rsidRDefault="008B78F4" w:rsidP="00E07D57">
            <w:pPr>
              <w:spacing w:line="240" w:lineRule="auto"/>
              <w:jc w:val="right"/>
              <w:rPr>
                <w:rFonts w:eastAsia="Times New Roman" w:cs="Calibri"/>
                <w:szCs w:val="24"/>
                <w:shd w:val="clear" w:color="auto" w:fill="FFFFFF"/>
                <w:lang w:val="en-US"/>
              </w:rPr>
            </w:pPr>
            <w:r>
              <w:rPr>
                <w:rFonts w:eastAsia="Times New Roman" w:cs="Calibri"/>
                <w:szCs w:val="24"/>
                <w:shd w:val="clear" w:color="auto" w:fill="FFFFFF"/>
                <w:lang w:val="en-US"/>
              </w:rPr>
              <w:t>2000</w:t>
            </w:r>
          </w:p>
        </w:tc>
        <w:tc>
          <w:tcPr>
            <w:tcW w:w="2445" w:type="dxa"/>
            <w:tcBorders>
              <w:left w:val="single" w:sz="8" w:space="0" w:color="000000"/>
              <w:bottom w:val="single" w:sz="4" w:space="0" w:color="000000"/>
            </w:tcBorders>
            <w:shd w:val="clear" w:color="auto" w:fill="auto"/>
            <w:vAlign w:val="bottom"/>
          </w:tcPr>
          <w:p w14:paraId="74D8DAE1"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 </w:t>
            </w:r>
          </w:p>
        </w:tc>
        <w:tc>
          <w:tcPr>
            <w:tcW w:w="1421" w:type="dxa"/>
            <w:gridSpan w:val="2"/>
            <w:tcBorders>
              <w:left w:val="single" w:sz="8" w:space="0" w:color="000000"/>
              <w:bottom w:val="single" w:sz="4" w:space="0" w:color="000000"/>
              <w:right w:val="single" w:sz="8" w:space="0" w:color="000000"/>
            </w:tcBorders>
            <w:shd w:val="clear" w:color="auto" w:fill="auto"/>
            <w:vAlign w:val="bottom"/>
          </w:tcPr>
          <w:p w14:paraId="3E51CD2B" w14:textId="77777777" w:rsidR="008B78F4" w:rsidRDefault="008B78F4" w:rsidP="00E07D57">
            <w:pPr>
              <w:spacing w:line="240" w:lineRule="auto"/>
            </w:pPr>
            <w:r>
              <w:rPr>
                <w:rFonts w:eastAsia="Times New Roman" w:cs="Calibri"/>
                <w:szCs w:val="24"/>
                <w:shd w:val="clear" w:color="auto" w:fill="FFFFFF"/>
                <w:lang w:val="en-US"/>
              </w:rPr>
              <w:t> </w:t>
            </w:r>
          </w:p>
        </w:tc>
      </w:tr>
      <w:tr w:rsidR="008B78F4" w14:paraId="0F61B861" w14:textId="77777777" w:rsidTr="00E07D57">
        <w:trPr>
          <w:trHeight w:val="300"/>
        </w:trPr>
        <w:tc>
          <w:tcPr>
            <w:tcW w:w="2953" w:type="dxa"/>
            <w:tcBorders>
              <w:left w:val="single" w:sz="4" w:space="0" w:color="000000"/>
              <w:bottom w:val="single" w:sz="4" w:space="0" w:color="000000"/>
            </w:tcBorders>
            <w:shd w:val="clear" w:color="auto" w:fill="auto"/>
            <w:vAlign w:val="bottom"/>
          </w:tcPr>
          <w:p w14:paraId="140F31F5"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Director remuneration</w:t>
            </w:r>
          </w:p>
        </w:tc>
        <w:tc>
          <w:tcPr>
            <w:tcW w:w="1361" w:type="dxa"/>
            <w:tcBorders>
              <w:left w:val="single" w:sz="8" w:space="0" w:color="000000"/>
              <w:bottom w:val="single" w:sz="4" w:space="0" w:color="000000"/>
            </w:tcBorders>
            <w:shd w:val="clear" w:color="auto" w:fill="auto"/>
            <w:vAlign w:val="bottom"/>
          </w:tcPr>
          <w:p w14:paraId="25FC3156" w14:textId="77777777" w:rsidR="008B78F4" w:rsidRDefault="008B78F4" w:rsidP="00E07D57">
            <w:pPr>
              <w:spacing w:line="240" w:lineRule="auto"/>
              <w:jc w:val="right"/>
              <w:rPr>
                <w:rFonts w:eastAsia="Times New Roman" w:cs="Calibri"/>
                <w:szCs w:val="24"/>
                <w:shd w:val="clear" w:color="auto" w:fill="FFFFFF"/>
                <w:lang w:val="en-US"/>
              </w:rPr>
            </w:pPr>
            <w:r>
              <w:rPr>
                <w:rFonts w:eastAsia="Times New Roman" w:cs="Calibri"/>
                <w:szCs w:val="24"/>
                <w:shd w:val="clear" w:color="auto" w:fill="FFFFFF"/>
                <w:lang w:val="en-US"/>
              </w:rPr>
              <w:t>5000</w:t>
            </w:r>
          </w:p>
        </w:tc>
        <w:tc>
          <w:tcPr>
            <w:tcW w:w="2445" w:type="dxa"/>
            <w:tcBorders>
              <w:left w:val="single" w:sz="8" w:space="0" w:color="000000"/>
              <w:bottom w:val="single" w:sz="4" w:space="0" w:color="000000"/>
            </w:tcBorders>
            <w:shd w:val="clear" w:color="auto" w:fill="auto"/>
            <w:vAlign w:val="bottom"/>
          </w:tcPr>
          <w:p w14:paraId="56FD85F6"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 </w:t>
            </w:r>
          </w:p>
        </w:tc>
        <w:tc>
          <w:tcPr>
            <w:tcW w:w="1421" w:type="dxa"/>
            <w:gridSpan w:val="2"/>
            <w:tcBorders>
              <w:left w:val="single" w:sz="8" w:space="0" w:color="000000"/>
              <w:bottom w:val="single" w:sz="4" w:space="0" w:color="000000"/>
              <w:right w:val="single" w:sz="8" w:space="0" w:color="000000"/>
            </w:tcBorders>
            <w:shd w:val="clear" w:color="auto" w:fill="auto"/>
            <w:vAlign w:val="bottom"/>
          </w:tcPr>
          <w:p w14:paraId="5709006A" w14:textId="77777777" w:rsidR="008B78F4" w:rsidRDefault="008B78F4" w:rsidP="00E07D57">
            <w:pPr>
              <w:spacing w:line="240" w:lineRule="auto"/>
            </w:pPr>
            <w:r>
              <w:rPr>
                <w:rFonts w:eastAsia="Times New Roman" w:cs="Calibri"/>
                <w:szCs w:val="24"/>
                <w:shd w:val="clear" w:color="auto" w:fill="FFFFFF"/>
                <w:lang w:val="en-US"/>
              </w:rPr>
              <w:t> </w:t>
            </w:r>
          </w:p>
        </w:tc>
      </w:tr>
      <w:tr w:rsidR="008B78F4" w14:paraId="017AE0D3" w14:textId="77777777" w:rsidTr="00E07D57">
        <w:trPr>
          <w:trHeight w:val="300"/>
        </w:trPr>
        <w:tc>
          <w:tcPr>
            <w:tcW w:w="2953" w:type="dxa"/>
            <w:tcBorders>
              <w:left w:val="single" w:sz="4" w:space="0" w:color="000000"/>
              <w:bottom w:val="single" w:sz="4" w:space="0" w:color="000000"/>
            </w:tcBorders>
            <w:shd w:val="clear" w:color="auto" w:fill="auto"/>
            <w:vAlign w:val="bottom"/>
          </w:tcPr>
          <w:p w14:paraId="32EB1ADC"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Distribution Exp.</w:t>
            </w:r>
          </w:p>
        </w:tc>
        <w:tc>
          <w:tcPr>
            <w:tcW w:w="1361" w:type="dxa"/>
            <w:tcBorders>
              <w:left w:val="single" w:sz="8" w:space="0" w:color="000000"/>
              <w:bottom w:val="single" w:sz="4" w:space="0" w:color="000000"/>
            </w:tcBorders>
            <w:shd w:val="clear" w:color="auto" w:fill="auto"/>
            <w:vAlign w:val="bottom"/>
          </w:tcPr>
          <w:p w14:paraId="0072378D" w14:textId="77777777" w:rsidR="008B78F4" w:rsidRDefault="008B78F4" w:rsidP="00E07D57">
            <w:pPr>
              <w:spacing w:line="240" w:lineRule="auto"/>
              <w:jc w:val="right"/>
              <w:rPr>
                <w:rFonts w:eastAsia="Times New Roman" w:cs="Calibri"/>
                <w:szCs w:val="24"/>
                <w:shd w:val="clear" w:color="auto" w:fill="FFFFFF"/>
                <w:lang w:val="en-US"/>
              </w:rPr>
            </w:pPr>
            <w:r>
              <w:rPr>
                <w:rFonts w:eastAsia="Times New Roman" w:cs="Calibri"/>
                <w:szCs w:val="24"/>
                <w:shd w:val="clear" w:color="auto" w:fill="FFFFFF"/>
                <w:lang w:val="en-US"/>
              </w:rPr>
              <w:t>28000</w:t>
            </w:r>
          </w:p>
        </w:tc>
        <w:tc>
          <w:tcPr>
            <w:tcW w:w="2445" w:type="dxa"/>
            <w:tcBorders>
              <w:left w:val="single" w:sz="8" w:space="0" w:color="000000"/>
              <w:bottom w:val="single" w:sz="4" w:space="0" w:color="000000"/>
            </w:tcBorders>
            <w:shd w:val="clear" w:color="auto" w:fill="auto"/>
            <w:vAlign w:val="bottom"/>
          </w:tcPr>
          <w:p w14:paraId="38C9D698"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 </w:t>
            </w:r>
          </w:p>
        </w:tc>
        <w:tc>
          <w:tcPr>
            <w:tcW w:w="1421" w:type="dxa"/>
            <w:gridSpan w:val="2"/>
            <w:tcBorders>
              <w:left w:val="single" w:sz="8" w:space="0" w:color="000000"/>
              <w:bottom w:val="single" w:sz="4" w:space="0" w:color="000000"/>
              <w:right w:val="single" w:sz="8" w:space="0" w:color="000000"/>
            </w:tcBorders>
            <w:shd w:val="clear" w:color="auto" w:fill="auto"/>
            <w:vAlign w:val="bottom"/>
          </w:tcPr>
          <w:p w14:paraId="323A4BCE" w14:textId="77777777" w:rsidR="008B78F4" w:rsidRDefault="008B78F4" w:rsidP="00E07D57">
            <w:pPr>
              <w:spacing w:line="240" w:lineRule="auto"/>
            </w:pPr>
            <w:r>
              <w:rPr>
                <w:rFonts w:eastAsia="Times New Roman" w:cs="Calibri"/>
                <w:szCs w:val="24"/>
                <w:shd w:val="clear" w:color="auto" w:fill="FFFFFF"/>
                <w:lang w:val="en-US"/>
              </w:rPr>
              <w:t> </w:t>
            </w:r>
          </w:p>
        </w:tc>
      </w:tr>
      <w:tr w:rsidR="008B78F4" w14:paraId="74EBDEF8" w14:textId="77777777" w:rsidTr="00E07D57">
        <w:trPr>
          <w:trHeight w:val="300"/>
        </w:trPr>
        <w:tc>
          <w:tcPr>
            <w:tcW w:w="2953" w:type="dxa"/>
            <w:tcBorders>
              <w:left w:val="single" w:sz="4" w:space="0" w:color="000000"/>
              <w:bottom w:val="single" w:sz="4" w:space="0" w:color="000000"/>
            </w:tcBorders>
            <w:shd w:val="clear" w:color="auto" w:fill="auto"/>
            <w:vAlign w:val="bottom"/>
          </w:tcPr>
          <w:p w14:paraId="620FC0F6"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To Tax payment</w:t>
            </w:r>
          </w:p>
        </w:tc>
        <w:tc>
          <w:tcPr>
            <w:tcW w:w="1361" w:type="dxa"/>
            <w:tcBorders>
              <w:left w:val="single" w:sz="8" w:space="0" w:color="000000"/>
              <w:bottom w:val="single" w:sz="4" w:space="0" w:color="000000"/>
            </w:tcBorders>
            <w:shd w:val="clear" w:color="auto" w:fill="auto"/>
            <w:vAlign w:val="bottom"/>
          </w:tcPr>
          <w:p w14:paraId="116A940F" w14:textId="77777777" w:rsidR="008B78F4" w:rsidRDefault="008B78F4" w:rsidP="00E07D57">
            <w:pPr>
              <w:spacing w:line="240" w:lineRule="auto"/>
              <w:jc w:val="right"/>
              <w:rPr>
                <w:rFonts w:eastAsia="Times New Roman" w:cs="Calibri"/>
                <w:szCs w:val="24"/>
                <w:shd w:val="clear" w:color="auto" w:fill="FFFFFF"/>
                <w:lang w:val="en-US"/>
              </w:rPr>
            </w:pPr>
            <w:r>
              <w:rPr>
                <w:rFonts w:eastAsia="Times New Roman" w:cs="Calibri"/>
                <w:szCs w:val="24"/>
                <w:shd w:val="clear" w:color="auto" w:fill="FFFFFF"/>
                <w:lang w:val="en-US"/>
              </w:rPr>
              <w:t>100000</w:t>
            </w:r>
          </w:p>
        </w:tc>
        <w:tc>
          <w:tcPr>
            <w:tcW w:w="2445" w:type="dxa"/>
            <w:tcBorders>
              <w:left w:val="single" w:sz="8" w:space="0" w:color="000000"/>
              <w:bottom w:val="single" w:sz="4" w:space="0" w:color="000000"/>
            </w:tcBorders>
            <w:shd w:val="clear" w:color="auto" w:fill="auto"/>
            <w:vAlign w:val="bottom"/>
          </w:tcPr>
          <w:p w14:paraId="40BEB799"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 </w:t>
            </w:r>
          </w:p>
        </w:tc>
        <w:tc>
          <w:tcPr>
            <w:tcW w:w="1421" w:type="dxa"/>
            <w:gridSpan w:val="2"/>
            <w:tcBorders>
              <w:left w:val="single" w:sz="8" w:space="0" w:color="000000"/>
              <w:bottom w:val="single" w:sz="4" w:space="0" w:color="000000"/>
              <w:right w:val="single" w:sz="8" w:space="0" w:color="000000"/>
            </w:tcBorders>
            <w:shd w:val="clear" w:color="auto" w:fill="auto"/>
            <w:vAlign w:val="bottom"/>
          </w:tcPr>
          <w:p w14:paraId="6F96529A" w14:textId="77777777" w:rsidR="008B78F4" w:rsidRDefault="008B78F4" w:rsidP="00E07D57">
            <w:pPr>
              <w:spacing w:line="240" w:lineRule="auto"/>
            </w:pPr>
            <w:r>
              <w:rPr>
                <w:rFonts w:eastAsia="Times New Roman" w:cs="Calibri"/>
                <w:szCs w:val="24"/>
                <w:shd w:val="clear" w:color="auto" w:fill="FFFFFF"/>
                <w:lang w:val="en-US"/>
              </w:rPr>
              <w:t> </w:t>
            </w:r>
          </w:p>
        </w:tc>
      </w:tr>
      <w:tr w:rsidR="008B78F4" w14:paraId="23A924D7" w14:textId="77777777" w:rsidTr="00E07D57">
        <w:trPr>
          <w:trHeight w:val="300"/>
        </w:trPr>
        <w:tc>
          <w:tcPr>
            <w:tcW w:w="2953" w:type="dxa"/>
            <w:tcBorders>
              <w:left w:val="single" w:sz="4" w:space="0" w:color="000000"/>
              <w:bottom w:val="single" w:sz="4" w:space="0" w:color="000000"/>
            </w:tcBorders>
            <w:shd w:val="clear" w:color="auto" w:fill="auto"/>
            <w:vAlign w:val="bottom"/>
          </w:tcPr>
          <w:p w14:paraId="17D5C835"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To O/s Commission</w:t>
            </w:r>
          </w:p>
        </w:tc>
        <w:tc>
          <w:tcPr>
            <w:tcW w:w="1361" w:type="dxa"/>
            <w:tcBorders>
              <w:left w:val="single" w:sz="8" w:space="0" w:color="000000"/>
              <w:bottom w:val="single" w:sz="4" w:space="0" w:color="000000"/>
            </w:tcBorders>
            <w:shd w:val="clear" w:color="auto" w:fill="auto"/>
            <w:vAlign w:val="bottom"/>
          </w:tcPr>
          <w:p w14:paraId="7F6E5352" w14:textId="77777777" w:rsidR="008B78F4" w:rsidRDefault="008B78F4" w:rsidP="00E07D57">
            <w:pPr>
              <w:spacing w:line="240" w:lineRule="auto"/>
              <w:jc w:val="right"/>
              <w:rPr>
                <w:rFonts w:eastAsia="Times New Roman" w:cs="Calibri"/>
                <w:szCs w:val="24"/>
                <w:shd w:val="clear" w:color="auto" w:fill="FFFFFF"/>
                <w:lang w:val="en-US"/>
              </w:rPr>
            </w:pPr>
            <w:r>
              <w:rPr>
                <w:rFonts w:eastAsia="Times New Roman" w:cs="Calibri"/>
                <w:szCs w:val="24"/>
                <w:shd w:val="clear" w:color="auto" w:fill="FFFFFF"/>
                <w:lang w:val="en-US"/>
              </w:rPr>
              <w:t>3000</w:t>
            </w:r>
          </w:p>
        </w:tc>
        <w:tc>
          <w:tcPr>
            <w:tcW w:w="2445" w:type="dxa"/>
            <w:tcBorders>
              <w:left w:val="single" w:sz="8" w:space="0" w:color="000000"/>
              <w:bottom w:val="single" w:sz="4" w:space="0" w:color="000000"/>
            </w:tcBorders>
            <w:shd w:val="clear" w:color="auto" w:fill="auto"/>
            <w:vAlign w:val="bottom"/>
          </w:tcPr>
          <w:p w14:paraId="467F683A"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 </w:t>
            </w:r>
          </w:p>
        </w:tc>
        <w:tc>
          <w:tcPr>
            <w:tcW w:w="1421" w:type="dxa"/>
            <w:gridSpan w:val="2"/>
            <w:tcBorders>
              <w:left w:val="single" w:sz="8" w:space="0" w:color="000000"/>
              <w:bottom w:val="single" w:sz="4" w:space="0" w:color="000000"/>
              <w:right w:val="single" w:sz="8" w:space="0" w:color="000000"/>
            </w:tcBorders>
            <w:shd w:val="clear" w:color="auto" w:fill="auto"/>
            <w:vAlign w:val="bottom"/>
          </w:tcPr>
          <w:p w14:paraId="20CE413A" w14:textId="77777777" w:rsidR="008B78F4" w:rsidRDefault="008B78F4" w:rsidP="00E07D57">
            <w:pPr>
              <w:spacing w:line="240" w:lineRule="auto"/>
            </w:pPr>
            <w:r>
              <w:rPr>
                <w:rFonts w:eastAsia="Times New Roman" w:cs="Calibri"/>
                <w:szCs w:val="24"/>
                <w:shd w:val="clear" w:color="auto" w:fill="FFFFFF"/>
                <w:lang w:val="en-US"/>
              </w:rPr>
              <w:t> </w:t>
            </w:r>
          </w:p>
        </w:tc>
      </w:tr>
      <w:tr w:rsidR="008B78F4" w14:paraId="4B424CB2" w14:textId="77777777" w:rsidTr="00E07D57">
        <w:trPr>
          <w:trHeight w:val="315"/>
        </w:trPr>
        <w:tc>
          <w:tcPr>
            <w:tcW w:w="2953" w:type="dxa"/>
            <w:tcBorders>
              <w:left w:val="single" w:sz="4" w:space="0" w:color="000000"/>
            </w:tcBorders>
            <w:shd w:val="clear" w:color="auto" w:fill="auto"/>
            <w:vAlign w:val="bottom"/>
          </w:tcPr>
          <w:p w14:paraId="2AF70C9F"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To NP</w:t>
            </w:r>
          </w:p>
        </w:tc>
        <w:tc>
          <w:tcPr>
            <w:tcW w:w="1361" w:type="dxa"/>
            <w:tcBorders>
              <w:left w:val="single" w:sz="8" w:space="0" w:color="000000"/>
            </w:tcBorders>
            <w:shd w:val="clear" w:color="auto" w:fill="auto"/>
            <w:vAlign w:val="bottom"/>
          </w:tcPr>
          <w:p w14:paraId="62ABF24C" w14:textId="77777777" w:rsidR="008B78F4" w:rsidRDefault="008B78F4" w:rsidP="00E07D57">
            <w:pPr>
              <w:spacing w:line="240" w:lineRule="auto"/>
              <w:jc w:val="right"/>
              <w:rPr>
                <w:rFonts w:eastAsia="Times New Roman" w:cs="Calibri"/>
                <w:szCs w:val="24"/>
                <w:shd w:val="clear" w:color="auto" w:fill="FFFFFF"/>
                <w:lang w:val="en-US"/>
              </w:rPr>
            </w:pPr>
            <w:r>
              <w:rPr>
                <w:rFonts w:eastAsia="Times New Roman" w:cs="Calibri"/>
                <w:szCs w:val="24"/>
                <w:shd w:val="clear" w:color="auto" w:fill="FFFFFF"/>
                <w:lang w:val="en-US"/>
              </w:rPr>
              <w:t>53350</w:t>
            </w:r>
          </w:p>
        </w:tc>
        <w:tc>
          <w:tcPr>
            <w:tcW w:w="2445" w:type="dxa"/>
            <w:tcBorders>
              <w:left w:val="single" w:sz="8" w:space="0" w:color="000000"/>
            </w:tcBorders>
            <w:shd w:val="clear" w:color="auto" w:fill="auto"/>
            <w:vAlign w:val="bottom"/>
          </w:tcPr>
          <w:p w14:paraId="797B32D6"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 </w:t>
            </w:r>
          </w:p>
        </w:tc>
        <w:tc>
          <w:tcPr>
            <w:tcW w:w="1421" w:type="dxa"/>
            <w:gridSpan w:val="2"/>
            <w:tcBorders>
              <w:left w:val="single" w:sz="8" w:space="0" w:color="000000"/>
              <w:right w:val="single" w:sz="8" w:space="0" w:color="000000"/>
            </w:tcBorders>
            <w:shd w:val="clear" w:color="auto" w:fill="auto"/>
            <w:vAlign w:val="bottom"/>
          </w:tcPr>
          <w:p w14:paraId="065A24CC" w14:textId="77777777" w:rsidR="008B78F4" w:rsidRDefault="008B78F4" w:rsidP="00E07D57">
            <w:pPr>
              <w:spacing w:line="240" w:lineRule="auto"/>
            </w:pPr>
            <w:r>
              <w:rPr>
                <w:rFonts w:eastAsia="Times New Roman" w:cs="Calibri"/>
                <w:szCs w:val="24"/>
                <w:shd w:val="clear" w:color="auto" w:fill="FFFFFF"/>
                <w:lang w:val="en-US"/>
              </w:rPr>
              <w:t> </w:t>
            </w:r>
          </w:p>
        </w:tc>
      </w:tr>
      <w:tr w:rsidR="008B78F4" w14:paraId="18D218F7" w14:textId="77777777" w:rsidTr="00E07D57">
        <w:trPr>
          <w:trHeight w:val="315"/>
        </w:trPr>
        <w:tc>
          <w:tcPr>
            <w:tcW w:w="2953" w:type="dxa"/>
            <w:tcBorders>
              <w:top w:val="single" w:sz="8" w:space="0" w:color="000000"/>
              <w:left w:val="single" w:sz="8" w:space="0" w:color="000000"/>
              <w:bottom w:val="single" w:sz="8" w:space="0" w:color="000000"/>
            </w:tcBorders>
            <w:shd w:val="clear" w:color="auto" w:fill="auto"/>
            <w:vAlign w:val="bottom"/>
          </w:tcPr>
          <w:p w14:paraId="49853768"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b/>
                <w:bCs/>
                <w:szCs w:val="24"/>
                <w:shd w:val="clear" w:color="auto" w:fill="FFFFFF"/>
                <w:lang w:val="en-US"/>
              </w:rPr>
              <w:lastRenderedPageBreak/>
              <w:t xml:space="preserve">Total </w:t>
            </w:r>
          </w:p>
        </w:tc>
        <w:tc>
          <w:tcPr>
            <w:tcW w:w="1361" w:type="dxa"/>
            <w:tcBorders>
              <w:top w:val="single" w:sz="8" w:space="0" w:color="000000"/>
              <w:left w:val="single" w:sz="8" w:space="0" w:color="000000"/>
              <w:bottom w:val="single" w:sz="8" w:space="0" w:color="000000"/>
            </w:tcBorders>
            <w:shd w:val="clear" w:color="auto" w:fill="auto"/>
            <w:vAlign w:val="bottom"/>
          </w:tcPr>
          <w:p w14:paraId="16AB7C75" w14:textId="77777777" w:rsidR="008B78F4" w:rsidRDefault="008B78F4" w:rsidP="00E07D57">
            <w:pPr>
              <w:spacing w:line="240" w:lineRule="auto"/>
              <w:jc w:val="right"/>
              <w:rPr>
                <w:rFonts w:eastAsia="Times New Roman" w:cs="Calibri"/>
                <w:b/>
                <w:bCs/>
                <w:szCs w:val="24"/>
                <w:shd w:val="clear" w:color="auto" w:fill="FFFFFF"/>
                <w:lang w:val="en-US"/>
              </w:rPr>
            </w:pPr>
            <w:r>
              <w:rPr>
                <w:rFonts w:eastAsia="Times New Roman" w:cs="Calibri"/>
                <w:b/>
                <w:bCs/>
                <w:szCs w:val="24"/>
                <w:shd w:val="clear" w:color="auto" w:fill="FFFFFF"/>
                <w:lang w:val="en-US"/>
              </w:rPr>
              <w:t>221350</w:t>
            </w:r>
          </w:p>
        </w:tc>
        <w:tc>
          <w:tcPr>
            <w:tcW w:w="2445" w:type="dxa"/>
            <w:tcBorders>
              <w:top w:val="single" w:sz="8" w:space="0" w:color="000000"/>
              <w:left w:val="single" w:sz="8" w:space="0" w:color="000000"/>
              <w:bottom w:val="single" w:sz="8" w:space="0" w:color="000000"/>
            </w:tcBorders>
            <w:shd w:val="clear" w:color="auto" w:fill="auto"/>
            <w:vAlign w:val="bottom"/>
          </w:tcPr>
          <w:p w14:paraId="4BD248A7"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b/>
                <w:bCs/>
                <w:szCs w:val="24"/>
                <w:shd w:val="clear" w:color="auto" w:fill="FFFFFF"/>
                <w:lang w:val="en-US"/>
              </w:rPr>
              <w:t xml:space="preserve">Total </w:t>
            </w:r>
          </w:p>
        </w:tc>
        <w:tc>
          <w:tcPr>
            <w:tcW w:w="1421"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14:paraId="5D3A18B1" w14:textId="77777777" w:rsidR="008B78F4" w:rsidRDefault="008B78F4" w:rsidP="00E07D57">
            <w:pPr>
              <w:spacing w:line="240" w:lineRule="auto"/>
              <w:jc w:val="right"/>
            </w:pPr>
            <w:r>
              <w:rPr>
                <w:rFonts w:eastAsia="Times New Roman" w:cs="Calibri"/>
                <w:b/>
                <w:bCs/>
                <w:szCs w:val="24"/>
                <w:shd w:val="clear" w:color="auto" w:fill="FFFFFF"/>
                <w:lang w:val="en-US"/>
              </w:rPr>
              <w:t>221350</w:t>
            </w:r>
          </w:p>
        </w:tc>
      </w:tr>
    </w:tbl>
    <w:p w14:paraId="4F148D54" w14:textId="77777777" w:rsidR="008B78F4" w:rsidRDefault="008B78F4" w:rsidP="008B78F4">
      <w:pPr>
        <w:rPr>
          <w:shd w:val="clear" w:color="auto" w:fill="FFFFFF"/>
        </w:rPr>
      </w:pPr>
    </w:p>
    <w:p w14:paraId="627EA1EF" w14:textId="77777777" w:rsidR="008B78F4" w:rsidRDefault="008B78F4" w:rsidP="008B78F4">
      <w:pPr>
        <w:rPr>
          <w:shd w:val="clear" w:color="auto" w:fill="FFFFFF"/>
        </w:rPr>
      </w:pPr>
      <w:r>
        <w:rPr>
          <w:shd w:val="clear" w:color="auto" w:fill="FFFFFF"/>
        </w:rPr>
        <w:t>Cost of goods sold        = Opening inventory + Purchase – Closing Inventory</w:t>
      </w:r>
    </w:p>
    <w:p w14:paraId="2F174689" w14:textId="77777777" w:rsidR="008B78F4" w:rsidRDefault="008B78F4" w:rsidP="008B78F4">
      <w:pPr>
        <w:rPr>
          <w:shd w:val="clear" w:color="auto" w:fill="FFFFFF"/>
        </w:rPr>
      </w:pPr>
      <w:r>
        <w:rPr>
          <w:shd w:val="clear" w:color="auto" w:fill="FFFFFF"/>
        </w:rPr>
        <w:t xml:space="preserve">                  578650        = 0 + purchase – 430600</w:t>
      </w:r>
    </w:p>
    <w:p w14:paraId="2AF9C126" w14:textId="77777777" w:rsidR="008B78F4" w:rsidRDefault="008B78F4" w:rsidP="008B78F4">
      <w:pPr>
        <w:rPr>
          <w:rFonts w:eastAsia="Times New Roman" w:cs="Calibri"/>
          <w:b/>
          <w:bCs/>
          <w:szCs w:val="24"/>
          <w:shd w:val="clear" w:color="auto" w:fill="FFFFFF"/>
          <w:lang w:val="en-US"/>
        </w:rPr>
      </w:pPr>
      <w:r>
        <w:rPr>
          <w:shd w:val="clear" w:color="auto" w:fill="FFFFFF"/>
        </w:rPr>
        <w:t xml:space="preserve">           Net Purchase      = 548650+430600 = 1009250</w:t>
      </w:r>
    </w:p>
    <w:p w14:paraId="4A739E4E" w14:textId="77777777" w:rsidR="008B78F4" w:rsidRDefault="008B78F4" w:rsidP="008B78F4">
      <w:pPr>
        <w:rPr>
          <w:rFonts w:eastAsia="Times New Roman" w:cs="Calibri"/>
          <w:b/>
          <w:bCs/>
          <w:szCs w:val="24"/>
          <w:shd w:val="clear" w:color="auto" w:fill="FFFFFF"/>
          <w:lang w:val="en-US"/>
        </w:rPr>
      </w:pPr>
    </w:p>
    <w:p w14:paraId="506E9A94" w14:textId="77777777" w:rsidR="008B78F4" w:rsidRDefault="008B78F4" w:rsidP="008B78F4">
      <w:pPr>
        <w:rPr>
          <w:rFonts w:eastAsia="Times New Roman" w:cs="Calibri"/>
          <w:szCs w:val="24"/>
          <w:shd w:val="clear" w:color="auto" w:fill="FFFFFF"/>
          <w:lang w:val="en-US"/>
        </w:rPr>
      </w:pPr>
      <w:r>
        <w:rPr>
          <w:rFonts w:eastAsia="Times New Roman" w:cs="Calibri"/>
          <w:b/>
          <w:bCs/>
          <w:szCs w:val="24"/>
          <w:shd w:val="clear" w:color="auto" w:fill="FFFFFF"/>
          <w:lang w:val="en-US"/>
        </w:rPr>
        <w:t>Balance Sheet for the year end 31</w:t>
      </w:r>
      <w:r>
        <w:rPr>
          <w:rFonts w:eastAsia="Times New Roman" w:cs="Calibri"/>
          <w:b/>
          <w:bCs/>
          <w:szCs w:val="24"/>
          <w:shd w:val="clear" w:color="auto" w:fill="FFFFFF"/>
          <w:vertAlign w:val="superscript"/>
          <w:lang w:val="en-US"/>
        </w:rPr>
        <w:t>st</w:t>
      </w:r>
      <w:r>
        <w:rPr>
          <w:rFonts w:eastAsia="Times New Roman" w:cs="Calibri"/>
          <w:b/>
          <w:bCs/>
          <w:szCs w:val="24"/>
          <w:shd w:val="clear" w:color="auto" w:fill="FFFFFF"/>
          <w:lang w:val="en-US"/>
        </w:rPr>
        <w:t xml:space="preserve"> December 2021. </w:t>
      </w:r>
    </w:p>
    <w:p w14:paraId="3E2CF2B6" w14:textId="77777777" w:rsidR="008B78F4" w:rsidRDefault="008B78F4" w:rsidP="008B78F4">
      <w:pPr>
        <w:rPr>
          <w:rFonts w:eastAsia="Times New Roman" w:cs="Calibri"/>
          <w:b/>
          <w:bCs/>
          <w:szCs w:val="24"/>
          <w:shd w:val="clear" w:color="auto" w:fill="FFFFFF"/>
          <w:lang w:val="en-US"/>
        </w:rPr>
      </w:pPr>
      <w:r>
        <w:rPr>
          <w:rFonts w:eastAsia="Times New Roman" w:cs="Calibri"/>
          <w:szCs w:val="24"/>
          <w:shd w:val="clear" w:color="auto" w:fill="FFFFFF"/>
          <w:lang w:val="en-US"/>
        </w:rPr>
        <w:t xml:space="preserve">                       </w:t>
      </w:r>
    </w:p>
    <w:tbl>
      <w:tblPr>
        <w:tblW w:w="0" w:type="auto"/>
        <w:tblInd w:w="645" w:type="dxa"/>
        <w:tblLayout w:type="fixed"/>
        <w:tblLook w:val="0000" w:firstRow="0" w:lastRow="0" w:firstColumn="0" w:lastColumn="0" w:noHBand="0" w:noVBand="0"/>
      </w:tblPr>
      <w:tblGrid>
        <w:gridCol w:w="2711"/>
        <w:gridCol w:w="997"/>
        <w:gridCol w:w="1099"/>
        <w:gridCol w:w="2229"/>
        <w:gridCol w:w="1607"/>
      </w:tblGrid>
      <w:tr w:rsidR="008B78F4" w14:paraId="7BC2E8A1" w14:textId="77777777" w:rsidTr="00E07D57">
        <w:trPr>
          <w:trHeight w:val="300"/>
        </w:trPr>
        <w:tc>
          <w:tcPr>
            <w:tcW w:w="8643"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14:paraId="5D680CE0" w14:textId="77777777" w:rsidR="008B78F4" w:rsidRDefault="008B78F4" w:rsidP="00E07D57">
            <w:pPr>
              <w:spacing w:line="240" w:lineRule="auto"/>
              <w:jc w:val="center"/>
            </w:pPr>
            <w:r>
              <w:rPr>
                <w:rFonts w:eastAsia="Times New Roman" w:cs="Calibri"/>
                <w:b/>
                <w:bCs/>
                <w:szCs w:val="24"/>
                <w:shd w:val="clear" w:color="auto" w:fill="FFFFFF"/>
                <w:lang w:val="en-US"/>
              </w:rPr>
              <w:t>Balance sheet</w:t>
            </w:r>
          </w:p>
        </w:tc>
      </w:tr>
      <w:tr w:rsidR="008B78F4" w14:paraId="48C10173" w14:textId="77777777" w:rsidTr="00E07D57">
        <w:trPr>
          <w:trHeight w:val="300"/>
        </w:trPr>
        <w:tc>
          <w:tcPr>
            <w:tcW w:w="2711" w:type="dxa"/>
            <w:tcBorders>
              <w:left w:val="single" w:sz="4" w:space="0" w:color="000000"/>
              <w:bottom w:val="single" w:sz="4" w:space="0" w:color="000000"/>
            </w:tcBorders>
            <w:shd w:val="clear" w:color="auto" w:fill="auto"/>
            <w:vAlign w:val="bottom"/>
          </w:tcPr>
          <w:p w14:paraId="7F6360F8" w14:textId="77777777" w:rsidR="008B78F4" w:rsidRDefault="008B78F4" w:rsidP="00E07D57">
            <w:pPr>
              <w:spacing w:line="240" w:lineRule="auto"/>
              <w:jc w:val="center"/>
              <w:rPr>
                <w:rFonts w:eastAsia="Times New Roman" w:cs="Calibri"/>
                <w:szCs w:val="24"/>
                <w:shd w:val="clear" w:color="auto" w:fill="FFFFFF"/>
                <w:lang w:val="en-US"/>
              </w:rPr>
            </w:pPr>
            <w:r>
              <w:rPr>
                <w:rFonts w:eastAsia="Times New Roman" w:cs="Calibri"/>
                <w:b/>
                <w:bCs/>
                <w:szCs w:val="24"/>
                <w:shd w:val="clear" w:color="auto" w:fill="FFFFFF"/>
                <w:lang w:val="en-US"/>
              </w:rPr>
              <w:t>Liabilities</w:t>
            </w:r>
          </w:p>
        </w:tc>
        <w:tc>
          <w:tcPr>
            <w:tcW w:w="997" w:type="dxa"/>
            <w:tcBorders>
              <w:left w:val="single" w:sz="4" w:space="0" w:color="000000"/>
              <w:bottom w:val="single" w:sz="4" w:space="0" w:color="000000"/>
            </w:tcBorders>
            <w:shd w:val="clear" w:color="auto" w:fill="auto"/>
            <w:vAlign w:val="bottom"/>
          </w:tcPr>
          <w:p w14:paraId="228C0D4C" w14:textId="77777777" w:rsidR="008B78F4" w:rsidRDefault="008B78F4" w:rsidP="00E07D57">
            <w:pPr>
              <w:snapToGrid w:val="0"/>
              <w:spacing w:line="240" w:lineRule="auto"/>
              <w:jc w:val="center"/>
              <w:rPr>
                <w:rFonts w:eastAsia="Times New Roman" w:cs="Calibri"/>
                <w:szCs w:val="24"/>
                <w:shd w:val="clear" w:color="auto" w:fill="FFFFFF"/>
                <w:lang w:val="en-US"/>
              </w:rPr>
            </w:pPr>
          </w:p>
        </w:tc>
        <w:tc>
          <w:tcPr>
            <w:tcW w:w="1099" w:type="dxa"/>
            <w:tcBorders>
              <w:left w:val="single" w:sz="4" w:space="0" w:color="000000"/>
              <w:bottom w:val="single" w:sz="4" w:space="0" w:color="000000"/>
            </w:tcBorders>
            <w:shd w:val="clear" w:color="auto" w:fill="auto"/>
            <w:vAlign w:val="bottom"/>
          </w:tcPr>
          <w:p w14:paraId="71E6D22E" w14:textId="47224921" w:rsidR="008B78F4" w:rsidRDefault="008B78F4" w:rsidP="00E07D57">
            <w:pPr>
              <w:spacing w:line="240" w:lineRule="auto"/>
              <w:jc w:val="center"/>
              <w:rPr>
                <w:rFonts w:eastAsia="Times New Roman" w:cs="Calibri"/>
                <w:b/>
                <w:bCs/>
                <w:szCs w:val="24"/>
                <w:shd w:val="clear" w:color="auto" w:fill="FFFFFF"/>
                <w:lang w:val="en-US"/>
              </w:rPr>
            </w:pPr>
            <w:r>
              <w:rPr>
                <w:rFonts w:eastAsia="Times New Roman" w:cs="Calibri"/>
                <w:b/>
                <w:bCs/>
                <w:szCs w:val="24"/>
                <w:shd w:val="clear" w:color="auto" w:fill="FFFFFF"/>
                <w:lang w:val="en-US"/>
              </w:rPr>
              <w:t xml:space="preserve">Amount </w:t>
            </w:r>
            <w:r w:rsidR="00C44655">
              <w:rPr>
                <w:rFonts w:eastAsia="Times New Roman" w:cs="Calibri"/>
                <w:b/>
                <w:bCs/>
                <w:szCs w:val="24"/>
                <w:shd w:val="clear" w:color="auto" w:fill="FFFFFF"/>
                <w:lang w:val="en-US"/>
              </w:rPr>
              <w:t>(£</w:t>
            </w:r>
            <w:r w:rsidR="00C44655">
              <w:rPr>
                <w:szCs w:val="24"/>
                <w:shd w:val="clear" w:color="auto" w:fill="FFFFFF"/>
              </w:rPr>
              <w:t>)</w:t>
            </w:r>
          </w:p>
        </w:tc>
        <w:tc>
          <w:tcPr>
            <w:tcW w:w="2229" w:type="dxa"/>
            <w:tcBorders>
              <w:left w:val="single" w:sz="4" w:space="0" w:color="000000"/>
              <w:bottom w:val="single" w:sz="4" w:space="0" w:color="000000"/>
            </w:tcBorders>
            <w:shd w:val="clear" w:color="auto" w:fill="auto"/>
            <w:vAlign w:val="bottom"/>
          </w:tcPr>
          <w:p w14:paraId="3F1A2A0B" w14:textId="77777777" w:rsidR="008B78F4" w:rsidRDefault="008B78F4" w:rsidP="00E07D57">
            <w:pPr>
              <w:spacing w:line="240" w:lineRule="auto"/>
              <w:jc w:val="center"/>
              <w:rPr>
                <w:rFonts w:eastAsia="Times New Roman" w:cs="Calibri"/>
                <w:b/>
                <w:bCs/>
                <w:szCs w:val="24"/>
                <w:shd w:val="clear" w:color="auto" w:fill="FFFFFF"/>
                <w:lang w:val="en-US"/>
              </w:rPr>
            </w:pPr>
            <w:r>
              <w:rPr>
                <w:rFonts w:eastAsia="Times New Roman" w:cs="Calibri"/>
                <w:b/>
                <w:bCs/>
                <w:szCs w:val="24"/>
                <w:shd w:val="clear" w:color="auto" w:fill="FFFFFF"/>
                <w:lang w:val="en-US"/>
              </w:rPr>
              <w:t>Assets</w:t>
            </w:r>
          </w:p>
        </w:tc>
        <w:tc>
          <w:tcPr>
            <w:tcW w:w="1607" w:type="dxa"/>
            <w:tcBorders>
              <w:left w:val="single" w:sz="4" w:space="0" w:color="000000"/>
              <w:bottom w:val="single" w:sz="4" w:space="0" w:color="000000"/>
              <w:right w:val="single" w:sz="4" w:space="0" w:color="000000"/>
            </w:tcBorders>
            <w:shd w:val="clear" w:color="auto" w:fill="auto"/>
            <w:vAlign w:val="bottom"/>
          </w:tcPr>
          <w:p w14:paraId="69CBC13C" w14:textId="19CE50BE" w:rsidR="008B78F4" w:rsidRDefault="008B78F4" w:rsidP="00E07D57">
            <w:pPr>
              <w:spacing w:line="240" w:lineRule="auto"/>
              <w:jc w:val="center"/>
            </w:pPr>
            <w:r>
              <w:rPr>
                <w:rFonts w:eastAsia="Times New Roman" w:cs="Calibri"/>
                <w:b/>
                <w:bCs/>
                <w:szCs w:val="24"/>
                <w:shd w:val="clear" w:color="auto" w:fill="FFFFFF"/>
                <w:lang w:val="en-US"/>
              </w:rPr>
              <w:t xml:space="preserve">Amount </w:t>
            </w:r>
            <w:r w:rsidR="00C44655">
              <w:rPr>
                <w:rFonts w:eastAsia="Times New Roman" w:cs="Calibri"/>
                <w:b/>
                <w:bCs/>
                <w:szCs w:val="24"/>
                <w:shd w:val="clear" w:color="auto" w:fill="FFFFFF"/>
                <w:lang w:val="en-US"/>
              </w:rPr>
              <w:t>(£</w:t>
            </w:r>
            <w:r w:rsidR="00C44655">
              <w:rPr>
                <w:szCs w:val="24"/>
                <w:shd w:val="clear" w:color="auto" w:fill="FFFFFF"/>
              </w:rPr>
              <w:t>)</w:t>
            </w:r>
          </w:p>
        </w:tc>
      </w:tr>
      <w:tr w:rsidR="008B78F4" w14:paraId="41007651" w14:textId="77777777" w:rsidTr="00E07D57">
        <w:trPr>
          <w:trHeight w:val="315"/>
        </w:trPr>
        <w:tc>
          <w:tcPr>
            <w:tcW w:w="2711" w:type="dxa"/>
            <w:tcBorders>
              <w:left w:val="single" w:sz="4" w:space="0" w:color="000000"/>
              <w:bottom w:val="single" w:sz="4" w:space="0" w:color="000000"/>
            </w:tcBorders>
            <w:shd w:val="clear" w:color="auto" w:fill="auto"/>
            <w:vAlign w:val="bottom"/>
          </w:tcPr>
          <w:p w14:paraId="2F616CC6"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Capital</w:t>
            </w:r>
          </w:p>
        </w:tc>
        <w:tc>
          <w:tcPr>
            <w:tcW w:w="997" w:type="dxa"/>
            <w:tcBorders>
              <w:left w:val="single" w:sz="4" w:space="0" w:color="000000"/>
              <w:bottom w:val="single" w:sz="4" w:space="0" w:color="000000"/>
            </w:tcBorders>
            <w:shd w:val="clear" w:color="auto" w:fill="auto"/>
            <w:vAlign w:val="bottom"/>
          </w:tcPr>
          <w:p w14:paraId="4796B328" w14:textId="77777777" w:rsidR="008B78F4" w:rsidRDefault="008B78F4" w:rsidP="00E07D57">
            <w:pPr>
              <w:spacing w:line="240" w:lineRule="auto"/>
              <w:jc w:val="right"/>
              <w:rPr>
                <w:rFonts w:eastAsia="Times New Roman" w:cs="Calibri"/>
                <w:b/>
                <w:bCs/>
                <w:szCs w:val="24"/>
                <w:shd w:val="clear" w:color="auto" w:fill="FFFFFF"/>
                <w:lang w:val="en-US"/>
              </w:rPr>
            </w:pPr>
            <w:r>
              <w:rPr>
                <w:rFonts w:eastAsia="Times New Roman" w:cs="Calibri"/>
                <w:szCs w:val="24"/>
                <w:shd w:val="clear" w:color="auto" w:fill="FFFFFF"/>
                <w:lang w:val="en-US"/>
              </w:rPr>
              <w:t>1400000</w:t>
            </w:r>
          </w:p>
        </w:tc>
        <w:tc>
          <w:tcPr>
            <w:tcW w:w="1099" w:type="dxa"/>
            <w:tcBorders>
              <w:left w:val="single" w:sz="4" w:space="0" w:color="000000"/>
              <w:bottom w:val="single" w:sz="4" w:space="0" w:color="000000"/>
            </w:tcBorders>
            <w:shd w:val="clear" w:color="auto" w:fill="auto"/>
            <w:vAlign w:val="bottom"/>
          </w:tcPr>
          <w:p w14:paraId="7B63ED74"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b/>
                <w:bCs/>
                <w:szCs w:val="24"/>
                <w:shd w:val="clear" w:color="auto" w:fill="FFFFFF"/>
                <w:lang w:val="en-US"/>
              </w:rPr>
              <w:t> </w:t>
            </w:r>
          </w:p>
        </w:tc>
        <w:tc>
          <w:tcPr>
            <w:tcW w:w="2229" w:type="dxa"/>
            <w:tcBorders>
              <w:left w:val="single" w:sz="4" w:space="0" w:color="000000"/>
              <w:bottom w:val="single" w:sz="4" w:space="0" w:color="000000"/>
            </w:tcBorders>
            <w:shd w:val="clear" w:color="auto" w:fill="auto"/>
            <w:vAlign w:val="bottom"/>
          </w:tcPr>
          <w:p w14:paraId="439978DF"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szCs w:val="24"/>
                <w:shd w:val="clear" w:color="auto" w:fill="FFFFFF"/>
                <w:lang w:val="en-US"/>
              </w:rPr>
              <w:t>Plant and Equipment</w:t>
            </w:r>
          </w:p>
        </w:tc>
        <w:tc>
          <w:tcPr>
            <w:tcW w:w="1607" w:type="dxa"/>
            <w:tcBorders>
              <w:left w:val="single" w:sz="4" w:space="0" w:color="000000"/>
              <w:bottom w:val="single" w:sz="4" w:space="0" w:color="000000"/>
              <w:right w:val="single" w:sz="4" w:space="0" w:color="000000"/>
            </w:tcBorders>
            <w:shd w:val="clear" w:color="auto" w:fill="auto"/>
            <w:vAlign w:val="bottom"/>
          </w:tcPr>
          <w:p w14:paraId="71BED50E" w14:textId="77777777" w:rsidR="008B78F4" w:rsidRDefault="008B78F4" w:rsidP="00E07D57">
            <w:pPr>
              <w:spacing w:line="240" w:lineRule="auto"/>
              <w:jc w:val="right"/>
            </w:pPr>
            <w:r>
              <w:rPr>
                <w:rFonts w:eastAsia="Times New Roman" w:cs="Calibri"/>
                <w:b/>
                <w:bCs/>
                <w:szCs w:val="24"/>
                <w:shd w:val="clear" w:color="auto" w:fill="FFFFFF"/>
                <w:lang w:val="en-US"/>
              </w:rPr>
              <w:t>1250000</w:t>
            </w:r>
          </w:p>
        </w:tc>
      </w:tr>
      <w:tr w:rsidR="008B78F4" w14:paraId="7E2DD718" w14:textId="77777777" w:rsidTr="00E07D57">
        <w:trPr>
          <w:trHeight w:val="450"/>
        </w:trPr>
        <w:tc>
          <w:tcPr>
            <w:tcW w:w="2711" w:type="dxa"/>
            <w:tcBorders>
              <w:left w:val="single" w:sz="4" w:space="0" w:color="000000"/>
              <w:bottom w:val="single" w:sz="4" w:space="0" w:color="000000"/>
            </w:tcBorders>
            <w:shd w:val="clear" w:color="auto" w:fill="auto"/>
            <w:vAlign w:val="bottom"/>
          </w:tcPr>
          <w:p w14:paraId="49C7E18F"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Profits</w:t>
            </w:r>
          </w:p>
        </w:tc>
        <w:tc>
          <w:tcPr>
            <w:tcW w:w="997" w:type="dxa"/>
            <w:tcBorders>
              <w:left w:val="single" w:sz="4" w:space="0" w:color="000000"/>
              <w:bottom w:val="single" w:sz="4" w:space="0" w:color="000000"/>
            </w:tcBorders>
            <w:shd w:val="clear" w:color="auto" w:fill="auto"/>
            <w:vAlign w:val="bottom"/>
          </w:tcPr>
          <w:p w14:paraId="14250684" w14:textId="77777777" w:rsidR="008B78F4" w:rsidRDefault="008B78F4" w:rsidP="00E07D57">
            <w:pPr>
              <w:spacing w:line="240" w:lineRule="auto"/>
              <w:jc w:val="right"/>
              <w:rPr>
                <w:rFonts w:eastAsia="Times New Roman" w:cs="Calibri"/>
                <w:b/>
                <w:bCs/>
                <w:szCs w:val="24"/>
                <w:shd w:val="clear" w:color="auto" w:fill="FFFFFF"/>
                <w:lang w:val="en-US"/>
              </w:rPr>
            </w:pPr>
            <w:r>
              <w:rPr>
                <w:rFonts w:eastAsia="Times New Roman" w:cs="Calibri"/>
                <w:szCs w:val="24"/>
                <w:shd w:val="clear" w:color="auto" w:fill="FFFFFF"/>
                <w:lang w:val="en-US"/>
              </w:rPr>
              <w:t>53350</w:t>
            </w:r>
          </w:p>
        </w:tc>
        <w:tc>
          <w:tcPr>
            <w:tcW w:w="1099" w:type="dxa"/>
            <w:tcBorders>
              <w:left w:val="single" w:sz="4" w:space="0" w:color="000000"/>
              <w:bottom w:val="single" w:sz="4" w:space="0" w:color="000000"/>
            </w:tcBorders>
            <w:shd w:val="clear" w:color="auto" w:fill="auto"/>
            <w:vAlign w:val="bottom"/>
          </w:tcPr>
          <w:p w14:paraId="6B77A814"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b/>
                <w:bCs/>
                <w:szCs w:val="24"/>
                <w:shd w:val="clear" w:color="auto" w:fill="FFFFFF"/>
                <w:lang w:val="en-US"/>
              </w:rPr>
              <w:t> </w:t>
            </w:r>
          </w:p>
        </w:tc>
        <w:tc>
          <w:tcPr>
            <w:tcW w:w="2229" w:type="dxa"/>
            <w:tcBorders>
              <w:left w:val="single" w:sz="4" w:space="0" w:color="000000"/>
              <w:bottom w:val="single" w:sz="4" w:space="0" w:color="000000"/>
            </w:tcBorders>
            <w:shd w:val="clear" w:color="auto" w:fill="auto"/>
            <w:vAlign w:val="bottom"/>
          </w:tcPr>
          <w:p w14:paraId="6877F4F5"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szCs w:val="24"/>
                <w:shd w:val="clear" w:color="auto" w:fill="FFFFFF"/>
                <w:lang w:val="en-US"/>
              </w:rPr>
              <w:t>Closing Stock</w:t>
            </w:r>
          </w:p>
        </w:tc>
        <w:tc>
          <w:tcPr>
            <w:tcW w:w="1607" w:type="dxa"/>
            <w:tcBorders>
              <w:left w:val="single" w:sz="4" w:space="0" w:color="000000"/>
              <w:bottom w:val="single" w:sz="4" w:space="0" w:color="000000"/>
              <w:right w:val="single" w:sz="4" w:space="0" w:color="000000"/>
            </w:tcBorders>
            <w:shd w:val="clear" w:color="auto" w:fill="auto"/>
            <w:vAlign w:val="bottom"/>
          </w:tcPr>
          <w:p w14:paraId="5CFD5835" w14:textId="77777777" w:rsidR="008B78F4" w:rsidRDefault="008B78F4" w:rsidP="00E07D57">
            <w:pPr>
              <w:spacing w:line="240" w:lineRule="auto"/>
              <w:jc w:val="right"/>
            </w:pPr>
            <w:r>
              <w:rPr>
                <w:rFonts w:eastAsia="Times New Roman" w:cs="Calibri"/>
                <w:b/>
                <w:bCs/>
                <w:szCs w:val="24"/>
                <w:shd w:val="clear" w:color="auto" w:fill="FFFFFF"/>
                <w:lang w:val="en-US"/>
              </w:rPr>
              <w:t>429620</w:t>
            </w:r>
          </w:p>
        </w:tc>
      </w:tr>
      <w:tr w:rsidR="008B78F4" w14:paraId="0D8EB613" w14:textId="77777777" w:rsidTr="00E07D57">
        <w:trPr>
          <w:trHeight w:val="300"/>
        </w:trPr>
        <w:tc>
          <w:tcPr>
            <w:tcW w:w="2711" w:type="dxa"/>
            <w:tcBorders>
              <w:left w:val="single" w:sz="4" w:space="0" w:color="000000"/>
              <w:bottom w:val="single" w:sz="4" w:space="0" w:color="000000"/>
            </w:tcBorders>
            <w:shd w:val="clear" w:color="auto" w:fill="auto"/>
            <w:vAlign w:val="bottom"/>
          </w:tcPr>
          <w:p w14:paraId="3FA1BEDC"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Net Capital</w:t>
            </w:r>
          </w:p>
        </w:tc>
        <w:tc>
          <w:tcPr>
            <w:tcW w:w="997" w:type="dxa"/>
            <w:tcBorders>
              <w:left w:val="single" w:sz="4" w:space="0" w:color="000000"/>
              <w:bottom w:val="single" w:sz="4" w:space="0" w:color="000000"/>
            </w:tcBorders>
            <w:shd w:val="clear" w:color="auto" w:fill="auto"/>
            <w:vAlign w:val="bottom"/>
          </w:tcPr>
          <w:p w14:paraId="3B23E39A"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szCs w:val="24"/>
                <w:shd w:val="clear" w:color="auto" w:fill="FFFFFF"/>
                <w:lang w:val="en-US"/>
              </w:rPr>
              <w:t> </w:t>
            </w:r>
          </w:p>
        </w:tc>
        <w:tc>
          <w:tcPr>
            <w:tcW w:w="1099" w:type="dxa"/>
            <w:tcBorders>
              <w:left w:val="single" w:sz="4" w:space="0" w:color="000000"/>
              <w:bottom w:val="single" w:sz="4" w:space="0" w:color="000000"/>
            </w:tcBorders>
            <w:shd w:val="clear" w:color="auto" w:fill="auto"/>
            <w:vAlign w:val="bottom"/>
          </w:tcPr>
          <w:p w14:paraId="6ADF5113" w14:textId="77777777" w:rsidR="008B78F4" w:rsidRDefault="008B78F4" w:rsidP="00E07D57">
            <w:pPr>
              <w:spacing w:line="240" w:lineRule="auto"/>
              <w:jc w:val="right"/>
              <w:rPr>
                <w:rFonts w:eastAsia="Times New Roman" w:cs="Calibri"/>
                <w:szCs w:val="24"/>
                <w:shd w:val="clear" w:color="auto" w:fill="FFFFFF"/>
                <w:lang w:val="en-US"/>
              </w:rPr>
            </w:pPr>
            <w:r>
              <w:rPr>
                <w:rFonts w:eastAsia="Times New Roman" w:cs="Calibri"/>
                <w:b/>
                <w:bCs/>
                <w:szCs w:val="24"/>
                <w:shd w:val="clear" w:color="auto" w:fill="FFFFFF"/>
                <w:lang w:val="en-US"/>
              </w:rPr>
              <w:t>1453350</w:t>
            </w:r>
          </w:p>
        </w:tc>
        <w:tc>
          <w:tcPr>
            <w:tcW w:w="2229" w:type="dxa"/>
            <w:tcBorders>
              <w:left w:val="single" w:sz="4" w:space="0" w:color="000000"/>
              <w:bottom w:val="single" w:sz="4" w:space="0" w:color="000000"/>
            </w:tcBorders>
            <w:shd w:val="clear" w:color="auto" w:fill="auto"/>
            <w:vAlign w:val="bottom"/>
          </w:tcPr>
          <w:p w14:paraId="143646B5"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szCs w:val="24"/>
                <w:shd w:val="clear" w:color="auto" w:fill="FFFFFF"/>
                <w:lang w:val="en-US"/>
              </w:rPr>
              <w:t>Trade receivable</w:t>
            </w:r>
          </w:p>
        </w:tc>
        <w:tc>
          <w:tcPr>
            <w:tcW w:w="1607" w:type="dxa"/>
            <w:tcBorders>
              <w:left w:val="single" w:sz="4" w:space="0" w:color="000000"/>
              <w:bottom w:val="single" w:sz="4" w:space="0" w:color="000000"/>
              <w:right w:val="single" w:sz="4" w:space="0" w:color="000000"/>
            </w:tcBorders>
            <w:shd w:val="clear" w:color="auto" w:fill="auto"/>
            <w:vAlign w:val="bottom"/>
          </w:tcPr>
          <w:p w14:paraId="01434A86" w14:textId="77777777" w:rsidR="008B78F4" w:rsidRDefault="008B78F4" w:rsidP="00E07D57">
            <w:pPr>
              <w:spacing w:line="240" w:lineRule="auto"/>
              <w:jc w:val="right"/>
            </w:pPr>
            <w:r>
              <w:rPr>
                <w:rFonts w:eastAsia="Times New Roman" w:cs="Calibri"/>
                <w:b/>
                <w:bCs/>
                <w:szCs w:val="24"/>
                <w:shd w:val="clear" w:color="auto" w:fill="FFFFFF"/>
                <w:lang w:val="en-US"/>
              </w:rPr>
              <w:t>171105</w:t>
            </w:r>
          </w:p>
        </w:tc>
      </w:tr>
      <w:tr w:rsidR="008B78F4" w14:paraId="597879C0" w14:textId="77777777" w:rsidTr="00E07D57">
        <w:trPr>
          <w:trHeight w:val="300"/>
        </w:trPr>
        <w:tc>
          <w:tcPr>
            <w:tcW w:w="2711" w:type="dxa"/>
            <w:tcBorders>
              <w:left w:val="single" w:sz="4" w:space="0" w:color="000000"/>
              <w:bottom w:val="single" w:sz="4" w:space="0" w:color="000000"/>
            </w:tcBorders>
            <w:shd w:val="clear" w:color="auto" w:fill="auto"/>
            <w:vAlign w:val="bottom"/>
          </w:tcPr>
          <w:p w14:paraId="36EB9DA4"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Retained Profits</w:t>
            </w:r>
          </w:p>
        </w:tc>
        <w:tc>
          <w:tcPr>
            <w:tcW w:w="997" w:type="dxa"/>
            <w:tcBorders>
              <w:left w:val="single" w:sz="4" w:space="0" w:color="000000"/>
              <w:bottom w:val="single" w:sz="4" w:space="0" w:color="000000"/>
            </w:tcBorders>
            <w:shd w:val="clear" w:color="auto" w:fill="auto"/>
            <w:vAlign w:val="bottom"/>
          </w:tcPr>
          <w:p w14:paraId="080B7E67" w14:textId="77777777" w:rsidR="008B78F4" w:rsidRDefault="008B78F4" w:rsidP="00E07D57">
            <w:pPr>
              <w:spacing w:line="240" w:lineRule="auto"/>
              <w:jc w:val="right"/>
              <w:rPr>
                <w:rFonts w:eastAsia="Times New Roman" w:cs="Calibri"/>
                <w:b/>
                <w:bCs/>
                <w:szCs w:val="24"/>
                <w:shd w:val="clear" w:color="auto" w:fill="FFFFFF"/>
                <w:lang w:val="en-US"/>
              </w:rPr>
            </w:pPr>
            <w:r>
              <w:rPr>
                <w:rFonts w:eastAsia="Times New Roman" w:cs="Calibri"/>
                <w:szCs w:val="24"/>
                <w:shd w:val="clear" w:color="auto" w:fill="FFFFFF"/>
                <w:lang w:val="en-US"/>
              </w:rPr>
              <w:t>132000</w:t>
            </w:r>
          </w:p>
        </w:tc>
        <w:tc>
          <w:tcPr>
            <w:tcW w:w="1099" w:type="dxa"/>
            <w:tcBorders>
              <w:left w:val="single" w:sz="4" w:space="0" w:color="000000"/>
              <w:bottom w:val="single" w:sz="4" w:space="0" w:color="000000"/>
            </w:tcBorders>
            <w:shd w:val="clear" w:color="auto" w:fill="auto"/>
            <w:vAlign w:val="bottom"/>
          </w:tcPr>
          <w:p w14:paraId="3BFCDABC"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b/>
                <w:bCs/>
                <w:szCs w:val="24"/>
                <w:shd w:val="clear" w:color="auto" w:fill="FFFFFF"/>
                <w:lang w:val="en-US"/>
              </w:rPr>
              <w:t> </w:t>
            </w:r>
          </w:p>
        </w:tc>
        <w:tc>
          <w:tcPr>
            <w:tcW w:w="2229" w:type="dxa"/>
            <w:tcBorders>
              <w:left w:val="single" w:sz="4" w:space="0" w:color="000000"/>
              <w:bottom w:val="single" w:sz="4" w:space="0" w:color="000000"/>
            </w:tcBorders>
            <w:shd w:val="clear" w:color="auto" w:fill="auto"/>
            <w:vAlign w:val="bottom"/>
          </w:tcPr>
          <w:p w14:paraId="6E60234E"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szCs w:val="24"/>
                <w:shd w:val="clear" w:color="auto" w:fill="FFFFFF"/>
                <w:lang w:val="en-US"/>
              </w:rPr>
              <w:t>Cash at bank</w:t>
            </w:r>
          </w:p>
        </w:tc>
        <w:tc>
          <w:tcPr>
            <w:tcW w:w="1607" w:type="dxa"/>
            <w:tcBorders>
              <w:left w:val="single" w:sz="4" w:space="0" w:color="000000"/>
              <w:bottom w:val="single" w:sz="4" w:space="0" w:color="000000"/>
              <w:right w:val="single" w:sz="4" w:space="0" w:color="000000"/>
            </w:tcBorders>
            <w:shd w:val="clear" w:color="auto" w:fill="auto"/>
            <w:vAlign w:val="bottom"/>
          </w:tcPr>
          <w:p w14:paraId="79374C56" w14:textId="77777777" w:rsidR="008B78F4" w:rsidRDefault="008B78F4" w:rsidP="00E07D57">
            <w:pPr>
              <w:spacing w:line="240" w:lineRule="auto"/>
              <w:jc w:val="right"/>
            </w:pPr>
            <w:r>
              <w:rPr>
                <w:rFonts w:eastAsia="Times New Roman" w:cs="Calibri"/>
                <w:b/>
                <w:bCs/>
                <w:szCs w:val="24"/>
                <w:shd w:val="clear" w:color="auto" w:fill="FFFFFF"/>
                <w:lang w:val="en-US"/>
              </w:rPr>
              <w:t>76250</w:t>
            </w:r>
          </w:p>
        </w:tc>
      </w:tr>
      <w:tr w:rsidR="008B78F4" w14:paraId="2333F1F4" w14:textId="77777777" w:rsidTr="00E07D57">
        <w:trPr>
          <w:trHeight w:val="300"/>
        </w:trPr>
        <w:tc>
          <w:tcPr>
            <w:tcW w:w="2711" w:type="dxa"/>
            <w:tcBorders>
              <w:left w:val="single" w:sz="4" w:space="0" w:color="000000"/>
              <w:bottom w:val="single" w:sz="4" w:space="0" w:color="000000"/>
            </w:tcBorders>
            <w:shd w:val="clear" w:color="auto" w:fill="auto"/>
            <w:vAlign w:val="bottom"/>
          </w:tcPr>
          <w:p w14:paraId="7DE393FC"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 xml:space="preserve">(Less) Ordinary Dividend </w:t>
            </w:r>
          </w:p>
        </w:tc>
        <w:tc>
          <w:tcPr>
            <w:tcW w:w="997" w:type="dxa"/>
            <w:tcBorders>
              <w:left w:val="single" w:sz="4" w:space="0" w:color="000000"/>
              <w:bottom w:val="single" w:sz="4" w:space="0" w:color="000000"/>
            </w:tcBorders>
            <w:shd w:val="clear" w:color="auto" w:fill="auto"/>
            <w:vAlign w:val="bottom"/>
          </w:tcPr>
          <w:p w14:paraId="1EB13790" w14:textId="77777777" w:rsidR="008B78F4" w:rsidRDefault="008B78F4" w:rsidP="00E07D57">
            <w:pPr>
              <w:spacing w:line="240" w:lineRule="auto"/>
              <w:jc w:val="right"/>
              <w:rPr>
                <w:rFonts w:eastAsia="Times New Roman" w:cs="Calibri"/>
                <w:b/>
                <w:bCs/>
                <w:szCs w:val="24"/>
                <w:shd w:val="clear" w:color="auto" w:fill="FFFFFF"/>
                <w:lang w:val="en-US"/>
              </w:rPr>
            </w:pPr>
            <w:r>
              <w:rPr>
                <w:rFonts w:eastAsia="Times New Roman" w:cs="Calibri"/>
                <w:szCs w:val="24"/>
                <w:shd w:val="clear" w:color="auto" w:fill="FFFFFF"/>
                <w:lang w:val="en-US"/>
              </w:rPr>
              <w:t>20000</w:t>
            </w:r>
          </w:p>
        </w:tc>
        <w:tc>
          <w:tcPr>
            <w:tcW w:w="1099" w:type="dxa"/>
            <w:tcBorders>
              <w:left w:val="single" w:sz="4" w:space="0" w:color="000000"/>
              <w:bottom w:val="single" w:sz="4" w:space="0" w:color="000000"/>
            </w:tcBorders>
            <w:shd w:val="clear" w:color="auto" w:fill="auto"/>
            <w:vAlign w:val="bottom"/>
          </w:tcPr>
          <w:p w14:paraId="0FAD6376"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b/>
                <w:bCs/>
                <w:szCs w:val="24"/>
                <w:shd w:val="clear" w:color="auto" w:fill="FFFFFF"/>
                <w:lang w:val="en-US"/>
              </w:rPr>
              <w:t> </w:t>
            </w:r>
          </w:p>
        </w:tc>
        <w:tc>
          <w:tcPr>
            <w:tcW w:w="2229" w:type="dxa"/>
            <w:tcBorders>
              <w:left w:val="single" w:sz="4" w:space="0" w:color="000000"/>
              <w:bottom w:val="single" w:sz="4" w:space="0" w:color="000000"/>
            </w:tcBorders>
            <w:shd w:val="clear" w:color="auto" w:fill="auto"/>
            <w:vAlign w:val="bottom"/>
          </w:tcPr>
          <w:p w14:paraId="09CD58AC"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szCs w:val="24"/>
                <w:shd w:val="clear" w:color="auto" w:fill="FFFFFF"/>
                <w:lang w:val="en-US"/>
              </w:rPr>
              <w:t> </w:t>
            </w:r>
          </w:p>
        </w:tc>
        <w:tc>
          <w:tcPr>
            <w:tcW w:w="1607" w:type="dxa"/>
            <w:tcBorders>
              <w:left w:val="single" w:sz="4" w:space="0" w:color="000000"/>
              <w:bottom w:val="single" w:sz="4" w:space="0" w:color="000000"/>
              <w:right w:val="single" w:sz="4" w:space="0" w:color="000000"/>
            </w:tcBorders>
            <w:shd w:val="clear" w:color="auto" w:fill="auto"/>
            <w:vAlign w:val="bottom"/>
          </w:tcPr>
          <w:p w14:paraId="25CF77CE" w14:textId="77777777" w:rsidR="008B78F4" w:rsidRDefault="008B78F4" w:rsidP="00E07D57">
            <w:pPr>
              <w:spacing w:line="240" w:lineRule="auto"/>
            </w:pPr>
            <w:r>
              <w:rPr>
                <w:rFonts w:eastAsia="Times New Roman" w:cs="Calibri"/>
                <w:b/>
                <w:bCs/>
                <w:szCs w:val="24"/>
                <w:shd w:val="clear" w:color="auto" w:fill="FFFFFF"/>
                <w:lang w:val="en-US"/>
              </w:rPr>
              <w:t> </w:t>
            </w:r>
          </w:p>
        </w:tc>
      </w:tr>
      <w:tr w:rsidR="008B78F4" w14:paraId="37E62097" w14:textId="77777777" w:rsidTr="00E07D57">
        <w:trPr>
          <w:trHeight w:val="300"/>
        </w:trPr>
        <w:tc>
          <w:tcPr>
            <w:tcW w:w="2711" w:type="dxa"/>
            <w:tcBorders>
              <w:left w:val="single" w:sz="4" w:space="0" w:color="000000"/>
              <w:bottom w:val="single" w:sz="4" w:space="0" w:color="000000"/>
            </w:tcBorders>
            <w:shd w:val="clear" w:color="auto" w:fill="auto"/>
            <w:vAlign w:val="bottom"/>
          </w:tcPr>
          <w:p w14:paraId="1AD5E87F"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Preference dividend</w:t>
            </w:r>
          </w:p>
        </w:tc>
        <w:tc>
          <w:tcPr>
            <w:tcW w:w="997" w:type="dxa"/>
            <w:tcBorders>
              <w:left w:val="single" w:sz="4" w:space="0" w:color="000000"/>
              <w:bottom w:val="single" w:sz="4" w:space="0" w:color="000000"/>
            </w:tcBorders>
            <w:shd w:val="clear" w:color="auto" w:fill="auto"/>
            <w:vAlign w:val="bottom"/>
          </w:tcPr>
          <w:p w14:paraId="1B451539" w14:textId="77777777" w:rsidR="008B78F4" w:rsidRDefault="008B78F4" w:rsidP="00E07D57">
            <w:pPr>
              <w:spacing w:line="240" w:lineRule="auto"/>
              <w:jc w:val="right"/>
              <w:rPr>
                <w:rFonts w:eastAsia="Times New Roman" w:cs="Calibri"/>
                <w:b/>
                <w:bCs/>
                <w:szCs w:val="24"/>
                <w:shd w:val="clear" w:color="auto" w:fill="FFFFFF"/>
                <w:lang w:val="en-US"/>
              </w:rPr>
            </w:pPr>
            <w:r>
              <w:rPr>
                <w:rFonts w:eastAsia="Times New Roman" w:cs="Calibri"/>
                <w:szCs w:val="24"/>
                <w:shd w:val="clear" w:color="auto" w:fill="FFFFFF"/>
                <w:lang w:val="en-US"/>
              </w:rPr>
              <w:t>30000</w:t>
            </w:r>
          </w:p>
        </w:tc>
        <w:tc>
          <w:tcPr>
            <w:tcW w:w="1099" w:type="dxa"/>
            <w:tcBorders>
              <w:left w:val="single" w:sz="4" w:space="0" w:color="000000"/>
              <w:bottom w:val="single" w:sz="4" w:space="0" w:color="000000"/>
            </w:tcBorders>
            <w:shd w:val="clear" w:color="auto" w:fill="auto"/>
            <w:vAlign w:val="bottom"/>
          </w:tcPr>
          <w:p w14:paraId="444BF151"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b/>
                <w:bCs/>
                <w:szCs w:val="24"/>
                <w:shd w:val="clear" w:color="auto" w:fill="FFFFFF"/>
                <w:lang w:val="en-US"/>
              </w:rPr>
              <w:t> </w:t>
            </w:r>
          </w:p>
        </w:tc>
        <w:tc>
          <w:tcPr>
            <w:tcW w:w="2229" w:type="dxa"/>
            <w:tcBorders>
              <w:left w:val="single" w:sz="4" w:space="0" w:color="000000"/>
              <w:bottom w:val="single" w:sz="4" w:space="0" w:color="000000"/>
            </w:tcBorders>
            <w:shd w:val="clear" w:color="auto" w:fill="auto"/>
            <w:vAlign w:val="bottom"/>
          </w:tcPr>
          <w:p w14:paraId="30758073"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szCs w:val="24"/>
                <w:shd w:val="clear" w:color="auto" w:fill="FFFFFF"/>
                <w:lang w:val="en-US"/>
              </w:rPr>
              <w:t> </w:t>
            </w:r>
          </w:p>
        </w:tc>
        <w:tc>
          <w:tcPr>
            <w:tcW w:w="1607" w:type="dxa"/>
            <w:tcBorders>
              <w:left w:val="single" w:sz="4" w:space="0" w:color="000000"/>
              <w:bottom w:val="single" w:sz="4" w:space="0" w:color="000000"/>
              <w:right w:val="single" w:sz="4" w:space="0" w:color="000000"/>
            </w:tcBorders>
            <w:shd w:val="clear" w:color="auto" w:fill="auto"/>
            <w:vAlign w:val="bottom"/>
          </w:tcPr>
          <w:p w14:paraId="26CD9552" w14:textId="77777777" w:rsidR="008B78F4" w:rsidRDefault="008B78F4" w:rsidP="00E07D57">
            <w:pPr>
              <w:spacing w:line="240" w:lineRule="auto"/>
            </w:pPr>
            <w:r>
              <w:rPr>
                <w:rFonts w:eastAsia="Times New Roman" w:cs="Calibri"/>
                <w:b/>
                <w:bCs/>
                <w:szCs w:val="24"/>
                <w:shd w:val="clear" w:color="auto" w:fill="FFFFFF"/>
                <w:lang w:val="en-US"/>
              </w:rPr>
              <w:t> </w:t>
            </w:r>
          </w:p>
        </w:tc>
      </w:tr>
      <w:tr w:rsidR="008B78F4" w14:paraId="6ABA81BF" w14:textId="77777777" w:rsidTr="00E07D57">
        <w:trPr>
          <w:trHeight w:val="300"/>
        </w:trPr>
        <w:tc>
          <w:tcPr>
            <w:tcW w:w="2711" w:type="dxa"/>
            <w:tcBorders>
              <w:left w:val="single" w:sz="4" w:space="0" w:color="000000"/>
              <w:bottom w:val="single" w:sz="4" w:space="0" w:color="000000"/>
            </w:tcBorders>
            <w:shd w:val="clear" w:color="auto" w:fill="auto"/>
            <w:vAlign w:val="bottom"/>
          </w:tcPr>
          <w:p w14:paraId="127D045E"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 </w:t>
            </w:r>
          </w:p>
        </w:tc>
        <w:tc>
          <w:tcPr>
            <w:tcW w:w="997" w:type="dxa"/>
            <w:tcBorders>
              <w:left w:val="single" w:sz="4" w:space="0" w:color="000000"/>
              <w:bottom w:val="single" w:sz="4" w:space="0" w:color="000000"/>
            </w:tcBorders>
            <w:shd w:val="clear" w:color="auto" w:fill="auto"/>
            <w:vAlign w:val="bottom"/>
          </w:tcPr>
          <w:p w14:paraId="611D56E0"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szCs w:val="24"/>
                <w:shd w:val="clear" w:color="auto" w:fill="FFFFFF"/>
                <w:lang w:val="en-US"/>
              </w:rPr>
              <w:t> </w:t>
            </w:r>
          </w:p>
        </w:tc>
        <w:tc>
          <w:tcPr>
            <w:tcW w:w="1099" w:type="dxa"/>
            <w:tcBorders>
              <w:left w:val="single" w:sz="4" w:space="0" w:color="000000"/>
              <w:bottom w:val="single" w:sz="4" w:space="0" w:color="000000"/>
            </w:tcBorders>
            <w:shd w:val="clear" w:color="auto" w:fill="auto"/>
            <w:vAlign w:val="bottom"/>
          </w:tcPr>
          <w:p w14:paraId="3D9AA937" w14:textId="77777777" w:rsidR="008B78F4" w:rsidRDefault="008B78F4" w:rsidP="00E07D57">
            <w:pPr>
              <w:spacing w:line="240" w:lineRule="auto"/>
              <w:jc w:val="right"/>
              <w:rPr>
                <w:rFonts w:eastAsia="Times New Roman" w:cs="Calibri"/>
                <w:szCs w:val="24"/>
                <w:shd w:val="clear" w:color="auto" w:fill="FFFFFF"/>
                <w:lang w:val="en-US"/>
              </w:rPr>
            </w:pPr>
            <w:r>
              <w:rPr>
                <w:rFonts w:eastAsia="Times New Roman" w:cs="Calibri"/>
                <w:b/>
                <w:bCs/>
                <w:szCs w:val="24"/>
                <w:shd w:val="clear" w:color="auto" w:fill="FFFFFF"/>
                <w:lang w:val="en-US"/>
              </w:rPr>
              <w:t>82000</w:t>
            </w:r>
          </w:p>
        </w:tc>
        <w:tc>
          <w:tcPr>
            <w:tcW w:w="2229" w:type="dxa"/>
            <w:tcBorders>
              <w:left w:val="single" w:sz="4" w:space="0" w:color="000000"/>
              <w:bottom w:val="single" w:sz="4" w:space="0" w:color="000000"/>
            </w:tcBorders>
            <w:shd w:val="clear" w:color="auto" w:fill="auto"/>
            <w:vAlign w:val="bottom"/>
          </w:tcPr>
          <w:p w14:paraId="715A74A6"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szCs w:val="24"/>
                <w:shd w:val="clear" w:color="auto" w:fill="FFFFFF"/>
                <w:lang w:val="en-US"/>
              </w:rPr>
              <w:t> </w:t>
            </w:r>
          </w:p>
        </w:tc>
        <w:tc>
          <w:tcPr>
            <w:tcW w:w="1607" w:type="dxa"/>
            <w:tcBorders>
              <w:left w:val="single" w:sz="4" w:space="0" w:color="000000"/>
              <w:bottom w:val="single" w:sz="4" w:space="0" w:color="000000"/>
              <w:right w:val="single" w:sz="4" w:space="0" w:color="000000"/>
            </w:tcBorders>
            <w:shd w:val="clear" w:color="auto" w:fill="auto"/>
            <w:vAlign w:val="bottom"/>
          </w:tcPr>
          <w:p w14:paraId="363A040F" w14:textId="77777777" w:rsidR="008B78F4" w:rsidRDefault="008B78F4" w:rsidP="00E07D57">
            <w:pPr>
              <w:spacing w:line="240" w:lineRule="auto"/>
            </w:pPr>
            <w:r>
              <w:rPr>
                <w:rFonts w:eastAsia="Times New Roman" w:cs="Calibri"/>
                <w:b/>
                <w:bCs/>
                <w:szCs w:val="24"/>
                <w:shd w:val="clear" w:color="auto" w:fill="FFFFFF"/>
                <w:lang w:val="en-US"/>
              </w:rPr>
              <w:t> </w:t>
            </w:r>
          </w:p>
        </w:tc>
      </w:tr>
      <w:tr w:rsidR="008B78F4" w14:paraId="7FCD5CAF" w14:textId="77777777" w:rsidTr="00E07D57">
        <w:trPr>
          <w:trHeight w:val="300"/>
        </w:trPr>
        <w:tc>
          <w:tcPr>
            <w:tcW w:w="2711" w:type="dxa"/>
            <w:tcBorders>
              <w:left w:val="single" w:sz="4" w:space="0" w:color="000000"/>
              <w:bottom w:val="single" w:sz="4" w:space="0" w:color="000000"/>
            </w:tcBorders>
            <w:shd w:val="clear" w:color="auto" w:fill="auto"/>
            <w:vAlign w:val="bottom"/>
          </w:tcPr>
          <w:p w14:paraId="10107579"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Debentures</w:t>
            </w:r>
          </w:p>
        </w:tc>
        <w:tc>
          <w:tcPr>
            <w:tcW w:w="997" w:type="dxa"/>
            <w:tcBorders>
              <w:left w:val="single" w:sz="4" w:space="0" w:color="000000"/>
              <w:bottom w:val="single" w:sz="4" w:space="0" w:color="000000"/>
            </w:tcBorders>
            <w:shd w:val="clear" w:color="auto" w:fill="auto"/>
            <w:vAlign w:val="bottom"/>
          </w:tcPr>
          <w:p w14:paraId="62776AD0"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szCs w:val="24"/>
                <w:shd w:val="clear" w:color="auto" w:fill="FFFFFF"/>
                <w:lang w:val="en-US"/>
              </w:rPr>
              <w:t> </w:t>
            </w:r>
          </w:p>
        </w:tc>
        <w:tc>
          <w:tcPr>
            <w:tcW w:w="1099" w:type="dxa"/>
            <w:tcBorders>
              <w:left w:val="single" w:sz="4" w:space="0" w:color="000000"/>
              <w:bottom w:val="single" w:sz="4" w:space="0" w:color="000000"/>
            </w:tcBorders>
            <w:shd w:val="clear" w:color="auto" w:fill="auto"/>
            <w:vAlign w:val="bottom"/>
          </w:tcPr>
          <w:p w14:paraId="1A498ED2" w14:textId="77777777" w:rsidR="008B78F4" w:rsidRDefault="008B78F4" w:rsidP="00E07D57">
            <w:pPr>
              <w:spacing w:line="240" w:lineRule="auto"/>
              <w:jc w:val="right"/>
              <w:rPr>
                <w:rFonts w:eastAsia="Times New Roman" w:cs="Calibri"/>
                <w:szCs w:val="24"/>
                <w:shd w:val="clear" w:color="auto" w:fill="FFFFFF"/>
                <w:lang w:val="en-US"/>
              </w:rPr>
            </w:pPr>
            <w:r>
              <w:rPr>
                <w:rFonts w:eastAsia="Times New Roman" w:cs="Calibri"/>
                <w:b/>
                <w:bCs/>
                <w:szCs w:val="24"/>
                <w:shd w:val="clear" w:color="auto" w:fill="FFFFFF"/>
                <w:lang w:val="en-US"/>
              </w:rPr>
              <w:t>200000</w:t>
            </w:r>
          </w:p>
        </w:tc>
        <w:tc>
          <w:tcPr>
            <w:tcW w:w="2229" w:type="dxa"/>
            <w:tcBorders>
              <w:left w:val="single" w:sz="4" w:space="0" w:color="000000"/>
              <w:bottom w:val="single" w:sz="4" w:space="0" w:color="000000"/>
            </w:tcBorders>
            <w:shd w:val="clear" w:color="auto" w:fill="auto"/>
            <w:vAlign w:val="bottom"/>
          </w:tcPr>
          <w:p w14:paraId="12F8DF4A"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szCs w:val="24"/>
                <w:shd w:val="clear" w:color="auto" w:fill="FFFFFF"/>
                <w:lang w:val="en-US"/>
              </w:rPr>
              <w:t> </w:t>
            </w:r>
          </w:p>
        </w:tc>
        <w:tc>
          <w:tcPr>
            <w:tcW w:w="1607" w:type="dxa"/>
            <w:tcBorders>
              <w:left w:val="single" w:sz="4" w:space="0" w:color="000000"/>
              <w:bottom w:val="single" w:sz="4" w:space="0" w:color="000000"/>
              <w:right w:val="single" w:sz="4" w:space="0" w:color="000000"/>
            </w:tcBorders>
            <w:shd w:val="clear" w:color="auto" w:fill="auto"/>
            <w:vAlign w:val="bottom"/>
          </w:tcPr>
          <w:p w14:paraId="709ADAEB" w14:textId="77777777" w:rsidR="008B78F4" w:rsidRDefault="008B78F4" w:rsidP="00E07D57">
            <w:pPr>
              <w:spacing w:line="240" w:lineRule="auto"/>
            </w:pPr>
            <w:r>
              <w:rPr>
                <w:rFonts w:eastAsia="Times New Roman" w:cs="Calibri"/>
                <w:b/>
                <w:bCs/>
                <w:szCs w:val="24"/>
                <w:shd w:val="clear" w:color="auto" w:fill="FFFFFF"/>
                <w:lang w:val="en-US"/>
              </w:rPr>
              <w:t> </w:t>
            </w:r>
          </w:p>
        </w:tc>
      </w:tr>
      <w:tr w:rsidR="008B78F4" w14:paraId="2721A72F" w14:textId="77777777" w:rsidTr="00E07D57">
        <w:trPr>
          <w:trHeight w:val="300"/>
        </w:trPr>
        <w:tc>
          <w:tcPr>
            <w:tcW w:w="2711" w:type="dxa"/>
            <w:tcBorders>
              <w:left w:val="single" w:sz="4" w:space="0" w:color="000000"/>
              <w:bottom w:val="single" w:sz="4" w:space="0" w:color="000000"/>
            </w:tcBorders>
            <w:shd w:val="clear" w:color="auto" w:fill="auto"/>
            <w:vAlign w:val="bottom"/>
          </w:tcPr>
          <w:p w14:paraId="04699466"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Trade payable</w:t>
            </w:r>
          </w:p>
        </w:tc>
        <w:tc>
          <w:tcPr>
            <w:tcW w:w="997" w:type="dxa"/>
            <w:tcBorders>
              <w:left w:val="single" w:sz="4" w:space="0" w:color="000000"/>
              <w:bottom w:val="single" w:sz="4" w:space="0" w:color="000000"/>
            </w:tcBorders>
            <w:shd w:val="clear" w:color="auto" w:fill="auto"/>
            <w:vAlign w:val="bottom"/>
          </w:tcPr>
          <w:p w14:paraId="616EB30B"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szCs w:val="24"/>
                <w:shd w:val="clear" w:color="auto" w:fill="FFFFFF"/>
                <w:lang w:val="en-US"/>
              </w:rPr>
              <w:t> </w:t>
            </w:r>
          </w:p>
        </w:tc>
        <w:tc>
          <w:tcPr>
            <w:tcW w:w="1099" w:type="dxa"/>
            <w:tcBorders>
              <w:left w:val="single" w:sz="4" w:space="0" w:color="000000"/>
              <w:bottom w:val="single" w:sz="4" w:space="0" w:color="000000"/>
            </w:tcBorders>
            <w:shd w:val="clear" w:color="auto" w:fill="auto"/>
            <w:vAlign w:val="bottom"/>
          </w:tcPr>
          <w:p w14:paraId="6ED78A5B" w14:textId="77777777" w:rsidR="008B78F4" w:rsidRDefault="008B78F4" w:rsidP="00E07D57">
            <w:pPr>
              <w:spacing w:line="240" w:lineRule="auto"/>
              <w:jc w:val="right"/>
              <w:rPr>
                <w:rFonts w:eastAsia="Times New Roman" w:cs="Calibri"/>
                <w:szCs w:val="24"/>
                <w:shd w:val="clear" w:color="auto" w:fill="FFFFFF"/>
                <w:lang w:val="en-US"/>
              </w:rPr>
            </w:pPr>
            <w:r>
              <w:rPr>
                <w:rFonts w:eastAsia="Times New Roman" w:cs="Calibri"/>
                <w:b/>
                <w:bCs/>
                <w:szCs w:val="24"/>
                <w:shd w:val="clear" w:color="auto" w:fill="FFFFFF"/>
                <w:lang w:val="en-US"/>
              </w:rPr>
              <w:t>188625</w:t>
            </w:r>
          </w:p>
        </w:tc>
        <w:tc>
          <w:tcPr>
            <w:tcW w:w="2229" w:type="dxa"/>
            <w:tcBorders>
              <w:left w:val="single" w:sz="4" w:space="0" w:color="000000"/>
              <w:bottom w:val="single" w:sz="4" w:space="0" w:color="000000"/>
            </w:tcBorders>
            <w:shd w:val="clear" w:color="auto" w:fill="auto"/>
            <w:vAlign w:val="bottom"/>
          </w:tcPr>
          <w:p w14:paraId="5DE3AB56"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szCs w:val="24"/>
                <w:shd w:val="clear" w:color="auto" w:fill="FFFFFF"/>
                <w:lang w:val="en-US"/>
              </w:rPr>
              <w:t> </w:t>
            </w:r>
          </w:p>
        </w:tc>
        <w:tc>
          <w:tcPr>
            <w:tcW w:w="1607" w:type="dxa"/>
            <w:tcBorders>
              <w:left w:val="single" w:sz="4" w:space="0" w:color="000000"/>
              <w:bottom w:val="single" w:sz="4" w:space="0" w:color="000000"/>
              <w:right w:val="single" w:sz="4" w:space="0" w:color="000000"/>
            </w:tcBorders>
            <w:shd w:val="clear" w:color="auto" w:fill="auto"/>
            <w:vAlign w:val="bottom"/>
          </w:tcPr>
          <w:p w14:paraId="0230D9D6" w14:textId="77777777" w:rsidR="008B78F4" w:rsidRDefault="008B78F4" w:rsidP="00E07D57">
            <w:pPr>
              <w:spacing w:line="240" w:lineRule="auto"/>
            </w:pPr>
            <w:r>
              <w:rPr>
                <w:rFonts w:eastAsia="Times New Roman" w:cs="Calibri"/>
                <w:b/>
                <w:bCs/>
                <w:szCs w:val="24"/>
                <w:shd w:val="clear" w:color="auto" w:fill="FFFFFF"/>
                <w:lang w:val="en-US"/>
              </w:rPr>
              <w:t> </w:t>
            </w:r>
          </w:p>
        </w:tc>
      </w:tr>
      <w:tr w:rsidR="008B78F4" w14:paraId="2A68B8DE" w14:textId="77777777" w:rsidTr="00E07D57">
        <w:trPr>
          <w:trHeight w:val="315"/>
        </w:trPr>
        <w:tc>
          <w:tcPr>
            <w:tcW w:w="2711" w:type="dxa"/>
            <w:tcBorders>
              <w:left w:val="single" w:sz="4" w:space="0" w:color="000000"/>
              <w:bottom w:val="single" w:sz="4" w:space="0" w:color="000000"/>
            </w:tcBorders>
            <w:shd w:val="clear" w:color="auto" w:fill="auto"/>
            <w:vAlign w:val="bottom"/>
          </w:tcPr>
          <w:p w14:paraId="511771A5"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O/s Commission</w:t>
            </w:r>
          </w:p>
        </w:tc>
        <w:tc>
          <w:tcPr>
            <w:tcW w:w="997" w:type="dxa"/>
            <w:tcBorders>
              <w:left w:val="single" w:sz="4" w:space="0" w:color="000000"/>
              <w:bottom w:val="single" w:sz="4" w:space="0" w:color="000000"/>
            </w:tcBorders>
            <w:shd w:val="clear" w:color="auto" w:fill="auto"/>
            <w:vAlign w:val="bottom"/>
          </w:tcPr>
          <w:p w14:paraId="0B6FA0EF"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szCs w:val="24"/>
                <w:shd w:val="clear" w:color="auto" w:fill="FFFFFF"/>
                <w:lang w:val="en-US"/>
              </w:rPr>
              <w:t> </w:t>
            </w:r>
          </w:p>
        </w:tc>
        <w:tc>
          <w:tcPr>
            <w:tcW w:w="1099" w:type="dxa"/>
            <w:tcBorders>
              <w:left w:val="single" w:sz="4" w:space="0" w:color="000000"/>
              <w:bottom w:val="single" w:sz="4" w:space="0" w:color="000000"/>
            </w:tcBorders>
            <w:shd w:val="clear" w:color="auto" w:fill="auto"/>
            <w:vAlign w:val="bottom"/>
          </w:tcPr>
          <w:p w14:paraId="547DAA12" w14:textId="77777777" w:rsidR="008B78F4" w:rsidRDefault="008B78F4" w:rsidP="00E07D57">
            <w:pPr>
              <w:spacing w:line="240" w:lineRule="auto"/>
              <w:jc w:val="right"/>
              <w:rPr>
                <w:rFonts w:eastAsia="Times New Roman" w:cs="Calibri"/>
                <w:szCs w:val="24"/>
                <w:shd w:val="clear" w:color="auto" w:fill="FFFFFF"/>
                <w:lang w:val="en-US"/>
              </w:rPr>
            </w:pPr>
            <w:r>
              <w:rPr>
                <w:rFonts w:eastAsia="Times New Roman" w:cs="Calibri"/>
                <w:b/>
                <w:bCs/>
                <w:szCs w:val="24"/>
                <w:shd w:val="clear" w:color="auto" w:fill="FFFFFF"/>
                <w:lang w:val="en-US"/>
              </w:rPr>
              <w:t>3000</w:t>
            </w:r>
          </w:p>
        </w:tc>
        <w:tc>
          <w:tcPr>
            <w:tcW w:w="2229" w:type="dxa"/>
            <w:tcBorders>
              <w:left w:val="single" w:sz="4" w:space="0" w:color="000000"/>
              <w:bottom w:val="single" w:sz="4" w:space="0" w:color="000000"/>
            </w:tcBorders>
            <w:shd w:val="clear" w:color="auto" w:fill="auto"/>
            <w:vAlign w:val="bottom"/>
          </w:tcPr>
          <w:p w14:paraId="73F245AF"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szCs w:val="24"/>
                <w:shd w:val="clear" w:color="auto" w:fill="FFFFFF"/>
                <w:lang w:val="en-US"/>
              </w:rPr>
              <w:t> </w:t>
            </w:r>
          </w:p>
        </w:tc>
        <w:tc>
          <w:tcPr>
            <w:tcW w:w="1607" w:type="dxa"/>
            <w:tcBorders>
              <w:left w:val="single" w:sz="4" w:space="0" w:color="000000"/>
              <w:bottom w:val="single" w:sz="4" w:space="0" w:color="000000"/>
              <w:right w:val="single" w:sz="4" w:space="0" w:color="000000"/>
            </w:tcBorders>
            <w:shd w:val="clear" w:color="auto" w:fill="auto"/>
            <w:vAlign w:val="bottom"/>
          </w:tcPr>
          <w:p w14:paraId="30683FEA" w14:textId="77777777" w:rsidR="008B78F4" w:rsidRDefault="008B78F4" w:rsidP="00E07D57">
            <w:pPr>
              <w:spacing w:line="240" w:lineRule="auto"/>
            </w:pPr>
            <w:r>
              <w:rPr>
                <w:rFonts w:eastAsia="Times New Roman" w:cs="Calibri"/>
                <w:b/>
                <w:bCs/>
                <w:szCs w:val="24"/>
                <w:shd w:val="clear" w:color="auto" w:fill="FFFFFF"/>
                <w:lang w:val="en-US"/>
              </w:rPr>
              <w:t> </w:t>
            </w:r>
          </w:p>
        </w:tc>
      </w:tr>
      <w:tr w:rsidR="008B78F4" w14:paraId="365A4731" w14:textId="77777777" w:rsidTr="00E07D57">
        <w:trPr>
          <w:trHeight w:val="315"/>
        </w:trPr>
        <w:tc>
          <w:tcPr>
            <w:tcW w:w="2711" w:type="dxa"/>
            <w:tcBorders>
              <w:left w:val="single" w:sz="4" w:space="0" w:color="000000"/>
              <w:bottom w:val="single" w:sz="4" w:space="0" w:color="000000"/>
            </w:tcBorders>
            <w:shd w:val="clear" w:color="auto" w:fill="auto"/>
            <w:vAlign w:val="bottom"/>
          </w:tcPr>
          <w:p w14:paraId="0E88F3B8"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 </w:t>
            </w:r>
          </w:p>
        </w:tc>
        <w:tc>
          <w:tcPr>
            <w:tcW w:w="997" w:type="dxa"/>
            <w:tcBorders>
              <w:left w:val="single" w:sz="4" w:space="0" w:color="000000"/>
              <w:bottom w:val="single" w:sz="4" w:space="0" w:color="000000"/>
            </w:tcBorders>
            <w:shd w:val="clear" w:color="auto" w:fill="auto"/>
            <w:vAlign w:val="bottom"/>
          </w:tcPr>
          <w:p w14:paraId="36FA8FDE"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szCs w:val="24"/>
                <w:shd w:val="clear" w:color="auto" w:fill="FFFFFF"/>
                <w:lang w:val="en-US"/>
              </w:rPr>
              <w:t> </w:t>
            </w:r>
          </w:p>
        </w:tc>
        <w:tc>
          <w:tcPr>
            <w:tcW w:w="1099" w:type="dxa"/>
            <w:tcBorders>
              <w:left w:val="single" w:sz="4" w:space="0" w:color="000000"/>
              <w:bottom w:val="single" w:sz="4" w:space="0" w:color="000000"/>
            </w:tcBorders>
            <w:shd w:val="clear" w:color="auto" w:fill="auto"/>
            <w:vAlign w:val="bottom"/>
          </w:tcPr>
          <w:p w14:paraId="456E1010"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b/>
                <w:bCs/>
                <w:szCs w:val="24"/>
                <w:shd w:val="clear" w:color="auto" w:fill="FFFFFF"/>
                <w:lang w:val="en-US"/>
              </w:rPr>
              <w:t> </w:t>
            </w:r>
          </w:p>
        </w:tc>
        <w:tc>
          <w:tcPr>
            <w:tcW w:w="2229" w:type="dxa"/>
            <w:tcBorders>
              <w:left w:val="single" w:sz="4" w:space="0" w:color="000000"/>
              <w:bottom w:val="single" w:sz="4" w:space="0" w:color="000000"/>
            </w:tcBorders>
            <w:shd w:val="clear" w:color="auto" w:fill="auto"/>
            <w:vAlign w:val="bottom"/>
          </w:tcPr>
          <w:p w14:paraId="2A6B1C8A"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szCs w:val="24"/>
                <w:shd w:val="clear" w:color="auto" w:fill="FFFFFF"/>
                <w:lang w:val="en-US"/>
              </w:rPr>
              <w:t> </w:t>
            </w:r>
          </w:p>
        </w:tc>
        <w:tc>
          <w:tcPr>
            <w:tcW w:w="1607" w:type="dxa"/>
            <w:tcBorders>
              <w:left w:val="single" w:sz="4" w:space="0" w:color="000000"/>
              <w:bottom w:val="single" w:sz="4" w:space="0" w:color="000000"/>
              <w:right w:val="single" w:sz="4" w:space="0" w:color="000000"/>
            </w:tcBorders>
            <w:shd w:val="clear" w:color="auto" w:fill="auto"/>
            <w:vAlign w:val="bottom"/>
          </w:tcPr>
          <w:p w14:paraId="6A32B518" w14:textId="77777777" w:rsidR="008B78F4" w:rsidRDefault="008B78F4" w:rsidP="00E07D57">
            <w:pPr>
              <w:spacing w:line="240" w:lineRule="auto"/>
            </w:pPr>
            <w:r>
              <w:rPr>
                <w:rFonts w:eastAsia="Times New Roman" w:cs="Calibri"/>
                <w:b/>
                <w:bCs/>
                <w:szCs w:val="24"/>
                <w:shd w:val="clear" w:color="auto" w:fill="FFFFFF"/>
                <w:lang w:val="en-US"/>
              </w:rPr>
              <w:t> </w:t>
            </w:r>
          </w:p>
        </w:tc>
      </w:tr>
      <w:tr w:rsidR="008B78F4" w14:paraId="7910C98C" w14:textId="77777777" w:rsidTr="00E07D57">
        <w:trPr>
          <w:trHeight w:val="315"/>
        </w:trPr>
        <w:tc>
          <w:tcPr>
            <w:tcW w:w="2711" w:type="dxa"/>
            <w:tcBorders>
              <w:left w:val="single" w:sz="4" w:space="0" w:color="000000"/>
              <w:bottom w:val="single" w:sz="4" w:space="0" w:color="000000"/>
            </w:tcBorders>
            <w:shd w:val="clear" w:color="auto" w:fill="auto"/>
            <w:vAlign w:val="bottom"/>
          </w:tcPr>
          <w:p w14:paraId="4069E4BD" w14:textId="77777777" w:rsidR="008B78F4" w:rsidRDefault="008B78F4" w:rsidP="00E07D57">
            <w:pPr>
              <w:spacing w:line="240" w:lineRule="auto"/>
              <w:rPr>
                <w:rFonts w:eastAsia="Times New Roman" w:cs="Calibri"/>
                <w:szCs w:val="24"/>
                <w:shd w:val="clear" w:color="auto" w:fill="FFFFFF"/>
                <w:lang w:val="en-US"/>
              </w:rPr>
            </w:pPr>
            <w:r>
              <w:rPr>
                <w:rFonts w:eastAsia="Times New Roman" w:cs="Calibri"/>
                <w:szCs w:val="24"/>
                <w:shd w:val="clear" w:color="auto" w:fill="FFFFFF"/>
                <w:lang w:val="en-US"/>
              </w:rPr>
              <w:t> </w:t>
            </w:r>
          </w:p>
        </w:tc>
        <w:tc>
          <w:tcPr>
            <w:tcW w:w="997" w:type="dxa"/>
            <w:tcBorders>
              <w:left w:val="single" w:sz="4" w:space="0" w:color="000000"/>
              <w:bottom w:val="single" w:sz="4" w:space="0" w:color="000000"/>
            </w:tcBorders>
            <w:shd w:val="clear" w:color="auto" w:fill="auto"/>
            <w:vAlign w:val="bottom"/>
          </w:tcPr>
          <w:p w14:paraId="3978FA81"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szCs w:val="24"/>
                <w:shd w:val="clear" w:color="auto" w:fill="FFFFFF"/>
                <w:lang w:val="en-US"/>
              </w:rPr>
              <w:t> </w:t>
            </w:r>
          </w:p>
        </w:tc>
        <w:tc>
          <w:tcPr>
            <w:tcW w:w="1099" w:type="dxa"/>
            <w:tcBorders>
              <w:left w:val="single" w:sz="4" w:space="0" w:color="000000"/>
              <w:bottom w:val="single" w:sz="4" w:space="0" w:color="000000"/>
            </w:tcBorders>
            <w:shd w:val="clear" w:color="auto" w:fill="auto"/>
            <w:vAlign w:val="bottom"/>
          </w:tcPr>
          <w:p w14:paraId="712F0A84" w14:textId="77777777" w:rsidR="008B78F4" w:rsidRDefault="008B78F4" w:rsidP="00E07D57">
            <w:pPr>
              <w:spacing w:line="240" w:lineRule="auto"/>
              <w:jc w:val="right"/>
              <w:rPr>
                <w:rFonts w:eastAsia="Times New Roman" w:cs="Calibri"/>
                <w:szCs w:val="24"/>
                <w:shd w:val="clear" w:color="auto" w:fill="FFFFFF"/>
                <w:lang w:val="en-US"/>
              </w:rPr>
            </w:pPr>
            <w:r>
              <w:rPr>
                <w:rFonts w:eastAsia="Times New Roman" w:cs="Calibri"/>
                <w:b/>
                <w:bCs/>
                <w:szCs w:val="24"/>
                <w:shd w:val="clear" w:color="auto" w:fill="FFFFFF"/>
                <w:lang w:val="en-US"/>
              </w:rPr>
              <w:t>1926975</w:t>
            </w:r>
          </w:p>
        </w:tc>
        <w:tc>
          <w:tcPr>
            <w:tcW w:w="2229" w:type="dxa"/>
            <w:tcBorders>
              <w:left w:val="single" w:sz="4" w:space="0" w:color="000000"/>
              <w:bottom w:val="single" w:sz="4" w:space="0" w:color="000000"/>
            </w:tcBorders>
            <w:shd w:val="clear" w:color="auto" w:fill="auto"/>
            <w:vAlign w:val="bottom"/>
          </w:tcPr>
          <w:p w14:paraId="34B35A1F" w14:textId="77777777" w:rsidR="008B78F4" w:rsidRDefault="008B78F4" w:rsidP="00E07D57">
            <w:pPr>
              <w:spacing w:line="240" w:lineRule="auto"/>
              <w:rPr>
                <w:rFonts w:eastAsia="Times New Roman" w:cs="Calibri"/>
                <w:b/>
                <w:bCs/>
                <w:szCs w:val="24"/>
                <w:shd w:val="clear" w:color="auto" w:fill="FFFFFF"/>
                <w:lang w:val="en-US"/>
              </w:rPr>
            </w:pPr>
            <w:r>
              <w:rPr>
                <w:rFonts w:eastAsia="Times New Roman" w:cs="Calibri"/>
                <w:szCs w:val="24"/>
                <w:shd w:val="clear" w:color="auto" w:fill="FFFFFF"/>
                <w:lang w:val="en-US"/>
              </w:rPr>
              <w:t> </w:t>
            </w:r>
          </w:p>
        </w:tc>
        <w:tc>
          <w:tcPr>
            <w:tcW w:w="1607" w:type="dxa"/>
            <w:tcBorders>
              <w:left w:val="single" w:sz="4" w:space="0" w:color="000000"/>
              <w:bottom w:val="single" w:sz="4" w:space="0" w:color="000000"/>
              <w:right w:val="single" w:sz="4" w:space="0" w:color="000000"/>
            </w:tcBorders>
            <w:shd w:val="clear" w:color="auto" w:fill="auto"/>
            <w:vAlign w:val="bottom"/>
          </w:tcPr>
          <w:p w14:paraId="5F952DF4" w14:textId="77777777" w:rsidR="008B78F4" w:rsidRDefault="008B78F4" w:rsidP="00E07D57">
            <w:pPr>
              <w:spacing w:line="240" w:lineRule="auto"/>
              <w:jc w:val="right"/>
            </w:pPr>
            <w:r>
              <w:rPr>
                <w:rFonts w:eastAsia="Times New Roman" w:cs="Calibri"/>
                <w:b/>
                <w:bCs/>
                <w:szCs w:val="24"/>
                <w:shd w:val="clear" w:color="auto" w:fill="FFFFFF"/>
                <w:lang w:val="en-US"/>
              </w:rPr>
              <w:t>1926975</w:t>
            </w:r>
          </w:p>
        </w:tc>
      </w:tr>
    </w:tbl>
    <w:p w14:paraId="1410ECE2" w14:textId="77777777" w:rsidR="008B78F4" w:rsidRDefault="008B78F4" w:rsidP="008B78F4">
      <w:pPr>
        <w:rPr>
          <w:szCs w:val="24"/>
        </w:rPr>
      </w:pPr>
    </w:p>
    <w:p w14:paraId="303AF536" w14:textId="7936B23B" w:rsidR="008B78F4" w:rsidRDefault="008B78F4" w:rsidP="008B78F4">
      <w:pPr>
        <w:numPr>
          <w:ilvl w:val="0"/>
          <w:numId w:val="2"/>
        </w:numPr>
        <w:suppressAutoHyphens/>
        <w:spacing w:after="0" w:line="360" w:lineRule="auto"/>
        <w:jc w:val="both"/>
        <w:rPr>
          <w:rFonts w:eastAsia="Times New Roman" w:cs="Calibri"/>
          <w:b/>
          <w:bCs/>
          <w:sz w:val="28"/>
          <w:szCs w:val="28"/>
          <w:u w:val="single"/>
          <w:shd w:val="clear" w:color="auto" w:fill="FFFFFF"/>
          <w:lang w:val="en-US"/>
        </w:rPr>
      </w:pPr>
      <w:r w:rsidRPr="008B78F4">
        <w:rPr>
          <w:rFonts w:eastAsia="Times New Roman" w:cs="Calibri"/>
          <w:b/>
          <w:bCs/>
          <w:sz w:val="28"/>
          <w:szCs w:val="28"/>
          <w:u w:val="single"/>
          <w:shd w:val="clear" w:color="auto" w:fill="FFFFFF"/>
          <w:lang w:val="en-US"/>
        </w:rPr>
        <w:t xml:space="preserve">why does balance sheet need to be balanced? </w:t>
      </w:r>
    </w:p>
    <w:p w14:paraId="42608BFA" w14:textId="32B451E2" w:rsidR="005645E3" w:rsidRPr="005006EE" w:rsidRDefault="005006EE" w:rsidP="005006EE">
      <w:pPr>
        <w:suppressAutoHyphens/>
        <w:spacing w:after="0" w:line="360" w:lineRule="auto"/>
        <w:ind w:left="720"/>
        <w:jc w:val="both"/>
        <w:rPr>
          <w:rFonts w:eastAsia="Times New Roman" w:cs="Calibri"/>
          <w:sz w:val="28"/>
          <w:szCs w:val="28"/>
          <w:shd w:val="clear" w:color="auto" w:fill="FFFFFF"/>
          <w:lang w:val="en-US"/>
        </w:rPr>
      </w:pPr>
      <w:r w:rsidRPr="005006EE">
        <w:rPr>
          <w:rFonts w:eastAsia="Times New Roman" w:cs="Calibri"/>
          <w:sz w:val="28"/>
          <w:szCs w:val="28"/>
          <w:shd w:val="clear" w:color="auto" w:fill="FFFFFF"/>
          <w:lang w:val="en-US"/>
        </w:rPr>
        <w:t>A monetary record is an essential key of bookkeeping arrangement of every association. It shows the unmistakable image of resource of the organization and how they used it. A monetary record is a blend of three components, for example, Resource, liabilities, and value (</w:t>
      </w:r>
      <w:proofErr w:type="spellStart"/>
      <w:r w:rsidRPr="005006EE">
        <w:rPr>
          <w:rFonts w:eastAsia="Times New Roman" w:cs="Calibri"/>
          <w:sz w:val="28"/>
          <w:szCs w:val="28"/>
          <w:shd w:val="clear" w:color="auto" w:fill="FFFFFF"/>
          <w:lang w:val="en-US"/>
        </w:rPr>
        <w:t>Bayraktaroglu</w:t>
      </w:r>
      <w:proofErr w:type="spellEnd"/>
      <w:r w:rsidRPr="005006EE">
        <w:rPr>
          <w:rFonts w:eastAsia="Times New Roman" w:cs="Calibri"/>
          <w:sz w:val="28"/>
          <w:szCs w:val="28"/>
          <w:shd w:val="clear" w:color="auto" w:fill="FFFFFF"/>
          <w:lang w:val="en-US"/>
        </w:rPr>
        <w:t xml:space="preserve">, </w:t>
      </w:r>
      <w:proofErr w:type="spellStart"/>
      <w:r w:rsidRPr="005006EE">
        <w:rPr>
          <w:rFonts w:eastAsia="Times New Roman" w:cs="Calibri"/>
          <w:sz w:val="28"/>
          <w:szCs w:val="28"/>
          <w:shd w:val="clear" w:color="auto" w:fill="FFFFFF"/>
          <w:lang w:val="en-US"/>
        </w:rPr>
        <w:t>Calisir</w:t>
      </w:r>
      <w:proofErr w:type="spellEnd"/>
      <w:r w:rsidRPr="005006EE">
        <w:rPr>
          <w:rFonts w:eastAsia="Times New Roman" w:cs="Calibri"/>
          <w:sz w:val="28"/>
          <w:szCs w:val="28"/>
          <w:shd w:val="clear" w:color="auto" w:fill="FFFFFF"/>
          <w:lang w:val="en-US"/>
        </w:rPr>
        <w:t xml:space="preserve">, and </w:t>
      </w:r>
      <w:proofErr w:type="spellStart"/>
      <w:r w:rsidRPr="005006EE">
        <w:rPr>
          <w:rFonts w:eastAsia="Times New Roman" w:cs="Calibri"/>
          <w:sz w:val="28"/>
          <w:szCs w:val="28"/>
          <w:shd w:val="clear" w:color="auto" w:fill="FFFFFF"/>
          <w:lang w:val="en-US"/>
        </w:rPr>
        <w:t>Baskak</w:t>
      </w:r>
      <w:proofErr w:type="spellEnd"/>
      <w:r w:rsidRPr="005006EE">
        <w:rPr>
          <w:rFonts w:eastAsia="Times New Roman" w:cs="Calibri"/>
          <w:sz w:val="28"/>
          <w:szCs w:val="28"/>
          <w:shd w:val="clear" w:color="auto" w:fill="FFFFFF"/>
          <w:lang w:val="en-US"/>
        </w:rPr>
        <w:t xml:space="preserve">, 2019). A monetary record is supposed to be exact or adjusted when in general resources of the organization, its liabilities, and </w:t>
      </w:r>
      <w:r w:rsidRPr="005006EE">
        <w:rPr>
          <w:rFonts w:eastAsia="Times New Roman" w:cs="Calibri"/>
          <w:sz w:val="28"/>
          <w:szCs w:val="28"/>
          <w:shd w:val="clear" w:color="auto" w:fill="FFFFFF"/>
          <w:lang w:val="en-US"/>
        </w:rPr>
        <w:lastRenderedPageBreak/>
        <w:t xml:space="preserve">value are equivalent. Adjusting of these three components are must on the grounds that every exchange of the organization influences each side of the asset report. Nowadays, accounting is the most moving apparatus of bookkeeping framework and utilized by </w:t>
      </w:r>
      <w:proofErr w:type="gramStart"/>
      <w:r w:rsidRPr="005006EE">
        <w:rPr>
          <w:rFonts w:eastAsia="Times New Roman" w:cs="Calibri"/>
          <w:sz w:val="28"/>
          <w:szCs w:val="28"/>
          <w:shd w:val="clear" w:color="auto" w:fill="FFFFFF"/>
          <w:lang w:val="en-US"/>
        </w:rPr>
        <w:t>the majority of</w:t>
      </w:r>
      <w:proofErr w:type="gramEnd"/>
      <w:r w:rsidRPr="005006EE">
        <w:rPr>
          <w:rFonts w:eastAsia="Times New Roman" w:cs="Calibri"/>
          <w:sz w:val="28"/>
          <w:szCs w:val="28"/>
          <w:shd w:val="clear" w:color="auto" w:fill="FFFFFF"/>
          <w:lang w:val="en-US"/>
        </w:rPr>
        <w:t xml:space="preserve"> the organizations. Along these lines, in this process for bookkeeping complete of resource, liabilities and value should be equivalent. Since this cycle works in two distinct records which are charge and credit. Complete of these different sides should be equivalent to keep precise records of monetary information. </w:t>
      </w:r>
      <w:proofErr w:type="gramStart"/>
      <w:r w:rsidRPr="005006EE">
        <w:rPr>
          <w:rFonts w:eastAsia="Times New Roman" w:cs="Calibri"/>
          <w:sz w:val="28"/>
          <w:szCs w:val="28"/>
          <w:shd w:val="clear" w:color="auto" w:fill="FFFFFF"/>
          <w:lang w:val="en-US"/>
        </w:rPr>
        <w:t>In the event that</w:t>
      </w:r>
      <w:proofErr w:type="gramEnd"/>
      <w:r w:rsidRPr="005006EE">
        <w:rPr>
          <w:rFonts w:eastAsia="Times New Roman" w:cs="Calibri"/>
          <w:sz w:val="28"/>
          <w:szCs w:val="28"/>
          <w:shd w:val="clear" w:color="auto" w:fill="FFFFFF"/>
          <w:lang w:val="en-US"/>
        </w:rPr>
        <w:t xml:space="preserve"> asset report isn't matched then it conceivable that missteps are being finished while recording monetary information, for example, programming blunder, figures which are kept up with in one half yet for last part bookkeeper neglect to record passage, wrong figures could be recorded, rather than putting negative sign, bookkeeper can put positive sign this can prompt a significant error in the figures of organizations' asset report. Assuming organization keep up with appropriate or exact asset report can assist it with grasping budget summaries, in addition it draws in financial backers who can possibly put resources into the association (Carrillo-Nieves, and et.al.,2019). A right monetary record helps in looking at strength of the association; it is extremely valuable device to decide development of association for explicit timeframe.</w:t>
      </w:r>
    </w:p>
    <w:p w14:paraId="3D9CE4D3" w14:textId="77777777" w:rsidR="008B78F4" w:rsidRPr="008B78F4" w:rsidRDefault="008B78F4" w:rsidP="008B78F4">
      <w:pPr>
        <w:pStyle w:val="Heading2"/>
        <w:rPr>
          <w:b/>
          <w:sz w:val="28"/>
          <w:szCs w:val="28"/>
        </w:rPr>
      </w:pPr>
      <w:bookmarkStart w:id="3" w:name="_Toc123833179"/>
      <w:r w:rsidRPr="008B78F4">
        <w:rPr>
          <w:b/>
          <w:sz w:val="28"/>
          <w:szCs w:val="28"/>
        </w:rPr>
        <w:t>Question 2</w:t>
      </w:r>
      <w:bookmarkEnd w:id="3"/>
    </w:p>
    <w:p w14:paraId="47033A49" w14:textId="77777777" w:rsidR="008B78F4" w:rsidRPr="00235295" w:rsidRDefault="008B78F4" w:rsidP="008B78F4">
      <w:pPr>
        <w:numPr>
          <w:ilvl w:val="0"/>
          <w:numId w:val="3"/>
        </w:numPr>
        <w:suppressAutoHyphens/>
        <w:spacing w:after="0" w:line="360" w:lineRule="auto"/>
        <w:ind w:left="360"/>
        <w:jc w:val="both"/>
        <w:rPr>
          <w:b/>
          <w:u w:val="single"/>
        </w:rPr>
      </w:pPr>
      <w:r w:rsidRPr="00235295">
        <w:rPr>
          <w:b/>
          <w:u w:val="single"/>
        </w:rPr>
        <w:t>Ratios for Sweets plc:</w:t>
      </w:r>
    </w:p>
    <w:p w14:paraId="61DFCEDF" w14:textId="77777777" w:rsidR="008B78F4" w:rsidRPr="00E2571D" w:rsidRDefault="008B78F4" w:rsidP="008B78F4">
      <w:pPr>
        <w:numPr>
          <w:ilvl w:val="0"/>
          <w:numId w:val="4"/>
        </w:numPr>
        <w:tabs>
          <w:tab w:val="clear" w:pos="720"/>
          <w:tab w:val="num" w:pos="360"/>
        </w:tabs>
        <w:suppressAutoHyphens/>
        <w:spacing w:after="0" w:line="360" w:lineRule="auto"/>
        <w:ind w:left="360"/>
        <w:jc w:val="both"/>
        <w:rPr>
          <w:b/>
          <w:shd w:val="clear" w:color="auto" w:fill="FFFFFF"/>
        </w:rPr>
      </w:pPr>
      <w:r w:rsidRPr="00E2571D">
        <w:rPr>
          <w:b/>
          <w:bCs/>
          <w:shd w:val="clear" w:color="auto" w:fill="FFFFFF"/>
        </w:rPr>
        <w:t>Return on Capital Employed = Earnings Before Interest and Tax (EBIT) / Capital Employed</w:t>
      </w:r>
    </w:p>
    <w:p w14:paraId="62101E5F" w14:textId="77777777" w:rsidR="008B78F4" w:rsidRDefault="008B78F4" w:rsidP="008B78F4">
      <w:pPr>
        <w:rPr>
          <w:shd w:val="clear" w:color="auto" w:fill="FFFFFF"/>
        </w:rPr>
      </w:pPr>
      <w:r>
        <w:rPr>
          <w:shd w:val="clear" w:color="auto" w:fill="FFFFFF"/>
        </w:rPr>
        <w:tab/>
        <w:t>For the year 2020</w:t>
      </w:r>
    </w:p>
    <w:p w14:paraId="1F6A08CB" w14:textId="77777777" w:rsidR="008B78F4" w:rsidRDefault="008B78F4" w:rsidP="008B78F4">
      <w:pPr>
        <w:rPr>
          <w:shd w:val="clear" w:color="auto" w:fill="FFFFFF"/>
        </w:rPr>
      </w:pPr>
      <w:r>
        <w:rPr>
          <w:shd w:val="clear" w:color="auto" w:fill="FFFFFF"/>
        </w:rPr>
        <w:tab/>
        <w:t>ROCE = [699 / (10087 – 3046)] * 100</w:t>
      </w:r>
    </w:p>
    <w:p w14:paraId="41E004E6" w14:textId="77777777" w:rsidR="008B78F4" w:rsidRDefault="008B78F4" w:rsidP="008B78F4">
      <w:pPr>
        <w:rPr>
          <w:shd w:val="clear" w:color="auto" w:fill="FFFFFF"/>
        </w:rPr>
      </w:pPr>
      <w:r>
        <w:rPr>
          <w:shd w:val="clear" w:color="auto" w:fill="FFFFFF"/>
        </w:rPr>
        <w:tab/>
      </w:r>
      <w:r>
        <w:rPr>
          <w:shd w:val="clear" w:color="auto" w:fill="FFFFFF"/>
        </w:rPr>
        <w:tab/>
        <w:t>= (699 / 7041) * 100</w:t>
      </w:r>
    </w:p>
    <w:p w14:paraId="4A28CB63" w14:textId="77777777" w:rsidR="008B78F4" w:rsidRDefault="008B78F4" w:rsidP="008B78F4">
      <w:pPr>
        <w:rPr>
          <w:shd w:val="clear" w:color="auto" w:fill="FFFFFF"/>
        </w:rPr>
      </w:pPr>
      <w:r>
        <w:rPr>
          <w:shd w:val="clear" w:color="auto" w:fill="FFFFFF"/>
        </w:rPr>
        <w:tab/>
      </w:r>
      <w:r>
        <w:rPr>
          <w:shd w:val="clear" w:color="auto" w:fill="FFFFFF"/>
        </w:rPr>
        <w:tab/>
      </w:r>
      <w:r>
        <w:rPr>
          <w:b/>
          <w:bCs/>
          <w:shd w:val="clear" w:color="auto" w:fill="FFFFFF"/>
        </w:rPr>
        <w:t>= 9.93 %</w:t>
      </w:r>
    </w:p>
    <w:p w14:paraId="1A0F7B05" w14:textId="77777777" w:rsidR="008B78F4" w:rsidRDefault="008B78F4" w:rsidP="008B78F4">
      <w:pPr>
        <w:rPr>
          <w:shd w:val="clear" w:color="auto" w:fill="FFFFFF"/>
        </w:rPr>
      </w:pPr>
      <w:r>
        <w:rPr>
          <w:shd w:val="clear" w:color="auto" w:fill="FFFFFF"/>
        </w:rPr>
        <w:lastRenderedPageBreak/>
        <w:tab/>
        <w:t xml:space="preserve">For the year 2021 </w:t>
      </w:r>
    </w:p>
    <w:p w14:paraId="5EEF316D" w14:textId="77777777" w:rsidR="008B78F4" w:rsidRDefault="008B78F4" w:rsidP="008B78F4">
      <w:pPr>
        <w:rPr>
          <w:shd w:val="clear" w:color="auto" w:fill="FFFFFF"/>
        </w:rPr>
      </w:pPr>
      <w:r>
        <w:rPr>
          <w:shd w:val="clear" w:color="auto" w:fill="FFFFFF"/>
        </w:rPr>
        <w:tab/>
        <w:t>ROCE = [805 / (9736 – 2511)] * 100</w:t>
      </w:r>
    </w:p>
    <w:p w14:paraId="19480ECC" w14:textId="77777777" w:rsidR="008B78F4" w:rsidRDefault="008B78F4" w:rsidP="008B78F4">
      <w:pPr>
        <w:rPr>
          <w:shd w:val="clear" w:color="auto" w:fill="FFFFFF"/>
        </w:rPr>
      </w:pPr>
      <w:r>
        <w:rPr>
          <w:shd w:val="clear" w:color="auto" w:fill="FFFFFF"/>
        </w:rPr>
        <w:tab/>
      </w:r>
      <w:r>
        <w:rPr>
          <w:shd w:val="clear" w:color="auto" w:fill="FFFFFF"/>
        </w:rPr>
        <w:tab/>
        <w:t>= (805 / 7225) * 100</w:t>
      </w:r>
    </w:p>
    <w:p w14:paraId="7C6C66AC" w14:textId="77777777" w:rsidR="008B78F4" w:rsidRDefault="008B78F4" w:rsidP="008B78F4">
      <w:pPr>
        <w:rPr>
          <w:shd w:val="clear" w:color="auto" w:fill="FFFFFF"/>
        </w:rPr>
      </w:pPr>
      <w:r>
        <w:rPr>
          <w:shd w:val="clear" w:color="auto" w:fill="FFFFFF"/>
        </w:rPr>
        <w:tab/>
      </w:r>
      <w:r>
        <w:rPr>
          <w:shd w:val="clear" w:color="auto" w:fill="FFFFFF"/>
        </w:rPr>
        <w:tab/>
      </w:r>
      <w:r>
        <w:rPr>
          <w:b/>
          <w:bCs/>
          <w:shd w:val="clear" w:color="auto" w:fill="FFFFFF"/>
        </w:rPr>
        <w:t>= 11.14 %</w:t>
      </w:r>
    </w:p>
    <w:p w14:paraId="65ABC806" w14:textId="77777777" w:rsidR="008B78F4" w:rsidRPr="00E2571D" w:rsidRDefault="008B78F4" w:rsidP="008B78F4">
      <w:pPr>
        <w:numPr>
          <w:ilvl w:val="0"/>
          <w:numId w:val="5"/>
        </w:numPr>
        <w:tabs>
          <w:tab w:val="clear" w:pos="720"/>
          <w:tab w:val="num" w:pos="360"/>
        </w:tabs>
        <w:suppressAutoHyphens/>
        <w:spacing w:after="0" w:line="360" w:lineRule="auto"/>
        <w:ind w:left="360"/>
        <w:jc w:val="both"/>
        <w:rPr>
          <w:b/>
          <w:shd w:val="clear" w:color="auto" w:fill="FFFFFF"/>
        </w:rPr>
      </w:pPr>
      <w:r w:rsidRPr="00E2571D">
        <w:rPr>
          <w:b/>
          <w:bCs/>
          <w:shd w:val="clear" w:color="auto" w:fill="FFFFFF"/>
        </w:rPr>
        <w:t>Return on Equity = Net Income / Shareholder Equity</w:t>
      </w:r>
    </w:p>
    <w:p w14:paraId="0A256B9E" w14:textId="77777777" w:rsidR="008B78F4" w:rsidRDefault="008B78F4" w:rsidP="008B78F4">
      <w:pPr>
        <w:rPr>
          <w:shd w:val="clear" w:color="auto" w:fill="FFFFFF"/>
        </w:rPr>
      </w:pPr>
      <w:r>
        <w:rPr>
          <w:shd w:val="clear" w:color="auto" w:fill="FFFFFF"/>
        </w:rPr>
        <w:tab/>
        <w:t>For the year ending 2020</w:t>
      </w:r>
    </w:p>
    <w:p w14:paraId="589E5348" w14:textId="77777777" w:rsidR="008B78F4" w:rsidRDefault="008B78F4" w:rsidP="008B78F4">
      <w:pPr>
        <w:rPr>
          <w:shd w:val="clear" w:color="auto" w:fill="FFFFFF"/>
        </w:rPr>
      </w:pPr>
      <w:r>
        <w:rPr>
          <w:shd w:val="clear" w:color="auto" w:fill="FFFFFF"/>
        </w:rPr>
        <w:tab/>
        <w:t>Return on equity = (366 / 2912) * 100</w:t>
      </w:r>
    </w:p>
    <w:p w14:paraId="4CEDC48D" w14:textId="77777777" w:rsidR="008B78F4" w:rsidRDefault="008B78F4" w:rsidP="008B78F4">
      <w:pPr>
        <w:rPr>
          <w:shd w:val="clear" w:color="auto" w:fill="FFFFFF"/>
        </w:rPr>
      </w:pPr>
      <w:r>
        <w:rPr>
          <w:shd w:val="clear" w:color="auto" w:fill="FFFFFF"/>
        </w:rPr>
        <w:t xml:space="preserve"> </w:t>
      </w:r>
      <w:r>
        <w:rPr>
          <w:shd w:val="clear" w:color="auto" w:fill="FFFFFF"/>
        </w:rPr>
        <w:tab/>
      </w:r>
      <w:r>
        <w:rPr>
          <w:shd w:val="clear" w:color="auto" w:fill="FFFFFF"/>
        </w:rPr>
        <w:tab/>
      </w:r>
      <w:r>
        <w:rPr>
          <w:shd w:val="clear" w:color="auto" w:fill="FFFFFF"/>
        </w:rPr>
        <w:tab/>
        <w:t xml:space="preserve">   = 0.1256 * 100</w:t>
      </w:r>
    </w:p>
    <w:p w14:paraId="589A356E" w14:textId="77777777" w:rsidR="008B78F4" w:rsidRDefault="008B78F4" w:rsidP="008B78F4">
      <w:pPr>
        <w:rPr>
          <w:shd w:val="clear" w:color="auto" w:fill="FFFFFF"/>
        </w:rPr>
      </w:pPr>
      <w:r>
        <w:rPr>
          <w:shd w:val="clear" w:color="auto" w:fill="FFFFFF"/>
        </w:rPr>
        <w:tab/>
      </w:r>
      <w:r>
        <w:rPr>
          <w:shd w:val="clear" w:color="auto" w:fill="FFFFFF"/>
        </w:rPr>
        <w:tab/>
      </w:r>
      <w:r>
        <w:rPr>
          <w:shd w:val="clear" w:color="auto" w:fill="FFFFFF"/>
        </w:rPr>
        <w:tab/>
        <w:t xml:space="preserve">    = </w:t>
      </w:r>
      <w:r>
        <w:rPr>
          <w:b/>
          <w:bCs/>
          <w:shd w:val="clear" w:color="auto" w:fill="FFFFFF"/>
        </w:rPr>
        <w:t>12.57 %</w:t>
      </w:r>
    </w:p>
    <w:p w14:paraId="2F009F7E" w14:textId="77777777" w:rsidR="008B78F4" w:rsidRDefault="008B78F4" w:rsidP="008B78F4">
      <w:pPr>
        <w:rPr>
          <w:shd w:val="clear" w:color="auto" w:fill="FFFFFF"/>
        </w:rPr>
      </w:pPr>
      <w:r>
        <w:rPr>
          <w:shd w:val="clear" w:color="auto" w:fill="FFFFFF"/>
        </w:rPr>
        <w:tab/>
        <w:t>For the year ending 2021</w:t>
      </w:r>
    </w:p>
    <w:p w14:paraId="45F37925" w14:textId="77777777" w:rsidR="008B78F4" w:rsidRDefault="008B78F4" w:rsidP="008B78F4">
      <w:pPr>
        <w:rPr>
          <w:shd w:val="clear" w:color="auto" w:fill="FFFFFF"/>
        </w:rPr>
      </w:pPr>
      <w:r>
        <w:rPr>
          <w:shd w:val="clear" w:color="auto" w:fill="FFFFFF"/>
        </w:rPr>
        <w:tab/>
        <w:t>Return on equity = (431 / 3088) * 100</w:t>
      </w:r>
    </w:p>
    <w:p w14:paraId="287B4826" w14:textId="77777777" w:rsidR="008B78F4" w:rsidRDefault="008B78F4" w:rsidP="008B78F4">
      <w:pPr>
        <w:rPr>
          <w:shd w:val="clear" w:color="auto" w:fill="FFFFFF"/>
        </w:rPr>
      </w:pPr>
      <w:r>
        <w:rPr>
          <w:shd w:val="clear" w:color="auto" w:fill="FFFFFF"/>
        </w:rPr>
        <w:tab/>
      </w:r>
      <w:r>
        <w:rPr>
          <w:shd w:val="clear" w:color="auto" w:fill="FFFFFF"/>
        </w:rPr>
        <w:tab/>
      </w:r>
      <w:r>
        <w:rPr>
          <w:shd w:val="clear" w:color="auto" w:fill="FFFFFF"/>
        </w:rPr>
        <w:tab/>
        <w:t xml:space="preserve">    = 0.1395 * 100</w:t>
      </w:r>
    </w:p>
    <w:p w14:paraId="1C8BAD21" w14:textId="77777777" w:rsidR="008B78F4" w:rsidRDefault="008B78F4" w:rsidP="008B78F4">
      <w:pPr>
        <w:rPr>
          <w:shd w:val="clear" w:color="auto" w:fill="FFFFFF"/>
        </w:rPr>
      </w:pPr>
      <w:r>
        <w:rPr>
          <w:shd w:val="clear" w:color="auto" w:fill="FFFFFF"/>
        </w:rPr>
        <w:tab/>
      </w:r>
      <w:r>
        <w:rPr>
          <w:shd w:val="clear" w:color="auto" w:fill="FFFFFF"/>
        </w:rPr>
        <w:tab/>
      </w:r>
      <w:r>
        <w:rPr>
          <w:shd w:val="clear" w:color="auto" w:fill="FFFFFF"/>
        </w:rPr>
        <w:tab/>
        <w:t xml:space="preserve">    </w:t>
      </w:r>
      <w:r>
        <w:rPr>
          <w:b/>
          <w:bCs/>
          <w:shd w:val="clear" w:color="auto" w:fill="FFFFFF"/>
        </w:rPr>
        <w:t>= 13.96 %</w:t>
      </w:r>
    </w:p>
    <w:p w14:paraId="357D7DDE" w14:textId="6AEC2C63" w:rsidR="008B78F4" w:rsidRPr="00E2571D" w:rsidRDefault="00C44655" w:rsidP="008B78F4">
      <w:pPr>
        <w:numPr>
          <w:ilvl w:val="0"/>
          <w:numId w:val="6"/>
        </w:numPr>
        <w:tabs>
          <w:tab w:val="clear" w:pos="720"/>
          <w:tab w:val="num" w:pos="360"/>
        </w:tabs>
        <w:suppressAutoHyphens/>
        <w:spacing w:after="0" w:line="360" w:lineRule="auto"/>
        <w:ind w:left="360"/>
        <w:jc w:val="both"/>
        <w:rPr>
          <w:b/>
          <w:shd w:val="clear" w:color="auto" w:fill="FFFFFF"/>
        </w:rPr>
      </w:pPr>
      <w:r w:rsidRPr="00E2571D">
        <w:rPr>
          <w:b/>
          <w:bCs/>
          <w:shd w:val="clear" w:color="auto" w:fill="FFFFFF"/>
        </w:rPr>
        <w:t>Earnings</w:t>
      </w:r>
      <w:r w:rsidR="008B78F4" w:rsidRPr="00E2571D">
        <w:rPr>
          <w:b/>
          <w:bCs/>
          <w:shd w:val="clear" w:color="auto" w:fill="FFFFFF"/>
        </w:rPr>
        <w:t xml:space="preserve"> per Share = Net income – Preference Dividend / Outstanding Shares</w:t>
      </w:r>
    </w:p>
    <w:p w14:paraId="2A526DF0" w14:textId="77777777" w:rsidR="008B78F4" w:rsidRDefault="008B78F4" w:rsidP="008B78F4">
      <w:pPr>
        <w:rPr>
          <w:shd w:val="clear" w:color="auto" w:fill="FFFFFF"/>
        </w:rPr>
      </w:pPr>
      <w:r>
        <w:rPr>
          <w:shd w:val="clear" w:color="auto" w:fill="FFFFFF"/>
        </w:rPr>
        <w:tab/>
        <w:t>For 2020</w:t>
      </w:r>
    </w:p>
    <w:p w14:paraId="3750642F" w14:textId="364470BF" w:rsidR="008B78F4" w:rsidRDefault="008B78F4" w:rsidP="008B78F4">
      <w:pPr>
        <w:rPr>
          <w:b/>
          <w:bCs/>
          <w:shd w:val="clear" w:color="auto" w:fill="FFFFFF"/>
        </w:rPr>
      </w:pPr>
      <w:r>
        <w:rPr>
          <w:shd w:val="clear" w:color="auto" w:fill="FFFFFF"/>
        </w:rPr>
        <w:tab/>
      </w:r>
      <w:r w:rsidR="00C44655">
        <w:rPr>
          <w:shd w:val="clear" w:color="auto" w:fill="FFFFFF"/>
        </w:rPr>
        <w:t>Earnings</w:t>
      </w:r>
      <w:r>
        <w:rPr>
          <w:shd w:val="clear" w:color="auto" w:fill="FFFFFF"/>
        </w:rPr>
        <w:t xml:space="preserve"> per share = 366 / 600 </w:t>
      </w:r>
    </w:p>
    <w:p w14:paraId="22202A4E" w14:textId="77777777" w:rsidR="008B78F4" w:rsidRDefault="008B78F4" w:rsidP="008B78F4">
      <w:pPr>
        <w:rPr>
          <w:shd w:val="clear" w:color="auto" w:fill="FFFFFF"/>
        </w:rPr>
      </w:pPr>
      <w:r>
        <w:rPr>
          <w:b/>
          <w:bCs/>
          <w:shd w:val="clear" w:color="auto" w:fill="FFFFFF"/>
        </w:rPr>
        <w:tab/>
      </w:r>
      <w:r>
        <w:rPr>
          <w:b/>
          <w:bCs/>
          <w:shd w:val="clear" w:color="auto" w:fill="FFFFFF"/>
        </w:rPr>
        <w:tab/>
      </w:r>
      <w:r>
        <w:rPr>
          <w:b/>
          <w:bCs/>
          <w:shd w:val="clear" w:color="auto" w:fill="FFFFFF"/>
        </w:rPr>
        <w:tab/>
        <w:t xml:space="preserve">     = 0.61</w:t>
      </w:r>
    </w:p>
    <w:p w14:paraId="4703B3E6" w14:textId="77777777" w:rsidR="008B78F4" w:rsidRDefault="008B78F4" w:rsidP="008B78F4">
      <w:pPr>
        <w:rPr>
          <w:shd w:val="clear" w:color="auto" w:fill="FFFFFF"/>
        </w:rPr>
      </w:pPr>
      <w:r>
        <w:rPr>
          <w:shd w:val="clear" w:color="auto" w:fill="FFFFFF"/>
        </w:rPr>
        <w:tab/>
        <w:t xml:space="preserve">For 2021  </w:t>
      </w:r>
    </w:p>
    <w:p w14:paraId="741955EB" w14:textId="09B9C7F9" w:rsidR="008B78F4" w:rsidRDefault="008B78F4" w:rsidP="008B78F4">
      <w:pPr>
        <w:rPr>
          <w:shd w:val="clear" w:color="auto" w:fill="FFFFFF"/>
        </w:rPr>
      </w:pPr>
      <w:r>
        <w:rPr>
          <w:shd w:val="clear" w:color="auto" w:fill="FFFFFF"/>
        </w:rPr>
        <w:tab/>
      </w:r>
      <w:r w:rsidR="00C44655">
        <w:rPr>
          <w:shd w:val="clear" w:color="auto" w:fill="FFFFFF"/>
        </w:rPr>
        <w:t>Earnings</w:t>
      </w:r>
      <w:r>
        <w:rPr>
          <w:shd w:val="clear" w:color="auto" w:fill="FFFFFF"/>
        </w:rPr>
        <w:t xml:space="preserve"> per share = 431 / 600</w:t>
      </w:r>
    </w:p>
    <w:p w14:paraId="0B0210A2" w14:textId="77777777" w:rsidR="008B78F4" w:rsidRDefault="008B78F4" w:rsidP="008B78F4">
      <w:pPr>
        <w:rPr>
          <w:shd w:val="clear" w:color="auto" w:fill="FFFFFF"/>
        </w:rPr>
      </w:pPr>
      <w:r>
        <w:rPr>
          <w:shd w:val="clear" w:color="auto" w:fill="FFFFFF"/>
        </w:rPr>
        <w:tab/>
      </w:r>
      <w:r>
        <w:rPr>
          <w:shd w:val="clear" w:color="auto" w:fill="FFFFFF"/>
        </w:rPr>
        <w:tab/>
      </w:r>
      <w:r>
        <w:rPr>
          <w:shd w:val="clear" w:color="auto" w:fill="FFFFFF"/>
        </w:rPr>
        <w:tab/>
        <w:t xml:space="preserve">      </w:t>
      </w:r>
      <w:r>
        <w:rPr>
          <w:b/>
          <w:bCs/>
          <w:shd w:val="clear" w:color="auto" w:fill="FFFFFF"/>
        </w:rPr>
        <w:t>= 0.718</w:t>
      </w:r>
    </w:p>
    <w:p w14:paraId="150A2859" w14:textId="77777777" w:rsidR="008B78F4" w:rsidRPr="00E2571D" w:rsidRDefault="008B78F4" w:rsidP="008B78F4">
      <w:pPr>
        <w:numPr>
          <w:ilvl w:val="0"/>
          <w:numId w:val="7"/>
        </w:numPr>
        <w:tabs>
          <w:tab w:val="clear" w:pos="720"/>
          <w:tab w:val="num" w:pos="360"/>
        </w:tabs>
        <w:suppressAutoHyphens/>
        <w:spacing w:after="0" w:line="360" w:lineRule="auto"/>
        <w:ind w:left="360"/>
        <w:jc w:val="both"/>
        <w:rPr>
          <w:b/>
          <w:shd w:val="clear" w:color="auto" w:fill="FFFFFF"/>
        </w:rPr>
      </w:pPr>
      <w:r w:rsidRPr="00E2571D">
        <w:rPr>
          <w:b/>
          <w:bCs/>
          <w:shd w:val="clear" w:color="auto" w:fill="FFFFFF"/>
        </w:rPr>
        <w:t>Net Profit Margin = (Net Profit / Revenue) * 100</w:t>
      </w:r>
    </w:p>
    <w:p w14:paraId="41BA945B" w14:textId="77777777" w:rsidR="008B78F4" w:rsidRDefault="008B78F4" w:rsidP="008B78F4">
      <w:pPr>
        <w:rPr>
          <w:shd w:val="clear" w:color="auto" w:fill="FFFFFF"/>
        </w:rPr>
      </w:pPr>
      <w:r>
        <w:rPr>
          <w:shd w:val="clear" w:color="auto" w:fill="FFFFFF"/>
        </w:rPr>
        <w:tab/>
        <w:t>For the year ending 2020</w:t>
      </w:r>
    </w:p>
    <w:p w14:paraId="2DDA3F7A" w14:textId="77777777" w:rsidR="008B78F4" w:rsidRDefault="008B78F4" w:rsidP="008B78F4">
      <w:pPr>
        <w:rPr>
          <w:shd w:val="clear" w:color="auto" w:fill="FFFFFF"/>
        </w:rPr>
      </w:pPr>
      <w:r>
        <w:rPr>
          <w:shd w:val="clear" w:color="auto" w:fill="FFFFFF"/>
        </w:rPr>
        <w:tab/>
        <w:t xml:space="preserve">Net Profit Margin = (366 / 6441) * 100 </w:t>
      </w:r>
    </w:p>
    <w:p w14:paraId="28C1EBAF" w14:textId="77777777" w:rsidR="008B78F4" w:rsidRDefault="008B78F4" w:rsidP="008B78F4">
      <w:pPr>
        <w:rPr>
          <w:shd w:val="clear" w:color="auto" w:fill="FFFFFF"/>
        </w:rPr>
      </w:pPr>
      <w:r>
        <w:rPr>
          <w:shd w:val="clear" w:color="auto" w:fill="FFFFFF"/>
        </w:rPr>
        <w:tab/>
      </w:r>
      <w:r>
        <w:rPr>
          <w:shd w:val="clear" w:color="auto" w:fill="FFFFFF"/>
        </w:rPr>
        <w:tab/>
      </w:r>
      <w:r>
        <w:rPr>
          <w:shd w:val="clear" w:color="auto" w:fill="FFFFFF"/>
        </w:rPr>
        <w:tab/>
        <w:t xml:space="preserve">      = 0.0568 * 100</w:t>
      </w:r>
    </w:p>
    <w:p w14:paraId="327B738A" w14:textId="77777777" w:rsidR="008B78F4" w:rsidRDefault="008B78F4" w:rsidP="008B78F4">
      <w:pPr>
        <w:rPr>
          <w:shd w:val="clear" w:color="auto" w:fill="FFFFFF"/>
        </w:rPr>
      </w:pPr>
      <w:r>
        <w:rPr>
          <w:shd w:val="clear" w:color="auto" w:fill="FFFFFF"/>
        </w:rPr>
        <w:tab/>
      </w:r>
      <w:r>
        <w:rPr>
          <w:shd w:val="clear" w:color="auto" w:fill="FFFFFF"/>
        </w:rPr>
        <w:tab/>
      </w:r>
      <w:r>
        <w:rPr>
          <w:shd w:val="clear" w:color="auto" w:fill="FFFFFF"/>
        </w:rPr>
        <w:tab/>
        <w:t xml:space="preserve">      </w:t>
      </w:r>
      <w:r>
        <w:rPr>
          <w:b/>
          <w:bCs/>
          <w:shd w:val="clear" w:color="auto" w:fill="FFFFFF"/>
        </w:rPr>
        <w:t xml:space="preserve">= 5.68 % </w:t>
      </w:r>
    </w:p>
    <w:p w14:paraId="450C3C3D" w14:textId="77777777" w:rsidR="008B78F4" w:rsidRDefault="008B78F4" w:rsidP="008B78F4">
      <w:pPr>
        <w:rPr>
          <w:shd w:val="clear" w:color="auto" w:fill="FFFFFF"/>
        </w:rPr>
      </w:pPr>
      <w:r>
        <w:rPr>
          <w:shd w:val="clear" w:color="auto" w:fill="FFFFFF"/>
        </w:rPr>
        <w:tab/>
        <w:t>For the year ending 2021</w:t>
      </w:r>
    </w:p>
    <w:p w14:paraId="016FD877" w14:textId="77777777" w:rsidR="008B78F4" w:rsidRDefault="008B78F4" w:rsidP="008B78F4">
      <w:pPr>
        <w:rPr>
          <w:shd w:val="clear" w:color="auto" w:fill="FFFFFF"/>
        </w:rPr>
      </w:pPr>
      <w:r>
        <w:rPr>
          <w:shd w:val="clear" w:color="auto" w:fill="FFFFFF"/>
        </w:rPr>
        <w:tab/>
        <w:t>Net Profit Margin = (431 / 6738) * 100</w:t>
      </w:r>
    </w:p>
    <w:p w14:paraId="3ACFFAB6" w14:textId="77777777" w:rsidR="008B78F4" w:rsidRDefault="008B78F4" w:rsidP="008B78F4">
      <w:pPr>
        <w:rPr>
          <w:shd w:val="clear" w:color="auto" w:fill="FFFFFF"/>
        </w:rPr>
      </w:pPr>
      <w:r>
        <w:rPr>
          <w:shd w:val="clear" w:color="auto" w:fill="FFFFFF"/>
        </w:rPr>
        <w:tab/>
      </w:r>
      <w:r>
        <w:rPr>
          <w:shd w:val="clear" w:color="auto" w:fill="FFFFFF"/>
        </w:rPr>
        <w:tab/>
      </w:r>
      <w:r>
        <w:rPr>
          <w:shd w:val="clear" w:color="auto" w:fill="FFFFFF"/>
        </w:rPr>
        <w:tab/>
        <w:t xml:space="preserve">      = 0.0639 * 100</w:t>
      </w:r>
    </w:p>
    <w:p w14:paraId="57D1FBC6" w14:textId="77777777" w:rsidR="008B78F4" w:rsidRDefault="008B78F4" w:rsidP="008B78F4">
      <w:pPr>
        <w:rPr>
          <w:shd w:val="clear" w:color="auto" w:fill="FFFFFF"/>
        </w:rPr>
      </w:pPr>
      <w:r>
        <w:rPr>
          <w:shd w:val="clear" w:color="auto" w:fill="FFFFFF"/>
        </w:rPr>
        <w:tab/>
      </w:r>
      <w:r>
        <w:rPr>
          <w:shd w:val="clear" w:color="auto" w:fill="FFFFFF"/>
        </w:rPr>
        <w:tab/>
      </w:r>
      <w:r>
        <w:rPr>
          <w:shd w:val="clear" w:color="auto" w:fill="FFFFFF"/>
        </w:rPr>
        <w:tab/>
        <w:t xml:space="preserve">      </w:t>
      </w:r>
      <w:r>
        <w:rPr>
          <w:b/>
          <w:bCs/>
          <w:shd w:val="clear" w:color="auto" w:fill="FFFFFF"/>
        </w:rPr>
        <w:t>= 6.39 %</w:t>
      </w:r>
    </w:p>
    <w:p w14:paraId="2DB4B033" w14:textId="77777777" w:rsidR="008B78F4" w:rsidRPr="00E2571D" w:rsidRDefault="008B78F4" w:rsidP="008B78F4">
      <w:pPr>
        <w:numPr>
          <w:ilvl w:val="0"/>
          <w:numId w:val="8"/>
        </w:numPr>
        <w:tabs>
          <w:tab w:val="clear" w:pos="720"/>
          <w:tab w:val="num" w:pos="360"/>
        </w:tabs>
        <w:suppressAutoHyphens/>
        <w:spacing w:after="0" w:line="360" w:lineRule="auto"/>
        <w:ind w:left="360"/>
        <w:jc w:val="both"/>
        <w:rPr>
          <w:b/>
          <w:shd w:val="clear" w:color="auto" w:fill="FFFFFF"/>
        </w:rPr>
      </w:pPr>
      <w:r w:rsidRPr="00E2571D">
        <w:rPr>
          <w:b/>
          <w:bCs/>
          <w:shd w:val="clear" w:color="auto" w:fill="FFFFFF"/>
        </w:rPr>
        <w:t>Asset Turnover = Total Sales / Average Total Assets</w:t>
      </w:r>
    </w:p>
    <w:p w14:paraId="07D86322" w14:textId="77777777" w:rsidR="008B78F4" w:rsidRDefault="008B78F4" w:rsidP="008B78F4">
      <w:pPr>
        <w:rPr>
          <w:shd w:val="clear" w:color="auto" w:fill="FFFFFF"/>
        </w:rPr>
      </w:pPr>
      <w:r>
        <w:rPr>
          <w:shd w:val="clear" w:color="auto" w:fill="FFFFFF"/>
        </w:rPr>
        <w:tab/>
      </w:r>
      <w:r>
        <w:rPr>
          <w:shd w:val="clear" w:color="auto" w:fill="FFFFFF"/>
        </w:rPr>
        <w:tab/>
      </w:r>
      <w:r>
        <w:rPr>
          <w:shd w:val="clear" w:color="auto" w:fill="FFFFFF"/>
        </w:rPr>
        <w:tab/>
        <w:t xml:space="preserve">   = Total Sales / (Beginning Assets + Ending Assets / 2)  </w:t>
      </w:r>
    </w:p>
    <w:p w14:paraId="135FB139" w14:textId="77777777" w:rsidR="008B78F4" w:rsidRDefault="008B78F4" w:rsidP="008B78F4">
      <w:pPr>
        <w:rPr>
          <w:shd w:val="clear" w:color="auto" w:fill="FFFFFF"/>
        </w:rPr>
      </w:pPr>
      <w:r>
        <w:rPr>
          <w:shd w:val="clear" w:color="auto" w:fill="FFFFFF"/>
        </w:rPr>
        <w:lastRenderedPageBreak/>
        <w:tab/>
        <w:t>For 2020</w:t>
      </w:r>
    </w:p>
    <w:p w14:paraId="591E8F14" w14:textId="77777777" w:rsidR="008B78F4" w:rsidRDefault="008B78F4" w:rsidP="008B78F4">
      <w:pPr>
        <w:rPr>
          <w:shd w:val="clear" w:color="auto" w:fill="FFFFFF"/>
        </w:rPr>
      </w:pPr>
      <w:r>
        <w:rPr>
          <w:shd w:val="clear" w:color="auto" w:fill="FFFFFF"/>
        </w:rPr>
        <w:tab/>
        <w:t>Asset Turnover = 6441 / 10087</w:t>
      </w:r>
    </w:p>
    <w:p w14:paraId="0463D506" w14:textId="77777777" w:rsidR="008B78F4" w:rsidRDefault="008B78F4" w:rsidP="008B78F4">
      <w:pPr>
        <w:rPr>
          <w:shd w:val="clear" w:color="auto" w:fill="FFFFFF"/>
        </w:rPr>
      </w:pPr>
      <w:r>
        <w:rPr>
          <w:shd w:val="clear" w:color="auto" w:fill="FFFFFF"/>
        </w:rPr>
        <w:tab/>
      </w:r>
      <w:r>
        <w:rPr>
          <w:shd w:val="clear" w:color="auto" w:fill="FFFFFF"/>
        </w:rPr>
        <w:tab/>
      </w:r>
      <w:r>
        <w:rPr>
          <w:shd w:val="clear" w:color="auto" w:fill="FFFFFF"/>
        </w:rPr>
        <w:tab/>
        <w:t xml:space="preserve">  </w:t>
      </w:r>
      <w:r>
        <w:rPr>
          <w:b/>
          <w:bCs/>
          <w:shd w:val="clear" w:color="auto" w:fill="FFFFFF"/>
        </w:rPr>
        <w:t>= 0.6385</w:t>
      </w:r>
    </w:p>
    <w:p w14:paraId="04F00A18" w14:textId="77777777" w:rsidR="008B78F4" w:rsidRDefault="008B78F4" w:rsidP="008B78F4">
      <w:pPr>
        <w:rPr>
          <w:shd w:val="clear" w:color="auto" w:fill="FFFFFF"/>
        </w:rPr>
      </w:pPr>
      <w:r>
        <w:rPr>
          <w:shd w:val="clear" w:color="auto" w:fill="FFFFFF"/>
        </w:rPr>
        <w:tab/>
        <w:t>For 2021</w:t>
      </w:r>
    </w:p>
    <w:p w14:paraId="07BFF611" w14:textId="77777777" w:rsidR="008B78F4" w:rsidRDefault="008B78F4" w:rsidP="008B78F4">
      <w:pPr>
        <w:rPr>
          <w:shd w:val="clear" w:color="auto" w:fill="FFFFFF"/>
        </w:rPr>
      </w:pPr>
      <w:r>
        <w:rPr>
          <w:shd w:val="clear" w:color="auto" w:fill="FFFFFF"/>
        </w:rPr>
        <w:tab/>
        <w:t>Asset Turnover = 6738 / (10087 + 9736 / 2)</w:t>
      </w:r>
    </w:p>
    <w:p w14:paraId="6A4F9841" w14:textId="77777777" w:rsidR="008B78F4" w:rsidRDefault="008B78F4" w:rsidP="008B78F4">
      <w:pPr>
        <w:rPr>
          <w:shd w:val="clear" w:color="auto" w:fill="FFFFFF"/>
        </w:rPr>
      </w:pPr>
      <w:r>
        <w:rPr>
          <w:shd w:val="clear" w:color="auto" w:fill="FFFFFF"/>
        </w:rPr>
        <w:tab/>
      </w:r>
      <w:r>
        <w:rPr>
          <w:shd w:val="clear" w:color="auto" w:fill="FFFFFF"/>
        </w:rPr>
        <w:tab/>
      </w:r>
      <w:r>
        <w:rPr>
          <w:shd w:val="clear" w:color="auto" w:fill="FFFFFF"/>
        </w:rPr>
        <w:tab/>
        <w:t xml:space="preserve">  = 6738 / (19823 / 2)</w:t>
      </w:r>
    </w:p>
    <w:p w14:paraId="0A90EAA8" w14:textId="77777777" w:rsidR="008B78F4" w:rsidRDefault="008B78F4" w:rsidP="008B78F4">
      <w:pPr>
        <w:rPr>
          <w:shd w:val="clear" w:color="auto" w:fill="FFFFFF"/>
        </w:rPr>
      </w:pPr>
      <w:r>
        <w:rPr>
          <w:shd w:val="clear" w:color="auto" w:fill="FFFFFF"/>
        </w:rPr>
        <w:tab/>
      </w:r>
      <w:r>
        <w:rPr>
          <w:shd w:val="clear" w:color="auto" w:fill="FFFFFF"/>
        </w:rPr>
        <w:tab/>
      </w:r>
      <w:r>
        <w:rPr>
          <w:shd w:val="clear" w:color="auto" w:fill="FFFFFF"/>
        </w:rPr>
        <w:tab/>
        <w:t xml:space="preserve">  = 6738 / 9911.5</w:t>
      </w:r>
    </w:p>
    <w:p w14:paraId="7486D7DD" w14:textId="77777777" w:rsidR="008B78F4" w:rsidRDefault="008B78F4" w:rsidP="008B78F4">
      <w:pPr>
        <w:rPr>
          <w:shd w:val="clear" w:color="auto" w:fill="FFFFFF"/>
        </w:rPr>
      </w:pPr>
      <w:r>
        <w:rPr>
          <w:shd w:val="clear" w:color="auto" w:fill="FFFFFF"/>
        </w:rPr>
        <w:tab/>
      </w:r>
      <w:r>
        <w:rPr>
          <w:shd w:val="clear" w:color="auto" w:fill="FFFFFF"/>
        </w:rPr>
        <w:tab/>
      </w:r>
      <w:r>
        <w:rPr>
          <w:shd w:val="clear" w:color="auto" w:fill="FFFFFF"/>
        </w:rPr>
        <w:tab/>
        <w:t xml:space="preserve">  </w:t>
      </w:r>
      <w:r>
        <w:rPr>
          <w:b/>
          <w:bCs/>
          <w:shd w:val="clear" w:color="auto" w:fill="FFFFFF"/>
        </w:rPr>
        <w:t>= 0.6798</w:t>
      </w:r>
    </w:p>
    <w:p w14:paraId="74143943" w14:textId="77777777" w:rsidR="008B78F4" w:rsidRPr="00E2571D" w:rsidRDefault="008B78F4" w:rsidP="008B78F4">
      <w:pPr>
        <w:numPr>
          <w:ilvl w:val="0"/>
          <w:numId w:val="9"/>
        </w:numPr>
        <w:tabs>
          <w:tab w:val="clear" w:pos="720"/>
          <w:tab w:val="num" w:pos="360"/>
        </w:tabs>
        <w:suppressAutoHyphens/>
        <w:spacing w:after="0" w:line="360" w:lineRule="auto"/>
        <w:ind w:left="360"/>
        <w:rPr>
          <w:b/>
          <w:shd w:val="clear" w:color="auto" w:fill="FFFFFF"/>
        </w:rPr>
      </w:pPr>
      <w:r w:rsidRPr="00E2571D">
        <w:rPr>
          <w:b/>
          <w:bCs/>
          <w:shd w:val="clear" w:color="auto" w:fill="FFFFFF"/>
        </w:rPr>
        <w:t>Stock holding days = (Average inventory / Cost of goods sold) * 365</w:t>
      </w:r>
    </w:p>
    <w:p w14:paraId="46E5A278" w14:textId="77777777" w:rsidR="008B78F4" w:rsidRDefault="008B78F4" w:rsidP="008B78F4">
      <w:pPr>
        <w:rPr>
          <w:shd w:val="clear" w:color="auto" w:fill="FFFFFF"/>
        </w:rPr>
      </w:pPr>
      <w:r>
        <w:rPr>
          <w:shd w:val="clear" w:color="auto" w:fill="FFFFFF"/>
        </w:rPr>
        <w:tab/>
        <w:t xml:space="preserve">For the year 2020, </w:t>
      </w:r>
    </w:p>
    <w:p w14:paraId="7296BB6B" w14:textId="77777777" w:rsidR="008B78F4" w:rsidRDefault="008B78F4" w:rsidP="008B78F4">
      <w:pPr>
        <w:rPr>
          <w:shd w:val="clear" w:color="auto" w:fill="FFFFFF"/>
        </w:rPr>
      </w:pPr>
      <w:r>
        <w:rPr>
          <w:shd w:val="clear" w:color="auto" w:fill="FFFFFF"/>
        </w:rPr>
        <w:tab/>
        <w:t>Stock holding days = (659 / 3096) * 365</w:t>
      </w:r>
    </w:p>
    <w:p w14:paraId="1BA0F24E" w14:textId="77777777" w:rsidR="008B78F4" w:rsidRDefault="008B78F4" w:rsidP="008B78F4">
      <w:pPr>
        <w:ind w:left="1080" w:firstLine="720"/>
        <w:rPr>
          <w:shd w:val="clear" w:color="auto" w:fill="FFFFFF"/>
        </w:rPr>
      </w:pPr>
      <w:r>
        <w:rPr>
          <w:shd w:val="clear" w:color="auto" w:fill="FFFFFF"/>
        </w:rPr>
        <w:t xml:space="preserve">       = </w:t>
      </w:r>
      <w:r>
        <w:rPr>
          <w:b/>
          <w:bCs/>
          <w:shd w:val="clear" w:color="auto" w:fill="FFFFFF"/>
        </w:rPr>
        <w:t>78 days</w:t>
      </w:r>
    </w:p>
    <w:p w14:paraId="087C6CB0" w14:textId="77777777" w:rsidR="008B78F4" w:rsidRDefault="008B78F4" w:rsidP="008B78F4">
      <w:pPr>
        <w:rPr>
          <w:shd w:val="clear" w:color="auto" w:fill="FFFFFF"/>
        </w:rPr>
      </w:pPr>
      <w:r>
        <w:rPr>
          <w:shd w:val="clear" w:color="auto" w:fill="FFFFFF"/>
        </w:rPr>
        <w:tab/>
        <w:t>For the year 2021,</w:t>
      </w:r>
    </w:p>
    <w:p w14:paraId="286240F4" w14:textId="77777777" w:rsidR="008B78F4" w:rsidRDefault="008B78F4" w:rsidP="008B78F4">
      <w:pPr>
        <w:rPr>
          <w:shd w:val="clear" w:color="auto" w:fill="FFFFFF"/>
        </w:rPr>
      </w:pPr>
      <w:r>
        <w:rPr>
          <w:shd w:val="clear" w:color="auto" w:fill="FFFFFF"/>
        </w:rPr>
        <w:tab/>
        <w:t>Stock holding days = ([(708+659)/2] / 3235) * 365</w:t>
      </w:r>
    </w:p>
    <w:p w14:paraId="5C62A023" w14:textId="77777777" w:rsidR="008B78F4" w:rsidRDefault="008B78F4" w:rsidP="008B78F4">
      <w:pPr>
        <w:ind w:left="1800"/>
        <w:rPr>
          <w:shd w:val="clear" w:color="auto" w:fill="FFFFFF"/>
        </w:rPr>
      </w:pPr>
      <w:r>
        <w:rPr>
          <w:shd w:val="clear" w:color="auto" w:fill="FFFFFF"/>
        </w:rPr>
        <w:t xml:space="preserve">        = </w:t>
      </w:r>
      <w:r>
        <w:rPr>
          <w:b/>
          <w:bCs/>
          <w:shd w:val="clear" w:color="auto" w:fill="FFFFFF"/>
        </w:rPr>
        <w:t>77 days</w:t>
      </w:r>
    </w:p>
    <w:p w14:paraId="4EA65434" w14:textId="77777777" w:rsidR="008B78F4" w:rsidRPr="00E2571D" w:rsidRDefault="008B78F4" w:rsidP="008B78F4">
      <w:pPr>
        <w:numPr>
          <w:ilvl w:val="0"/>
          <w:numId w:val="10"/>
        </w:numPr>
        <w:tabs>
          <w:tab w:val="clear" w:pos="720"/>
          <w:tab w:val="num" w:pos="360"/>
        </w:tabs>
        <w:suppressAutoHyphens/>
        <w:spacing w:after="0" w:line="360" w:lineRule="auto"/>
        <w:ind w:left="360"/>
        <w:jc w:val="both"/>
        <w:rPr>
          <w:b/>
          <w:shd w:val="clear" w:color="auto" w:fill="FFFFFF"/>
        </w:rPr>
      </w:pPr>
      <w:r w:rsidRPr="00E2571D">
        <w:rPr>
          <w:b/>
          <w:bCs/>
          <w:shd w:val="clear" w:color="auto" w:fill="FFFFFF"/>
        </w:rPr>
        <w:t>Debtor's collection period = (Account receivable / sales turnover) * 365</w:t>
      </w:r>
    </w:p>
    <w:p w14:paraId="5DF92189" w14:textId="77777777" w:rsidR="008B78F4" w:rsidRDefault="008B78F4" w:rsidP="008B78F4">
      <w:pPr>
        <w:rPr>
          <w:shd w:val="clear" w:color="auto" w:fill="FFFFFF"/>
        </w:rPr>
      </w:pPr>
      <w:r>
        <w:rPr>
          <w:shd w:val="clear" w:color="auto" w:fill="FFFFFF"/>
        </w:rPr>
        <w:tab/>
        <w:t>For 2020,</w:t>
      </w:r>
    </w:p>
    <w:p w14:paraId="39886C05" w14:textId="77777777" w:rsidR="008B78F4" w:rsidRDefault="008B78F4" w:rsidP="008B78F4">
      <w:pPr>
        <w:rPr>
          <w:shd w:val="clear" w:color="auto" w:fill="FFFFFF"/>
        </w:rPr>
      </w:pPr>
      <w:r>
        <w:rPr>
          <w:shd w:val="clear" w:color="auto" w:fill="FFFFFF"/>
        </w:rPr>
        <w:tab/>
        <w:t xml:space="preserve">Debtor's collection period = (1287 / 6441) * 365 </w:t>
      </w:r>
    </w:p>
    <w:p w14:paraId="41A4E132" w14:textId="77777777" w:rsidR="008B78F4" w:rsidRDefault="008B78F4" w:rsidP="008B78F4">
      <w:pPr>
        <w:ind w:left="1800" w:firstLine="720"/>
        <w:rPr>
          <w:shd w:val="clear" w:color="auto" w:fill="FFFFFF"/>
        </w:rPr>
      </w:pPr>
      <w:r>
        <w:rPr>
          <w:shd w:val="clear" w:color="auto" w:fill="FFFFFF"/>
        </w:rPr>
        <w:t xml:space="preserve">      =</w:t>
      </w:r>
      <w:r>
        <w:rPr>
          <w:b/>
          <w:bCs/>
          <w:shd w:val="clear" w:color="auto" w:fill="FFFFFF"/>
        </w:rPr>
        <w:t xml:space="preserve"> 73 days</w:t>
      </w:r>
    </w:p>
    <w:p w14:paraId="6D600BC9" w14:textId="77777777" w:rsidR="008B78F4" w:rsidRDefault="008B78F4" w:rsidP="008B78F4">
      <w:pPr>
        <w:rPr>
          <w:shd w:val="clear" w:color="auto" w:fill="FFFFFF"/>
        </w:rPr>
      </w:pPr>
      <w:r>
        <w:rPr>
          <w:shd w:val="clear" w:color="auto" w:fill="FFFFFF"/>
        </w:rPr>
        <w:tab/>
        <w:t>For 2021,</w:t>
      </w:r>
    </w:p>
    <w:p w14:paraId="18B108F2" w14:textId="77777777" w:rsidR="008B78F4" w:rsidRDefault="008B78F4" w:rsidP="008B78F4">
      <w:pPr>
        <w:rPr>
          <w:shd w:val="clear" w:color="auto" w:fill="FFFFFF"/>
        </w:rPr>
      </w:pPr>
      <w:r>
        <w:rPr>
          <w:shd w:val="clear" w:color="auto" w:fill="FFFFFF"/>
        </w:rPr>
        <w:tab/>
        <w:t xml:space="preserve">Debtor's collection period = (1249 / 6738) * 365 </w:t>
      </w:r>
    </w:p>
    <w:p w14:paraId="5AB0E72E" w14:textId="77777777" w:rsidR="008B78F4" w:rsidRDefault="008B78F4" w:rsidP="008B78F4">
      <w:pPr>
        <w:ind w:left="1800" w:firstLine="720"/>
        <w:rPr>
          <w:shd w:val="clear" w:color="auto" w:fill="FFFFFF"/>
        </w:rPr>
      </w:pPr>
      <w:r>
        <w:rPr>
          <w:shd w:val="clear" w:color="auto" w:fill="FFFFFF"/>
        </w:rPr>
        <w:t xml:space="preserve">      = </w:t>
      </w:r>
      <w:r>
        <w:rPr>
          <w:b/>
          <w:bCs/>
          <w:shd w:val="clear" w:color="auto" w:fill="FFFFFF"/>
        </w:rPr>
        <w:t>68 days</w:t>
      </w:r>
    </w:p>
    <w:p w14:paraId="4FA1C38D" w14:textId="77777777" w:rsidR="008B78F4" w:rsidRPr="00E2571D" w:rsidRDefault="008B78F4" w:rsidP="008B78F4">
      <w:pPr>
        <w:numPr>
          <w:ilvl w:val="0"/>
          <w:numId w:val="11"/>
        </w:numPr>
        <w:tabs>
          <w:tab w:val="clear" w:pos="720"/>
          <w:tab w:val="num" w:pos="360"/>
        </w:tabs>
        <w:suppressAutoHyphens/>
        <w:spacing w:after="0" w:line="360" w:lineRule="auto"/>
        <w:ind w:left="360"/>
        <w:jc w:val="both"/>
        <w:rPr>
          <w:b/>
          <w:shd w:val="clear" w:color="auto" w:fill="FFFFFF"/>
        </w:rPr>
      </w:pPr>
      <w:r w:rsidRPr="00E2571D">
        <w:rPr>
          <w:b/>
          <w:bCs/>
          <w:shd w:val="clear" w:color="auto" w:fill="FFFFFF"/>
        </w:rPr>
        <w:t>Current ratio = current asset / current liabilities</w:t>
      </w:r>
    </w:p>
    <w:p w14:paraId="0BD7CB06" w14:textId="77777777" w:rsidR="008B78F4" w:rsidRDefault="008B78F4" w:rsidP="008B78F4">
      <w:pPr>
        <w:rPr>
          <w:shd w:val="clear" w:color="auto" w:fill="FFFFFF"/>
        </w:rPr>
      </w:pPr>
      <w:r>
        <w:rPr>
          <w:shd w:val="clear" w:color="auto" w:fill="FFFFFF"/>
        </w:rPr>
        <w:tab/>
        <w:t>For the year 2020,</w:t>
      </w:r>
    </w:p>
    <w:p w14:paraId="70944DA3" w14:textId="77777777" w:rsidR="008B78F4" w:rsidRDefault="008B78F4" w:rsidP="008B78F4">
      <w:pPr>
        <w:rPr>
          <w:shd w:val="clear" w:color="auto" w:fill="FFFFFF"/>
        </w:rPr>
      </w:pPr>
      <w:r>
        <w:rPr>
          <w:shd w:val="clear" w:color="auto" w:fill="FFFFFF"/>
        </w:rPr>
        <w:tab/>
        <w:t xml:space="preserve">Current ratio = 2355 / 3046 </w:t>
      </w:r>
    </w:p>
    <w:p w14:paraId="047369B8" w14:textId="77777777" w:rsidR="008B78F4" w:rsidRDefault="008B78F4" w:rsidP="008B78F4">
      <w:pPr>
        <w:ind w:left="1080"/>
        <w:rPr>
          <w:shd w:val="clear" w:color="auto" w:fill="FFFFFF"/>
        </w:rPr>
      </w:pPr>
      <w:r>
        <w:rPr>
          <w:shd w:val="clear" w:color="auto" w:fill="FFFFFF"/>
        </w:rPr>
        <w:t xml:space="preserve">         = </w:t>
      </w:r>
      <w:r>
        <w:rPr>
          <w:b/>
          <w:bCs/>
          <w:shd w:val="clear" w:color="auto" w:fill="FFFFFF"/>
        </w:rPr>
        <w:t>0.77 times</w:t>
      </w:r>
    </w:p>
    <w:p w14:paraId="5AAB62ED" w14:textId="77777777" w:rsidR="008B78F4" w:rsidRDefault="008B78F4" w:rsidP="008B78F4">
      <w:pPr>
        <w:rPr>
          <w:shd w:val="clear" w:color="auto" w:fill="FFFFFF"/>
        </w:rPr>
      </w:pPr>
      <w:r>
        <w:rPr>
          <w:shd w:val="clear" w:color="auto" w:fill="FFFFFF"/>
        </w:rPr>
        <w:tab/>
        <w:t>For the year 2021,</w:t>
      </w:r>
    </w:p>
    <w:p w14:paraId="7BFF08F1" w14:textId="77777777" w:rsidR="008B78F4" w:rsidRDefault="008B78F4" w:rsidP="008B78F4">
      <w:pPr>
        <w:rPr>
          <w:shd w:val="clear" w:color="auto" w:fill="FFFFFF"/>
        </w:rPr>
      </w:pPr>
      <w:r>
        <w:rPr>
          <w:shd w:val="clear" w:color="auto" w:fill="FFFFFF"/>
        </w:rPr>
        <w:tab/>
        <w:t xml:space="preserve">Current ratio = 2303 / 2511 </w:t>
      </w:r>
    </w:p>
    <w:p w14:paraId="02070682" w14:textId="77777777" w:rsidR="008B78F4" w:rsidRDefault="008B78F4" w:rsidP="008B78F4">
      <w:pPr>
        <w:ind w:left="1080"/>
        <w:rPr>
          <w:shd w:val="clear" w:color="auto" w:fill="FFFFFF"/>
        </w:rPr>
      </w:pPr>
      <w:r>
        <w:rPr>
          <w:shd w:val="clear" w:color="auto" w:fill="FFFFFF"/>
        </w:rPr>
        <w:t xml:space="preserve">         = </w:t>
      </w:r>
      <w:r>
        <w:rPr>
          <w:b/>
          <w:bCs/>
          <w:shd w:val="clear" w:color="auto" w:fill="FFFFFF"/>
        </w:rPr>
        <w:t>0.92 times</w:t>
      </w:r>
    </w:p>
    <w:p w14:paraId="62914D91" w14:textId="77777777" w:rsidR="008B78F4" w:rsidRPr="00E2571D" w:rsidRDefault="008B78F4" w:rsidP="008B78F4">
      <w:pPr>
        <w:numPr>
          <w:ilvl w:val="0"/>
          <w:numId w:val="12"/>
        </w:numPr>
        <w:tabs>
          <w:tab w:val="clear" w:pos="720"/>
          <w:tab w:val="num" w:pos="360"/>
        </w:tabs>
        <w:suppressAutoHyphens/>
        <w:spacing w:after="0" w:line="360" w:lineRule="auto"/>
        <w:ind w:left="360"/>
        <w:jc w:val="both"/>
        <w:rPr>
          <w:b/>
          <w:bCs/>
          <w:shd w:val="clear" w:color="auto" w:fill="FFFFFF"/>
        </w:rPr>
      </w:pPr>
      <w:r w:rsidRPr="00E2571D">
        <w:rPr>
          <w:b/>
          <w:bCs/>
          <w:shd w:val="clear" w:color="auto" w:fill="FFFFFF"/>
        </w:rPr>
        <w:t>Gearing ratio</w:t>
      </w:r>
    </w:p>
    <w:p w14:paraId="7B59912F" w14:textId="77777777" w:rsidR="008B78F4" w:rsidRPr="0089459E" w:rsidRDefault="008B78F4" w:rsidP="008B78F4">
      <w:pPr>
        <w:rPr>
          <w:i/>
          <w:u w:val="single"/>
          <w:shd w:val="clear" w:color="auto" w:fill="FFFFFF"/>
        </w:rPr>
      </w:pPr>
      <w:r w:rsidRPr="0089459E">
        <w:rPr>
          <w:bCs/>
          <w:i/>
          <w:shd w:val="clear" w:color="auto" w:fill="FFFFFF"/>
        </w:rPr>
        <w:tab/>
      </w:r>
      <w:r w:rsidRPr="0089459E">
        <w:rPr>
          <w:bCs/>
          <w:i/>
          <w:u w:val="single"/>
          <w:shd w:val="clear" w:color="auto" w:fill="FFFFFF"/>
        </w:rPr>
        <w:t>(i) Debt to equity ratio = total debt / total equity</w:t>
      </w:r>
    </w:p>
    <w:p w14:paraId="3623C34B" w14:textId="77777777" w:rsidR="008B78F4" w:rsidRDefault="008B78F4" w:rsidP="008B78F4">
      <w:pPr>
        <w:rPr>
          <w:shd w:val="clear" w:color="auto" w:fill="FFFFFF"/>
        </w:rPr>
      </w:pPr>
      <w:r>
        <w:rPr>
          <w:shd w:val="clear" w:color="auto" w:fill="FFFFFF"/>
        </w:rPr>
        <w:lastRenderedPageBreak/>
        <w:tab/>
        <w:t xml:space="preserve">For the year ending 2020 </w:t>
      </w:r>
    </w:p>
    <w:p w14:paraId="1507DA9B" w14:textId="77777777" w:rsidR="008B78F4" w:rsidRDefault="008B78F4" w:rsidP="008B78F4">
      <w:pPr>
        <w:rPr>
          <w:shd w:val="clear" w:color="auto" w:fill="FFFFFF"/>
        </w:rPr>
      </w:pPr>
      <w:r>
        <w:rPr>
          <w:shd w:val="clear" w:color="auto" w:fill="FFFFFF"/>
        </w:rPr>
        <w:tab/>
        <w:t xml:space="preserve">Debt to equity ratio = 7175 / 2912 </w:t>
      </w:r>
    </w:p>
    <w:p w14:paraId="695A3549" w14:textId="77777777" w:rsidR="008B78F4" w:rsidRDefault="008B78F4" w:rsidP="008B78F4">
      <w:pPr>
        <w:ind w:left="1080" w:firstLine="720"/>
        <w:rPr>
          <w:shd w:val="clear" w:color="auto" w:fill="FFFFFF"/>
        </w:rPr>
      </w:pPr>
      <w:r>
        <w:rPr>
          <w:shd w:val="clear" w:color="auto" w:fill="FFFFFF"/>
        </w:rPr>
        <w:t xml:space="preserve">        = </w:t>
      </w:r>
      <w:r>
        <w:rPr>
          <w:b/>
          <w:bCs/>
          <w:shd w:val="clear" w:color="auto" w:fill="FFFFFF"/>
        </w:rPr>
        <w:t>2.46</w:t>
      </w:r>
    </w:p>
    <w:p w14:paraId="44BB2E93" w14:textId="77777777" w:rsidR="008B78F4" w:rsidRDefault="008B78F4" w:rsidP="008B78F4">
      <w:pPr>
        <w:rPr>
          <w:shd w:val="clear" w:color="auto" w:fill="FFFFFF"/>
        </w:rPr>
      </w:pPr>
      <w:r>
        <w:rPr>
          <w:shd w:val="clear" w:color="auto" w:fill="FFFFFF"/>
        </w:rPr>
        <w:tab/>
        <w:t>For the year ending 2021</w:t>
      </w:r>
    </w:p>
    <w:p w14:paraId="5BF69D4F" w14:textId="77777777" w:rsidR="008B78F4" w:rsidRDefault="008B78F4" w:rsidP="008B78F4">
      <w:pPr>
        <w:rPr>
          <w:shd w:val="clear" w:color="auto" w:fill="FFFFFF"/>
        </w:rPr>
      </w:pPr>
      <w:r>
        <w:rPr>
          <w:shd w:val="clear" w:color="auto" w:fill="FFFFFF"/>
        </w:rPr>
        <w:tab/>
        <w:t xml:space="preserve">Debt to equity ratio = 6648 / 3088 </w:t>
      </w:r>
    </w:p>
    <w:p w14:paraId="1EFDCCB9" w14:textId="77777777" w:rsidR="008B78F4" w:rsidRDefault="008B78F4" w:rsidP="008B78F4">
      <w:pPr>
        <w:ind w:left="1080" w:firstLine="720"/>
        <w:rPr>
          <w:b/>
          <w:bCs/>
          <w:shd w:val="clear" w:color="auto" w:fill="FFFFFF"/>
        </w:rPr>
      </w:pPr>
      <w:r>
        <w:rPr>
          <w:shd w:val="clear" w:color="auto" w:fill="FFFFFF"/>
        </w:rPr>
        <w:t xml:space="preserve">        = </w:t>
      </w:r>
      <w:r>
        <w:rPr>
          <w:b/>
          <w:bCs/>
          <w:shd w:val="clear" w:color="auto" w:fill="FFFFFF"/>
        </w:rPr>
        <w:t>2.15</w:t>
      </w:r>
    </w:p>
    <w:p w14:paraId="09A393B3" w14:textId="77777777" w:rsidR="008B78F4" w:rsidRPr="0089459E" w:rsidRDefault="008B78F4" w:rsidP="008B78F4">
      <w:pPr>
        <w:rPr>
          <w:i/>
          <w:u w:val="single"/>
          <w:shd w:val="clear" w:color="auto" w:fill="FFFFFF"/>
        </w:rPr>
      </w:pPr>
      <w:r>
        <w:rPr>
          <w:b/>
          <w:bCs/>
          <w:shd w:val="clear" w:color="auto" w:fill="FFFFFF"/>
        </w:rPr>
        <w:tab/>
      </w:r>
      <w:r w:rsidRPr="0089459E">
        <w:rPr>
          <w:bCs/>
          <w:i/>
          <w:u w:val="single"/>
          <w:shd w:val="clear" w:color="auto" w:fill="FFFFFF"/>
        </w:rPr>
        <w:t>(ii) Equity ratio = total shareholder's equity / Total assets</w:t>
      </w:r>
    </w:p>
    <w:p w14:paraId="6366003C" w14:textId="77777777" w:rsidR="008B78F4" w:rsidRDefault="008B78F4" w:rsidP="008B78F4">
      <w:pPr>
        <w:rPr>
          <w:shd w:val="clear" w:color="auto" w:fill="FFFFFF"/>
        </w:rPr>
      </w:pPr>
      <w:r>
        <w:rPr>
          <w:shd w:val="clear" w:color="auto" w:fill="FFFFFF"/>
        </w:rPr>
        <w:tab/>
        <w:t xml:space="preserve">For the year 2020 </w:t>
      </w:r>
    </w:p>
    <w:p w14:paraId="5B23DF34" w14:textId="77777777" w:rsidR="008B78F4" w:rsidRDefault="008B78F4" w:rsidP="008B78F4">
      <w:pPr>
        <w:rPr>
          <w:shd w:val="clear" w:color="auto" w:fill="FFFFFF"/>
        </w:rPr>
      </w:pPr>
      <w:r>
        <w:rPr>
          <w:shd w:val="clear" w:color="auto" w:fill="FFFFFF"/>
        </w:rPr>
        <w:tab/>
        <w:t xml:space="preserve">Equity ratio = 2912 / 10087 </w:t>
      </w:r>
    </w:p>
    <w:p w14:paraId="0A36ACD4" w14:textId="77777777" w:rsidR="008B78F4" w:rsidRDefault="008B78F4" w:rsidP="008B78F4">
      <w:pPr>
        <w:ind w:left="1080"/>
        <w:rPr>
          <w:shd w:val="clear" w:color="auto" w:fill="FFFFFF"/>
        </w:rPr>
      </w:pPr>
      <w:r>
        <w:rPr>
          <w:shd w:val="clear" w:color="auto" w:fill="FFFFFF"/>
        </w:rPr>
        <w:t xml:space="preserve">        = </w:t>
      </w:r>
      <w:r>
        <w:rPr>
          <w:b/>
          <w:bCs/>
          <w:shd w:val="clear" w:color="auto" w:fill="FFFFFF"/>
        </w:rPr>
        <w:t>0.30</w:t>
      </w:r>
    </w:p>
    <w:p w14:paraId="6E90F9CF" w14:textId="77777777" w:rsidR="008B78F4" w:rsidRDefault="008B78F4" w:rsidP="008B78F4">
      <w:pPr>
        <w:rPr>
          <w:shd w:val="clear" w:color="auto" w:fill="FFFFFF"/>
        </w:rPr>
      </w:pPr>
      <w:r>
        <w:rPr>
          <w:shd w:val="clear" w:color="auto" w:fill="FFFFFF"/>
        </w:rPr>
        <w:tab/>
        <w:t>For the year 2021</w:t>
      </w:r>
    </w:p>
    <w:p w14:paraId="4ACC6E43" w14:textId="77777777" w:rsidR="008B78F4" w:rsidRDefault="008B78F4" w:rsidP="008B78F4">
      <w:pPr>
        <w:rPr>
          <w:shd w:val="clear" w:color="auto" w:fill="FFFFFF"/>
        </w:rPr>
      </w:pPr>
      <w:r>
        <w:rPr>
          <w:shd w:val="clear" w:color="auto" w:fill="FFFFFF"/>
        </w:rPr>
        <w:tab/>
        <w:t xml:space="preserve">Equity ratio = 3088 / 9736 </w:t>
      </w:r>
    </w:p>
    <w:p w14:paraId="1FAEE81E" w14:textId="77777777" w:rsidR="008B78F4" w:rsidRDefault="008B78F4" w:rsidP="008B78F4">
      <w:pPr>
        <w:ind w:left="1080"/>
        <w:rPr>
          <w:b/>
          <w:bCs/>
          <w:shd w:val="clear" w:color="auto" w:fill="FFFFFF"/>
        </w:rPr>
      </w:pPr>
      <w:r>
        <w:rPr>
          <w:shd w:val="clear" w:color="auto" w:fill="FFFFFF"/>
        </w:rPr>
        <w:t xml:space="preserve">        =</w:t>
      </w:r>
      <w:r>
        <w:rPr>
          <w:b/>
          <w:bCs/>
          <w:shd w:val="clear" w:color="auto" w:fill="FFFFFF"/>
        </w:rPr>
        <w:t xml:space="preserve"> 0.32</w:t>
      </w:r>
    </w:p>
    <w:p w14:paraId="140B9055" w14:textId="77777777" w:rsidR="008B78F4" w:rsidRPr="0076104D" w:rsidRDefault="008B78F4" w:rsidP="008B78F4">
      <w:pPr>
        <w:rPr>
          <w:i/>
          <w:u w:val="single"/>
          <w:shd w:val="clear" w:color="auto" w:fill="FFFFFF"/>
        </w:rPr>
      </w:pPr>
      <w:r>
        <w:rPr>
          <w:b/>
          <w:bCs/>
          <w:shd w:val="clear" w:color="auto" w:fill="FFFFFF"/>
        </w:rPr>
        <w:tab/>
      </w:r>
      <w:r w:rsidRPr="0076104D">
        <w:rPr>
          <w:bCs/>
          <w:i/>
          <w:u w:val="single"/>
          <w:shd w:val="clear" w:color="auto" w:fill="FFFFFF"/>
        </w:rPr>
        <w:t xml:space="preserve">(iii) Debt ratio = total debt / total assets </w:t>
      </w:r>
    </w:p>
    <w:p w14:paraId="1AACC0A8" w14:textId="77777777" w:rsidR="008B78F4" w:rsidRDefault="008B78F4" w:rsidP="008B78F4">
      <w:pPr>
        <w:rPr>
          <w:shd w:val="clear" w:color="auto" w:fill="FFFFFF"/>
        </w:rPr>
      </w:pPr>
      <w:r>
        <w:rPr>
          <w:shd w:val="clear" w:color="auto" w:fill="FFFFFF"/>
        </w:rPr>
        <w:tab/>
        <w:t xml:space="preserve">For 2020 </w:t>
      </w:r>
    </w:p>
    <w:p w14:paraId="7067B436" w14:textId="77777777" w:rsidR="008B78F4" w:rsidRDefault="008B78F4" w:rsidP="008B78F4">
      <w:pPr>
        <w:ind w:left="360"/>
        <w:rPr>
          <w:shd w:val="clear" w:color="auto" w:fill="FFFFFF"/>
        </w:rPr>
      </w:pPr>
      <w:r>
        <w:rPr>
          <w:shd w:val="clear" w:color="auto" w:fill="FFFFFF"/>
        </w:rPr>
        <w:t xml:space="preserve">Debt ratio = 7175 / 10087 </w:t>
      </w:r>
    </w:p>
    <w:p w14:paraId="55796AE2" w14:textId="77777777" w:rsidR="008B78F4" w:rsidRDefault="008B78F4" w:rsidP="008B78F4">
      <w:pPr>
        <w:ind w:left="1080"/>
        <w:rPr>
          <w:shd w:val="clear" w:color="auto" w:fill="FFFFFF"/>
        </w:rPr>
      </w:pPr>
      <w:r>
        <w:rPr>
          <w:shd w:val="clear" w:color="auto" w:fill="FFFFFF"/>
        </w:rPr>
        <w:t xml:space="preserve">     = </w:t>
      </w:r>
      <w:r>
        <w:rPr>
          <w:b/>
          <w:bCs/>
          <w:shd w:val="clear" w:color="auto" w:fill="FFFFFF"/>
        </w:rPr>
        <w:t>0.71</w:t>
      </w:r>
    </w:p>
    <w:p w14:paraId="2E065644" w14:textId="77777777" w:rsidR="008B78F4" w:rsidRDefault="008B78F4" w:rsidP="008B78F4">
      <w:pPr>
        <w:rPr>
          <w:shd w:val="clear" w:color="auto" w:fill="FFFFFF"/>
        </w:rPr>
      </w:pPr>
      <w:r>
        <w:rPr>
          <w:shd w:val="clear" w:color="auto" w:fill="FFFFFF"/>
        </w:rPr>
        <w:tab/>
        <w:t>For 2021</w:t>
      </w:r>
    </w:p>
    <w:p w14:paraId="44283356" w14:textId="77777777" w:rsidR="008B78F4" w:rsidRDefault="008B78F4" w:rsidP="008B78F4">
      <w:pPr>
        <w:rPr>
          <w:shd w:val="clear" w:color="auto" w:fill="FFFFFF"/>
        </w:rPr>
      </w:pPr>
      <w:r>
        <w:rPr>
          <w:shd w:val="clear" w:color="auto" w:fill="FFFFFF"/>
        </w:rPr>
        <w:tab/>
        <w:t xml:space="preserve">Debt ratio = 6648 / 9736 </w:t>
      </w:r>
    </w:p>
    <w:p w14:paraId="554652C4" w14:textId="77777777" w:rsidR="008B78F4" w:rsidRDefault="008B78F4" w:rsidP="008B78F4">
      <w:pPr>
        <w:ind w:left="360" w:firstLine="720"/>
        <w:rPr>
          <w:b/>
          <w:bCs/>
          <w:shd w:val="clear" w:color="auto" w:fill="FFFFFF"/>
        </w:rPr>
      </w:pPr>
      <w:r>
        <w:rPr>
          <w:shd w:val="clear" w:color="auto" w:fill="FFFFFF"/>
        </w:rPr>
        <w:t xml:space="preserve">     = </w:t>
      </w:r>
      <w:r>
        <w:rPr>
          <w:b/>
          <w:bCs/>
          <w:shd w:val="clear" w:color="auto" w:fill="FFFFFF"/>
        </w:rPr>
        <w:t>0.68</w:t>
      </w:r>
    </w:p>
    <w:p w14:paraId="05E211F5" w14:textId="77777777" w:rsidR="008B78F4" w:rsidRPr="00E2571D" w:rsidRDefault="008B78F4" w:rsidP="008B78F4">
      <w:pPr>
        <w:numPr>
          <w:ilvl w:val="0"/>
          <w:numId w:val="13"/>
        </w:numPr>
        <w:tabs>
          <w:tab w:val="clear" w:pos="720"/>
          <w:tab w:val="num" w:pos="360"/>
        </w:tabs>
        <w:suppressAutoHyphens/>
        <w:spacing w:after="0" w:line="360" w:lineRule="auto"/>
        <w:ind w:left="360"/>
        <w:jc w:val="both"/>
        <w:rPr>
          <w:b/>
          <w:shd w:val="clear" w:color="auto" w:fill="FFFFFF"/>
        </w:rPr>
      </w:pPr>
      <w:r w:rsidRPr="00E2571D">
        <w:rPr>
          <w:b/>
          <w:bCs/>
          <w:shd w:val="clear" w:color="auto" w:fill="FFFFFF"/>
        </w:rPr>
        <w:t>Interest cover ratio = Earnings before interest and taxes / Interest expense</w:t>
      </w:r>
    </w:p>
    <w:p w14:paraId="4CD794EE" w14:textId="77777777" w:rsidR="008B78F4" w:rsidRDefault="008B78F4" w:rsidP="008B78F4">
      <w:pPr>
        <w:rPr>
          <w:shd w:val="clear" w:color="auto" w:fill="FFFFFF"/>
        </w:rPr>
      </w:pPr>
      <w:r>
        <w:rPr>
          <w:shd w:val="clear" w:color="auto" w:fill="FFFFFF"/>
        </w:rPr>
        <w:tab/>
        <w:t>For the year ending 2020</w:t>
      </w:r>
    </w:p>
    <w:p w14:paraId="05795FC2" w14:textId="77777777" w:rsidR="008B78F4" w:rsidRDefault="008B78F4" w:rsidP="008B78F4">
      <w:pPr>
        <w:rPr>
          <w:shd w:val="clear" w:color="auto" w:fill="FFFFFF"/>
        </w:rPr>
      </w:pPr>
      <w:r>
        <w:rPr>
          <w:shd w:val="clear" w:color="auto" w:fill="FFFFFF"/>
        </w:rPr>
        <w:tab/>
        <w:t xml:space="preserve">Interest coverage ratio = 699 / 181 </w:t>
      </w:r>
    </w:p>
    <w:p w14:paraId="1C5B3B2B" w14:textId="77777777" w:rsidR="008B78F4" w:rsidRDefault="008B78F4" w:rsidP="008B78F4">
      <w:pPr>
        <w:ind w:left="1800" w:firstLine="720"/>
        <w:rPr>
          <w:shd w:val="clear" w:color="auto" w:fill="FFFFFF"/>
        </w:rPr>
      </w:pPr>
      <w:r>
        <w:rPr>
          <w:shd w:val="clear" w:color="auto" w:fill="FFFFFF"/>
        </w:rPr>
        <w:t xml:space="preserve">= </w:t>
      </w:r>
      <w:r>
        <w:rPr>
          <w:b/>
          <w:bCs/>
          <w:shd w:val="clear" w:color="auto" w:fill="FFFFFF"/>
        </w:rPr>
        <w:t>3.87</w:t>
      </w:r>
    </w:p>
    <w:p w14:paraId="72F9A21B" w14:textId="77777777" w:rsidR="008B78F4" w:rsidRDefault="008B78F4" w:rsidP="008B78F4">
      <w:pPr>
        <w:rPr>
          <w:shd w:val="clear" w:color="auto" w:fill="FFFFFF"/>
        </w:rPr>
      </w:pPr>
      <w:r>
        <w:rPr>
          <w:shd w:val="clear" w:color="auto" w:fill="FFFFFF"/>
        </w:rPr>
        <w:tab/>
        <w:t xml:space="preserve">For the year ending 2021 </w:t>
      </w:r>
    </w:p>
    <w:p w14:paraId="6DCCDC91" w14:textId="77777777" w:rsidR="008B78F4" w:rsidRDefault="008B78F4" w:rsidP="008B78F4">
      <w:pPr>
        <w:rPr>
          <w:shd w:val="clear" w:color="auto" w:fill="FFFFFF"/>
        </w:rPr>
      </w:pPr>
      <w:r>
        <w:rPr>
          <w:shd w:val="clear" w:color="auto" w:fill="FFFFFF"/>
        </w:rPr>
        <w:tab/>
        <w:t xml:space="preserve">Interest coverage ratio = 805 / 226 </w:t>
      </w:r>
    </w:p>
    <w:p w14:paraId="6736A321" w14:textId="77777777" w:rsidR="008B78F4" w:rsidRDefault="008B78F4" w:rsidP="008B78F4">
      <w:pPr>
        <w:ind w:left="1800" w:firstLine="720"/>
        <w:rPr>
          <w:shd w:val="clear" w:color="auto" w:fill="FFFFFF"/>
        </w:rPr>
      </w:pPr>
      <w:r>
        <w:rPr>
          <w:shd w:val="clear" w:color="auto" w:fill="FFFFFF"/>
        </w:rPr>
        <w:t>=</w:t>
      </w:r>
      <w:r>
        <w:rPr>
          <w:b/>
          <w:bCs/>
          <w:shd w:val="clear" w:color="auto" w:fill="FFFFFF"/>
        </w:rPr>
        <w:t xml:space="preserve"> 3.56</w:t>
      </w:r>
    </w:p>
    <w:p w14:paraId="7B86113D" w14:textId="6C992DDA" w:rsidR="008B78F4" w:rsidRPr="008B78F4" w:rsidRDefault="008B78F4" w:rsidP="008B78F4">
      <w:pPr>
        <w:numPr>
          <w:ilvl w:val="0"/>
          <w:numId w:val="3"/>
        </w:numPr>
        <w:suppressAutoHyphens/>
        <w:spacing w:after="0" w:line="360" w:lineRule="auto"/>
        <w:jc w:val="both"/>
        <w:rPr>
          <w:b/>
          <w:sz w:val="28"/>
          <w:szCs w:val="28"/>
          <w:u w:val="single"/>
        </w:rPr>
      </w:pPr>
      <w:r w:rsidRPr="008B78F4">
        <w:rPr>
          <w:b/>
          <w:sz w:val="28"/>
          <w:szCs w:val="28"/>
          <w:u w:val="single"/>
        </w:rPr>
        <w:t xml:space="preserve">Analysis of performance of </w:t>
      </w:r>
      <w:r w:rsidR="00C44655" w:rsidRPr="008B78F4">
        <w:rPr>
          <w:b/>
          <w:sz w:val="28"/>
          <w:szCs w:val="28"/>
          <w:u w:val="single"/>
        </w:rPr>
        <w:t>sweet</w:t>
      </w:r>
      <w:r w:rsidRPr="008B78F4">
        <w:rPr>
          <w:b/>
          <w:sz w:val="28"/>
          <w:szCs w:val="28"/>
          <w:u w:val="single"/>
        </w:rPr>
        <w:t xml:space="preserve"> plc.</w:t>
      </w:r>
    </w:p>
    <w:p w14:paraId="61503B08" w14:textId="5920C39F" w:rsidR="008B78F4" w:rsidRPr="001A105E" w:rsidRDefault="008B78F4" w:rsidP="008B78F4">
      <w:pPr>
        <w:rPr>
          <w:sz w:val="28"/>
          <w:szCs w:val="28"/>
        </w:rPr>
      </w:pPr>
      <w:r w:rsidRPr="008B78F4">
        <w:rPr>
          <w:b/>
          <w:sz w:val="28"/>
          <w:szCs w:val="28"/>
        </w:rPr>
        <w:t>Return on capital employed</w:t>
      </w:r>
      <w:r w:rsidRPr="008B78F4">
        <w:rPr>
          <w:b/>
          <w:sz w:val="24"/>
          <w:szCs w:val="24"/>
        </w:rPr>
        <w:t>:</w:t>
      </w:r>
      <w:r>
        <w:t xml:space="preserve"> </w:t>
      </w:r>
      <w:r w:rsidR="001A105E" w:rsidRPr="001A105E">
        <w:rPr>
          <w:sz w:val="28"/>
          <w:szCs w:val="28"/>
        </w:rPr>
        <w:t>It is a proportion which is utilized to survey the benefit position of the business (</w:t>
      </w:r>
      <w:proofErr w:type="spellStart"/>
      <w:r w:rsidR="001A105E" w:rsidRPr="001A105E">
        <w:rPr>
          <w:sz w:val="28"/>
          <w:szCs w:val="28"/>
        </w:rPr>
        <w:t>Funck</w:t>
      </w:r>
      <w:proofErr w:type="spellEnd"/>
      <w:r w:rsidR="001A105E" w:rsidRPr="001A105E">
        <w:rPr>
          <w:sz w:val="28"/>
          <w:szCs w:val="28"/>
        </w:rPr>
        <w:t xml:space="preserve">, and Karlsson, 2020). It tells about how much benefit business can produce by using the capital asset. The proportion </w:t>
      </w:r>
      <w:r w:rsidR="001A105E" w:rsidRPr="001A105E">
        <w:rPr>
          <w:sz w:val="28"/>
          <w:szCs w:val="28"/>
        </w:rPr>
        <w:lastRenderedPageBreak/>
        <w:t>determined for the equivalent were 9.93% and 11.14% for the year 2020 and 2021. This expansion in proportion shows that more benefit would be given to the investors and capital assets are used in an effective way.</w:t>
      </w:r>
    </w:p>
    <w:p w14:paraId="5DF59512" w14:textId="7C26FA14" w:rsidR="008B78F4" w:rsidRPr="0060597B" w:rsidRDefault="008B78F4" w:rsidP="008B78F4">
      <w:pPr>
        <w:rPr>
          <w:sz w:val="28"/>
          <w:szCs w:val="28"/>
        </w:rPr>
      </w:pPr>
      <w:r w:rsidRPr="008B78F4">
        <w:rPr>
          <w:b/>
          <w:sz w:val="28"/>
          <w:szCs w:val="28"/>
        </w:rPr>
        <w:t>Return on equity:</w:t>
      </w:r>
      <w:r>
        <w:t xml:space="preserve"> </w:t>
      </w:r>
      <w:r w:rsidR="0060597B" w:rsidRPr="0060597B">
        <w:rPr>
          <w:sz w:val="28"/>
          <w:szCs w:val="28"/>
        </w:rPr>
        <w:t xml:space="preserve">This proportion is used by the investors and financial backers to quantify how much return they would get for put away cash. The above estimation for the year finishing 2020 and 2021 is 12.57% and 13.96% individually. Such expanded proportion shows that business is </w:t>
      </w:r>
      <w:proofErr w:type="gramStart"/>
      <w:r w:rsidR="0060597B" w:rsidRPr="0060597B">
        <w:rPr>
          <w:sz w:val="28"/>
          <w:szCs w:val="28"/>
        </w:rPr>
        <w:t>actually using</w:t>
      </w:r>
      <w:proofErr w:type="gramEnd"/>
      <w:r w:rsidR="0060597B" w:rsidRPr="0060597B">
        <w:rPr>
          <w:sz w:val="28"/>
          <w:szCs w:val="28"/>
        </w:rPr>
        <w:t xml:space="preserve"> its assets to acquire benefit and give something similar to its investors.</w:t>
      </w:r>
    </w:p>
    <w:p w14:paraId="3164B459" w14:textId="3EFA89D2" w:rsidR="008B78F4" w:rsidRPr="00D22C1D" w:rsidRDefault="008B78F4" w:rsidP="008B78F4">
      <w:pPr>
        <w:rPr>
          <w:sz w:val="28"/>
          <w:szCs w:val="28"/>
        </w:rPr>
      </w:pPr>
      <w:r w:rsidRPr="008B78F4">
        <w:rPr>
          <w:b/>
          <w:sz w:val="28"/>
          <w:szCs w:val="28"/>
        </w:rPr>
        <w:t>Earnings per share</w:t>
      </w:r>
      <w:r w:rsidRPr="00D22C1D">
        <w:rPr>
          <w:b/>
          <w:sz w:val="28"/>
          <w:szCs w:val="28"/>
        </w:rPr>
        <w:t>:</w:t>
      </w:r>
      <w:r w:rsidRPr="00D22C1D">
        <w:rPr>
          <w:sz w:val="28"/>
          <w:szCs w:val="28"/>
        </w:rPr>
        <w:t xml:space="preserve"> </w:t>
      </w:r>
      <w:r w:rsidR="00D22C1D" w:rsidRPr="00D22C1D">
        <w:rPr>
          <w:sz w:val="28"/>
          <w:szCs w:val="28"/>
        </w:rPr>
        <w:t xml:space="preserve">It is utilized to decide the association's worth by working out the sum business is producing from each offer (Joseph, and </w:t>
      </w:r>
      <w:proofErr w:type="spellStart"/>
      <w:r w:rsidR="00D22C1D" w:rsidRPr="00D22C1D">
        <w:rPr>
          <w:sz w:val="28"/>
          <w:szCs w:val="28"/>
        </w:rPr>
        <w:t>Macgowan</w:t>
      </w:r>
      <w:proofErr w:type="spellEnd"/>
      <w:r w:rsidR="00D22C1D" w:rsidRPr="00D22C1D">
        <w:rPr>
          <w:sz w:val="28"/>
          <w:szCs w:val="28"/>
        </w:rPr>
        <w:t>, 2019). The estimation for the year 2020 and 2021 emerged to be 0.61 and 0.718 which tells that benefit age limit of association from single unit of offer is expanding.</w:t>
      </w:r>
    </w:p>
    <w:p w14:paraId="7F6787E1" w14:textId="0D371E1B" w:rsidR="008B78F4" w:rsidRPr="008B1B61" w:rsidRDefault="008B78F4" w:rsidP="008B78F4">
      <w:pPr>
        <w:rPr>
          <w:bCs/>
        </w:rPr>
      </w:pPr>
      <w:r w:rsidRPr="008B78F4">
        <w:rPr>
          <w:b/>
          <w:sz w:val="28"/>
          <w:szCs w:val="28"/>
        </w:rPr>
        <w:t>Net profit ratio</w:t>
      </w:r>
      <w:r w:rsidR="008B1B61" w:rsidRPr="008B1B61">
        <w:rPr>
          <w:b/>
          <w:sz w:val="28"/>
          <w:szCs w:val="28"/>
        </w:rPr>
        <w:t xml:space="preserve">: </w:t>
      </w:r>
      <w:r w:rsidR="008B1B61" w:rsidRPr="008B1B61">
        <w:rPr>
          <w:bCs/>
          <w:sz w:val="28"/>
          <w:szCs w:val="28"/>
        </w:rPr>
        <w:t>It tells how much benefit is being produced by the association by expanding its deals. For the year 2020 and 2021, proportion determined are 5.68% and 6.39% which shows that business is putting forth attempts to amplify its benefit by expanding its deals. Likewise, firm is utilizing different showcasing procedures with the goal that deals and benefits could be expanded.</w:t>
      </w:r>
    </w:p>
    <w:p w14:paraId="41D4C2DE" w14:textId="2C3F2571" w:rsidR="008B78F4" w:rsidRPr="00275F33" w:rsidRDefault="008B78F4" w:rsidP="008B78F4">
      <w:pPr>
        <w:rPr>
          <w:sz w:val="28"/>
          <w:szCs w:val="28"/>
        </w:rPr>
      </w:pPr>
      <w:r w:rsidRPr="008B78F4">
        <w:rPr>
          <w:b/>
          <w:sz w:val="28"/>
          <w:szCs w:val="28"/>
        </w:rPr>
        <w:t>Asset turnover ratio:</w:t>
      </w:r>
      <w:r>
        <w:t xml:space="preserve"> </w:t>
      </w:r>
      <w:r w:rsidR="00275F33" w:rsidRPr="00275F33">
        <w:rPr>
          <w:sz w:val="28"/>
          <w:szCs w:val="28"/>
        </w:rPr>
        <w:t>It distinguishes the proficiency of firm in expanding the deals by using the resources. The proportion determined for the equivalent is 0.6385 and 0.6798 for 2020 and 2021 separately. Least or no ascent in this proportion says that business can't completely use its resources for produce and increment deals.</w:t>
      </w:r>
    </w:p>
    <w:p w14:paraId="1A448981" w14:textId="5AD54BC2" w:rsidR="008B78F4" w:rsidRPr="006A7435" w:rsidRDefault="008B78F4" w:rsidP="008B78F4">
      <w:pPr>
        <w:rPr>
          <w:sz w:val="28"/>
          <w:szCs w:val="28"/>
        </w:rPr>
      </w:pPr>
      <w:r w:rsidRPr="008B78F4">
        <w:rPr>
          <w:b/>
          <w:sz w:val="28"/>
          <w:szCs w:val="28"/>
        </w:rPr>
        <w:t>Stock holding ratio:</w:t>
      </w:r>
      <w:r>
        <w:t xml:space="preserve"> </w:t>
      </w:r>
      <w:r w:rsidR="006A7435" w:rsidRPr="006A7435">
        <w:rPr>
          <w:sz w:val="28"/>
          <w:szCs w:val="28"/>
        </w:rPr>
        <w:t>This proportion is utilized to recognize the days that would be taken by the association for changing over the stocks into deals. The estimation for year finishing 2020 and 2021 is 78 and 77 days which tells that firm hasn't put forth any attempts to decrease the time taken by them to change over their stock into cash. Business has chosen to save its stock as stock for long length as opposed to successfully changing over it into deals.</w:t>
      </w:r>
    </w:p>
    <w:p w14:paraId="525BDEF2" w14:textId="1BADE76A" w:rsidR="008B78F4" w:rsidRPr="008B78F4" w:rsidRDefault="008B78F4" w:rsidP="008B78F4">
      <w:pPr>
        <w:rPr>
          <w:sz w:val="28"/>
          <w:szCs w:val="28"/>
        </w:rPr>
      </w:pPr>
      <w:r w:rsidRPr="008B78F4">
        <w:rPr>
          <w:b/>
          <w:sz w:val="28"/>
          <w:szCs w:val="28"/>
        </w:rPr>
        <w:t>Debtor collection period</w:t>
      </w:r>
      <w:r w:rsidRPr="003F0C15">
        <w:rPr>
          <w:b/>
        </w:rPr>
        <w:t>:</w:t>
      </w:r>
      <w:r>
        <w:t xml:space="preserve"> </w:t>
      </w:r>
      <w:r w:rsidR="00B254AA" w:rsidRPr="00B254AA">
        <w:rPr>
          <w:sz w:val="28"/>
          <w:szCs w:val="28"/>
        </w:rPr>
        <w:t xml:space="preserve">It connotes the time taken by the business in making assortment from its account holders. The proportion emerged to be 73 and 68 days for the year 2020 and 2021 separately. Such diminished proportion says that business is </w:t>
      </w:r>
      <w:proofErr w:type="gramStart"/>
      <w:r w:rsidR="00B254AA" w:rsidRPr="00B254AA">
        <w:rPr>
          <w:sz w:val="28"/>
          <w:szCs w:val="28"/>
        </w:rPr>
        <w:t>actually gathering</w:t>
      </w:r>
      <w:proofErr w:type="gramEnd"/>
      <w:r w:rsidR="00B254AA" w:rsidRPr="00B254AA">
        <w:rPr>
          <w:sz w:val="28"/>
          <w:szCs w:val="28"/>
        </w:rPr>
        <w:t xml:space="preserve"> the sum that is because of account holders so such cash can be reinvested</w:t>
      </w:r>
      <w:r w:rsidR="00B254AA" w:rsidRPr="00B254AA">
        <w:t>.</w:t>
      </w:r>
    </w:p>
    <w:p w14:paraId="2984D5E3" w14:textId="21782636" w:rsidR="008B78F4" w:rsidRPr="001017AC" w:rsidRDefault="008B78F4" w:rsidP="008B78F4">
      <w:pPr>
        <w:rPr>
          <w:sz w:val="28"/>
          <w:szCs w:val="28"/>
        </w:rPr>
      </w:pPr>
      <w:r w:rsidRPr="008B78F4">
        <w:rPr>
          <w:b/>
          <w:sz w:val="28"/>
          <w:szCs w:val="28"/>
        </w:rPr>
        <w:lastRenderedPageBreak/>
        <w:t>Current ratio</w:t>
      </w:r>
      <w:r w:rsidRPr="001017AC">
        <w:rPr>
          <w:b/>
          <w:sz w:val="28"/>
          <w:szCs w:val="28"/>
        </w:rPr>
        <w:t>:</w:t>
      </w:r>
      <w:r w:rsidRPr="001017AC">
        <w:rPr>
          <w:sz w:val="28"/>
          <w:szCs w:val="28"/>
        </w:rPr>
        <w:t xml:space="preserve"> </w:t>
      </w:r>
      <w:r w:rsidR="001017AC" w:rsidRPr="001017AC">
        <w:rPr>
          <w:sz w:val="28"/>
          <w:szCs w:val="28"/>
        </w:rPr>
        <w:t xml:space="preserve">It estimates the capacity of the element in gathering its ongoing commitment from the ongoing resources it holds. From the above computation, proportion determined for 2020 and 2021 are 0.77 and 0.92 separately. This ascent says that business can meet its transient commitment by completely using the ongoing resources. The proportion for both the years are still not exactly the ideal proportion which shows that firm is </w:t>
      </w:r>
      <w:proofErr w:type="gramStart"/>
      <w:r w:rsidR="001017AC" w:rsidRPr="001017AC">
        <w:rPr>
          <w:sz w:val="28"/>
          <w:szCs w:val="28"/>
        </w:rPr>
        <w:t>as yet</w:t>
      </w:r>
      <w:proofErr w:type="gramEnd"/>
      <w:r w:rsidR="001017AC" w:rsidRPr="001017AC">
        <w:rPr>
          <w:sz w:val="28"/>
          <w:szCs w:val="28"/>
        </w:rPr>
        <w:t xml:space="preserve"> expected to make drives to expand its capacity.</w:t>
      </w:r>
    </w:p>
    <w:p w14:paraId="680E357C" w14:textId="33E6DBCB" w:rsidR="008B78F4" w:rsidRPr="008B78F4" w:rsidRDefault="008B78F4" w:rsidP="008B78F4">
      <w:pPr>
        <w:rPr>
          <w:sz w:val="28"/>
          <w:szCs w:val="28"/>
        </w:rPr>
      </w:pPr>
      <w:r w:rsidRPr="008B78F4">
        <w:rPr>
          <w:b/>
          <w:sz w:val="28"/>
          <w:szCs w:val="28"/>
        </w:rPr>
        <w:t xml:space="preserve">Debt to equity </w:t>
      </w:r>
      <w:proofErr w:type="gramStart"/>
      <w:r w:rsidRPr="008B78F4">
        <w:rPr>
          <w:b/>
          <w:sz w:val="28"/>
          <w:szCs w:val="28"/>
        </w:rPr>
        <w:t>ratio</w:t>
      </w:r>
      <w:r w:rsidRPr="008B78F4">
        <w:rPr>
          <w:sz w:val="28"/>
          <w:szCs w:val="28"/>
        </w:rPr>
        <w:t xml:space="preserve"> </w:t>
      </w:r>
      <w:r w:rsidR="001F32A4" w:rsidRPr="001F32A4">
        <w:rPr>
          <w:sz w:val="28"/>
          <w:szCs w:val="28"/>
        </w:rPr>
        <w:t>:</w:t>
      </w:r>
      <w:proofErr w:type="gramEnd"/>
      <w:r w:rsidR="001F32A4" w:rsidRPr="001F32A4">
        <w:rPr>
          <w:sz w:val="28"/>
          <w:szCs w:val="28"/>
        </w:rPr>
        <w:t xml:space="preserve"> The proportion is being used by the association to recognize the monetary wellbeing and influence position (Cohen, and et.al.,2020). The proportion emerged to be 2.46 and 2.15 which shows that business has liked to utilize own resources and capital as opposed to acquired asset to contribute its tasks.</w:t>
      </w:r>
    </w:p>
    <w:p w14:paraId="0426D5F4" w14:textId="2B008EAC" w:rsidR="008B78F4" w:rsidRPr="00AB34C5" w:rsidRDefault="008B78F4" w:rsidP="008B78F4">
      <w:pPr>
        <w:rPr>
          <w:sz w:val="28"/>
          <w:szCs w:val="28"/>
        </w:rPr>
      </w:pPr>
      <w:r w:rsidRPr="008B78F4">
        <w:rPr>
          <w:b/>
          <w:sz w:val="28"/>
          <w:szCs w:val="28"/>
        </w:rPr>
        <w:t>Equity ratio</w:t>
      </w:r>
      <w:r w:rsidRPr="00AB34C5">
        <w:rPr>
          <w:b/>
          <w:sz w:val="28"/>
          <w:szCs w:val="28"/>
        </w:rPr>
        <w:t>:</w:t>
      </w:r>
      <w:r w:rsidRPr="00AB34C5">
        <w:rPr>
          <w:sz w:val="28"/>
          <w:szCs w:val="28"/>
        </w:rPr>
        <w:t xml:space="preserve"> </w:t>
      </w:r>
      <w:r w:rsidR="00AB34C5" w:rsidRPr="00AB34C5">
        <w:rPr>
          <w:sz w:val="28"/>
          <w:szCs w:val="28"/>
        </w:rPr>
        <w:t>It distinguishes how association is financing its tasks with its own resources or capital as opposed to fund-raising from market. The proportion is determined to survey the ability of firm in giving subsidizing to the above computation for the year 2020 and 2021 are 0.30 and 0.32 separately. It has been seen that no change has happened in capacity of the association connected with use of value assets to put resources into resources.</w:t>
      </w:r>
    </w:p>
    <w:p w14:paraId="60EAA770" w14:textId="3961A7B9" w:rsidR="008B78F4" w:rsidRPr="00FF5131" w:rsidRDefault="008B78F4" w:rsidP="008B78F4">
      <w:pPr>
        <w:rPr>
          <w:sz w:val="28"/>
          <w:szCs w:val="28"/>
        </w:rPr>
      </w:pPr>
      <w:r w:rsidRPr="008B78F4">
        <w:rPr>
          <w:b/>
          <w:sz w:val="28"/>
          <w:szCs w:val="28"/>
        </w:rPr>
        <w:t>Debt ratio</w:t>
      </w:r>
      <w:r w:rsidRPr="00FF5131">
        <w:rPr>
          <w:b/>
          <w:sz w:val="28"/>
          <w:szCs w:val="28"/>
        </w:rPr>
        <w:t>:</w:t>
      </w:r>
      <w:r w:rsidRPr="00FF5131">
        <w:rPr>
          <w:sz w:val="28"/>
          <w:szCs w:val="28"/>
        </w:rPr>
        <w:t xml:space="preserve"> </w:t>
      </w:r>
      <w:r w:rsidR="00FF5131" w:rsidRPr="00FF5131">
        <w:rPr>
          <w:sz w:val="28"/>
          <w:szCs w:val="28"/>
        </w:rPr>
        <w:t>This proportion tells how much cash is raised from the market to put resources into resources of business. The determined proportion for the year 2020 and 2021 is 0.71 and 0.68 which shows that element has chosen to diminish its reliance on acquired assets to build the worth of its resources.</w:t>
      </w:r>
    </w:p>
    <w:p w14:paraId="3A2A5FB7" w14:textId="0CE420E5" w:rsidR="00895DC9" w:rsidRPr="000C7031" w:rsidRDefault="008B78F4" w:rsidP="008B78F4">
      <w:pPr>
        <w:rPr>
          <w:sz w:val="28"/>
          <w:szCs w:val="28"/>
        </w:rPr>
      </w:pPr>
      <w:r w:rsidRPr="008B78F4">
        <w:rPr>
          <w:b/>
          <w:sz w:val="28"/>
          <w:szCs w:val="28"/>
        </w:rPr>
        <w:t>Interest coverage ratio</w:t>
      </w:r>
      <w:r w:rsidRPr="000C7031">
        <w:rPr>
          <w:b/>
          <w:sz w:val="28"/>
          <w:szCs w:val="28"/>
        </w:rPr>
        <w:t>:</w:t>
      </w:r>
      <w:r w:rsidRPr="000C7031">
        <w:rPr>
          <w:sz w:val="28"/>
          <w:szCs w:val="28"/>
        </w:rPr>
        <w:t xml:space="preserve"> </w:t>
      </w:r>
      <w:r w:rsidR="000C7031" w:rsidRPr="000C7031">
        <w:rPr>
          <w:sz w:val="28"/>
          <w:szCs w:val="28"/>
        </w:rPr>
        <w:t xml:space="preserve">It recognizes the probability of the firm making </w:t>
      </w:r>
      <w:r w:rsidR="000C7031" w:rsidRPr="000C7031">
        <w:rPr>
          <w:sz w:val="28"/>
          <w:szCs w:val="28"/>
        </w:rPr>
        <w:t>instalment</w:t>
      </w:r>
      <w:r w:rsidR="000C7031" w:rsidRPr="000C7031">
        <w:rPr>
          <w:sz w:val="28"/>
          <w:szCs w:val="28"/>
        </w:rPr>
        <w:t xml:space="preserve"> of the interest sum that should be paid for the obligation taken by the element (Wardlaw, 2020). The proportion for both the years is 3.87 and 3.56 which suggests that capacity of the firm in paying the interest on advance taken is decreased and they are required</w:t>
      </w:r>
    </w:p>
    <w:p w14:paraId="76728841" w14:textId="45D267E6" w:rsidR="008B78F4" w:rsidRDefault="008B78F4" w:rsidP="008B78F4">
      <w:pPr>
        <w:pStyle w:val="Heading1"/>
        <w:rPr>
          <w:b/>
          <w:bCs/>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23833180"/>
      <w:r w:rsidRPr="008B78F4">
        <w:rPr>
          <w:b/>
          <w:bCs/>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4"/>
      <w:r w:rsidRPr="008B78F4">
        <w:rPr>
          <w:b/>
          <w:bCs/>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3E8CC81" w14:textId="55B4BB8B" w:rsidR="002F2ADC" w:rsidRPr="002F2ADC" w:rsidRDefault="002F2ADC" w:rsidP="002F2ADC">
      <w:pPr>
        <w:rPr>
          <w:sz w:val="28"/>
          <w:szCs w:val="28"/>
        </w:rPr>
      </w:pPr>
      <w:r w:rsidRPr="002F2ADC">
        <w:rPr>
          <w:sz w:val="28"/>
          <w:szCs w:val="28"/>
        </w:rPr>
        <w:t xml:space="preserve">From the above report, it tends to be reasoned that bookkeeping is advantageous and valuable for both association and its partners. With the assistance of legitimate bookkeeping framework, various reports and explanations are produced by the substance, for example, monetary record, pay, and income articulation. By readiness of such reports, the executives can pursue choices to expand the development and benefits of the firm. These reports are additionally utilized by partners to acquire the information about </w:t>
      </w:r>
      <w:r w:rsidRPr="002F2ADC">
        <w:rPr>
          <w:sz w:val="28"/>
          <w:szCs w:val="28"/>
        </w:rPr>
        <w:lastRenderedPageBreak/>
        <w:t xml:space="preserve">the monetary and benefit position of the association. Various proportions are additionally determined to assess the presentation of the tasks. They give data </w:t>
      </w:r>
      <w:proofErr w:type="gramStart"/>
      <w:r w:rsidRPr="002F2ADC">
        <w:rPr>
          <w:sz w:val="28"/>
          <w:szCs w:val="28"/>
        </w:rPr>
        <w:t>in regards to</w:t>
      </w:r>
      <w:proofErr w:type="gramEnd"/>
      <w:r w:rsidRPr="002F2ADC">
        <w:rPr>
          <w:sz w:val="28"/>
          <w:szCs w:val="28"/>
        </w:rPr>
        <w:t xml:space="preserve"> liquidity, effectiveness, and productivity state of the business. These proportions are utilized by the executives, inner clients, and outer clients of the business to go with informed choice. Some of such choices incorporate speculation, expense to be charged, advance add up to be given, and so on.</w:t>
      </w:r>
    </w:p>
    <w:p w14:paraId="1079A334" w14:textId="77777777" w:rsidR="008B78F4" w:rsidRPr="008B78F4" w:rsidRDefault="008B78F4" w:rsidP="008B78F4">
      <w:pPr>
        <w:pStyle w:val="Heading1"/>
        <w:pageBreakBefore/>
        <w:rPr>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23833181"/>
      <w:r w:rsidRPr="008B78F4">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bookmarkEnd w:id="5"/>
    </w:p>
    <w:p w14:paraId="2576C2A1" w14:textId="77777777" w:rsidR="008B78F4" w:rsidRDefault="008B78F4" w:rsidP="008B78F4">
      <w:r>
        <w:rPr>
          <w:u w:val="single"/>
        </w:rPr>
        <w:t>Books and Journals</w:t>
      </w:r>
    </w:p>
    <w:p w14:paraId="581571EE" w14:textId="77777777" w:rsidR="008B78F4" w:rsidRDefault="008B78F4" w:rsidP="008B78F4">
      <w:pPr>
        <w:pStyle w:val="Standard"/>
        <w:ind w:left="871" w:hanging="855"/>
        <w:jc w:val="both"/>
        <w:rPr>
          <w:rFonts w:ascii="Times New Roman"/>
          <w:shd w:val="clear" w:color="auto" w:fill="FFFFFF"/>
        </w:rPr>
      </w:pPr>
      <w:r>
        <w:rPr>
          <w:rFonts w:ascii="Times New Roman"/>
          <w:color w:val="222222"/>
          <w:shd w:val="clear" w:color="auto" w:fill="FFFFFF"/>
        </w:rPr>
        <w:t>Antar, M., and et.al., 2021. Biomass for a sustainable bioeconomy: An overview of world biomass production and utilization. </w:t>
      </w:r>
      <w:r>
        <w:rPr>
          <w:rFonts w:ascii="Times New Roman"/>
          <w:i/>
          <w:color w:val="222222"/>
          <w:shd w:val="clear" w:color="auto" w:fill="FFFFFF"/>
        </w:rPr>
        <w:t>Renewable and Sustainable Energy Reviews.</w:t>
      </w:r>
      <w:r>
        <w:rPr>
          <w:rFonts w:ascii="Times New Roman"/>
          <w:color w:val="222222"/>
          <w:shd w:val="clear" w:color="auto" w:fill="FFFFFF"/>
        </w:rPr>
        <w:t> </w:t>
      </w:r>
      <w:r>
        <w:rPr>
          <w:rFonts w:ascii="Times New Roman"/>
          <w:i/>
          <w:color w:val="222222"/>
          <w:shd w:val="clear" w:color="auto" w:fill="FFFFFF"/>
        </w:rPr>
        <w:t>139.</w:t>
      </w:r>
      <w:r>
        <w:rPr>
          <w:rFonts w:ascii="Times New Roman"/>
          <w:color w:val="222222"/>
          <w:shd w:val="clear" w:color="auto" w:fill="FFFFFF"/>
        </w:rPr>
        <w:t xml:space="preserve"> p.110691.</w:t>
      </w:r>
    </w:p>
    <w:p w14:paraId="49C09053" w14:textId="77777777" w:rsidR="008B78F4" w:rsidRDefault="008B78F4" w:rsidP="008B78F4">
      <w:pPr>
        <w:pStyle w:val="Standard"/>
        <w:ind w:left="867" w:hanging="831"/>
        <w:jc w:val="both"/>
        <w:rPr>
          <w:rFonts w:ascii="Times New Roman"/>
          <w:shd w:val="clear" w:color="auto" w:fill="FFFFFF"/>
        </w:rPr>
      </w:pPr>
      <w:r>
        <w:rPr>
          <w:rFonts w:ascii="Times New Roman"/>
          <w:color w:val="222222"/>
          <w:shd w:val="clear" w:color="auto" w:fill="FFFFFF"/>
        </w:rPr>
        <w:t>Bayraktaroglu, A.E., Calisir, F. and Baskak, M., 2019. Intellectual capital and firm performance: an extended VAIC model. </w:t>
      </w:r>
      <w:r>
        <w:rPr>
          <w:rFonts w:ascii="Times New Roman"/>
          <w:i/>
          <w:color w:val="222222"/>
          <w:shd w:val="clear" w:color="auto" w:fill="FFFFFF"/>
        </w:rPr>
        <w:t>Journal of Intellectual Capital</w:t>
      </w:r>
      <w:r>
        <w:rPr>
          <w:rFonts w:ascii="Times New Roman"/>
          <w:color w:val="222222"/>
          <w:shd w:val="clear" w:color="auto" w:fill="FFFFFF"/>
        </w:rPr>
        <w:t>.</w:t>
      </w:r>
    </w:p>
    <w:p w14:paraId="7B6DAA53" w14:textId="334EA226" w:rsidR="008B78F4" w:rsidRDefault="008B78F4" w:rsidP="008B78F4">
      <w:pPr>
        <w:pStyle w:val="Standard"/>
        <w:ind w:left="867" w:hanging="831"/>
        <w:jc w:val="both"/>
        <w:rPr>
          <w:rFonts w:ascii="Times New Roman"/>
          <w:shd w:val="clear" w:color="auto" w:fill="FFFFFF"/>
        </w:rPr>
      </w:pPr>
      <w:r>
        <w:rPr>
          <w:rFonts w:ascii="Times New Roman"/>
          <w:color w:val="222222"/>
          <w:shd w:val="clear" w:color="auto" w:fill="FFFFFF"/>
        </w:rPr>
        <w:t xml:space="preserve">Carrillo-Nieves, D., and et.al.,2019. </w:t>
      </w:r>
      <w:r w:rsidR="00C44655">
        <w:rPr>
          <w:rFonts w:ascii="Times New Roman"/>
          <w:color w:val="222222"/>
          <w:shd w:val="clear" w:color="auto" w:fill="FFFFFF"/>
        </w:rPr>
        <w:t>Status</w:t>
      </w:r>
      <w:r>
        <w:rPr>
          <w:rFonts w:ascii="Times New Roman"/>
          <w:color w:val="222222"/>
          <w:shd w:val="clear" w:color="auto" w:fill="FFFFFF"/>
        </w:rPr>
        <w:t xml:space="preserve"> and future trends of bioethanol production from agro-industrial wastes in Mexico. </w:t>
      </w:r>
      <w:r>
        <w:rPr>
          <w:rFonts w:ascii="Times New Roman"/>
          <w:i/>
          <w:color w:val="222222"/>
          <w:shd w:val="clear" w:color="auto" w:fill="FFFFFF"/>
        </w:rPr>
        <w:t>Renewable and Sustainable Energy Reviews.</w:t>
      </w:r>
      <w:r>
        <w:rPr>
          <w:rFonts w:ascii="Times New Roman"/>
          <w:color w:val="222222"/>
          <w:shd w:val="clear" w:color="auto" w:fill="FFFFFF"/>
        </w:rPr>
        <w:t> </w:t>
      </w:r>
      <w:r>
        <w:rPr>
          <w:rFonts w:ascii="Times New Roman"/>
          <w:i/>
          <w:color w:val="222222"/>
          <w:shd w:val="clear" w:color="auto" w:fill="FFFFFF"/>
        </w:rPr>
        <w:t>102.</w:t>
      </w:r>
      <w:r>
        <w:rPr>
          <w:rFonts w:ascii="Times New Roman"/>
          <w:color w:val="222222"/>
          <w:shd w:val="clear" w:color="auto" w:fill="FFFFFF"/>
        </w:rPr>
        <w:t xml:space="preserve"> pp.63-74.</w:t>
      </w:r>
    </w:p>
    <w:p w14:paraId="392C1AC1" w14:textId="77777777" w:rsidR="008B78F4" w:rsidRDefault="008B78F4" w:rsidP="008B78F4">
      <w:pPr>
        <w:pStyle w:val="Standard"/>
        <w:ind w:left="867" w:hanging="831"/>
        <w:jc w:val="both"/>
        <w:rPr>
          <w:rFonts w:ascii="Times New Roman"/>
          <w:shd w:val="clear" w:color="auto" w:fill="FFFFFF"/>
        </w:rPr>
      </w:pPr>
      <w:r>
        <w:rPr>
          <w:rFonts w:ascii="Times New Roman"/>
          <w:color w:val="222222"/>
          <w:shd w:val="clear" w:color="auto" w:fill="FFFFFF"/>
        </w:rPr>
        <w:t>Cohen, D., and et.al.,2020. Measuring real activity management. </w:t>
      </w:r>
      <w:r>
        <w:rPr>
          <w:rFonts w:ascii="Times New Roman"/>
          <w:i/>
          <w:color w:val="222222"/>
          <w:shd w:val="clear" w:color="auto" w:fill="FFFFFF"/>
        </w:rPr>
        <w:t>Contemporary Accounting Research.</w:t>
      </w:r>
      <w:r>
        <w:rPr>
          <w:rFonts w:ascii="Times New Roman"/>
          <w:color w:val="222222"/>
          <w:shd w:val="clear" w:color="auto" w:fill="FFFFFF"/>
        </w:rPr>
        <w:t> </w:t>
      </w:r>
      <w:r>
        <w:rPr>
          <w:rFonts w:ascii="Times New Roman"/>
          <w:i/>
          <w:color w:val="222222"/>
          <w:shd w:val="clear" w:color="auto" w:fill="FFFFFF"/>
        </w:rPr>
        <w:t>37</w:t>
      </w:r>
      <w:r>
        <w:rPr>
          <w:rFonts w:ascii="Times New Roman"/>
          <w:color w:val="222222"/>
          <w:shd w:val="clear" w:color="auto" w:fill="FFFFFF"/>
        </w:rPr>
        <w:t>(2). pp.1172-1198.</w:t>
      </w:r>
    </w:p>
    <w:p w14:paraId="6C0B2777" w14:textId="77777777" w:rsidR="008B78F4" w:rsidRDefault="008B78F4" w:rsidP="008B78F4">
      <w:pPr>
        <w:pStyle w:val="Standard"/>
        <w:ind w:left="867" w:hanging="831"/>
        <w:jc w:val="both"/>
        <w:rPr>
          <w:rFonts w:ascii="Times New Roman"/>
          <w:shd w:val="clear" w:color="auto" w:fill="FFFFFF"/>
        </w:rPr>
      </w:pPr>
      <w:r>
        <w:rPr>
          <w:rFonts w:ascii="Times New Roman"/>
          <w:color w:val="222222"/>
          <w:shd w:val="clear" w:color="auto" w:fill="FFFFFF"/>
        </w:rPr>
        <w:t>Ferry, L. and Ahrens, T., 2022. The future of the regulatory space in local government audit: A comparative study of the four countries of the United Kingdom. </w:t>
      </w:r>
      <w:r>
        <w:rPr>
          <w:rFonts w:ascii="Times New Roman"/>
          <w:i/>
          <w:color w:val="222222"/>
          <w:shd w:val="clear" w:color="auto" w:fill="FFFFFF"/>
        </w:rPr>
        <w:t>Financial Accountability &amp; Management.</w:t>
      </w:r>
      <w:r>
        <w:rPr>
          <w:rFonts w:ascii="Times New Roman"/>
          <w:color w:val="222222"/>
          <w:shd w:val="clear" w:color="auto" w:fill="FFFFFF"/>
        </w:rPr>
        <w:t> </w:t>
      </w:r>
      <w:r>
        <w:rPr>
          <w:rFonts w:ascii="Times New Roman"/>
          <w:i/>
          <w:color w:val="222222"/>
          <w:shd w:val="clear" w:color="auto" w:fill="FFFFFF"/>
        </w:rPr>
        <w:t>38</w:t>
      </w:r>
      <w:r>
        <w:rPr>
          <w:rFonts w:ascii="Times New Roman"/>
          <w:color w:val="222222"/>
          <w:shd w:val="clear" w:color="auto" w:fill="FFFFFF"/>
        </w:rPr>
        <w:t>(3). pp.376-393.</w:t>
      </w:r>
    </w:p>
    <w:p w14:paraId="02F5F9C5" w14:textId="77777777" w:rsidR="008B78F4" w:rsidRDefault="008B78F4" w:rsidP="008B78F4">
      <w:pPr>
        <w:pStyle w:val="Standard"/>
        <w:ind w:left="867" w:hanging="831"/>
        <w:jc w:val="both"/>
        <w:rPr>
          <w:rFonts w:ascii="Times New Roman"/>
          <w:shd w:val="clear" w:color="auto" w:fill="FFFFFF"/>
        </w:rPr>
      </w:pPr>
      <w:r>
        <w:rPr>
          <w:rFonts w:ascii="Times New Roman"/>
          <w:color w:val="222222"/>
          <w:shd w:val="clear" w:color="auto" w:fill="FFFFFF"/>
        </w:rPr>
        <w:t>Funck, E.K. and Karlsson, T.S., 2020. Twenty‐five years of studying new public management in public administration: Accomplishments and limitations. </w:t>
      </w:r>
      <w:r>
        <w:rPr>
          <w:rFonts w:ascii="Times New Roman"/>
          <w:i/>
          <w:color w:val="222222"/>
          <w:shd w:val="clear" w:color="auto" w:fill="FFFFFF"/>
        </w:rPr>
        <w:t>Financial Accountability &amp; Management.</w:t>
      </w:r>
      <w:r>
        <w:rPr>
          <w:rFonts w:ascii="Times New Roman"/>
          <w:color w:val="222222"/>
          <w:shd w:val="clear" w:color="auto" w:fill="FFFFFF"/>
        </w:rPr>
        <w:t> </w:t>
      </w:r>
      <w:r>
        <w:rPr>
          <w:rFonts w:ascii="Times New Roman"/>
          <w:i/>
          <w:color w:val="222222"/>
          <w:shd w:val="clear" w:color="auto" w:fill="FFFFFF"/>
        </w:rPr>
        <w:t>36</w:t>
      </w:r>
      <w:r>
        <w:rPr>
          <w:rFonts w:ascii="Times New Roman"/>
          <w:color w:val="222222"/>
          <w:shd w:val="clear" w:color="auto" w:fill="FFFFFF"/>
        </w:rPr>
        <w:t>(4). pp.347-375.</w:t>
      </w:r>
    </w:p>
    <w:p w14:paraId="317B9FA8" w14:textId="77777777" w:rsidR="008B78F4" w:rsidRDefault="008B78F4" w:rsidP="008B78F4">
      <w:pPr>
        <w:pStyle w:val="Standard"/>
        <w:ind w:left="867" w:hanging="831"/>
        <w:jc w:val="both"/>
        <w:rPr>
          <w:rFonts w:ascii="Times New Roman"/>
          <w:shd w:val="clear" w:color="auto" w:fill="FFFFFF"/>
        </w:rPr>
      </w:pPr>
      <w:r>
        <w:rPr>
          <w:rFonts w:ascii="Times New Roman"/>
          <w:color w:val="222222"/>
          <w:shd w:val="clear" w:color="auto" w:fill="FFFFFF"/>
        </w:rPr>
        <w:t>Joseph, R. and Macgowan, M.J., 2019. The theory evaluation scale: An epistemological tool for analyzing social work theories. </w:t>
      </w:r>
      <w:r>
        <w:rPr>
          <w:rFonts w:ascii="Times New Roman"/>
          <w:i/>
          <w:color w:val="222222"/>
          <w:shd w:val="clear" w:color="auto" w:fill="FFFFFF"/>
        </w:rPr>
        <w:t>Social Work Education.</w:t>
      </w:r>
      <w:r>
        <w:rPr>
          <w:rFonts w:ascii="Times New Roman"/>
          <w:color w:val="222222"/>
          <w:shd w:val="clear" w:color="auto" w:fill="FFFFFF"/>
        </w:rPr>
        <w:t> </w:t>
      </w:r>
      <w:r>
        <w:rPr>
          <w:rFonts w:ascii="Times New Roman"/>
          <w:i/>
          <w:color w:val="222222"/>
          <w:shd w:val="clear" w:color="auto" w:fill="FFFFFF"/>
        </w:rPr>
        <w:t>38</w:t>
      </w:r>
      <w:r>
        <w:rPr>
          <w:rFonts w:ascii="Times New Roman"/>
          <w:color w:val="222222"/>
          <w:shd w:val="clear" w:color="auto" w:fill="FFFFFF"/>
        </w:rPr>
        <w:t>(2). pp.269-281.</w:t>
      </w:r>
    </w:p>
    <w:p w14:paraId="6EA8C680" w14:textId="77777777" w:rsidR="008B78F4" w:rsidRDefault="008B78F4" w:rsidP="008B78F4">
      <w:pPr>
        <w:pStyle w:val="Standard"/>
        <w:ind w:left="867" w:hanging="831"/>
        <w:jc w:val="both"/>
        <w:rPr>
          <w:rFonts w:ascii="Times New Roman"/>
          <w:shd w:val="clear" w:color="auto" w:fill="FFFFFF"/>
        </w:rPr>
      </w:pPr>
      <w:r>
        <w:rPr>
          <w:rFonts w:ascii="Times New Roman"/>
          <w:color w:val="222222"/>
          <w:shd w:val="clear" w:color="auto" w:fill="FFFFFF"/>
        </w:rPr>
        <w:t>Li, Y., and et.al., 2020. Financial distress, internal control, and earnings management: Evidence from China. </w:t>
      </w:r>
      <w:r>
        <w:rPr>
          <w:rFonts w:ascii="Times New Roman"/>
          <w:i/>
          <w:color w:val="222222"/>
          <w:shd w:val="clear" w:color="auto" w:fill="FFFFFF"/>
        </w:rPr>
        <w:t>Journal of Contemporary Accounting &amp; Economics.</w:t>
      </w:r>
      <w:r>
        <w:rPr>
          <w:rFonts w:ascii="Times New Roman"/>
          <w:color w:val="222222"/>
          <w:shd w:val="clear" w:color="auto" w:fill="FFFFFF"/>
        </w:rPr>
        <w:t> </w:t>
      </w:r>
      <w:r>
        <w:rPr>
          <w:rFonts w:ascii="Times New Roman"/>
          <w:i/>
          <w:color w:val="222222"/>
          <w:shd w:val="clear" w:color="auto" w:fill="FFFFFF"/>
        </w:rPr>
        <w:t>16</w:t>
      </w:r>
      <w:r>
        <w:rPr>
          <w:rFonts w:ascii="Times New Roman"/>
          <w:color w:val="222222"/>
          <w:shd w:val="clear" w:color="auto" w:fill="FFFFFF"/>
        </w:rPr>
        <w:t>(3). p.100210.</w:t>
      </w:r>
    </w:p>
    <w:p w14:paraId="5BD3FE81" w14:textId="77777777" w:rsidR="008B78F4" w:rsidRDefault="008B78F4" w:rsidP="008B78F4">
      <w:pPr>
        <w:pStyle w:val="Standard"/>
        <w:ind w:left="867" w:hanging="831"/>
        <w:jc w:val="both"/>
        <w:rPr>
          <w:rFonts w:ascii="Times New Roman"/>
          <w:shd w:val="clear" w:color="auto" w:fill="FFFFFF"/>
        </w:rPr>
      </w:pPr>
      <w:r>
        <w:rPr>
          <w:rFonts w:ascii="Times New Roman"/>
          <w:color w:val="222222"/>
          <w:shd w:val="clear" w:color="auto" w:fill="FFFFFF"/>
        </w:rPr>
        <w:t>Owoyemi, M.Y., 2020. Zakat management: The crisis of confidence in zakat agencies and the legality of giving zakat directly to the poor. </w:t>
      </w:r>
      <w:r>
        <w:rPr>
          <w:rFonts w:ascii="Times New Roman"/>
          <w:i/>
          <w:color w:val="222222"/>
          <w:shd w:val="clear" w:color="auto" w:fill="FFFFFF"/>
        </w:rPr>
        <w:t>Journal of Islamic Accounting and Business Research</w:t>
      </w:r>
      <w:r>
        <w:rPr>
          <w:rFonts w:ascii="Times New Roman"/>
          <w:color w:val="222222"/>
          <w:shd w:val="clear" w:color="auto" w:fill="FFFFFF"/>
        </w:rPr>
        <w:t>.</w:t>
      </w:r>
    </w:p>
    <w:p w14:paraId="6ED78B2E" w14:textId="77777777" w:rsidR="008B78F4" w:rsidRDefault="008B78F4" w:rsidP="008B78F4">
      <w:pPr>
        <w:pStyle w:val="Standard"/>
        <w:ind w:left="867" w:hanging="831"/>
        <w:jc w:val="both"/>
        <w:rPr>
          <w:rFonts w:ascii="Times New Roman"/>
          <w:shd w:val="clear" w:color="auto" w:fill="FFFFFF"/>
        </w:rPr>
      </w:pPr>
      <w:r>
        <w:rPr>
          <w:rFonts w:ascii="Times New Roman"/>
          <w:color w:val="222222"/>
          <w:shd w:val="clear" w:color="auto" w:fill="FFFFFF"/>
        </w:rPr>
        <w:t>Wardlaw, M., 2020. Measuring mutual fund flow pressure as shock to stock returns. </w:t>
      </w:r>
      <w:r>
        <w:rPr>
          <w:rFonts w:ascii="Times New Roman"/>
          <w:i/>
          <w:color w:val="222222"/>
          <w:shd w:val="clear" w:color="auto" w:fill="FFFFFF"/>
        </w:rPr>
        <w:t>The Journal of Finance.</w:t>
      </w:r>
      <w:r>
        <w:rPr>
          <w:rFonts w:ascii="Times New Roman"/>
          <w:color w:val="222222"/>
          <w:shd w:val="clear" w:color="auto" w:fill="FFFFFF"/>
        </w:rPr>
        <w:t> </w:t>
      </w:r>
      <w:r>
        <w:rPr>
          <w:rFonts w:ascii="Times New Roman"/>
          <w:i/>
          <w:color w:val="222222"/>
          <w:shd w:val="clear" w:color="auto" w:fill="FFFFFF"/>
        </w:rPr>
        <w:t>75</w:t>
      </w:r>
      <w:r>
        <w:rPr>
          <w:rFonts w:ascii="Times New Roman"/>
          <w:color w:val="222222"/>
          <w:shd w:val="clear" w:color="auto" w:fill="FFFFFF"/>
        </w:rPr>
        <w:t>(6). pp.3221-3243.</w:t>
      </w:r>
    </w:p>
    <w:p w14:paraId="5E034843" w14:textId="77777777" w:rsidR="008B78F4" w:rsidRDefault="008B78F4" w:rsidP="008B78F4">
      <w:pPr>
        <w:pStyle w:val="Standard"/>
        <w:spacing w:line="480" w:lineRule="auto"/>
        <w:ind w:left="867" w:hanging="831"/>
        <w:jc w:val="both"/>
        <w:rPr>
          <w:rFonts w:ascii="Times New Roman"/>
          <w:shd w:val="clear" w:color="auto" w:fill="FFFFFF"/>
        </w:rPr>
      </w:pPr>
    </w:p>
    <w:p w14:paraId="16C74A1A" w14:textId="77777777" w:rsidR="008B78F4" w:rsidRPr="00895DC9" w:rsidRDefault="008B78F4" w:rsidP="008B78F4">
      <w:pPr>
        <w:rPr>
          <w:sz w:val="96"/>
          <w:szCs w:val="96"/>
        </w:rPr>
      </w:pPr>
    </w:p>
    <w:sectPr w:rsidR="008B78F4" w:rsidRPr="00895D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9178D" w14:textId="77777777" w:rsidR="00EB5509" w:rsidRDefault="00EB5509" w:rsidP="008B78F4">
      <w:pPr>
        <w:spacing w:after="0" w:line="240" w:lineRule="auto"/>
      </w:pPr>
      <w:r>
        <w:separator/>
      </w:r>
    </w:p>
  </w:endnote>
  <w:endnote w:type="continuationSeparator" w:id="0">
    <w:p w14:paraId="4AE0E87F" w14:textId="77777777" w:rsidR="00EB5509" w:rsidRDefault="00EB5509" w:rsidP="008B7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nos">
    <w:altName w:val="MS Gothic"/>
    <w:charset w:val="80"/>
    <w:family w:val="roman"/>
    <w:pitch w:val="variable"/>
  </w:font>
  <w:font w:name="Noto Sans CJK SC">
    <w:charset w:val="00"/>
    <w:family w:val="auto"/>
    <w:pitch w:val="variable"/>
  </w:font>
  <w:font w:name="DejaVu Sans">
    <w:altName w:val="Yu Gothic"/>
    <w:charset w:val="80"/>
    <w:family w:val="auto"/>
    <w:pitch w:val="variable"/>
  </w:font>
  <w:font w:name="Bell MT">
    <w:panose1 w:val="02020503060305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8AAC0" w14:textId="77777777" w:rsidR="00EB5509" w:rsidRDefault="00EB5509" w:rsidP="008B78F4">
      <w:pPr>
        <w:spacing w:after="0" w:line="240" w:lineRule="auto"/>
      </w:pPr>
      <w:r>
        <w:separator/>
      </w:r>
    </w:p>
  </w:footnote>
  <w:footnote w:type="continuationSeparator" w:id="0">
    <w:p w14:paraId="3F1B7377" w14:textId="77777777" w:rsidR="00EB5509" w:rsidRDefault="00EB5509" w:rsidP="008B78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b w:val="0"/>
        <w:bCs w:val="0"/>
        <w:i w:val="0"/>
        <w:iCs w:val="0"/>
        <w:caps w:val="0"/>
        <w:smallCaps w:val="0"/>
        <w:color w:val="000000"/>
        <w:spacing w:val="0"/>
        <w:sz w:val="24"/>
        <w:szCs w:val="24"/>
        <w:shd w:val="clear" w:color="auto" w:fill="FFFFFF"/>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b w:val="0"/>
        <w:bCs w:val="0"/>
        <w:i w:val="0"/>
        <w:iCs w:val="0"/>
        <w:caps w:val="0"/>
        <w:smallCaps w:val="0"/>
        <w:color w:val="000000"/>
        <w:spacing w:val="0"/>
        <w:sz w:val="24"/>
        <w:szCs w:val="24"/>
        <w:shd w:val="clear" w:color="auto" w:fill="FFFFFF"/>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b w:val="0"/>
        <w:bCs w:val="0"/>
        <w:i w:val="0"/>
        <w:iCs w:val="0"/>
        <w:caps w:val="0"/>
        <w:smallCaps w:val="0"/>
        <w:color w:val="000000"/>
        <w:spacing w:val="0"/>
        <w:sz w:val="24"/>
        <w:szCs w:val="24"/>
        <w:shd w:val="clear" w:color="auto" w:fill="FFFFFF"/>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Times New Roman"/>
        <w:caps w:val="0"/>
        <w:smallCaps w:val="0"/>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caps w:val="0"/>
        <w:smallCaps w:val="0"/>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caps w:val="0"/>
        <w:smallCaps w:val="0"/>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5"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Times New Roman"/>
        <w:b w:val="0"/>
        <w:bCs w:val="0"/>
        <w:i w:val="0"/>
        <w:iCs w:val="0"/>
        <w:caps w:val="0"/>
        <w:smallCaps w:val="0"/>
        <w:color w:val="000000"/>
        <w:spacing w:val="0"/>
        <w:sz w:val="24"/>
        <w:szCs w:val="24"/>
        <w:shd w:val="clear" w:color="auto" w:fill="FFFFFF"/>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val="0"/>
        <w:iCs w:val="0"/>
        <w:caps w:val="0"/>
        <w:smallCaps w:val="0"/>
        <w:color w:val="000000"/>
        <w:spacing w:val="0"/>
        <w:sz w:val="24"/>
        <w:szCs w:val="24"/>
        <w:shd w:val="clear" w:color="auto" w:fill="FFFFFF"/>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val="0"/>
        <w:iCs w:val="0"/>
        <w:caps w:val="0"/>
        <w:smallCaps w:val="0"/>
        <w:color w:val="000000"/>
        <w:spacing w:val="0"/>
        <w:sz w:val="24"/>
        <w:szCs w:val="24"/>
        <w:shd w:val="clear" w:color="auto" w:fill="FFFFFF"/>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6"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48DA1D54"/>
    <w:multiLevelType w:val="hybridMultilevel"/>
    <w:tmpl w:val="2BA25396"/>
    <w:lvl w:ilvl="0" w:tplc="D2349680">
      <w:start w:val="1"/>
      <w:numFmt w:val="lowerLetter"/>
      <w:lvlText w:val="%1)"/>
      <w:lvlJc w:val="left"/>
      <w:pPr>
        <w:ind w:left="720" w:hanging="360"/>
      </w:pPr>
      <w:rPr>
        <w:rFonts w:eastAsia="Calibr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94362B"/>
    <w:multiLevelType w:val="hybridMultilevel"/>
    <w:tmpl w:val="E77411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3721606">
    <w:abstractNumId w:val="0"/>
  </w:num>
  <w:num w:numId="2" w16cid:durableId="944581293">
    <w:abstractNumId w:val="11"/>
  </w:num>
  <w:num w:numId="3" w16cid:durableId="468397607">
    <w:abstractNumId w:val="12"/>
  </w:num>
  <w:num w:numId="4" w16cid:durableId="1271930632">
    <w:abstractNumId w:val="1"/>
  </w:num>
  <w:num w:numId="5" w16cid:durableId="802382260">
    <w:abstractNumId w:val="2"/>
  </w:num>
  <w:num w:numId="6" w16cid:durableId="89589503">
    <w:abstractNumId w:val="3"/>
  </w:num>
  <w:num w:numId="7" w16cid:durableId="1201941433">
    <w:abstractNumId w:val="4"/>
  </w:num>
  <w:num w:numId="8" w16cid:durableId="459614772">
    <w:abstractNumId w:val="5"/>
  </w:num>
  <w:num w:numId="9" w16cid:durableId="1272055984">
    <w:abstractNumId w:val="6"/>
  </w:num>
  <w:num w:numId="10" w16cid:durableId="92870336">
    <w:abstractNumId w:val="7"/>
  </w:num>
  <w:num w:numId="11" w16cid:durableId="143663434">
    <w:abstractNumId w:val="8"/>
  </w:num>
  <w:num w:numId="12" w16cid:durableId="1463306066">
    <w:abstractNumId w:val="9"/>
  </w:num>
  <w:num w:numId="13" w16cid:durableId="12221306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DC9"/>
    <w:rsid w:val="000C7031"/>
    <w:rsid w:val="001017AC"/>
    <w:rsid w:val="001A105E"/>
    <w:rsid w:val="001F32A4"/>
    <w:rsid w:val="00275F33"/>
    <w:rsid w:val="002779F9"/>
    <w:rsid w:val="002F2ADC"/>
    <w:rsid w:val="005006EE"/>
    <w:rsid w:val="005645E3"/>
    <w:rsid w:val="0060597B"/>
    <w:rsid w:val="006A7435"/>
    <w:rsid w:val="007170BA"/>
    <w:rsid w:val="00746151"/>
    <w:rsid w:val="00895DC9"/>
    <w:rsid w:val="008B1B61"/>
    <w:rsid w:val="008B78F4"/>
    <w:rsid w:val="00950043"/>
    <w:rsid w:val="0098395E"/>
    <w:rsid w:val="00AB34C5"/>
    <w:rsid w:val="00AF5970"/>
    <w:rsid w:val="00B254AA"/>
    <w:rsid w:val="00C44655"/>
    <w:rsid w:val="00D22C1D"/>
    <w:rsid w:val="00EB5509"/>
    <w:rsid w:val="00FF5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5EE93"/>
  <w15:chartTrackingRefBased/>
  <w15:docId w15:val="{9419B4E6-EC9F-45E4-8AB2-D30050A8E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8B78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8B78F4"/>
    <w:pPr>
      <w:keepNext/>
      <w:keepLines/>
      <w:numPr>
        <w:ilvl w:val="1"/>
        <w:numId w:val="1"/>
      </w:numPr>
      <w:suppressAutoHyphens/>
      <w:spacing w:before="113" w:after="0" w:line="360" w:lineRule="auto"/>
      <w:jc w:val="both"/>
      <w:outlineLvl w:val="1"/>
    </w:pPr>
    <w:rPr>
      <w:rFonts w:ascii="Times New Roman" w:eastAsia="Times New Roman" w:hAnsi="Times New Roman" w:cs="Times New Roman"/>
      <w:bCs/>
      <w:color w:val="000000"/>
      <w:sz w:val="24"/>
      <w:szCs w:val="26"/>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B78F4"/>
    <w:rPr>
      <w:color w:val="000080"/>
      <w:u w:val="single"/>
    </w:rPr>
  </w:style>
  <w:style w:type="character" w:customStyle="1" w:styleId="Heading1Char">
    <w:name w:val="Heading 1 Char"/>
    <w:basedOn w:val="DefaultParagraphFont"/>
    <w:link w:val="Heading1"/>
    <w:uiPriority w:val="9"/>
    <w:rsid w:val="008B78F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B78F4"/>
    <w:pPr>
      <w:outlineLvl w:val="9"/>
    </w:pPr>
    <w:rPr>
      <w:rFonts w:ascii="Calibri Light" w:eastAsia="Times New Roman" w:hAnsi="Calibri Light" w:cs="Times New Roman"/>
      <w:color w:val="2E74B5"/>
      <w:lang w:val="en-US"/>
    </w:rPr>
  </w:style>
  <w:style w:type="paragraph" w:styleId="TOC1">
    <w:name w:val="toc 1"/>
    <w:basedOn w:val="Normal"/>
    <w:next w:val="Normal"/>
    <w:autoRedefine/>
    <w:uiPriority w:val="39"/>
    <w:unhideWhenUsed/>
    <w:rsid w:val="008B78F4"/>
    <w:pPr>
      <w:suppressAutoHyphens/>
      <w:spacing w:after="0" w:line="360" w:lineRule="auto"/>
      <w:jc w:val="both"/>
    </w:pPr>
    <w:rPr>
      <w:rFonts w:ascii="Times New Roman" w:eastAsia="Calibri" w:hAnsi="Times New Roman" w:cs="Times New Roman"/>
      <w:color w:val="000000"/>
      <w:sz w:val="24"/>
      <w:lang w:eastAsia="ar-SA"/>
    </w:rPr>
  </w:style>
  <w:style w:type="paragraph" w:styleId="TOC2">
    <w:name w:val="toc 2"/>
    <w:basedOn w:val="Normal"/>
    <w:next w:val="Normal"/>
    <w:autoRedefine/>
    <w:uiPriority w:val="39"/>
    <w:unhideWhenUsed/>
    <w:rsid w:val="008B78F4"/>
    <w:pPr>
      <w:suppressAutoHyphens/>
      <w:spacing w:after="0" w:line="360" w:lineRule="auto"/>
      <w:ind w:left="240"/>
      <w:jc w:val="both"/>
    </w:pPr>
    <w:rPr>
      <w:rFonts w:ascii="Times New Roman" w:eastAsia="Calibri" w:hAnsi="Times New Roman" w:cs="Times New Roman"/>
      <w:color w:val="000000"/>
      <w:sz w:val="24"/>
      <w:lang w:eastAsia="ar-SA"/>
    </w:rPr>
  </w:style>
  <w:style w:type="character" w:customStyle="1" w:styleId="Heading2Char">
    <w:name w:val="Heading 2 Char"/>
    <w:basedOn w:val="DefaultParagraphFont"/>
    <w:link w:val="Heading2"/>
    <w:rsid w:val="008B78F4"/>
    <w:rPr>
      <w:rFonts w:ascii="Times New Roman" w:eastAsia="Times New Roman" w:hAnsi="Times New Roman" w:cs="Times New Roman"/>
      <w:bCs/>
      <w:color w:val="000000"/>
      <w:sz w:val="24"/>
      <w:szCs w:val="26"/>
      <w:u w:val="single"/>
      <w:lang w:eastAsia="ar-SA"/>
    </w:rPr>
  </w:style>
  <w:style w:type="paragraph" w:customStyle="1" w:styleId="Standard">
    <w:name w:val="Standard"/>
    <w:rsid w:val="008B78F4"/>
    <w:pPr>
      <w:widowControl w:val="0"/>
      <w:suppressAutoHyphens/>
      <w:autoSpaceDN w:val="0"/>
      <w:spacing w:after="0" w:line="240" w:lineRule="auto"/>
    </w:pPr>
    <w:rPr>
      <w:rFonts w:ascii="Tinos" w:eastAsia="Noto Sans CJK SC" w:hAnsi="Times New Roman" w:cs="DejaVu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2202</Words>
  <Characters>12553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Mirena Terzieva (2130468)</dc:creator>
  <cp:keywords/>
  <dc:description/>
  <cp:lastModifiedBy>Mirena Terzieva (2130468)</cp:lastModifiedBy>
  <cp:revision>20</cp:revision>
  <dcterms:created xsi:type="dcterms:W3CDTF">2023-01-08T21:42:00Z</dcterms:created>
  <dcterms:modified xsi:type="dcterms:W3CDTF">2023-01-10T22:57:00Z</dcterms:modified>
</cp:coreProperties>
</file>