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D95BAE" w14:textId="77777777" w:rsidR="001C58A3" w:rsidRDefault="00000000">
      <w:pPr>
        <w:spacing w:before="120" w:after="120" w:line="360" w:lineRule="auto"/>
        <w:jc w:val="center"/>
      </w:pPr>
      <w:r>
        <w:rPr>
          <w:noProof/>
        </w:rPr>
        <w:drawing>
          <wp:inline distT="0" distB="0" distL="0" distR="0" wp14:anchorId="3AB5B7A3" wp14:editId="6852AD99">
            <wp:extent cx="1429885" cy="714943"/>
            <wp:effectExtent l="0" t="0" r="0" b="0"/>
            <wp:docPr id="3"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7"/>
                    <a:srcRect/>
                    <a:stretch>
                      <a:fillRect/>
                    </a:stretch>
                  </pic:blipFill>
                  <pic:spPr>
                    <a:xfrm>
                      <a:off x="0" y="0"/>
                      <a:ext cx="1429885" cy="714943"/>
                    </a:xfrm>
                    <a:prstGeom prst="rect">
                      <a:avLst/>
                    </a:prstGeom>
                    <a:ln/>
                  </pic:spPr>
                </pic:pic>
              </a:graphicData>
            </a:graphic>
          </wp:inline>
        </w:drawing>
      </w:r>
    </w:p>
    <w:p w14:paraId="6A9F0C4F" w14:textId="77777777" w:rsidR="001C58A3" w:rsidRDefault="001C58A3">
      <w:pPr>
        <w:spacing w:before="120" w:after="120" w:line="360" w:lineRule="auto"/>
        <w:jc w:val="center"/>
        <w:rPr>
          <w:b/>
          <w:sz w:val="36"/>
          <w:szCs w:val="36"/>
        </w:rPr>
      </w:pPr>
    </w:p>
    <w:p w14:paraId="72A81454" w14:textId="77777777" w:rsidR="001C58A3" w:rsidRDefault="00000000">
      <w:pPr>
        <w:spacing w:before="120" w:after="120" w:line="360" w:lineRule="auto"/>
        <w:jc w:val="center"/>
        <w:rPr>
          <w:b/>
          <w:sz w:val="48"/>
          <w:szCs w:val="48"/>
        </w:rPr>
      </w:pPr>
      <w:r>
        <w:rPr>
          <w:b/>
          <w:sz w:val="48"/>
          <w:szCs w:val="48"/>
        </w:rPr>
        <w:t>BMIH5003 Cultural Awareness</w:t>
      </w:r>
    </w:p>
    <w:p w14:paraId="3520CE5B" w14:textId="77777777" w:rsidR="001C58A3" w:rsidRDefault="00000000">
      <w:pPr>
        <w:spacing w:before="120" w:after="120" w:line="360" w:lineRule="auto"/>
        <w:jc w:val="center"/>
      </w:pPr>
      <w:r>
        <w:rPr>
          <w:sz w:val="36"/>
          <w:szCs w:val="36"/>
        </w:rPr>
        <w:t>Hotel Handbook for Intercultural Competence</w:t>
      </w:r>
      <w:r>
        <w:br w:type="page"/>
      </w:r>
    </w:p>
    <w:p w14:paraId="46994C01" w14:textId="77777777" w:rsidR="001C58A3" w:rsidRDefault="00000000">
      <w:pPr>
        <w:keepNext/>
        <w:keepLines/>
        <w:pBdr>
          <w:top w:val="nil"/>
          <w:left w:val="nil"/>
          <w:bottom w:val="nil"/>
          <w:right w:val="nil"/>
          <w:between w:val="nil"/>
        </w:pBdr>
        <w:spacing w:before="120" w:after="120" w:line="259" w:lineRule="auto"/>
        <w:jc w:val="left"/>
        <w:rPr>
          <w:rFonts w:ascii="Calibri" w:eastAsia="Calibri" w:hAnsi="Calibri" w:cs="Calibri"/>
          <w:b/>
          <w:sz w:val="32"/>
          <w:szCs w:val="32"/>
        </w:rPr>
      </w:pPr>
      <w:r>
        <w:rPr>
          <w:rFonts w:ascii="Calibri" w:eastAsia="Calibri" w:hAnsi="Calibri" w:cs="Calibri"/>
          <w:b/>
          <w:sz w:val="32"/>
          <w:szCs w:val="32"/>
        </w:rPr>
        <w:lastRenderedPageBreak/>
        <w:t>Table of Contents</w:t>
      </w:r>
    </w:p>
    <w:sdt>
      <w:sdtPr>
        <w:id w:val="-541977422"/>
        <w:docPartObj>
          <w:docPartGallery w:val="Table of Contents"/>
          <w:docPartUnique/>
        </w:docPartObj>
      </w:sdtPr>
      <w:sdtContent>
        <w:p w14:paraId="02059F21" w14:textId="77777777" w:rsidR="001C58A3" w:rsidRDefault="00000000">
          <w:pPr>
            <w:pBdr>
              <w:top w:val="nil"/>
              <w:left w:val="nil"/>
              <w:bottom w:val="nil"/>
              <w:right w:val="nil"/>
              <w:between w:val="nil"/>
            </w:pBdr>
            <w:tabs>
              <w:tab w:val="right" w:pos="9016"/>
            </w:tabs>
            <w:spacing w:before="240" w:after="100" w:line="276" w:lineRule="auto"/>
          </w:pPr>
          <w:r>
            <w:fldChar w:fldCharType="begin"/>
          </w:r>
          <w:r>
            <w:instrText xml:space="preserve"> TOC \h \u \z </w:instrText>
          </w:r>
          <w:r>
            <w:fldChar w:fldCharType="separate"/>
          </w:r>
          <w:hyperlink w:anchor="_heading=h.gjdgxs">
            <w:r>
              <w:t>Introduction</w:t>
            </w:r>
            <w:r>
              <w:tab/>
              <w:t>3</w:t>
            </w:r>
          </w:hyperlink>
        </w:p>
        <w:p w14:paraId="2CB66385" w14:textId="77777777" w:rsidR="001C58A3" w:rsidRDefault="00000000">
          <w:pPr>
            <w:pBdr>
              <w:top w:val="nil"/>
              <w:left w:val="nil"/>
              <w:bottom w:val="nil"/>
              <w:right w:val="nil"/>
              <w:between w:val="nil"/>
            </w:pBdr>
            <w:tabs>
              <w:tab w:val="right" w:pos="9016"/>
            </w:tabs>
            <w:spacing w:before="240" w:after="100" w:line="276" w:lineRule="auto"/>
          </w:pPr>
          <w:hyperlink w:anchor="_heading=h.30j0zll">
            <w:r>
              <w:t>Customs, practises, and norms that are exclusive to other cultures</w:t>
            </w:r>
            <w:r>
              <w:tab/>
              <w:t>3</w:t>
            </w:r>
          </w:hyperlink>
        </w:p>
        <w:p w14:paraId="6C14B770"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1fob9te">
            <w:r>
              <w:t>Malaysia</w:t>
            </w:r>
            <w:r>
              <w:tab/>
              <w:t>3</w:t>
            </w:r>
          </w:hyperlink>
        </w:p>
        <w:p w14:paraId="71CE3786"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3znysh7">
            <w:r>
              <w:t>Nicaragua</w:t>
            </w:r>
            <w:r>
              <w:tab/>
              <w:t>3</w:t>
            </w:r>
          </w:hyperlink>
        </w:p>
        <w:p w14:paraId="0F3508FE"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2et92p0">
            <w:r>
              <w:t>Nigerians</w:t>
            </w:r>
            <w:r>
              <w:tab/>
              <w:t>3</w:t>
            </w:r>
          </w:hyperlink>
        </w:p>
        <w:p w14:paraId="00A6AEC0"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tyjcwt">
            <w:r>
              <w:t>Greek</w:t>
            </w:r>
            <w:r>
              <w:tab/>
              <w:t>4</w:t>
            </w:r>
          </w:hyperlink>
        </w:p>
        <w:p w14:paraId="158AB140"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3dy6vkm">
            <w:r>
              <w:t>Russia</w:t>
            </w:r>
            <w:r>
              <w:tab/>
              <w:t>4</w:t>
            </w:r>
          </w:hyperlink>
        </w:p>
        <w:p w14:paraId="04BEB241"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1t3h5sf">
            <w:r>
              <w:t>Japan</w:t>
            </w:r>
            <w:r>
              <w:tab/>
              <w:t>4</w:t>
            </w:r>
          </w:hyperlink>
        </w:p>
        <w:p w14:paraId="22C929F7" w14:textId="77777777" w:rsidR="001C58A3" w:rsidRDefault="00000000">
          <w:pPr>
            <w:pBdr>
              <w:top w:val="nil"/>
              <w:left w:val="nil"/>
              <w:bottom w:val="nil"/>
              <w:right w:val="nil"/>
              <w:between w:val="nil"/>
            </w:pBdr>
            <w:tabs>
              <w:tab w:val="right" w:pos="9016"/>
            </w:tabs>
            <w:spacing w:before="240" w:after="100" w:line="276" w:lineRule="auto"/>
            <w:ind w:left="240"/>
            <w:rPr>
              <w:rFonts w:ascii="Calibri" w:eastAsia="Calibri" w:hAnsi="Calibri" w:cs="Calibri"/>
              <w:sz w:val="22"/>
              <w:szCs w:val="22"/>
            </w:rPr>
          </w:pPr>
          <w:hyperlink w:anchor="_heading=h.4d34og8">
            <w:r>
              <w:t>South Asia, the Malay Peninsula, and certain regions of Africa and the Middle East</w:t>
            </w:r>
            <w:r>
              <w:tab/>
              <w:t>4</w:t>
            </w:r>
          </w:hyperlink>
        </w:p>
        <w:p w14:paraId="1A5BA95C" w14:textId="77777777" w:rsidR="001C58A3" w:rsidRDefault="00000000">
          <w:pPr>
            <w:pBdr>
              <w:top w:val="nil"/>
              <w:left w:val="nil"/>
              <w:bottom w:val="nil"/>
              <w:right w:val="nil"/>
              <w:between w:val="nil"/>
            </w:pBdr>
            <w:tabs>
              <w:tab w:val="right" w:pos="9016"/>
            </w:tabs>
            <w:spacing w:before="240" w:after="100" w:line="276" w:lineRule="auto"/>
          </w:pPr>
          <w:hyperlink w:anchor="_heading=h.2s8eyo1">
            <w:r>
              <w:t>Zurich</w:t>
            </w:r>
            <w:r>
              <w:tab/>
              <w:t>5</w:t>
            </w:r>
          </w:hyperlink>
        </w:p>
        <w:p w14:paraId="497CE83B" w14:textId="77777777" w:rsidR="001C58A3" w:rsidRDefault="00000000">
          <w:pPr>
            <w:pBdr>
              <w:top w:val="nil"/>
              <w:left w:val="nil"/>
              <w:bottom w:val="nil"/>
              <w:right w:val="nil"/>
              <w:between w:val="nil"/>
            </w:pBdr>
            <w:tabs>
              <w:tab w:val="right" w:pos="9016"/>
            </w:tabs>
            <w:spacing w:before="240" w:after="100" w:line="276" w:lineRule="auto"/>
          </w:pPr>
          <w:hyperlink w:anchor="_heading=h.17dp8vu">
            <w:r>
              <w:t>Do’s and Don’ts</w:t>
            </w:r>
            <w:r>
              <w:tab/>
              <w:t>5</w:t>
            </w:r>
          </w:hyperlink>
        </w:p>
        <w:p w14:paraId="57E5EB4C" w14:textId="77777777" w:rsidR="001C58A3" w:rsidRDefault="00000000">
          <w:pPr>
            <w:pBdr>
              <w:top w:val="nil"/>
              <w:left w:val="nil"/>
              <w:bottom w:val="nil"/>
              <w:right w:val="nil"/>
              <w:between w:val="nil"/>
            </w:pBdr>
            <w:tabs>
              <w:tab w:val="right" w:pos="9016"/>
            </w:tabs>
            <w:spacing w:before="240" w:after="100" w:line="276" w:lineRule="auto"/>
          </w:pPr>
          <w:hyperlink w:anchor="_heading=h.3rdcrjn">
            <w:r>
              <w:t>Conclusion</w:t>
            </w:r>
            <w:r>
              <w:tab/>
              <w:t>6</w:t>
            </w:r>
          </w:hyperlink>
        </w:p>
        <w:p w14:paraId="2A80AC43" w14:textId="77777777" w:rsidR="001C58A3" w:rsidRDefault="00000000">
          <w:pPr>
            <w:pBdr>
              <w:top w:val="nil"/>
              <w:left w:val="nil"/>
              <w:bottom w:val="nil"/>
              <w:right w:val="nil"/>
              <w:between w:val="nil"/>
            </w:pBdr>
            <w:tabs>
              <w:tab w:val="right" w:pos="9016"/>
            </w:tabs>
            <w:spacing w:before="240" w:after="100" w:line="276" w:lineRule="auto"/>
            <w:rPr>
              <w:rFonts w:ascii="Calibri" w:eastAsia="Calibri" w:hAnsi="Calibri" w:cs="Calibri"/>
              <w:sz w:val="22"/>
              <w:szCs w:val="22"/>
            </w:rPr>
          </w:pPr>
          <w:hyperlink w:anchor="_heading=h.26in1rg">
            <w:r>
              <w:t>Reference List</w:t>
            </w:r>
            <w:r>
              <w:tab/>
              <w:t>7</w:t>
            </w:r>
          </w:hyperlink>
        </w:p>
        <w:p w14:paraId="255D3E2A" w14:textId="77777777" w:rsidR="001C58A3" w:rsidRDefault="00000000">
          <w:pPr>
            <w:spacing w:before="240" w:after="120" w:line="360" w:lineRule="auto"/>
          </w:pPr>
          <w:r>
            <w:fldChar w:fldCharType="end"/>
          </w:r>
        </w:p>
      </w:sdtContent>
    </w:sdt>
    <w:p w14:paraId="0526911A" w14:textId="77777777" w:rsidR="001C58A3" w:rsidRDefault="00000000">
      <w:pPr>
        <w:spacing w:before="120" w:after="120" w:line="360" w:lineRule="auto"/>
        <w:rPr>
          <w:sz w:val="26"/>
          <w:szCs w:val="26"/>
        </w:rPr>
      </w:pPr>
      <w:r>
        <w:br w:type="page"/>
      </w:r>
    </w:p>
    <w:p w14:paraId="33993CA2" w14:textId="77777777" w:rsidR="001C58A3" w:rsidRDefault="00000000">
      <w:pPr>
        <w:pStyle w:val="Heading1"/>
        <w:rPr>
          <w:color w:val="000000"/>
        </w:rPr>
      </w:pPr>
      <w:bookmarkStart w:id="0" w:name="_heading=h.gjdgxs" w:colFirst="0" w:colLast="0"/>
      <w:bookmarkEnd w:id="0"/>
      <w:r>
        <w:rPr>
          <w:color w:val="000000"/>
        </w:rPr>
        <w:lastRenderedPageBreak/>
        <w:t>Introduction</w:t>
      </w:r>
    </w:p>
    <w:p w14:paraId="18B7D072" w14:textId="77777777" w:rsidR="001C58A3" w:rsidRDefault="00000000">
      <w:pPr>
        <w:spacing w:before="120" w:after="120" w:line="360" w:lineRule="auto"/>
      </w:pPr>
      <w:r>
        <w:t>Employees in industries like international hospitality would benefit greatly from having a high level of cultural intelligence (CQ). To be successful while interacting with clients and business associates from other countries, it is necessary to possess a set of skills and attributes that maintains a high degree of CQ and sensitivity (Ratasuk and Charoensukmongkol, 2020; Thomas and Inkson, 2017). One's CQ is an indicator of their abilities in contexts where one must adapt to significant cultural differences. In addition, this information improves the quality of service provided to guests at international hotels.</w:t>
      </w:r>
    </w:p>
    <w:p w14:paraId="5EC464BA" w14:textId="77777777" w:rsidR="001C58A3" w:rsidRDefault="00000000">
      <w:pPr>
        <w:spacing w:line="259" w:lineRule="auto"/>
        <w:jc w:val="left"/>
        <w:rPr>
          <w:sz w:val="32"/>
          <w:szCs w:val="32"/>
        </w:rPr>
      </w:pPr>
      <w:bookmarkStart w:id="1" w:name="_heading=h.30j0zll" w:colFirst="0" w:colLast="0"/>
      <w:bookmarkEnd w:id="1"/>
      <w:r>
        <w:br w:type="page"/>
      </w:r>
    </w:p>
    <w:p w14:paraId="2F592011" w14:textId="77777777" w:rsidR="001C58A3" w:rsidRDefault="00000000">
      <w:pPr>
        <w:pStyle w:val="Heading1"/>
        <w:rPr>
          <w:color w:val="000000"/>
        </w:rPr>
      </w:pPr>
      <w:r>
        <w:rPr>
          <w:color w:val="000000"/>
        </w:rPr>
        <w:lastRenderedPageBreak/>
        <w:t>Customs, practises, and norms that are exclusive to other cultures</w:t>
      </w:r>
    </w:p>
    <w:p w14:paraId="0930069E" w14:textId="77777777" w:rsidR="001C58A3" w:rsidRDefault="00000000">
      <w:pPr>
        <w:pStyle w:val="Heading2"/>
        <w:rPr>
          <w:color w:val="000000"/>
        </w:rPr>
      </w:pPr>
      <w:bookmarkStart w:id="2" w:name="_heading=h.1fob9te" w:colFirst="0" w:colLast="0"/>
      <w:bookmarkEnd w:id="2"/>
      <w:r>
        <w:rPr>
          <w:color w:val="000000"/>
        </w:rPr>
        <w:t>Malaysia</w:t>
      </w:r>
    </w:p>
    <w:p w14:paraId="127A9818" w14:textId="77777777" w:rsidR="001C58A3" w:rsidRDefault="00000000">
      <w:pPr>
        <w:spacing w:before="120" w:after="120" w:line="360" w:lineRule="auto"/>
      </w:pPr>
      <w:r>
        <w:t>In certain cultures, pointing with the index finger is seen as offensive. Some nations, such as Indonesia and Malaysia, consider the act of pointing a finger to be very disrespectful, even though it is undoubtedly considered rude in many other cultures. There, the thumb is the preferred sign of politeness. To point at a person is considered rude in many African nations.</w:t>
      </w:r>
    </w:p>
    <w:p w14:paraId="04298925" w14:textId="77777777" w:rsidR="001C58A3" w:rsidRDefault="00000000">
      <w:pPr>
        <w:pStyle w:val="Heading2"/>
        <w:rPr>
          <w:color w:val="000000"/>
        </w:rPr>
      </w:pPr>
      <w:bookmarkStart w:id="3" w:name="_heading=h.3znysh7" w:colFirst="0" w:colLast="0"/>
      <w:bookmarkEnd w:id="3"/>
      <w:r>
        <w:rPr>
          <w:color w:val="000000"/>
        </w:rPr>
        <w:t>Nicaragua</w:t>
      </w:r>
    </w:p>
    <w:p w14:paraId="487EFB4D" w14:textId="77777777" w:rsidR="001C58A3" w:rsidRDefault="00000000">
      <w:pPr>
        <w:spacing w:before="120" w:after="120" w:line="360" w:lineRule="auto"/>
      </w:pPr>
      <w:r>
        <w:t>Many cultures across the world use facial expressions as a form of gesture. In Nicaragua, for instance, it's normal to practise using the lips as a pointer instead of the thumb or index finger. Curious as to the steps involved? The puckered-up, duck-like face is the first step. This allows the user to gesture in any direction by moving their lips forward or to the side. In most cases, this gesture is used in conjunction with a directing head movement to point at a nearby event.</w:t>
      </w:r>
    </w:p>
    <w:p w14:paraId="4A7B8EEA" w14:textId="77777777" w:rsidR="001C58A3" w:rsidRDefault="00000000">
      <w:pPr>
        <w:pStyle w:val="Heading2"/>
        <w:rPr>
          <w:color w:val="000000"/>
        </w:rPr>
      </w:pPr>
      <w:bookmarkStart w:id="4" w:name="_heading=h.2et92p0" w:colFirst="0" w:colLast="0"/>
      <w:bookmarkEnd w:id="4"/>
      <w:r>
        <w:rPr>
          <w:color w:val="000000"/>
        </w:rPr>
        <w:t>Nigerians</w:t>
      </w:r>
    </w:p>
    <w:p w14:paraId="01268DF7" w14:textId="77777777" w:rsidR="001C58A3" w:rsidRDefault="00000000">
      <w:pPr>
        <w:spacing w:before="120" w:after="120" w:line="360" w:lineRule="auto"/>
      </w:pPr>
      <w:r>
        <w:t>The Yoruba people of Nigeria place a premium on respecting their elders via the observance of proper greeting procedures (Alabi, 2022). It is proper etiquette for children to kneel while an adult is around since this shows respect. Specifically, females bow their heads and males do a genitalia slap. These customary acts of courtesy and respect are meant to honour the community's elders. The rest of Nigerian society doesn't practise this ritual. One may learn the proper Yoruba welcome stances by watching a video online (Samovar, 2009).</w:t>
      </w:r>
    </w:p>
    <w:p w14:paraId="3F20DFDF" w14:textId="77777777" w:rsidR="001C58A3" w:rsidRDefault="00000000">
      <w:pPr>
        <w:pStyle w:val="Heading2"/>
        <w:rPr>
          <w:color w:val="000000"/>
        </w:rPr>
      </w:pPr>
      <w:bookmarkStart w:id="5" w:name="_heading=h.tyjcwt" w:colFirst="0" w:colLast="0"/>
      <w:bookmarkEnd w:id="5"/>
      <w:r>
        <w:rPr>
          <w:color w:val="000000"/>
        </w:rPr>
        <w:t>Greek</w:t>
      </w:r>
    </w:p>
    <w:p w14:paraId="6B394F1E" w14:textId="77777777" w:rsidR="001C58A3" w:rsidRDefault="00000000">
      <w:pPr>
        <w:spacing w:before="120" w:after="120" w:line="360" w:lineRule="auto"/>
      </w:pPr>
      <w:r>
        <w:t>It has long been regarded as a reliable talisman of good fortune during ceremonies like weddings. The tradition of guests spitting on the bride has faded in recent years. The tradition eventually developed into the more sanitary and symbolic ritual of guests firmly repeating "for to for," or "I do not desecrate the bride's garments." The Greeks also do this during other important events, such as a baptism, to celebrate the baby's health and beauty.</w:t>
      </w:r>
    </w:p>
    <w:p w14:paraId="109D26CA" w14:textId="77777777" w:rsidR="001C58A3" w:rsidRDefault="00000000">
      <w:pPr>
        <w:pStyle w:val="Heading2"/>
        <w:rPr>
          <w:color w:val="000000"/>
        </w:rPr>
      </w:pPr>
      <w:bookmarkStart w:id="6" w:name="_heading=h.3dy6vkm" w:colFirst="0" w:colLast="0"/>
      <w:bookmarkEnd w:id="6"/>
      <w:r>
        <w:rPr>
          <w:color w:val="000000"/>
        </w:rPr>
        <w:t>Russia</w:t>
      </w:r>
    </w:p>
    <w:p w14:paraId="77E5D4A4" w14:textId="77777777" w:rsidR="001C58A3" w:rsidRDefault="00000000">
      <w:pPr>
        <w:spacing w:before="120" w:after="120" w:line="360" w:lineRule="auto"/>
      </w:pPr>
      <w:r>
        <w:t xml:space="preserve">Marriage, sexuality, and procreation all tend to be seen differently by other cultures (Vaughn, 2010). Russia, for instance, has dwindling birthrates, a skewed ratio of women to males, and a </w:t>
      </w:r>
      <w:r>
        <w:lastRenderedPageBreak/>
        <w:t>worrisomely low life expectancy for men (Le et al., 2015). The Russian government decided to take action to address this problem by declaring September 12 a national holiday so that couples may take time off from work to start a family. Successful parents who have children nine months after the contest ends are awarded prizes.</w:t>
      </w:r>
    </w:p>
    <w:p w14:paraId="471B9FCC" w14:textId="77777777" w:rsidR="001C58A3" w:rsidRDefault="00000000">
      <w:pPr>
        <w:pStyle w:val="Heading2"/>
        <w:rPr>
          <w:color w:val="000000"/>
        </w:rPr>
      </w:pPr>
      <w:bookmarkStart w:id="7" w:name="_heading=h.1t3h5sf" w:colFirst="0" w:colLast="0"/>
      <w:bookmarkEnd w:id="7"/>
      <w:r>
        <w:rPr>
          <w:color w:val="000000"/>
        </w:rPr>
        <w:t>Japan</w:t>
      </w:r>
    </w:p>
    <w:p w14:paraId="09CE37A5" w14:textId="77777777" w:rsidR="001C58A3" w:rsidRDefault="00000000">
      <w:pPr>
        <w:spacing w:before="120" w:after="120" w:line="360" w:lineRule="auto"/>
      </w:pPr>
      <w:r>
        <w:t>Standard dining manners may be found in almost every culture. It's considered impolite in the West to eat loudly in public (D’Arpino and Wolf, 2015). While slurping may be considered rude in Western cultures, it is socially accepted in Japan. It's presumably because of the manner that noodles are consumed. Before placing them in the mouth, westerners would often twirl their noodles on a spoon or fork. The Japanese eat their noodles straight from the bowl, without wrapping them with chopsticks. Naturally, this method of consuming noodles generates more noise. In Japan, when one eats noodles, slurping noises are a sign of approval. Slurping one’s noodles may improve their taste, according to some.</w:t>
      </w:r>
    </w:p>
    <w:p w14:paraId="473962F3" w14:textId="77777777" w:rsidR="001C58A3" w:rsidRDefault="00000000">
      <w:pPr>
        <w:pStyle w:val="Heading2"/>
        <w:rPr>
          <w:color w:val="000000"/>
        </w:rPr>
      </w:pPr>
      <w:bookmarkStart w:id="8" w:name="_heading=h.4d34og8" w:colFirst="0" w:colLast="0"/>
      <w:bookmarkEnd w:id="8"/>
      <w:r>
        <w:rPr>
          <w:color w:val="000000"/>
        </w:rPr>
        <w:t>South Asia, the Malay Peninsula, and certain regions of Africa and the Middle East</w:t>
      </w:r>
    </w:p>
    <w:p w14:paraId="7F95CBFB" w14:textId="77777777" w:rsidR="001C58A3" w:rsidRDefault="00000000">
      <w:pPr>
        <w:spacing w:before="120" w:after="120" w:line="360" w:lineRule="auto"/>
      </w:pPr>
      <w:r>
        <w:t>There are cultures where it is considered rude to use the left hand for anything (Hung, 2019). Due to the prevalence of left-handed toilets in certain regions, the left hand is universally associated with filth. Many countries in the Middle East, South Asia, and even certain regions of Africa follow this tradition. Use one’s right hand for everything from meeting people to exchanging money to handling items to eating when visiting these regions (Moran, 2018)</w:t>
      </w:r>
    </w:p>
    <w:p w14:paraId="30BF55DE" w14:textId="77777777" w:rsidR="001C58A3" w:rsidRDefault="00000000">
      <w:pPr>
        <w:pStyle w:val="Heading1"/>
        <w:rPr>
          <w:color w:val="000000"/>
        </w:rPr>
      </w:pPr>
      <w:bookmarkStart w:id="9" w:name="_heading=h.2s8eyo1" w:colFirst="0" w:colLast="0"/>
      <w:bookmarkEnd w:id="9"/>
      <w:r>
        <w:rPr>
          <w:color w:val="000000"/>
        </w:rPr>
        <w:t>Zurich</w:t>
      </w:r>
    </w:p>
    <w:p w14:paraId="374DFEE4" w14:textId="77777777" w:rsidR="001C58A3" w:rsidRDefault="00000000">
      <w:pPr>
        <w:spacing w:before="120" w:after="120" w:line="360" w:lineRule="auto"/>
      </w:pPr>
      <w:r>
        <w:t>When it comes to fine dining and residing in Zurich, there are several hotels (Mariani, 2019). Staff members in the kitchen and on the front lines of service are highly trained professionals who help make the hotels the best in town. The hotel’s popularity means that it welcomes guests from all over the globe, but this also means that the hotel’s restaurants and bars need to adjust their services to reflect the cultural conventions and expectations of its guests. Customers come from a wide variety of ethnic backgrounds, so the hotels should do some research and provide dishes that appeal to various cultures (Tajeddini and Trueman, 2012). The agency has the power to establish ethnically-targeted dining options. Alternatively, the hotels might schedule special days when guests from certain ethnic backgrounds</w:t>
      </w:r>
    </w:p>
    <w:p w14:paraId="4638311E" w14:textId="77777777" w:rsidR="001C58A3" w:rsidRDefault="00000000">
      <w:pPr>
        <w:pStyle w:val="Heading1"/>
        <w:rPr>
          <w:color w:val="000000"/>
        </w:rPr>
      </w:pPr>
      <w:bookmarkStart w:id="10" w:name="_heading=h.17dp8vu" w:colFirst="0" w:colLast="0"/>
      <w:bookmarkEnd w:id="10"/>
      <w:r>
        <w:rPr>
          <w:color w:val="000000"/>
        </w:rPr>
        <w:lastRenderedPageBreak/>
        <w:t>Do’s and Don’ts</w:t>
      </w:r>
    </w:p>
    <w:p w14:paraId="74C11FE4" w14:textId="77777777" w:rsidR="001C58A3" w:rsidRDefault="00000000">
      <w:pPr>
        <w:spacing w:before="120" w:after="120" w:line="360" w:lineRule="auto"/>
      </w:pPr>
      <w:r>
        <w:t>The following table summarises what may and cannot be done by the hotel employees to satisfy the visitors' various cultural expectations and conventions.</w:t>
      </w:r>
    </w:p>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1C58A3" w14:paraId="78F53079" w14:textId="77777777">
        <w:tc>
          <w:tcPr>
            <w:tcW w:w="4508" w:type="dxa"/>
          </w:tcPr>
          <w:p w14:paraId="2FF15F6C" w14:textId="77777777" w:rsidR="001C58A3" w:rsidRDefault="00000000">
            <w:pPr>
              <w:spacing w:before="120" w:after="120" w:line="360" w:lineRule="auto"/>
            </w:pPr>
            <w:r>
              <w:t>Do’s</w:t>
            </w:r>
          </w:p>
        </w:tc>
        <w:tc>
          <w:tcPr>
            <w:tcW w:w="4508" w:type="dxa"/>
          </w:tcPr>
          <w:p w14:paraId="59E673CC" w14:textId="77777777" w:rsidR="001C58A3" w:rsidRDefault="00000000">
            <w:pPr>
              <w:spacing w:before="120" w:after="120" w:line="360" w:lineRule="auto"/>
            </w:pPr>
            <w:r>
              <w:t>Don’s</w:t>
            </w:r>
          </w:p>
        </w:tc>
      </w:tr>
      <w:tr w:rsidR="001C58A3" w14:paraId="383A9B9A" w14:textId="77777777">
        <w:tc>
          <w:tcPr>
            <w:tcW w:w="4508" w:type="dxa"/>
          </w:tcPr>
          <w:p w14:paraId="71518A37" w14:textId="77777777" w:rsidR="001C58A3" w:rsidRDefault="00000000">
            <w:pPr>
              <w:spacing w:before="120" w:after="120" w:line="360" w:lineRule="auto"/>
            </w:pPr>
            <w:r>
              <w:t>Design a guest's stay at the hotel around his or her cultural preferences.</w:t>
            </w:r>
          </w:p>
        </w:tc>
        <w:tc>
          <w:tcPr>
            <w:tcW w:w="4508" w:type="dxa"/>
          </w:tcPr>
          <w:p w14:paraId="60304E59" w14:textId="77777777" w:rsidR="001C58A3" w:rsidRDefault="00000000">
            <w:pPr>
              <w:spacing w:before="120" w:after="120" w:line="360" w:lineRule="auto"/>
            </w:pPr>
            <w:r>
              <w:t>Avoid making any changes to a room if you are unsure of the customer's cultural background.</w:t>
            </w:r>
          </w:p>
        </w:tc>
      </w:tr>
      <w:tr w:rsidR="001C58A3" w14:paraId="7DA9D473" w14:textId="77777777">
        <w:tc>
          <w:tcPr>
            <w:tcW w:w="4508" w:type="dxa"/>
          </w:tcPr>
          <w:p w14:paraId="3B7032AB" w14:textId="77777777" w:rsidR="001C58A3" w:rsidRDefault="00000000">
            <w:pPr>
              <w:spacing w:before="120" w:after="120" w:line="360" w:lineRule="auto"/>
            </w:pPr>
            <w:r>
              <w:t>Cater to consumers of different cultural backgrounds by offering dishes that reflect their tastes and traditions.</w:t>
            </w:r>
          </w:p>
        </w:tc>
        <w:tc>
          <w:tcPr>
            <w:tcW w:w="4508" w:type="dxa"/>
          </w:tcPr>
          <w:p w14:paraId="5A54AE26" w14:textId="77777777" w:rsidR="001C58A3" w:rsidRDefault="00000000">
            <w:pPr>
              <w:spacing w:before="120" w:after="120" w:line="360" w:lineRule="auto"/>
            </w:pPr>
            <w:r>
              <w:t xml:space="preserve"> Providing just some of the services that are needed, particularly if the culture expects a full complement.</w:t>
            </w:r>
          </w:p>
        </w:tc>
      </w:tr>
      <w:tr w:rsidR="001C58A3" w14:paraId="7C9B6EA9" w14:textId="77777777">
        <w:tc>
          <w:tcPr>
            <w:tcW w:w="4508" w:type="dxa"/>
          </w:tcPr>
          <w:p w14:paraId="77482826" w14:textId="77777777" w:rsidR="001C58A3" w:rsidRDefault="00000000">
            <w:pPr>
              <w:spacing w:before="120" w:after="120" w:line="360" w:lineRule="auto"/>
            </w:pPr>
            <w:r>
              <w:t>Prepare meals for the most frequented ethnic and cultural diners.</w:t>
            </w:r>
          </w:p>
        </w:tc>
        <w:tc>
          <w:tcPr>
            <w:tcW w:w="4508" w:type="dxa"/>
          </w:tcPr>
          <w:p w14:paraId="26393B0F" w14:textId="77777777" w:rsidR="001C58A3" w:rsidRDefault="00000000">
            <w:pPr>
              <w:spacing w:before="120" w:after="120" w:line="360" w:lineRule="auto"/>
            </w:pPr>
            <w:r>
              <w:t>Avoid insisting that a consumer label themselves as belonging to a certain culture, no matter how clear it may seem.</w:t>
            </w:r>
          </w:p>
        </w:tc>
      </w:tr>
      <w:tr w:rsidR="001C58A3" w14:paraId="2CBB8FC7" w14:textId="77777777">
        <w:tc>
          <w:tcPr>
            <w:tcW w:w="4508" w:type="dxa"/>
          </w:tcPr>
          <w:p w14:paraId="71F13CC8" w14:textId="77777777" w:rsidR="001C58A3" w:rsidRDefault="00000000">
            <w:pPr>
              <w:spacing w:before="120" w:after="120" w:line="360" w:lineRule="auto"/>
            </w:pPr>
            <w:r>
              <w:t>Meeting room services should be tailored to each customer’s cultural preferences.</w:t>
            </w:r>
          </w:p>
        </w:tc>
        <w:tc>
          <w:tcPr>
            <w:tcW w:w="4508" w:type="dxa"/>
          </w:tcPr>
          <w:p w14:paraId="4EB5BA5E" w14:textId="77777777" w:rsidR="001C58A3" w:rsidRDefault="001C58A3">
            <w:pPr>
              <w:spacing w:before="120" w:after="120" w:line="360" w:lineRule="auto"/>
            </w:pPr>
          </w:p>
        </w:tc>
      </w:tr>
    </w:tbl>
    <w:p w14:paraId="328780CA" w14:textId="77777777" w:rsidR="001C58A3" w:rsidRDefault="001C58A3">
      <w:pPr>
        <w:spacing w:before="120" w:after="120" w:line="360" w:lineRule="auto"/>
        <w:rPr>
          <w:b/>
          <w:sz w:val="26"/>
          <w:szCs w:val="26"/>
        </w:rPr>
      </w:pPr>
    </w:p>
    <w:p w14:paraId="13648167" w14:textId="77777777" w:rsidR="001C58A3" w:rsidRDefault="00000000">
      <w:pPr>
        <w:pStyle w:val="Heading1"/>
        <w:rPr>
          <w:color w:val="000000"/>
        </w:rPr>
      </w:pPr>
      <w:bookmarkStart w:id="11" w:name="_heading=h.3rdcrjn" w:colFirst="0" w:colLast="0"/>
      <w:bookmarkEnd w:id="11"/>
      <w:r>
        <w:rPr>
          <w:color w:val="000000"/>
        </w:rPr>
        <w:t>Conclusion</w:t>
      </w:r>
    </w:p>
    <w:p w14:paraId="11C512DB" w14:textId="77777777" w:rsidR="001C58A3" w:rsidRDefault="00000000">
      <w:pPr>
        <w:spacing w:before="120" w:after="120" w:line="360" w:lineRule="auto"/>
      </w:pPr>
      <w:r>
        <w:t>Hotel employees who have developed cultural intelligence and sensitivity are better equipped to serve guests from a wide variety of cultural backgrounds. It encourages employees to value and respect those of other cultural backgrounds, which may aid in reducing barriers between professionals and their clients (Lovvorn and Chen, 2011). When catering to hotel guests, it's crucial to take their cultural norms and affinities into account. The reputation of international hotels may be improved if staff members adhere to a few simple rules while interacting with customers from other countries (Jandt, 2016).</w:t>
      </w:r>
    </w:p>
    <w:p w14:paraId="50710525" w14:textId="77777777" w:rsidR="001C58A3" w:rsidRDefault="00000000">
      <w:pPr>
        <w:spacing w:before="120" w:after="120" w:line="360" w:lineRule="auto"/>
      </w:pPr>
      <w:r>
        <w:br w:type="page"/>
      </w:r>
    </w:p>
    <w:p w14:paraId="1ADF2F04" w14:textId="77777777" w:rsidR="001C58A3" w:rsidRDefault="00000000">
      <w:pPr>
        <w:pStyle w:val="Heading1"/>
        <w:rPr>
          <w:color w:val="000000"/>
        </w:rPr>
      </w:pPr>
      <w:bookmarkStart w:id="12" w:name="_heading=h.26in1rg" w:colFirst="0" w:colLast="0"/>
      <w:bookmarkEnd w:id="12"/>
      <w:r>
        <w:rPr>
          <w:color w:val="000000"/>
        </w:rPr>
        <w:lastRenderedPageBreak/>
        <w:t>Reference List</w:t>
      </w:r>
    </w:p>
    <w:p w14:paraId="7F1B665F" w14:textId="77777777" w:rsidR="001C58A3" w:rsidRDefault="00000000">
      <w:pPr>
        <w:spacing w:before="120" w:after="120" w:line="360" w:lineRule="auto"/>
      </w:pPr>
      <w:r>
        <w:t>Alabi, A. (2022) </w:t>
      </w:r>
      <w:r>
        <w:rPr>
          <w:i/>
        </w:rPr>
        <w:t>NIGERIA CULTURAL DIVERSITY(Yoruba)</w:t>
      </w:r>
      <w:r>
        <w:t>, </w:t>
      </w:r>
      <w:r>
        <w:rPr>
          <w:i/>
        </w:rPr>
        <w:t>Savonia.fi</w:t>
      </w:r>
      <w:r>
        <w:t>. Available at: https://blogi.savonia.fi/meazeezalabi/2020/11/19/nigeria-cultural-diversityyoruba/ (Accessed: November 14, 2022).</w:t>
      </w:r>
    </w:p>
    <w:p w14:paraId="59333402" w14:textId="77777777" w:rsidR="001C58A3" w:rsidRDefault="00000000">
      <w:pPr>
        <w:spacing w:before="120" w:after="120" w:line="360" w:lineRule="auto"/>
      </w:pPr>
      <w:r>
        <w:t>D’Arpino, A. and Wolf, E. (2015) </w:t>
      </w:r>
      <w:r>
        <w:rPr>
          <w:i/>
        </w:rPr>
        <w:t>20 common American behaviours that are considered rude elsewhere around the world</w:t>
      </w:r>
      <w:r>
        <w:t>, </w:t>
      </w:r>
      <w:r>
        <w:rPr>
          <w:i/>
        </w:rPr>
        <w:t>Mental Floss</w:t>
      </w:r>
      <w:r>
        <w:t>. Available at: https://www.mentalfloss.com/article/62421/11-american-behaviors-are-considered-rude-around-world (Accessed: November 14, 2022).</w:t>
      </w:r>
    </w:p>
    <w:p w14:paraId="1C5F2757" w14:textId="77777777" w:rsidR="001C58A3" w:rsidRDefault="00000000">
      <w:pPr>
        <w:spacing w:before="120" w:after="120" w:line="360" w:lineRule="auto"/>
      </w:pPr>
      <w:r>
        <w:t>Hung, J. (2019) </w:t>
      </w:r>
      <w:r>
        <w:rPr>
          <w:i/>
        </w:rPr>
        <w:t>Why visitors to Indonesia should avoid using their left hand – it may offend</w:t>
      </w:r>
      <w:r>
        <w:t>, </w:t>
      </w:r>
      <w:r>
        <w:rPr>
          <w:i/>
        </w:rPr>
        <w:t>South China Morning Post</w:t>
      </w:r>
      <w:r>
        <w:t>. Available at: https://www.scmp.com/lifestyle/article/3035767/why-visitors-indonesia-should-avoid-using-their-left-hand-it-may-cause (Accessed: November 14, 2022).</w:t>
      </w:r>
    </w:p>
    <w:p w14:paraId="0974FCB1" w14:textId="77777777" w:rsidR="001C58A3" w:rsidRDefault="00000000">
      <w:pPr>
        <w:spacing w:before="120" w:after="120" w:line="360" w:lineRule="auto"/>
      </w:pPr>
      <w:r>
        <w:t xml:space="preserve">Jandt, F (2016) </w:t>
      </w:r>
      <w:r>
        <w:rPr>
          <w:i/>
        </w:rPr>
        <w:t>An Introduction to Intercultural Communication</w:t>
      </w:r>
      <w:r>
        <w:t>, 8th edition, Sage: San Bernadino</w:t>
      </w:r>
    </w:p>
    <w:p w14:paraId="680EBBBC" w14:textId="77777777" w:rsidR="001C58A3" w:rsidRDefault="00000000">
      <w:pPr>
        <w:spacing w:before="120" w:after="120" w:line="360" w:lineRule="auto"/>
      </w:pPr>
      <w:r>
        <w:t>Le, Y. </w:t>
      </w:r>
      <w:r>
        <w:rPr>
          <w:i/>
        </w:rPr>
        <w:t>et al.</w:t>
      </w:r>
      <w:r>
        <w:t> (2015) “The changing gender differences in life expectancy in Chinese cities 2005-2010,” </w:t>
      </w:r>
      <w:r>
        <w:rPr>
          <w:i/>
        </w:rPr>
        <w:t>PloS one</w:t>
      </w:r>
      <w:r>
        <w:t>, 10(4), p. e0123320. DOI: 10.1371/journal.pone.0123320.</w:t>
      </w:r>
    </w:p>
    <w:p w14:paraId="1845064C" w14:textId="77777777" w:rsidR="001C58A3" w:rsidRDefault="00000000">
      <w:pPr>
        <w:spacing w:before="120" w:after="120" w:line="360" w:lineRule="auto"/>
      </w:pPr>
      <w:r>
        <w:t>Lovvorn, A. S. and Chen, J. S. (2011) “Developing a global mindset: The relationship between an international assignment and cultural intelligence,” </w:t>
      </w:r>
      <w:r>
        <w:rPr>
          <w:i/>
        </w:rPr>
        <w:t>International Journal of Business and Social Science</w:t>
      </w:r>
      <w:r>
        <w:t>, 2(9), pp. 124–129.</w:t>
      </w:r>
    </w:p>
    <w:p w14:paraId="2B0F53C6" w14:textId="77777777" w:rsidR="001C58A3" w:rsidRDefault="00000000">
      <w:pPr>
        <w:spacing w:before="120" w:after="120" w:line="360" w:lineRule="auto"/>
      </w:pPr>
      <w:r>
        <w:t>Mariani, J. (2019) </w:t>
      </w:r>
      <w:r>
        <w:rPr>
          <w:i/>
        </w:rPr>
        <w:t>Zurich’s five-star hotels, myriad dining options and the requisite raclette</w:t>
      </w:r>
      <w:r>
        <w:t>, </w:t>
      </w:r>
      <w:r>
        <w:rPr>
          <w:i/>
        </w:rPr>
        <w:t>Forbes</w:t>
      </w:r>
      <w:r>
        <w:t>. Available at: https://www.forbes.com/sites/johnmariani/2019/08/05/zurichs-five-star-hotels-myriad-dining-options-and-the-requisite-raclette/?sh=5b30e65857ba (Accessed: November 14, 2022).</w:t>
      </w:r>
    </w:p>
    <w:p w14:paraId="060D9552" w14:textId="77777777" w:rsidR="001C58A3" w:rsidRDefault="00000000">
      <w:pPr>
        <w:spacing w:before="120" w:after="120" w:line="360" w:lineRule="auto"/>
      </w:pPr>
      <w:r>
        <w:t xml:space="preserve">Moran, R. (2018) </w:t>
      </w:r>
      <w:r>
        <w:rPr>
          <w:i/>
        </w:rPr>
        <w:t>Managing Cultural Differences</w:t>
      </w:r>
      <w:r>
        <w:t>, 10th edition, Routledge: Abingdon</w:t>
      </w:r>
    </w:p>
    <w:p w14:paraId="52261BB7" w14:textId="77777777" w:rsidR="001C58A3" w:rsidRDefault="00000000">
      <w:pPr>
        <w:spacing w:before="120" w:after="120" w:line="360" w:lineRule="auto"/>
      </w:pPr>
      <w:r>
        <w:t>Ratasuk, A. and Charoensukmongkol, P. (2020) “Does cultural intelligence promote cross-cultural teams’ knowledge sharing and innovation in the restaurant business?” </w:t>
      </w:r>
      <w:r>
        <w:rPr>
          <w:i/>
        </w:rPr>
        <w:t>Asia-Pacific journal of business administration</w:t>
      </w:r>
      <w:r>
        <w:t>, 12(2), pp. 183–203. doi: 10.1108/apjba-05-2019-0109.</w:t>
      </w:r>
    </w:p>
    <w:p w14:paraId="1B022CC6" w14:textId="77777777" w:rsidR="001C58A3" w:rsidRDefault="00000000">
      <w:pPr>
        <w:spacing w:before="120" w:after="120" w:line="360" w:lineRule="auto"/>
      </w:pPr>
      <w:r>
        <w:t xml:space="preserve">Samovar, L.(2009) </w:t>
      </w:r>
      <w:r>
        <w:rPr>
          <w:i/>
        </w:rPr>
        <w:t>Communication Between Cultures</w:t>
      </w:r>
      <w:r>
        <w:t>, Wadsworth, London</w:t>
      </w:r>
    </w:p>
    <w:p w14:paraId="3D7C73FB" w14:textId="77777777" w:rsidR="001C58A3" w:rsidRDefault="00000000">
      <w:pPr>
        <w:spacing w:before="120" w:after="120" w:line="360" w:lineRule="auto"/>
      </w:pPr>
      <w:r>
        <w:t xml:space="preserve">Tajeddini, K. and Trueman, M. (2012) “Managing Swiss Hospitality: How cultural antecedents of innovation and customer-oriented value systems can influence performance in the hotel </w:t>
      </w:r>
      <w:r>
        <w:lastRenderedPageBreak/>
        <w:t>industry,” </w:t>
      </w:r>
      <w:r>
        <w:rPr>
          <w:i/>
        </w:rPr>
        <w:t>International journal of hospitality management</w:t>
      </w:r>
      <w:r>
        <w:t>, 31(4), pp. 1119–1129. doi: 10.1016/j.ijhm.2012.01.009.</w:t>
      </w:r>
    </w:p>
    <w:p w14:paraId="6A7A4C08" w14:textId="77777777" w:rsidR="001C58A3" w:rsidRDefault="00000000">
      <w:pPr>
        <w:spacing w:before="120" w:after="120" w:line="360" w:lineRule="auto"/>
      </w:pPr>
      <w:r>
        <w:t>Thomas, D. C. and Inkson, K. C. (2017) </w:t>
      </w:r>
      <w:r>
        <w:rPr>
          <w:i/>
        </w:rPr>
        <w:t>Cultural intelligence: Surviving and thriving in the global village</w:t>
      </w:r>
      <w:r>
        <w:t>. Berrett-Koehler Publishers.</w:t>
      </w:r>
    </w:p>
    <w:p w14:paraId="70C3C5AA" w14:textId="77777777" w:rsidR="001C58A3" w:rsidRDefault="00000000">
      <w:pPr>
        <w:spacing w:before="120" w:after="120" w:line="360" w:lineRule="auto"/>
      </w:pPr>
      <w:r>
        <w:t xml:space="preserve">Timm, A. (2011) </w:t>
      </w:r>
      <w:r>
        <w:rPr>
          <w:i/>
        </w:rPr>
        <w:t>Intercultural Problems in the Tourism Industry</w:t>
      </w:r>
      <w:r>
        <w:t>, GRIN Verlag</w:t>
      </w:r>
    </w:p>
    <w:p w14:paraId="21830724" w14:textId="77777777" w:rsidR="001C58A3" w:rsidRDefault="00000000">
      <w:pPr>
        <w:spacing w:before="120" w:after="120" w:line="360" w:lineRule="auto"/>
      </w:pPr>
      <w:r>
        <w:t>Vaughn, L. (2010) </w:t>
      </w:r>
      <w:r>
        <w:rPr>
          <w:i/>
        </w:rPr>
        <w:t>Psychology and culture: Thinking, feeling and behaving in a global context</w:t>
      </w:r>
      <w:r>
        <w:t>. London, England: Psychology Press.</w:t>
      </w:r>
    </w:p>
    <w:sectPr w:rsidR="001C58A3">
      <w:footerReference w:type="default" r:id="rId8"/>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B689A1" w14:textId="77777777" w:rsidR="00080482" w:rsidRDefault="00080482">
      <w:pPr>
        <w:spacing w:after="0"/>
      </w:pPr>
      <w:r>
        <w:separator/>
      </w:r>
    </w:p>
  </w:endnote>
  <w:endnote w:type="continuationSeparator" w:id="0">
    <w:p w14:paraId="2A014360" w14:textId="77777777" w:rsidR="00080482" w:rsidRDefault="00080482">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457BB" w14:textId="77777777" w:rsidR="001C58A3" w:rsidRDefault="00000000">
    <w:pPr>
      <w:pBdr>
        <w:top w:val="nil"/>
        <w:left w:val="nil"/>
        <w:bottom w:val="nil"/>
        <w:right w:val="nil"/>
        <w:between w:val="nil"/>
      </w:pBdr>
      <w:tabs>
        <w:tab w:val="center" w:pos="4513"/>
        <w:tab w:val="right" w:pos="9026"/>
      </w:tabs>
      <w:spacing w:after="0"/>
      <w:jc w:val="center"/>
      <w:rPr>
        <w:color w:val="000000"/>
      </w:rPr>
    </w:pPr>
    <w:r>
      <w:rPr>
        <w:color w:val="000000"/>
      </w:rPr>
      <w:fldChar w:fldCharType="begin"/>
    </w:r>
    <w:r>
      <w:rPr>
        <w:color w:val="000000"/>
      </w:rPr>
      <w:instrText>PAGE</w:instrText>
    </w:r>
    <w:r>
      <w:rPr>
        <w:color w:val="000000"/>
      </w:rPr>
      <w:fldChar w:fldCharType="separate"/>
    </w:r>
    <w:r w:rsidR="00243D82">
      <w:rPr>
        <w:noProof/>
        <w:color w:val="000000"/>
      </w:rPr>
      <w:t>2</w:t>
    </w:r>
    <w:r>
      <w:rPr>
        <w:color w:val="000000"/>
      </w:rPr>
      <w:fldChar w:fldCharType="end"/>
    </w:r>
  </w:p>
  <w:p w14:paraId="215641E7" w14:textId="77777777" w:rsidR="001C58A3" w:rsidRDefault="001C58A3">
    <w:pPr>
      <w:pBdr>
        <w:top w:val="nil"/>
        <w:left w:val="nil"/>
        <w:bottom w:val="nil"/>
        <w:right w:val="nil"/>
        <w:between w:val="nil"/>
      </w:pBdr>
      <w:tabs>
        <w:tab w:val="center" w:pos="4513"/>
        <w:tab w:val="right" w:pos="9026"/>
      </w:tabs>
      <w:spacing w:after="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81ADB" w14:textId="77777777" w:rsidR="00080482" w:rsidRDefault="00080482">
      <w:pPr>
        <w:spacing w:after="0"/>
      </w:pPr>
      <w:r>
        <w:separator/>
      </w:r>
    </w:p>
  </w:footnote>
  <w:footnote w:type="continuationSeparator" w:id="0">
    <w:p w14:paraId="0DFAB472" w14:textId="77777777" w:rsidR="00080482" w:rsidRDefault="00080482">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8A3"/>
    <w:rsid w:val="00080482"/>
    <w:rsid w:val="001C58A3"/>
    <w:rsid w:val="00243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35AB47"/>
  <w15:docId w15:val="{791FCB13-DA13-4B58-B712-FC58F0E53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0F22"/>
  </w:style>
  <w:style w:type="paragraph" w:styleId="Heading1">
    <w:name w:val="heading 1"/>
    <w:basedOn w:val="Normal"/>
    <w:next w:val="Normal"/>
    <w:link w:val="Heading1Char"/>
    <w:uiPriority w:val="9"/>
    <w:qFormat/>
    <w:rsid w:val="009B0E49"/>
    <w:pPr>
      <w:keepNext/>
      <w:keepLines/>
      <w:spacing w:before="120" w:after="120" w:line="360" w:lineRule="auto"/>
      <w:outlineLvl w:val="0"/>
    </w:pPr>
    <w:rPr>
      <w:rFonts w:eastAsiaTheme="majorEastAsia" w:cstheme="majorBidi"/>
      <w:b/>
      <w:bCs/>
      <w:color w:val="1F3864" w:themeColor="accent1" w:themeShade="80"/>
      <w:sz w:val="32"/>
      <w:szCs w:val="32"/>
    </w:rPr>
  </w:style>
  <w:style w:type="paragraph" w:styleId="Heading2">
    <w:name w:val="heading 2"/>
    <w:basedOn w:val="Normal"/>
    <w:next w:val="Normal"/>
    <w:link w:val="Heading2Char"/>
    <w:uiPriority w:val="9"/>
    <w:unhideWhenUsed/>
    <w:qFormat/>
    <w:rsid w:val="00F36611"/>
    <w:pPr>
      <w:keepNext/>
      <w:keepLines/>
      <w:spacing w:before="40" w:after="240" w:line="360" w:lineRule="auto"/>
      <w:outlineLvl w:val="1"/>
    </w:pPr>
    <w:rPr>
      <w:rFonts w:eastAsiaTheme="majorEastAsia" w:cstheme="majorBidi"/>
      <w:b/>
      <w:color w:val="2F5496" w:themeColor="accent1" w:themeShade="BF"/>
      <w:sz w:val="28"/>
      <w:szCs w:val="28"/>
    </w:rPr>
  </w:style>
  <w:style w:type="paragraph" w:styleId="Heading3">
    <w:name w:val="heading 3"/>
    <w:basedOn w:val="Normal"/>
    <w:next w:val="Normal"/>
    <w:link w:val="Heading3Char"/>
    <w:uiPriority w:val="9"/>
    <w:semiHidden/>
    <w:unhideWhenUsed/>
    <w:qFormat/>
    <w:rsid w:val="00F36611"/>
    <w:pPr>
      <w:keepNext/>
      <w:keepLines/>
      <w:spacing w:before="40" w:after="240" w:line="360" w:lineRule="auto"/>
      <w:outlineLvl w:val="2"/>
    </w:pPr>
    <w:rPr>
      <w:rFonts w:eastAsiaTheme="majorEastAsia"/>
      <w:color w:val="1F3763" w:themeColor="accent1" w:themeShade="7F"/>
      <w:sz w:val="26"/>
      <w:szCs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9B0E49"/>
    <w:rPr>
      <w:rFonts w:ascii="Times New Roman" w:eastAsiaTheme="majorEastAsia" w:hAnsi="Times New Roman" w:cstheme="majorBidi"/>
      <w:b/>
      <w:bCs/>
      <w:color w:val="1F3864" w:themeColor="accent1" w:themeShade="80"/>
      <w:sz w:val="32"/>
      <w:szCs w:val="32"/>
    </w:rPr>
  </w:style>
  <w:style w:type="character" w:customStyle="1" w:styleId="Heading2Char">
    <w:name w:val="Heading 2 Char"/>
    <w:basedOn w:val="DefaultParagraphFont"/>
    <w:link w:val="Heading2"/>
    <w:uiPriority w:val="9"/>
    <w:rsid w:val="00F36611"/>
    <w:rPr>
      <w:rFonts w:ascii="Times New Roman" w:eastAsiaTheme="majorEastAsia" w:hAnsi="Times New Roman" w:cstheme="majorBidi"/>
      <w:b/>
      <w:color w:val="2F5496" w:themeColor="accent1" w:themeShade="BF"/>
      <w:sz w:val="28"/>
      <w:szCs w:val="28"/>
    </w:rPr>
  </w:style>
  <w:style w:type="table" w:styleId="TableGrid">
    <w:name w:val="Table Grid"/>
    <w:basedOn w:val="TableNormal"/>
    <w:uiPriority w:val="39"/>
    <w:rsid w:val="00F641FD"/>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64DBC"/>
    <w:pPr>
      <w:ind w:left="720"/>
      <w:contextualSpacing/>
    </w:pPr>
  </w:style>
  <w:style w:type="paragraph" w:styleId="TOCHeading">
    <w:name w:val="TOC Heading"/>
    <w:basedOn w:val="Heading1"/>
    <w:next w:val="Normal"/>
    <w:uiPriority w:val="39"/>
    <w:unhideWhenUsed/>
    <w:qFormat/>
    <w:rsid w:val="00664DBC"/>
    <w:pPr>
      <w:spacing w:line="259" w:lineRule="auto"/>
      <w:jc w:val="left"/>
      <w:outlineLvl w:val="9"/>
    </w:pPr>
    <w:rPr>
      <w:rFonts w:asciiTheme="majorHAnsi" w:hAnsiTheme="majorHAnsi"/>
      <w:lang w:val="en-US"/>
    </w:rPr>
  </w:style>
  <w:style w:type="paragraph" w:styleId="TOC2">
    <w:name w:val="toc 2"/>
    <w:basedOn w:val="Normal"/>
    <w:next w:val="Normal"/>
    <w:autoRedefine/>
    <w:uiPriority w:val="39"/>
    <w:unhideWhenUsed/>
    <w:rsid w:val="00664DBC"/>
    <w:pPr>
      <w:spacing w:after="100"/>
      <w:ind w:left="240"/>
    </w:pPr>
  </w:style>
  <w:style w:type="character" w:styleId="Hyperlink">
    <w:name w:val="Hyperlink"/>
    <w:basedOn w:val="DefaultParagraphFont"/>
    <w:uiPriority w:val="99"/>
    <w:unhideWhenUsed/>
    <w:rsid w:val="00664DBC"/>
    <w:rPr>
      <w:color w:val="0563C1" w:themeColor="hyperlink"/>
      <w:u w:val="single"/>
    </w:rPr>
  </w:style>
  <w:style w:type="paragraph" w:styleId="Header">
    <w:name w:val="header"/>
    <w:basedOn w:val="Normal"/>
    <w:link w:val="HeaderChar"/>
    <w:uiPriority w:val="99"/>
    <w:unhideWhenUsed/>
    <w:rsid w:val="00205AA0"/>
    <w:pPr>
      <w:tabs>
        <w:tab w:val="center" w:pos="4513"/>
        <w:tab w:val="right" w:pos="9026"/>
      </w:tabs>
      <w:spacing w:after="0"/>
    </w:pPr>
  </w:style>
  <w:style w:type="character" w:customStyle="1" w:styleId="HeaderChar">
    <w:name w:val="Header Char"/>
    <w:basedOn w:val="DefaultParagraphFont"/>
    <w:link w:val="Header"/>
    <w:uiPriority w:val="99"/>
    <w:rsid w:val="00205AA0"/>
    <w:rPr>
      <w:rFonts w:ascii="Times New Roman" w:hAnsi="Times New Roman"/>
      <w:sz w:val="24"/>
    </w:rPr>
  </w:style>
  <w:style w:type="paragraph" w:styleId="Footer">
    <w:name w:val="footer"/>
    <w:basedOn w:val="Normal"/>
    <w:link w:val="FooterChar"/>
    <w:uiPriority w:val="99"/>
    <w:unhideWhenUsed/>
    <w:rsid w:val="00205AA0"/>
    <w:pPr>
      <w:tabs>
        <w:tab w:val="center" w:pos="4513"/>
        <w:tab w:val="right" w:pos="9026"/>
      </w:tabs>
      <w:spacing w:after="0"/>
    </w:pPr>
  </w:style>
  <w:style w:type="character" w:customStyle="1" w:styleId="FooterChar">
    <w:name w:val="Footer Char"/>
    <w:basedOn w:val="DefaultParagraphFont"/>
    <w:link w:val="Footer"/>
    <w:uiPriority w:val="99"/>
    <w:rsid w:val="00205AA0"/>
    <w:rPr>
      <w:rFonts w:ascii="Times New Roman" w:hAnsi="Times New Roman"/>
      <w:sz w:val="24"/>
    </w:rPr>
  </w:style>
  <w:style w:type="character" w:customStyle="1" w:styleId="Heading3Char">
    <w:name w:val="Heading 3 Char"/>
    <w:basedOn w:val="DefaultParagraphFont"/>
    <w:link w:val="Heading3"/>
    <w:uiPriority w:val="9"/>
    <w:rsid w:val="00F36611"/>
    <w:rPr>
      <w:rFonts w:ascii="Times New Roman" w:eastAsiaTheme="majorEastAsia" w:hAnsi="Times New Roman" w:cs="Times New Roman"/>
      <w:color w:val="1F3763" w:themeColor="accent1" w:themeShade="7F"/>
      <w:sz w:val="26"/>
      <w:szCs w:val="26"/>
    </w:rPr>
  </w:style>
  <w:style w:type="paragraph" w:styleId="TOC1">
    <w:name w:val="toc 1"/>
    <w:basedOn w:val="Normal"/>
    <w:next w:val="Normal"/>
    <w:autoRedefine/>
    <w:uiPriority w:val="39"/>
    <w:unhideWhenUsed/>
    <w:rsid w:val="00F36611"/>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pPr>
    <w:tblPr>
      <w:tblStyleRowBandSize w:val="1"/>
      <w:tblStyleColBandSize w:val="1"/>
    </w:tblPr>
  </w:style>
  <w:style w:type="table" w:customStyle="1" w:styleId="a0">
    <w:basedOn w:val="TableNormal"/>
    <w:pPr>
      <w:spacing w:after="0"/>
    </w:p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R4sCAp4itdpy3jpcpD9zenxsx/A==">AMUW2mUUaDBFWRl4SZSqqd15P+fqvxkzLIolL3uzjUOXxmI0YwWEXnHcAdCyiqK3kuSDTfGRv+KcCgEyDdsiVfWrOS0+D0Rkd/cM7Lw/Nv860PVLJwkyWy1ppW2b2KGfv4wOez6yiOSXL2tVV7b9H54DuSj8IASuM0LnSF1xbg2gDZPIoeJ3szHa5KbK/kftp6u2+oZYefrgvyw+Ds00jVLhvZ/ExxepvyxnttOtWjxbeLXSV/5djT27I371vF7utmHJHReFIBdcO9OqBE+j+y6xRFJded7Frdr0Z+BSsJUGu2bU60pN5i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1518</Words>
  <Characters>8658</Characters>
  <Application>Microsoft Office Word</Application>
  <DocSecurity>0</DocSecurity>
  <Lines>72</Lines>
  <Paragraphs>20</Paragraphs>
  <ScaleCrop>false</ScaleCrop>
  <Company/>
  <LinksUpToDate>false</LinksUpToDate>
  <CharactersWithSpaces>10156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Khaleda Chowdhury (2107822)</cp:lastModifiedBy>
  <cp:revision>2</cp:revision>
  <dcterms:created xsi:type="dcterms:W3CDTF">2022-11-27T19:48:00Z</dcterms:created>
  <dcterms:modified xsi:type="dcterms:W3CDTF">2022-11-27T19:48:00Z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8c974807-de6e-47bf-81e4-18aa38c24058</vt:lpwstr>
  </property>
</Properties>
</file>