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22485789"/>
        <w:docPartObj>
          <w:docPartGallery w:val="Cover Pages"/>
          <w:docPartUnique/>
        </w:docPartObj>
      </w:sdtPr>
      <w:sdtContent>
        <w:p w:rsidR="000A19B4" w:rsidRDefault="000A19B4"/>
        <w:p w:rsidR="000A19B4" w:rsidRDefault="000E3DF5">
          <w:r>
            <w:rPr>
              <w:noProof/>
            </w:rPr>
            <w:pict>
              <v:shapetyp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rsidR="00FE2419" w:rsidRDefault="00FE2419">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Contributing to Improvement of Individual and Organizational Performance</w:t>
                          </w:r>
                        </w:sdtContent>
                      </w:sdt>
                    </w:p>
                    <w:sdt>
                      <w:sdtPr>
                        <w:rPr>
                          <w:caps/>
                          <w:color w:val="1F4E7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rsidR="00FE2419" w:rsidRDefault="00FE2419">
                          <w:pPr>
                            <w:pStyle w:val="NoSpacing"/>
                            <w:spacing w:before="40" w:after="40"/>
                            <w:rPr>
                              <w:caps/>
                              <w:color w:val="1F4E79" w:themeColor="accent5" w:themeShade="80"/>
                              <w:sz w:val="28"/>
                              <w:szCs w:val="28"/>
                            </w:rPr>
                          </w:pPr>
                          <w:r>
                            <w:rPr>
                              <w:caps/>
                              <w:color w:val="1F4E79" w:themeColor="accent5" w:themeShade="80"/>
                              <w:sz w:val="28"/>
                              <w:szCs w:val="28"/>
                            </w:rPr>
                            <w:t xml:space="preserve">     </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FE2419" w:rsidRDefault="00FE2419">
                          <w:pPr>
                            <w:pStyle w:val="NoSpacing"/>
                            <w:spacing w:before="80" w:after="40"/>
                            <w:rPr>
                              <w:caps/>
                              <w:color w:val="5B9BD5" w:themeColor="accent5"/>
                              <w:sz w:val="24"/>
                              <w:szCs w:val="24"/>
                            </w:rPr>
                          </w:pPr>
                          <w:r>
                            <w:rPr>
                              <w:caps/>
                              <w:color w:val="5B9BD5" w:themeColor="accent5"/>
                              <w:sz w:val="24"/>
                              <w:szCs w:val="24"/>
                            </w:rPr>
                            <w:t>Kimberley Low</w:t>
                          </w:r>
                        </w:p>
                      </w:sdtContent>
                    </w:sdt>
                  </w:txbxContent>
                </v:textbox>
                <w10:wrap type="square" anchorx="margin" anchory="page"/>
              </v:shape>
            </w:pict>
          </w:r>
          <w:r>
            <w:rPr>
              <w:noProof/>
            </w:rPr>
            <w:pict>
              <v:rect id="Rectangle 132" o:spid="_x0000_s1027" style="position:absolute;margin-left:2.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rsidR="00FE2419" w:rsidRDefault="00FE2419">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w:r>
          <w:r w:rsidR="000A19B4">
            <w:br w:type="page"/>
          </w:r>
        </w:p>
      </w:sdtContent>
    </w:sdt>
    <w:p w:rsidR="000A19B4" w:rsidRPr="000A19B4" w:rsidRDefault="000A19B4" w:rsidP="000A19B4">
      <w:pPr>
        <w:spacing w:after="0" w:line="240" w:lineRule="auto"/>
        <w:rPr>
          <w:rFonts w:ascii="Arial" w:eastAsia="Calibri" w:hAnsi="Arial" w:cs="Arial"/>
          <w:color w:val="58595B"/>
          <w:sz w:val="36"/>
          <w:szCs w:val="36"/>
          <w:lang w:val="en-US"/>
        </w:rPr>
      </w:pPr>
      <w:r w:rsidRPr="000A19B4">
        <w:rPr>
          <w:rFonts w:ascii="Arial" w:eastAsia="Calibri" w:hAnsi="Arial" w:cs="Arial"/>
          <w:color w:val="58595B"/>
          <w:sz w:val="36"/>
          <w:szCs w:val="36"/>
          <w:lang w:val="en-US"/>
        </w:rPr>
        <w:lastRenderedPageBreak/>
        <w:t>Qualification: CIPD Diploma in Applied Human Resources</w:t>
      </w:r>
    </w:p>
    <w:p w:rsidR="000A19B4" w:rsidRPr="000A19B4" w:rsidRDefault="000A19B4" w:rsidP="000A19B4">
      <w:pPr>
        <w:spacing w:after="0" w:line="240" w:lineRule="auto"/>
        <w:rPr>
          <w:rFonts w:ascii="Arial" w:eastAsia="Calibri" w:hAnsi="Arial" w:cs="Arial"/>
          <w:color w:val="58595B"/>
          <w:sz w:val="36"/>
          <w:szCs w:val="36"/>
          <w:lang w:val="en-US"/>
        </w:rPr>
      </w:pPr>
    </w:p>
    <w:p w:rsidR="000A19B4" w:rsidRPr="000A19B4" w:rsidRDefault="000A19B4" w:rsidP="000A19B4">
      <w:pPr>
        <w:spacing w:after="0" w:line="240" w:lineRule="auto"/>
        <w:rPr>
          <w:rFonts w:ascii="Arial" w:eastAsia="Calibri" w:hAnsi="Arial" w:cs="Arial"/>
          <w:color w:val="58595B"/>
          <w:sz w:val="36"/>
          <w:szCs w:val="36"/>
          <w:lang w:val="en-US"/>
        </w:rPr>
      </w:pPr>
      <w:r w:rsidRPr="000A19B4">
        <w:rPr>
          <w:rFonts w:ascii="Arial" w:eastAsia="Calibri" w:hAnsi="Arial" w:cs="Arial"/>
          <w:color w:val="58595B"/>
          <w:sz w:val="36"/>
          <w:szCs w:val="36"/>
          <w:lang w:val="en-US"/>
        </w:rPr>
        <w:t>Module Name: Co</w:t>
      </w:r>
      <w:r>
        <w:rPr>
          <w:rFonts w:ascii="Arial" w:eastAsia="Calibri" w:hAnsi="Arial" w:cs="Arial"/>
          <w:color w:val="58595B"/>
          <w:sz w:val="36"/>
          <w:szCs w:val="36"/>
          <w:lang w:val="en-US"/>
        </w:rPr>
        <w:t xml:space="preserve">ntributing to the improvement of individual and organizational performance </w:t>
      </w:r>
    </w:p>
    <w:p w:rsidR="000A19B4" w:rsidRPr="000A19B4" w:rsidRDefault="000A19B4" w:rsidP="000A19B4">
      <w:pPr>
        <w:spacing w:after="0" w:line="240" w:lineRule="auto"/>
        <w:rPr>
          <w:rFonts w:ascii="Arial" w:eastAsia="Calibri" w:hAnsi="Arial" w:cs="Arial"/>
          <w:color w:val="58595B"/>
          <w:sz w:val="36"/>
          <w:szCs w:val="36"/>
          <w:lang w:val="en-US"/>
        </w:rPr>
      </w:pPr>
    </w:p>
    <w:p w:rsidR="000A19B4" w:rsidRPr="000A19B4" w:rsidRDefault="000A19B4" w:rsidP="000A19B4">
      <w:pPr>
        <w:spacing w:after="0" w:line="240" w:lineRule="auto"/>
        <w:rPr>
          <w:rFonts w:ascii="Arial" w:eastAsia="Calibri" w:hAnsi="Arial" w:cs="Arial"/>
          <w:color w:val="58595B"/>
          <w:sz w:val="36"/>
          <w:szCs w:val="36"/>
          <w:lang w:val="en-US"/>
        </w:rPr>
      </w:pPr>
      <w:r w:rsidRPr="000A19B4">
        <w:rPr>
          <w:rFonts w:ascii="Arial" w:eastAsia="Calibri" w:hAnsi="Arial" w:cs="Arial"/>
          <w:color w:val="58595B"/>
          <w:sz w:val="36"/>
          <w:szCs w:val="36"/>
          <w:lang w:val="en-US"/>
        </w:rPr>
        <w:t>[Title of Assessment]</w:t>
      </w:r>
    </w:p>
    <w:p w:rsidR="000A19B4" w:rsidRPr="000A19B4" w:rsidRDefault="000A19B4" w:rsidP="000A19B4">
      <w:pPr>
        <w:spacing w:after="0" w:line="240" w:lineRule="auto"/>
        <w:rPr>
          <w:rFonts w:ascii="Arial" w:eastAsia="Calibri" w:hAnsi="Arial" w:cs="Arial"/>
          <w:color w:val="58595B"/>
          <w:sz w:val="36"/>
          <w:szCs w:val="36"/>
          <w:lang w:val="en-US"/>
        </w:rPr>
      </w:pPr>
    </w:p>
    <w:p w:rsidR="000A19B4" w:rsidRPr="000A19B4" w:rsidRDefault="000A19B4" w:rsidP="000A19B4">
      <w:pPr>
        <w:spacing w:after="0" w:line="240" w:lineRule="auto"/>
        <w:rPr>
          <w:rFonts w:ascii="Arial" w:eastAsia="Calibri" w:hAnsi="Arial" w:cs="Arial"/>
          <w:color w:val="58595B"/>
          <w:sz w:val="36"/>
          <w:szCs w:val="36"/>
          <w:lang w:val="en-US"/>
        </w:rPr>
      </w:pPr>
      <w:r w:rsidRPr="000A19B4">
        <w:rPr>
          <w:rFonts w:ascii="Arial" w:eastAsia="Calibri" w:hAnsi="Arial" w:cs="Arial"/>
          <w:color w:val="58595B"/>
          <w:sz w:val="36"/>
          <w:szCs w:val="36"/>
          <w:lang w:val="en-US"/>
        </w:rPr>
        <w:t xml:space="preserve">Word Count: </w:t>
      </w:r>
      <w:r w:rsidR="00946FFF">
        <w:rPr>
          <w:rFonts w:ascii="Arial" w:eastAsia="Calibri" w:hAnsi="Arial" w:cs="Arial"/>
          <w:color w:val="58595B"/>
          <w:sz w:val="36"/>
          <w:szCs w:val="36"/>
          <w:lang w:val="en-US"/>
        </w:rPr>
        <w:t>2883</w:t>
      </w:r>
    </w:p>
    <w:p w:rsidR="000A19B4" w:rsidRPr="000A19B4" w:rsidRDefault="000A19B4" w:rsidP="000A19B4">
      <w:pPr>
        <w:spacing w:after="0" w:line="240" w:lineRule="auto"/>
        <w:rPr>
          <w:rFonts w:ascii="Arial" w:eastAsia="Calibri" w:hAnsi="Arial" w:cs="Arial"/>
          <w:color w:val="58595B"/>
          <w:sz w:val="36"/>
          <w:szCs w:val="36"/>
          <w:lang w:val="en-US"/>
        </w:rPr>
      </w:pPr>
    </w:p>
    <w:p w:rsidR="000A19B4" w:rsidRPr="000A19B4" w:rsidRDefault="000A19B4" w:rsidP="000A19B4">
      <w:pPr>
        <w:spacing w:after="0" w:line="240" w:lineRule="auto"/>
        <w:rPr>
          <w:rFonts w:ascii="Arial" w:eastAsia="Calibri" w:hAnsi="Arial" w:cs="Arial"/>
          <w:color w:val="58595B"/>
          <w:sz w:val="36"/>
          <w:szCs w:val="36"/>
          <w:lang w:val="en-US"/>
        </w:rPr>
      </w:pPr>
    </w:p>
    <w:p w:rsidR="000A19B4" w:rsidRPr="000A19B4" w:rsidRDefault="000A19B4" w:rsidP="000A19B4">
      <w:pPr>
        <w:spacing w:after="0" w:line="240" w:lineRule="auto"/>
        <w:rPr>
          <w:rFonts w:ascii="Arial" w:eastAsia="Calibri" w:hAnsi="Arial" w:cs="Arial"/>
          <w:color w:val="58595B"/>
          <w:sz w:val="36"/>
          <w:szCs w:val="36"/>
          <w:lang w:val="en-US"/>
        </w:rPr>
      </w:pPr>
    </w:p>
    <w:p w:rsidR="000A19B4" w:rsidRPr="000A19B4" w:rsidRDefault="000A19B4" w:rsidP="000A19B4">
      <w:pPr>
        <w:spacing w:after="0" w:line="240" w:lineRule="auto"/>
        <w:rPr>
          <w:rFonts w:ascii="Arial" w:eastAsia="Calibri" w:hAnsi="Arial" w:cs="Arial"/>
          <w:color w:val="58595B"/>
          <w:sz w:val="36"/>
          <w:szCs w:val="36"/>
          <w:lang w:val="en-US"/>
        </w:rPr>
      </w:pPr>
    </w:p>
    <w:p w:rsidR="000A19B4" w:rsidRPr="000A19B4" w:rsidRDefault="000A19B4" w:rsidP="000A19B4">
      <w:pPr>
        <w:spacing w:after="0" w:line="240" w:lineRule="auto"/>
        <w:rPr>
          <w:rFonts w:ascii="Arial" w:eastAsia="Calibri" w:hAnsi="Arial" w:cs="Arial"/>
          <w:color w:val="58595B"/>
          <w:sz w:val="36"/>
          <w:szCs w:val="36"/>
          <w:lang w:val="en-US"/>
        </w:rPr>
      </w:pPr>
    </w:p>
    <w:p w:rsidR="000A19B4" w:rsidRPr="000A19B4" w:rsidRDefault="000A19B4" w:rsidP="000A19B4">
      <w:pPr>
        <w:spacing w:after="0" w:line="240" w:lineRule="auto"/>
        <w:rPr>
          <w:rFonts w:ascii="Arial" w:eastAsia="Calibri" w:hAnsi="Arial" w:cs="Arial"/>
          <w:color w:val="58595B"/>
          <w:sz w:val="36"/>
          <w:szCs w:val="36"/>
          <w:lang w:val="en-US"/>
        </w:rPr>
      </w:pPr>
    </w:p>
    <w:p w:rsidR="000A19B4" w:rsidRPr="000A19B4" w:rsidRDefault="000A19B4" w:rsidP="000A19B4">
      <w:pPr>
        <w:spacing w:after="0" w:line="240" w:lineRule="auto"/>
        <w:rPr>
          <w:rFonts w:ascii="Arial" w:eastAsia="Calibri" w:hAnsi="Arial" w:cs="Arial"/>
          <w:color w:val="58595B"/>
          <w:sz w:val="36"/>
          <w:szCs w:val="36"/>
          <w:lang w:val="en-US"/>
        </w:rPr>
      </w:pPr>
    </w:p>
    <w:p w:rsidR="000A19B4" w:rsidRPr="000A19B4" w:rsidRDefault="000A19B4" w:rsidP="000A19B4">
      <w:pPr>
        <w:spacing w:after="0" w:line="240" w:lineRule="auto"/>
        <w:rPr>
          <w:rFonts w:ascii="Arial" w:eastAsia="Calibri" w:hAnsi="Arial" w:cs="Arial"/>
          <w:color w:val="58595B"/>
          <w:sz w:val="36"/>
          <w:szCs w:val="36"/>
          <w:lang w:val="en-US"/>
        </w:rPr>
      </w:pPr>
      <w:r w:rsidRPr="000A19B4">
        <w:rPr>
          <w:rFonts w:ascii="Arial" w:eastAsia="Calibri" w:hAnsi="Arial" w:cs="Arial"/>
          <w:color w:val="58595B"/>
          <w:sz w:val="36"/>
          <w:szCs w:val="36"/>
          <w:lang w:val="en-US"/>
        </w:rPr>
        <w:t xml:space="preserve">Student Name: Kimberley Low </w:t>
      </w:r>
    </w:p>
    <w:p w:rsidR="000A19B4" w:rsidRPr="000A19B4" w:rsidRDefault="000A19B4" w:rsidP="000A19B4">
      <w:pPr>
        <w:spacing w:after="0" w:line="240" w:lineRule="auto"/>
        <w:rPr>
          <w:rFonts w:ascii="Arial" w:eastAsia="Calibri" w:hAnsi="Arial" w:cs="Arial"/>
          <w:color w:val="58595B"/>
          <w:sz w:val="36"/>
          <w:szCs w:val="36"/>
          <w:lang w:val="en-US"/>
        </w:rPr>
      </w:pPr>
      <w:r w:rsidRPr="000A19B4">
        <w:rPr>
          <w:rFonts w:ascii="Arial" w:eastAsia="Calibri" w:hAnsi="Arial" w:cs="Arial"/>
          <w:color w:val="58595B"/>
          <w:sz w:val="36"/>
          <w:szCs w:val="36"/>
          <w:lang w:val="en-US"/>
        </w:rPr>
        <w:t xml:space="preserve">Student Number: 1400169 </w:t>
      </w:r>
    </w:p>
    <w:p w:rsidR="000A19B4" w:rsidRPr="000A19B4" w:rsidRDefault="000A19B4" w:rsidP="000A19B4">
      <w:pPr>
        <w:spacing w:after="0" w:line="240" w:lineRule="auto"/>
        <w:rPr>
          <w:rFonts w:ascii="Arial" w:eastAsia="Calibri" w:hAnsi="Arial" w:cs="Arial"/>
          <w:color w:val="58595B"/>
          <w:sz w:val="36"/>
          <w:szCs w:val="36"/>
          <w:lang w:val="en-US"/>
        </w:rPr>
      </w:pPr>
      <w:r w:rsidRPr="000A19B4">
        <w:rPr>
          <w:rFonts w:ascii="Arial" w:eastAsia="Calibri" w:hAnsi="Arial" w:cs="Arial"/>
          <w:color w:val="58595B"/>
          <w:sz w:val="36"/>
          <w:szCs w:val="36"/>
          <w:lang w:val="en-US"/>
        </w:rPr>
        <w:t>CIPD Membership Number: 57493170</w:t>
      </w:r>
    </w:p>
    <w:p w:rsidR="000A19B4" w:rsidRPr="000A19B4" w:rsidRDefault="000A19B4" w:rsidP="000A19B4">
      <w:pPr>
        <w:spacing w:after="0" w:line="240" w:lineRule="auto"/>
        <w:rPr>
          <w:rFonts w:ascii="Arial" w:eastAsia="Calibri" w:hAnsi="Arial" w:cs="Arial"/>
          <w:color w:val="58595B"/>
          <w:sz w:val="36"/>
          <w:szCs w:val="36"/>
          <w:lang w:val="en-US"/>
        </w:rPr>
      </w:pPr>
    </w:p>
    <w:p w:rsidR="000A19B4" w:rsidRPr="000A19B4" w:rsidRDefault="000A19B4" w:rsidP="000A19B4">
      <w:pPr>
        <w:spacing w:after="0" w:line="240" w:lineRule="auto"/>
        <w:rPr>
          <w:rFonts w:ascii="Arial" w:eastAsia="Calibri" w:hAnsi="Arial" w:cs="Arial"/>
          <w:color w:val="58595B"/>
          <w:sz w:val="36"/>
          <w:szCs w:val="36"/>
          <w:lang w:val="en-US"/>
        </w:rPr>
      </w:pPr>
    </w:p>
    <w:p w:rsidR="000A19B4" w:rsidRPr="000A19B4" w:rsidRDefault="000A19B4" w:rsidP="000A19B4">
      <w:pPr>
        <w:spacing w:after="0" w:line="240" w:lineRule="auto"/>
        <w:rPr>
          <w:rFonts w:ascii="Arial" w:eastAsia="Calibri" w:hAnsi="Arial" w:cs="Arial"/>
          <w:color w:val="58595B"/>
          <w:sz w:val="36"/>
          <w:szCs w:val="36"/>
          <w:lang w:val="en-US"/>
        </w:rPr>
      </w:pPr>
    </w:p>
    <w:p w:rsidR="000A19B4" w:rsidRPr="000A19B4" w:rsidRDefault="000A19B4" w:rsidP="000A19B4">
      <w:pPr>
        <w:spacing w:after="0" w:line="240" w:lineRule="auto"/>
        <w:rPr>
          <w:rFonts w:ascii="Arial" w:eastAsia="Calibri" w:hAnsi="Arial" w:cs="Arial"/>
          <w:color w:val="58595B"/>
          <w:sz w:val="36"/>
          <w:szCs w:val="36"/>
          <w:lang w:val="en-US"/>
        </w:rPr>
      </w:pPr>
      <w:r w:rsidRPr="000A19B4">
        <w:rPr>
          <w:rFonts w:ascii="Arial" w:eastAsia="Calibri" w:hAnsi="Arial" w:cs="Arial"/>
          <w:color w:val="58595B"/>
          <w:sz w:val="36"/>
          <w:szCs w:val="36"/>
          <w:lang w:val="en-US"/>
        </w:rPr>
        <w:t>By signing below, I confirm that the work/evidence presented is my own, unaided work. I understand the regulations pertaining to candidate malpractice and the action that may be taken as a result.</w:t>
      </w:r>
    </w:p>
    <w:p w:rsidR="000A19B4" w:rsidRPr="000A19B4" w:rsidRDefault="000A19B4" w:rsidP="000A19B4">
      <w:pPr>
        <w:spacing w:after="0" w:line="240" w:lineRule="auto"/>
        <w:rPr>
          <w:rFonts w:ascii="Arial" w:eastAsia="Calibri" w:hAnsi="Arial" w:cs="Arial"/>
          <w:color w:val="58595B"/>
          <w:sz w:val="36"/>
          <w:szCs w:val="36"/>
          <w:lang w:val="en-US"/>
        </w:rPr>
      </w:pPr>
    </w:p>
    <w:p w:rsidR="000A19B4" w:rsidRPr="000A19B4" w:rsidRDefault="000A19B4" w:rsidP="000A19B4">
      <w:pPr>
        <w:spacing w:after="0" w:line="240" w:lineRule="auto"/>
        <w:rPr>
          <w:rFonts w:ascii="Arial" w:eastAsia="Calibri" w:hAnsi="Arial" w:cs="Arial"/>
          <w:color w:val="58595B"/>
          <w:sz w:val="36"/>
          <w:szCs w:val="36"/>
          <w:lang w:val="en-US"/>
        </w:rPr>
      </w:pPr>
      <w:r w:rsidRPr="000A19B4">
        <w:rPr>
          <w:rFonts w:ascii="Arial" w:eastAsia="Calibri" w:hAnsi="Arial" w:cs="Arial"/>
          <w:color w:val="58595B"/>
          <w:sz w:val="36"/>
          <w:szCs w:val="36"/>
          <w:lang w:val="en-US"/>
        </w:rPr>
        <w:t xml:space="preserve">Signed: </w:t>
      </w:r>
      <w:proofErr w:type="spellStart"/>
      <w:r w:rsidRPr="000A19B4">
        <w:rPr>
          <w:rFonts w:ascii="Arial" w:eastAsia="Calibri" w:hAnsi="Arial" w:cs="Arial"/>
          <w:color w:val="58595B"/>
          <w:sz w:val="36"/>
          <w:szCs w:val="36"/>
          <w:lang w:val="en-US"/>
        </w:rPr>
        <w:t>K.A.Low</w:t>
      </w:r>
      <w:proofErr w:type="spellEnd"/>
      <w:r w:rsidRPr="000A19B4">
        <w:rPr>
          <w:rFonts w:ascii="Arial" w:eastAsia="Calibri" w:hAnsi="Arial" w:cs="Arial"/>
          <w:color w:val="58595B"/>
          <w:sz w:val="36"/>
          <w:szCs w:val="36"/>
          <w:lang w:val="en-US"/>
        </w:rPr>
        <w:t xml:space="preserve"> </w:t>
      </w:r>
    </w:p>
    <w:p w:rsidR="000A19B4" w:rsidRPr="000A19B4" w:rsidRDefault="000A19B4" w:rsidP="000A19B4">
      <w:pPr>
        <w:spacing w:after="0" w:line="240" w:lineRule="auto"/>
        <w:rPr>
          <w:rFonts w:ascii="Arial" w:eastAsia="Calibri" w:hAnsi="Arial" w:cs="Arial"/>
          <w:color w:val="58595B"/>
          <w:sz w:val="36"/>
          <w:szCs w:val="36"/>
          <w:lang w:val="en-US"/>
        </w:rPr>
      </w:pPr>
      <w:r w:rsidRPr="000A19B4">
        <w:rPr>
          <w:rFonts w:ascii="Arial" w:eastAsia="Calibri" w:hAnsi="Arial" w:cs="Arial"/>
          <w:color w:val="58595B"/>
          <w:sz w:val="36"/>
          <w:szCs w:val="36"/>
          <w:lang w:val="en-US"/>
        </w:rPr>
        <w:t xml:space="preserve">Date: </w:t>
      </w:r>
      <w:r>
        <w:rPr>
          <w:rFonts w:ascii="Arial" w:eastAsia="Calibri" w:hAnsi="Arial" w:cs="Arial"/>
          <w:color w:val="58595B"/>
          <w:sz w:val="36"/>
          <w:szCs w:val="36"/>
          <w:lang w:val="en-US"/>
        </w:rPr>
        <w:t>20/09</w:t>
      </w:r>
      <w:r w:rsidRPr="000A19B4">
        <w:rPr>
          <w:rFonts w:ascii="Arial" w:eastAsia="Calibri" w:hAnsi="Arial" w:cs="Arial"/>
          <w:color w:val="58595B"/>
          <w:sz w:val="36"/>
          <w:szCs w:val="36"/>
          <w:lang w:val="en-US"/>
        </w:rPr>
        <w:t>/21</w:t>
      </w:r>
    </w:p>
    <w:p w:rsidR="000A19B4" w:rsidRPr="000A19B4" w:rsidRDefault="000A19B4" w:rsidP="000A19B4">
      <w:pPr>
        <w:spacing w:after="0" w:line="240" w:lineRule="auto"/>
        <w:rPr>
          <w:rFonts w:ascii="Arial" w:eastAsia="Calibri" w:hAnsi="Arial" w:cs="Times New Roman"/>
          <w:color w:val="1F497D"/>
          <w:lang w:val="en-US"/>
        </w:rPr>
      </w:pPr>
    </w:p>
    <w:p w:rsidR="000A19B4" w:rsidRPr="000A19B4" w:rsidRDefault="000A19B4" w:rsidP="000A19B4">
      <w:pPr>
        <w:spacing w:after="0" w:line="240" w:lineRule="auto"/>
        <w:rPr>
          <w:rFonts w:ascii="Arial" w:eastAsia="Calibri" w:hAnsi="Arial" w:cs="Times New Roman"/>
          <w:color w:val="1F497D"/>
          <w:lang w:val="en-US"/>
        </w:rPr>
      </w:pPr>
    </w:p>
    <w:p w:rsidR="00357E28" w:rsidRDefault="00357E28"/>
    <w:p w:rsidR="000A19B4" w:rsidRDefault="000A19B4"/>
    <w:p w:rsidR="000A19B4" w:rsidRDefault="000A19B4"/>
    <w:p w:rsidR="000A19B4" w:rsidRDefault="000A19B4"/>
    <w:p w:rsidR="000A19B4" w:rsidRDefault="000A19B4"/>
    <w:p w:rsidR="000A19B4" w:rsidRDefault="000A19B4"/>
    <w:p w:rsidR="000A19B4" w:rsidRDefault="000A19B4"/>
    <w:sdt>
      <w:sdtPr>
        <w:rPr>
          <w:rFonts w:asciiTheme="minorHAnsi" w:eastAsiaTheme="minorHAnsi" w:hAnsiTheme="minorHAnsi" w:cstheme="minorBidi"/>
          <w:color w:val="auto"/>
          <w:sz w:val="22"/>
          <w:szCs w:val="22"/>
          <w:lang w:val="en-GB"/>
        </w:rPr>
        <w:id w:val="-579057627"/>
        <w:docPartObj>
          <w:docPartGallery w:val="Table of Contents"/>
          <w:docPartUnique/>
        </w:docPartObj>
      </w:sdtPr>
      <w:sdtEndPr>
        <w:rPr>
          <w:b/>
          <w:bCs/>
          <w:noProof/>
        </w:rPr>
      </w:sdtEndPr>
      <w:sdtContent>
        <w:p w:rsidR="000A19B4" w:rsidRDefault="000A19B4">
          <w:pPr>
            <w:pStyle w:val="TOCHeading"/>
          </w:pPr>
          <w:r>
            <w:t>Contents</w:t>
          </w:r>
        </w:p>
        <w:p w:rsidR="00E621B9" w:rsidRDefault="000E3DF5">
          <w:pPr>
            <w:pStyle w:val="TOC1"/>
            <w:tabs>
              <w:tab w:val="right" w:leader="dot" w:pos="10457"/>
            </w:tabs>
            <w:rPr>
              <w:rFonts w:eastAsiaTheme="minorEastAsia"/>
              <w:noProof/>
              <w:lang w:eastAsia="en-GB"/>
            </w:rPr>
          </w:pPr>
          <w:r w:rsidRPr="000E3DF5">
            <w:fldChar w:fldCharType="begin"/>
          </w:r>
          <w:r w:rsidR="000A19B4">
            <w:instrText xml:space="preserve"> TOC \o "1-3" \h \z \u </w:instrText>
          </w:r>
          <w:r w:rsidRPr="000E3DF5">
            <w:fldChar w:fldCharType="separate"/>
          </w:r>
          <w:hyperlink w:anchor="_Toc83649549" w:history="1">
            <w:r w:rsidR="00E621B9" w:rsidRPr="00D81895">
              <w:rPr>
                <w:rStyle w:val="Hyperlink"/>
                <w:noProof/>
              </w:rPr>
              <w:t>Evidence Matrix</w:t>
            </w:r>
            <w:r w:rsidR="00E621B9">
              <w:rPr>
                <w:noProof/>
                <w:webHidden/>
              </w:rPr>
              <w:tab/>
            </w:r>
            <w:r w:rsidR="00E621B9">
              <w:rPr>
                <w:noProof/>
                <w:webHidden/>
              </w:rPr>
              <w:fldChar w:fldCharType="begin"/>
            </w:r>
            <w:r w:rsidR="00E621B9">
              <w:rPr>
                <w:noProof/>
                <w:webHidden/>
              </w:rPr>
              <w:instrText xml:space="preserve"> PAGEREF _Toc83649549 \h </w:instrText>
            </w:r>
            <w:r w:rsidR="00E621B9">
              <w:rPr>
                <w:noProof/>
                <w:webHidden/>
              </w:rPr>
            </w:r>
            <w:r w:rsidR="00E621B9">
              <w:rPr>
                <w:noProof/>
                <w:webHidden/>
              </w:rPr>
              <w:fldChar w:fldCharType="separate"/>
            </w:r>
            <w:r w:rsidR="00E621B9">
              <w:rPr>
                <w:noProof/>
                <w:webHidden/>
              </w:rPr>
              <w:t>0</w:t>
            </w:r>
            <w:r w:rsidR="00E621B9">
              <w:rPr>
                <w:noProof/>
                <w:webHidden/>
              </w:rPr>
              <w:fldChar w:fldCharType="end"/>
            </w:r>
          </w:hyperlink>
        </w:p>
        <w:p w:rsidR="00E621B9" w:rsidRDefault="00E621B9">
          <w:pPr>
            <w:pStyle w:val="TOC1"/>
            <w:tabs>
              <w:tab w:val="right" w:leader="dot" w:pos="10457"/>
            </w:tabs>
            <w:rPr>
              <w:rFonts w:eastAsiaTheme="minorEastAsia"/>
              <w:noProof/>
              <w:lang w:eastAsia="en-GB"/>
            </w:rPr>
          </w:pPr>
          <w:hyperlink w:anchor="_Toc83649550" w:history="1">
            <w:r w:rsidRPr="00D81895">
              <w:rPr>
                <w:rStyle w:val="Hyperlink"/>
                <w:noProof/>
              </w:rPr>
              <w:t>Learning outcome 1</w:t>
            </w:r>
            <w:r>
              <w:rPr>
                <w:noProof/>
                <w:webHidden/>
              </w:rPr>
              <w:tab/>
            </w:r>
            <w:r>
              <w:rPr>
                <w:noProof/>
                <w:webHidden/>
              </w:rPr>
              <w:fldChar w:fldCharType="begin"/>
            </w:r>
            <w:r>
              <w:rPr>
                <w:noProof/>
                <w:webHidden/>
              </w:rPr>
              <w:instrText xml:space="preserve"> PAGEREF _Toc83649550 \h </w:instrText>
            </w:r>
            <w:r>
              <w:rPr>
                <w:noProof/>
                <w:webHidden/>
              </w:rPr>
            </w:r>
            <w:r>
              <w:rPr>
                <w:noProof/>
                <w:webHidden/>
              </w:rPr>
              <w:fldChar w:fldCharType="separate"/>
            </w:r>
            <w:r>
              <w:rPr>
                <w:noProof/>
                <w:webHidden/>
              </w:rPr>
              <w:t>0</w:t>
            </w:r>
            <w:r>
              <w:rPr>
                <w:noProof/>
                <w:webHidden/>
              </w:rPr>
              <w:fldChar w:fldCharType="end"/>
            </w:r>
          </w:hyperlink>
        </w:p>
        <w:p w:rsidR="00E621B9" w:rsidRDefault="00E621B9">
          <w:pPr>
            <w:pStyle w:val="TOC1"/>
            <w:tabs>
              <w:tab w:val="right" w:leader="dot" w:pos="10457"/>
            </w:tabs>
            <w:rPr>
              <w:rFonts w:eastAsiaTheme="minorEastAsia"/>
              <w:noProof/>
              <w:lang w:eastAsia="en-GB"/>
            </w:rPr>
          </w:pPr>
          <w:hyperlink w:anchor="_Toc83649551" w:history="1">
            <w:r w:rsidRPr="00D81895">
              <w:rPr>
                <w:rStyle w:val="Hyperlink"/>
                <w:noProof/>
              </w:rPr>
              <w:t>Evidence</w:t>
            </w:r>
            <w:r>
              <w:rPr>
                <w:noProof/>
                <w:webHidden/>
              </w:rPr>
              <w:tab/>
            </w:r>
            <w:r>
              <w:rPr>
                <w:noProof/>
                <w:webHidden/>
              </w:rPr>
              <w:fldChar w:fldCharType="begin"/>
            </w:r>
            <w:r>
              <w:rPr>
                <w:noProof/>
                <w:webHidden/>
              </w:rPr>
              <w:instrText xml:space="preserve"> PAGEREF _Toc83649551 \h </w:instrText>
            </w:r>
            <w:r>
              <w:rPr>
                <w:noProof/>
                <w:webHidden/>
              </w:rPr>
            </w:r>
            <w:r>
              <w:rPr>
                <w:noProof/>
                <w:webHidden/>
              </w:rPr>
              <w:fldChar w:fldCharType="separate"/>
            </w:r>
            <w:r>
              <w:rPr>
                <w:noProof/>
                <w:webHidden/>
              </w:rPr>
              <w:t>2</w:t>
            </w:r>
            <w:r>
              <w:rPr>
                <w:noProof/>
                <w:webHidden/>
              </w:rPr>
              <w:fldChar w:fldCharType="end"/>
            </w:r>
          </w:hyperlink>
        </w:p>
        <w:p w:rsidR="00E621B9" w:rsidRDefault="00E621B9">
          <w:pPr>
            <w:pStyle w:val="TOC1"/>
            <w:tabs>
              <w:tab w:val="right" w:leader="dot" w:pos="10457"/>
            </w:tabs>
            <w:rPr>
              <w:rFonts w:eastAsiaTheme="minorEastAsia"/>
              <w:noProof/>
              <w:lang w:eastAsia="en-GB"/>
            </w:rPr>
          </w:pPr>
          <w:hyperlink w:anchor="_Toc83649552" w:history="1">
            <w:r w:rsidRPr="00D81895">
              <w:rPr>
                <w:rStyle w:val="Hyperlink"/>
                <w:noProof/>
              </w:rPr>
              <w:t>Learning Outcome 2</w:t>
            </w:r>
            <w:r>
              <w:rPr>
                <w:noProof/>
                <w:webHidden/>
              </w:rPr>
              <w:tab/>
            </w:r>
            <w:r>
              <w:rPr>
                <w:noProof/>
                <w:webHidden/>
              </w:rPr>
              <w:fldChar w:fldCharType="begin"/>
            </w:r>
            <w:r>
              <w:rPr>
                <w:noProof/>
                <w:webHidden/>
              </w:rPr>
              <w:instrText xml:space="preserve"> PAGEREF _Toc83649552 \h </w:instrText>
            </w:r>
            <w:r>
              <w:rPr>
                <w:noProof/>
                <w:webHidden/>
              </w:rPr>
            </w:r>
            <w:r>
              <w:rPr>
                <w:noProof/>
                <w:webHidden/>
              </w:rPr>
              <w:fldChar w:fldCharType="separate"/>
            </w:r>
            <w:r>
              <w:rPr>
                <w:noProof/>
                <w:webHidden/>
              </w:rPr>
              <w:t>4</w:t>
            </w:r>
            <w:r>
              <w:rPr>
                <w:noProof/>
                <w:webHidden/>
              </w:rPr>
              <w:fldChar w:fldCharType="end"/>
            </w:r>
          </w:hyperlink>
        </w:p>
        <w:p w:rsidR="00E621B9" w:rsidRDefault="00E621B9">
          <w:pPr>
            <w:pStyle w:val="TOC1"/>
            <w:tabs>
              <w:tab w:val="right" w:leader="dot" w:pos="10457"/>
            </w:tabs>
            <w:rPr>
              <w:rFonts w:eastAsiaTheme="minorEastAsia"/>
              <w:noProof/>
              <w:lang w:eastAsia="en-GB"/>
            </w:rPr>
          </w:pPr>
          <w:hyperlink w:anchor="_Toc83649553" w:history="1">
            <w:r w:rsidRPr="00D81895">
              <w:rPr>
                <w:rStyle w:val="Hyperlink"/>
                <w:noProof/>
              </w:rPr>
              <w:t>Evidence</w:t>
            </w:r>
            <w:r>
              <w:rPr>
                <w:noProof/>
                <w:webHidden/>
              </w:rPr>
              <w:tab/>
            </w:r>
            <w:r>
              <w:rPr>
                <w:noProof/>
                <w:webHidden/>
              </w:rPr>
              <w:fldChar w:fldCharType="begin"/>
            </w:r>
            <w:r>
              <w:rPr>
                <w:noProof/>
                <w:webHidden/>
              </w:rPr>
              <w:instrText xml:space="preserve"> PAGEREF _Toc83649553 \h </w:instrText>
            </w:r>
            <w:r>
              <w:rPr>
                <w:noProof/>
                <w:webHidden/>
              </w:rPr>
            </w:r>
            <w:r>
              <w:rPr>
                <w:noProof/>
                <w:webHidden/>
              </w:rPr>
              <w:fldChar w:fldCharType="separate"/>
            </w:r>
            <w:r>
              <w:rPr>
                <w:noProof/>
                <w:webHidden/>
              </w:rPr>
              <w:t>6</w:t>
            </w:r>
            <w:r>
              <w:rPr>
                <w:noProof/>
                <w:webHidden/>
              </w:rPr>
              <w:fldChar w:fldCharType="end"/>
            </w:r>
          </w:hyperlink>
        </w:p>
        <w:p w:rsidR="00E621B9" w:rsidRDefault="00E621B9">
          <w:pPr>
            <w:pStyle w:val="TOC1"/>
            <w:tabs>
              <w:tab w:val="right" w:leader="dot" w:pos="10457"/>
            </w:tabs>
            <w:rPr>
              <w:rFonts w:eastAsiaTheme="minorEastAsia"/>
              <w:noProof/>
              <w:lang w:eastAsia="en-GB"/>
            </w:rPr>
          </w:pPr>
          <w:hyperlink w:anchor="_Toc83649554" w:history="1">
            <w:r w:rsidRPr="00D81895">
              <w:rPr>
                <w:rStyle w:val="Hyperlink"/>
                <w:noProof/>
              </w:rPr>
              <w:t>Learning Outcome 3</w:t>
            </w:r>
            <w:r>
              <w:rPr>
                <w:noProof/>
                <w:webHidden/>
              </w:rPr>
              <w:tab/>
            </w:r>
            <w:r>
              <w:rPr>
                <w:noProof/>
                <w:webHidden/>
              </w:rPr>
              <w:fldChar w:fldCharType="begin"/>
            </w:r>
            <w:r>
              <w:rPr>
                <w:noProof/>
                <w:webHidden/>
              </w:rPr>
              <w:instrText xml:space="preserve"> PAGEREF _Toc83649554 \h </w:instrText>
            </w:r>
            <w:r>
              <w:rPr>
                <w:noProof/>
                <w:webHidden/>
              </w:rPr>
            </w:r>
            <w:r>
              <w:rPr>
                <w:noProof/>
                <w:webHidden/>
              </w:rPr>
              <w:fldChar w:fldCharType="separate"/>
            </w:r>
            <w:r>
              <w:rPr>
                <w:noProof/>
                <w:webHidden/>
              </w:rPr>
              <w:t>10</w:t>
            </w:r>
            <w:r>
              <w:rPr>
                <w:noProof/>
                <w:webHidden/>
              </w:rPr>
              <w:fldChar w:fldCharType="end"/>
            </w:r>
          </w:hyperlink>
        </w:p>
        <w:p w:rsidR="00E621B9" w:rsidRDefault="00E621B9">
          <w:pPr>
            <w:pStyle w:val="TOC1"/>
            <w:tabs>
              <w:tab w:val="right" w:leader="dot" w:pos="10457"/>
            </w:tabs>
            <w:rPr>
              <w:rFonts w:eastAsiaTheme="minorEastAsia"/>
              <w:noProof/>
              <w:lang w:eastAsia="en-GB"/>
            </w:rPr>
          </w:pPr>
          <w:hyperlink w:anchor="_Toc83649555" w:history="1">
            <w:r w:rsidRPr="00D81895">
              <w:rPr>
                <w:rStyle w:val="Hyperlink"/>
                <w:noProof/>
              </w:rPr>
              <w:t>Evidence</w:t>
            </w:r>
            <w:r>
              <w:rPr>
                <w:noProof/>
                <w:webHidden/>
              </w:rPr>
              <w:tab/>
            </w:r>
            <w:r>
              <w:rPr>
                <w:noProof/>
                <w:webHidden/>
              </w:rPr>
              <w:fldChar w:fldCharType="begin"/>
            </w:r>
            <w:r>
              <w:rPr>
                <w:noProof/>
                <w:webHidden/>
              </w:rPr>
              <w:instrText xml:space="preserve"> PAGEREF _Toc83649555 \h </w:instrText>
            </w:r>
            <w:r>
              <w:rPr>
                <w:noProof/>
                <w:webHidden/>
              </w:rPr>
            </w:r>
            <w:r>
              <w:rPr>
                <w:noProof/>
                <w:webHidden/>
              </w:rPr>
              <w:fldChar w:fldCharType="separate"/>
            </w:r>
            <w:r>
              <w:rPr>
                <w:noProof/>
                <w:webHidden/>
              </w:rPr>
              <w:t>12</w:t>
            </w:r>
            <w:r>
              <w:rPr>
                <w:noProof/>
                <w:webHidden/>
              </w:rPr>
              <w:fldChar w:fldCharType="end"/>
            </w:r>
          </w:hyperlink>
        </w:p>
        <w:p w:rsidR="00E621B9" w:rsidRDefault="00E621B9">
          <w:pPr>
            <w:pStyle w:val="TOC1"/>
            <w:tabs>
              <w:tab w:val="right" w:leader="dot" w:pos="10457"/>
            </w:tabs>
            <w:rPr>
              <w:rFonts w:eastAsiaTheme="minorEastAsia"/>
              <w:noProof/>
              <w:lang w:eastAsia="en-GB"/>
            </w:rPr>
          </w:pPr>
          <w:hyperlink w:anchor="_Toc83649556" w:history="1">
            <w:r w:rsidRPr="00D81895">
              <w:rPr>
                <w:rStyle w:val="Hyperlink"/>
                <w:noProof/>
              </w:rPr>
              <w:t>References</w:t>
            </w:r>
            <w:r>
              <w:rPr>
                <w:noProof/>
                <w:webHidden/>
              </w:rPr>
              <w:tab/>
            </w:r>
            <w:r>
              <w:rPr>
                <w:noProof/>
                <w:webHidden/>
              </w:rPr>
              <w:fldChar w:fldCharType="begin"/>
            </w:r>
            <w:r>
              <w:rPr>
                <w:noProof/>
                <w:webHidden/>
              </w:rPr>
              <w:instrText xml:space="preserve"> PAGEREF _Toc83649556 \h </w:instrText>
            </w:r>
            <w:r>
              <w:rPr>
                <w:noProof/>
                <w:webHidden/>
              </w:rPr>
            </w:r>
            <w:r>
              <w:rPr>
                <w:noProof/>
                <w:webHidden/>
              </w:rPr>
              <w:fldChar w:fldCharType="separate"/>
            </w:r>
            <w:r>
              <w:rPr>
                <w:noProof/>
                <w:webHidden/>
              </w:rPr>
              <w:t>13</w:t>
            </w:r>
            <w:r>
              <w:rPr>
                <w:noProof/>
                <w:webHidden/>
              </w:rPr>
              <w:fldChar w:fldCharType="end"/>
            </w:r>
          </w:hyperlink>
        </w:p>
        <w:p w:rsidR="00E621B9" w:rsidRDefault="00E621B9">
          <w:pPr>
            <w:pStyle w:val="TOC1"/>
            <w:tabs>
              <w:tab w:val="right" w:leader="dot" w:pos="10457"/>
            </w:tabs>
            <w:rPr>
              <w:rFonts w:eastAsiaTheme="minorEastAsia"/>
              <w:noProof/>
              <w:lang w:eastAsia="en-GB"/>
            </w:rPr>
          </w:pPr>
          <w:hyperlink w:anchor="_Toc83649557" w:history="1">
            <w:r w:rsidRPr="00D81895">
              <w:rPr>
                <w:rStyle w:val="Hyperlink"/>
                <w:noProof/>
              </w:rPr>
              <w:t>Bibliography</w:t>
            </w:r>
            <w:r>
              <w:rPr>
                <w:noProof/>
                <w:webHidden/>
              </w:rPr>
              <w:tab/>
            </w:r>
            <w:r>
              <w:rPr>
                <w:noProof/>
                <w:webHidden/>
              </w:rPr>
              <w:fldChar w:fldCharType="begin"/>
            </w:r>
            <w:r>
              <w:rPr>
                <w:noProof/>
                <w:webHidden/>
              </w:rPr>
              <w:instrText xml:space="preserve"> PAGEREF _Toc83649557 \h </w:instrText>
            </w:r>
            <w:r>
              <w:rPr>
                <w:noProof/>
                <w:webHidden/>
              </w:rPr>
            </w:r>
            <w:r>
              <w:rPr>
                <w:noProof/>
                <w:webHidden/>
              </w:rPr>
              <w:fldChar w:fldCharType="separate"/>
            </w:r>
            <w:r>
              <w:rPr>
                <w:noProof/>
                <w:webHidden/>
              </w:rPr>
              <w:t>15</w:t>
            </w:r>
            <w:r>
              <w:rPr>
                <w:noProof/>
                <w:webHidden/>
              </w:rPr>
              <w:fldChar w:fldCharType="end"/>
            </w:r>
          </w:hyperlink>
        </w:p>
        <w:p w:rsidR="000A19B4" w:rsidRDefault="000E3DF5">
          <w:r>
            <w:rPr>
              <w:b/>
              <w:bCs/>
              <w:noProof/>
            </w:rPr>
            <w:fldChar w:fldCharType="end"/>
          </w:r>
        </w:p>
      </w:sdtContent>
    </w:sdt>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Pr>
        <w:sectPr w:rsidR="000A19B4" w:rsidSect="000A19B4">
          <w:footerReference w:type="default" r:id="rId9"/>
          <w:pgSz w:w="11907" w:h="16840" w:code="9"/>
          <w:pgMar w:top="720" w:right="720" w:bottom="720" w:left="720" w:header="709" w:footer="709" w:gutter="0"/>
          <w:pgNumType w:start="0"/>
          <w:cols w:space="708"/>
          <w:titlePg/>
          <w:docGrid w:linePitch="360"/>
        </w:sectPr>
      </w:pPr>
    </w:p>
    <w:p w:rsidR="000A19B4" w:rsidRPr="000A19B4" w:rsidRDefault="000A19B4" w:rsidP="000A19B4">
      <w:pPr>
        <w:pStyle w:val="Heading1"/>
      </w:pPr>
      <w:bookmarkStart w:id="0" w:name="_Toc83649549"/>
      <w:r>
        <w:lastRenderedPageBreak/>
        <w:t>Evidence Matrix</w:t>
      </w:r>
      <w:bookmarkEnd w:id="0"/>
      <w:r>
        <w:t xml:space="preserve"> </w:t>
      </w:r>
    </w:p>
    <w:tbl>
      <w:tblPr>
        <w:tblW w:w="1531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tblPr>
      <w:tblGrid>
        <w:gridCol w:w="988"/>
        <w:gridCol w:w="1528"/>
        <w:gridCol w:w="1730"/>
        <w:gridCol w:w="1703"/>
        <w:gridCol w:w="5136"/>
        <w:gridCol w:w="80"/>
        <w:gridCol w:w="1273"/>
        <w:gridCol w:w="1440"/>
        <w:gridCol w:w="1440"/>
      </w:tblGrid>
      <w:tr w:rsidR="000A19B4" w:rsidRPr="00E758AC" w:rsidTr="00FE2419">
        <w:trPr>
          <w:trHeight w:val="425"/>
        </w:trPr>
        <w:tc>
          <w:tcPr>
            <w:tcW w:w="11085" w:type="dxa"/>
            <w:gridSpan w:val="5"/>
          </w:tcPr>
          <w:p w:rsidR="000A19B4" w:rsidRPr="00E758AC" w:rsidRDefault="000A19B4" w:rsidP="00FE2419">
            <w:pPr>
              <w:contextualSpacing/>
              <w:rPr>
                <w:rFonts w:ascii="Arial" w:hAnsi="Arial" w:cs="Arial"/>
                <w:b/>
                <w:color w:val="3C3C3C"/>
              </w:rPr>
            </w:pPr>
            <w:r w:rsidRPr="00E758AC">
              <w:rPr>
                <w:rFonts w:ascii="Arial" w:hAnsi="Arial" w:cs="Arial"/>
                <w:b/>
                <w:color w:val="3C3C3C"/>
              </w:rPr>
              <w:t>Candidate name:</w:t>
            </w:r>
            <w:r>
              <w:rPr>
                <w:rFonts w:ascii="Arial" w:hAnsi="Arial" w:cs="Arial"/>
                <w:b/>
                <w:color w:val="3C3C3C"/>
              </w:rPr>
              <w:t xml:space="preserve"> </w:t>
            </w:r>
            <w:r w:rsidR="00CC29BF">
              <w:rPr>
                <w:rFonts w:ascii="Arial" w:hAnsi="Arial" w:cs="Arial"/>
                <w:b/>
                <w:color w:val="3C3C3C"/>
              </w:rPr>
              <w:t xml:space="preserve">Kimberley Low </w:t>
            </w:r>
          </w:p>
        </w:tc>
        <w:tc>
          <w:tcPr>
            <w:tcW w:w="4233" w:type="dxa"/>
            <w:gridSpan w:val="4"/>
          </w:tcPr>
          <w:p w:rsidR="000A19B4" w:rsidRPr="00E758AC" w:rsidRDefault="000A19B4" w:rsidP="00FE2419">
            <w:pPr>
              <w:contextualSpacing/>
              <w:rPr>
                <w:rFonts w:ascii="Arial" w:hAnsi="Arial" w:cs="Arial"/>
                <w:b/>
                <w:color w:val="3C3C3C"/>
              </w:rPr>
            </w:pPr>
            <w:r w:rsidRPr="00E758AC">
              <w:rPr>
                <w:rFonts w:ascii="Arial" w:hAnsi="Arial" w:cs="Arial"/>
                <w:b/>
                <w:color w:val="3C3C3C"/>
              </w:rPr>
              <w:t>CIPD Membership/registration No.:</w:t>
            </w:r>
          </w:p>
          <w:p w:rsidR="000A19B4" w:rsidRPr="00E758AC" w:rsidRDefault="00CC29BF" w:rsidP="00FE2419">
            <w:pPr>
              <w:contextualSpacing/>
              <w:rPr>
                <w:rFonts w:ascii="Arial" w:hAnsi="Arial" w:cs="Arial"/>
                <w:color w:val="3C3C3C"/>
              </w:rPr>
            </w:pPr>
            <w:r w:rsidRPr="000A19B4">
              <w:rPr>
                <w:rFonts w:ascii="Arial" w:hAnsi="Arial" w:cs="Arial"/>
                <w:color w:val="3C3C3C"/>
                <w:lang w:val="en-US"/>
              </w:rPr>
              <w:t>57493170</w:t>
            </w:r>
          </w:p>
        </w:tc>
      </w:tr>
      <w:tr w:rsidR="000A19B4" w:rsidRPr="00E758AC" w:rsidTr="00FE2419">
        <w:tc>
          <w:tcPr>
            <w:tcW w:w="11085" w:type="dxa"/>
            <w:gridSpan w:val="5"/>
          </w:tcPr>
          <w:p w:rsidR="000A19B4" w:rsidRPr="00E758AC" w:rsidRDefault="000A19B4" w:rsidP="00FE2419">
            <w:pPr>
              <w:contextualSpacing/>
              <w:rPr>
                <w:rFonts w:ascii="Arial" w:hAnsi="Arial" w:cs="Arial"/>
                <w:b/>
                <w:color w:val="3C3C3C"/>
              </w:rPr>
            </w:pPr>
            <w:r w:rsidRPr="00E758AC">
              <w:rPr>
                <w:rFonts w:ascii="Arial" w:hAnsi="Arial" w:cs="Arial"/>
                <w:b/>
                <w:color w:val="3C3C3C"/>
              </w:rPr>
              <w:t>Qualification title:</w:t>
            </w:r>
            <w:r w:rsidR="00CC29BF">
              <w:rPr>
                <w:rFonts w:ascii="Arial" w:hAnsi="Arial" w:cs="Arial"/>
                <w:b/>
                <w:color w:val="3C3C3C"/>
              </w:rPr>
              <w:t xml:space="preserve"> </w:t>
            </w:r>
            <w:r w:rsidR="00CC29BF" w:rsidRPr="000A19B4">
              <w:rPr>
                <w:rFonts w:eastAsia="Calibri" w:cstheme="minorHAnsi"/>
                <w:b/>
                <w:bCs/>
                <w:color w:val="58595B"/>
                <w:sz w:val="24"/>
                <w:szCs w:val="24"/>
                <w:lang w:val="en-US"/>
              </w:rPr>
              <w:t>CIPD Diploma in Applied Human Resources</w:t>
            </w:r>
          </w:p>
        </w:tc>
        <w:tc>
          <w:tcPr>
            <w:tcW w:w="4233" w:type="dxa"/>
            <w:gridSpan w:val="4"/>
          </w:tcPr>
          <w:p w:rsidR="000A19B4" w:rsidRPr="00E758AC" w:rsidRDefault="000A19B4" w:rsidP="00FE2419">
            <w:pPr>
              <w:contextualSpacing/>
              <w:rPr>
                <w:rFonts w:ascii="Arial" w:hAnsi="Arial" w:cs="Arial"/>
                <w:b/>
                <w:color w:val="3C3C3C"/>
              </w:rPr>
            </w:pPr>
            <w:r w:rsidRPr="00E758AC">
              <w:rPr>
                <w:rFonts w:ascii="Arial" w:hAnsi="Arial" w:cs="Arial"/>
                <w:b/>
                <w:color w:val="3C3C3C"/>
              </w:rPr>
              <w:t>Unique Learner No. (ULN):</w:t>
            </w:r>
          </w:p>
          <w:p w:rsidR="000A19B4" w:rsidRPr="00E758AC" w:rsidRDefault="00CC29BF" w:rsidP="00FE2419">
            <w:pPr>
              <w:contextualSpacing/>
              <w:rPr>
                <w:rFonts w:ascii="Arial" w:hAnsi="Arial" w:cs="Arial"/>
                <w:color w:val="3C3C3C"/>
              </w:rPr>
            </w:pPr>
            <w:r>
              <w:rPr>
                <w:rFonts w:ascii="Arial" w:hAnsi="Arial" w:cs="Arial"/>
                <w:color w:val="3C3C3C"/>
              </w:rPr>
              <w:t>1400169</w:t>
            </w:r>
          </w:p>
        </w:tc>
      </w:tr>
      <w:tr w:rsidR="000A19B4" w:rsidRPr="00E758AC" w:rsidTr="00FE2419">
        <w:trPr>
          <w:cantSplit/>
          <w:trHeight w:val="791"/>
        </w:trPr>
        <w:tc>
          <w:tcPr>
            <w:tcW w:w="988" w:type="dxa"/>
            <w:shd w:val="clear" w:color="auto" w:fill="DBD3E5"/>
          </w:tcPr>
          <w:p w:rsidR="000A19B4" w:rsidRPr="00E758AC" w:rsidRDefault="000A19B4" w:rsidP="00FE2419">
            <w:pPr>
              <w:contextualSpacing/>
              <w:rPr>
                <w:rFonts w:ascii="Arial" w:hAnsi="Arial" w:cs="Arial"/>
                <w:b/>
                <w:color w:val="3C3C3C"/>
              </w:rPr>
            </w:pPr>
            <w:r w:rsidRPr="00E758AC">
              <w:rPr>
                <w:rFonts w:ascii="Arial" w:hAnsi="Arial" w:cs="Arial"/>
                <w:b/>
                <w:color w:val="3C3C3C"/>
              </w:rPr>
              <w:t>Unit code</w:t>
            </w:r>
          </w:p>
        </w:tc>
        <w:tc>
          <w:tcPr>
            <w:tcW w:w="3258" w:type="dxa"/>
            <w:gridSpan w:val="2"/>
            <w:shd w:val="clear" w:color="auto" w:fill="DBD3E5"/>
          </w:tcPr>
          <w:p w:rsidR="000A19B4" w:rsidRPr="00E758AC" w:rsidRDefault="000A19B4" w:rsidP="00FE2419">
            <w:pPr>
              <w:contextualSpacing/>
              <w:rPr>
                <w:rFonts w:ascii="Arial" w:hAnsi="Arial" w:cs="Arial"/>
                <w:b/>
                <w:color w:val="3C3C3C"/>
              </w:rPr>
            </w:pPr>
            <w:r w:rsidRPr="00E758AC">
              <w:rPr>
                <w:rFonts w:ascii="Arial" w:hAnsi="Arial" w:cs="Arial"/>
                <w:b/>
                <w:color w:val="3C3C3C"/>
              </w:rPr>
              <w:t>Unit title</w:t>
            </w:r>
          </w:p>
        </w:tc>
        <w:tc>
          <w:tcPr>
            <w:tcW w:w="1703" w:type="dxa"/>
            <w:shd w:val="clear" w:color="auto" w:fill="DBD3E5"/>
          </w:tcPr>
          <w:p w:rsidR="000A19B4" w:rsidRPr="00E758AC" w:rsidRDefault="000A19B4" w:rsidP="00FE2419">
            <w:pPr>
              <w:contextualSpacing/>
              <w:rPr>
                <w:rFonts w:ascii="Arial" w:hAnsi="Arial" w:cs="Arial"/>
                <w:b/>
                <w:color w:val="3C3C3C"/>
              </w:rPr>
            </w:pPr>
            <w:r w:rsidRPr="00E758AC">
              <w:rPr>
                <w:rFonts w:ascii="Arial" w:hAnsi="Arial" w:cs="Arial"/>
                <w:b/>
                <w:color w:val="3C3C3C"/>
              </w:rPr>
              <w:t>Assessment criteria no.</w:t>
            </w:r>
          </w:p>
        </w:tc>
        <w:tc>
          <w:tcPr>
            <w:tcW w:w="5136" w:type="dxa"/>
            <w:shd w:val="clear" w:color="auto" w:fill="DBD3E5"/>
          </w:tcPr>
          <w:p w:rsidR="000A19B4" w:rsidRPr="00E758AC" w:rsidRDefault="000A19B4" w:rsidP="00FE2419">
            <w:pPr>
              <w:contextualSpacing/>
              <w:rPr>
                <w:rFonts w:ascii="Arial" w:hAnsi="Arial" w:cs="Arial"/>
                <w:b/>
                <w:color w:val="3C3C3C"/>
              </w:rPr>
            </w:pPr>
            <w:r w:rsidRPr="00E758AC">
              <w:rPr>
                <w:rFonts w:ascii="Arial" w:hAnsi="Arial" w:cs="Arial"/>
                <w:b/>
                <w:color w:val="3C3C3C"/>
              </w:rPr>
              <w:t>Evidence description</w:t>
            </w:r>
          </w:p>
        </w:tc>
        <w:tc>
          <w:tcPr>
            <w:tcW w:w="1353" w:type="dxa"/>
            <w:gridSpan w:val="2"/>
            <w:shd w:val="clear" w:color="auto" w:fill="DBD3E5"/>
          </w:tcPr>
          <w:p w:rsidR="000A19B4" w:rsidRPr="00E758AC" w:rsidRDefault="000A19B4" w:rsidP="00FE2419">
            <w:pPr>
              <w:contextualSpacing/>
              <w:rPr>
                <w:rFonts w:ascii="Arial" w:hAnsi="Arial" w:cs="Arial"/>
                <w:b/>
                <w:color w:val="3C3C3C"/>
              </w:rPr>
            </w:pPr>
            <w:r w:rsidRPr="00E758AC">
              <w:rPr>
                <w:rFonts w:ascii="Arial" w:hAnsi="Arial" w:cs="Arial"/>
                <w:b/>
                <w:color w:val="3C3C3C"/>
              </w:rPr>
              <w:t>Evidence reference number</w:t>
            </w:r>
          </w:p>
        </w:tc>
        <w:tc>
          <w:tcPr>
            <w:tcW w:w="1440" w:type="dxa"/>
            <w:shd w:val="clear" w:color="auto" w:fill="DBD3E5"/>
          </w:tcPr>
          <w:p w:rsidR="000A19B4" w:rsidRPr="00E758AC" w:rsidRDefault="000A19B4" w:rsidP="00FE2419">
            <w:pPr>
              <w:contextualSpacing/>
              <w:rPr>
                <w:rFonts w:ascii="Arial" w:hAnsi="Arial" w:cs="Arial"/>
                <w:b/>
                <w:color w:val="3C3C3C"/>
              </w:rPr>
            </w:pPr>
            <w:r w:rsidRPr="00E758AC">
              <w:rPr>
                <w:rFonts w:ascii="Arial" w:hAnsi="Arial" w:cs="Arial"/>
                <w:b/>
                <w:color w:val="3C3C3C"/>
              </w:rPr>
              <w:t>Assessor</w:t>
            </w:r>
          </w:p>
          <w:p w:rsidR="000A19B4" w:rsidRPr="00E758AC" w:rsidRDefault="000A19B4" w:rsidP="00FE2419">
            <w:pPr>
              <w:contextualSpacing/>
              <w:rPr>
                <w:rFonts w:ascii="Arial" w:hAnsi="Arial" w:cs="Arial"/>
                <w:b/>
                <w:color w:val="3C3C3C"/>
              </w:rPr>
            </w:pPr>
            <w:r w:rsidRPr="00E758AC">
              <w:rPr>
                <w:rFonts w:ascii="Arial" w:hAnsi="Arial" w:cs="Arial"/>
                <w:b/>
                <w:color w:val="3C3C3C"/>
              </w:rPr>
              <w:t>initials</w:t>
            </w:r>
          </w:p>
        </w:tc>
        <w:tc>
          <w:tcPr>
            <w:tcW w:w="1440" w:type="dxa"/>
            <w:shd w:val="clear" w:color="auto" w:fill="DBD3E5"/>
          </w:tcPr>
          <w:p w:rsidR="000A19B4" w:rsidRPr="00E758AC" w:rsidRDefault="000A19B4" w:rsidP="00FE2419">
            <w:pPr>
              <w:contextualSpacing/>
              <w:rPr>
                <w:rFonts w:ascii="Arial" w:hAnsi="Arial" w:cs="Arial"/>
                <w:b/>
                <w:color w:val="3C3C3C"/>
              </w:rPr>
            </w:pPr>
            <w:r w:rsidRPr="00E758AC">
              <w:rPr>
                <w:rFonts w:ascii="Arial" w:hAnsi="Arial" w:cs="Arial"/>
                <w:b/>
                <w:color w:val="3C3C3C"/>
              </w:rPr>
              <w:t>I/V initials if sampled</w:t>
            </w:r>
          </w:p>
        </w:tc>
      </w:tr>
      <w:tr w:rsidR="000A19B4" w:rsidRPr="00E758AC" w:rsidTr="00FE2419">
        <w:tc>
          <w:tcPr>
            <w:tcW w:w="988" w:type="dxa"/>
          </w:tcPr>
          <w:p w:rsidR="000A19B4" w:rsidRPr="00E758AC" w:rsidRDefault="000A19B4" w:rsidP="00FE2419">
            <w:pPr>
              <w:contextualSpacing/>
              <w:rPr>
                <w:rFonts w:ascii="Arial" w:hAnsi="Arial" w:cs="Arial"/>
                <w:color w:val="3C3C3C"/>
              </w:rPr>
            </w:pPr>
            <w:r>
              <w:rPr>
                <w:rFonts w:ascii="Arial" w:hAnsi="Arial" w:cs="Arial"/>
                <w:color w:val="3C3C3C"/>
              </w:rPr>
              <w:t>5AIOP</w:t>
            </w:r>
          </w:p>
        </w:tc>
        <w:tc>
          <w:tcPr>
            <w:tcW w:w="3258" w:type="dxa"/>
            <w:gridSpan w:val="2"/>
          </w:tcPr>
          <w:p w:rsidR="000A19B4" w:rsidRPr="00E758AC" w:rsidRDefault="000A19B4" w:rsidP="00FE2419">
            <w:pPr>
              <w:contextualSpacing/>
              <w:rPr>
                <w:rFonts w:ascii="Arial" w:hAnsi="Arial" w:cs="Arial"/>
                <w:color w:val="3C3C3C"/>
              </w:rPr>
            </w:pPr>
            <w:r>
              <w:rPr>
                <w:rFonts w:ascii="Arial" w:hAnsi="Arial" w:cs="Arial"/>
                <w:color w:val="3C3C3C"/>
              </w:rPr>
              <w:t>Contributing to Improving Organisational Performance</w:t>
            </w:r>
          </w:p>
        </w:tc>
        <w:tc>
          <w:tcPr>
            <w:tcW w:w="1703" w:type="dxa"/>
          </w:tcPr>
          <w:p w:rsidR="000A19B4" w:rsidRPr="00E758AC" w:rsidRDefault="00442A23" w:rsidP="00FE2419">
            <w:pPr>
              <w:contextualSpacing/>
              <w:rPr>
                <w:rFonts w:ascii="Arial" w:hAnsi="Arial" w:cs="Arial"/>
                <w:color w:val="3C3C3C"/>
              </w:rPr>
            </w:pPr>
            <w:r>
              <w:rPr>
                <w:rFonts w:ascii="Arial" w:hAnsi="Arial" w:cs="Arial"/>
                <w:color w:val="3C3C3C"/>
              </w:rPr>
              <w:t>LO1</w:t>
            </w:r>
          </w:p>
        </w:tc>
        <w:tc>
          <w:tcPr>
            <w:tcW w:w="5136" w:type="dxa"/>
          </w:tcPr>
          <w:p w:rsidR="000A19B4" w:rsidRPr="00E758AC" w:rsidRDefault="00E70809" w:rsidP="00FE2419">
            <w:pPr>
              <w:contextualSpacing/>
              <w:rPr>
                <w:rFonts w:ascii="Arial" w:hAnsi="Arial" w:cs="Arial"/>
                <w:color w:val="3C3C3C"/>
              </w:rPr>
            </w:pPr>
            <w:r>
              <w:rPr>
                <w:rFonts w:ascii="Arial" w:hAnsi="Arial" w:cs="Arial"/>
                <w:color w:val="3C3C3C"/>
              </w:rPr>
              <w:t>Employee Handbook – Mission Statement</w:t>
            </w:r>
          </w:p>
        </w:tc>
        <w:tc>
          <w:tcPr>
            <w:tcW w:w="1353" w:type="dxa"/>
            <w:gridSpan w:val="2"/>
          </w:tcPr>
          <w:p w:rsidR="000A19B4" w:rsidRPr="00E758AC" w:rsidRDefault="000A19B4" w:rsidP="00FE2419">
            <w:pPr>
              <w:contextualSpacing/>
              <w:rPr>
                <w:rFonts w:ascii="Arial" w:hAnsi="Arial" w:cs="Arial"/>
                <w:color w:val="3C3C3C"/>
              </w:rPr>
            </w:pPr>
            <w:r>
              <w:rPr>
                <w:rFonts w:ascii="Arial" w:hAnsi="Arial" w:cs="Arial"/>
                <w:color w:val="3C3C3C"/>
              </w:rPr>
              <w:t>EV</w:t>
            </w:r>
            <w:r w:rsidR="00442A23">
              <w:rPr>
                <w:rFonts w:ascii="Arial" w:hAnsi="Arial" w:cs="Arial"/>
                <w:color w:val="3C3C3C"/>
              </w:rPr>
              <w:t>.</w:t>
            </w:r>
            <w:r>
              <w:rPr>
                <w:rFonts w:ascii="Arial" w:hAnsi="Arial" w:cs="Arial"/>
                <w:color w:val="3C3C3C"/>
              </w:rPr>
              <w:t>1</w:t>
            </w:r>
          </w:p>
        </w:tc>
        <w:tc>
          <w:tcPr>
            <w:tcW w:w="1440" w:type="dxa"/>
          </w:tcPr>
          <w:p w:rsidR="000A19B4" w:rsidRPr="00E758AC" w:rsidRDefault="000A19B4" w:rsidP="00FE2419">
            <w:pPr>
              <w:contextualSpacing/>
              <w:rPr>
                <w:rFonts w:ascii="Arial" w:hAnsi="Arial" w:cs="Arial"/>
                <w:color w:val="3C3C3C"/>
              </w:rPr>
            </w:pPr>
          </w:p>
        </w:tc>
        <w:tc>
          <w:tcPr>
            <w:tcW w:w="1440" w:type="dxa"/>
          </w:tcPr>
          <w:p w:rsidR="000A19B4" w:rsidRPr="00E758AC" w:rsidRDefault="000A19B4" w:rsidP="00FE2419">
            <w:pPr>
              <w:contextualSpacing/>
              <w:rPr>
                <w:rFonts w:ascii="Arial" w:hAnsi="Arial" w:cs="Arial"/>
                <w:color w:val="3C3C3C"/>
              </w:rPr>
            </w:pPr>
          </w:p>
        </w:tc>
      </w:tr>
      <w:tr w:rsidR="002C72B9" w:rsidRPr="00E758AC" w:rsidTr="00FE2419">
        <w:tc>
          <w:tcPr>
            <w:tcW w:w="988" w:type="dxa"/>
          </w:tcPr>
          <w:p w:rsidR="002C72B9" w:rsidRPr="00E758AC" w:rsidRDefault="002C72B9" w:rsidP="00FE2419">
            <w:pPr>
              <w:contextualSpacing/>
              <w:rPr>
                <w:rFonts w:ascii="Arial" w:hAnsi="Arial" w:cs="Arial"/>
                <w:color w:val="3C3C3C"/>
              </w:rPr>
            </w:pPr>
          </w:p>
        </w:tc>
        <w:tc>
          <w:tcPr>
            <w:tcW w:w="3258" w:type="dxa"/>
            <w:gridSpan w:val="2"/>
          </w:tcPr>
          <w:p w:rsidR="002C72B9" w:rsidRDefault="002C72B9" w:rsidP="00FE2419">
            <w:pPr>
              <w:contextualSpacing/>
              <w:rPr>
                <w:rFonts w:ascii="Arial" w:hAnsi="Arial" w:cs="Arial"/>
                <w:color w:val="3C3C3C"/>
              </w:rPr>
            </w:pPr>
          </w:p>
          <w:p w:rsidR="002C72B9" w:rsidRPr="00E758AC" w:rsidRDefault="002C72B9" w:rsidP="00FE2419">
            <w:pPr>
              <w:contextualSpacing/>
              <w:rPr>
                <w:rFonts w:ascii="Arial" w:hAnsi="Arial" w:cs="Arial"/>
                <w:color w:val="3C3C3C"/>
              </w:rPr>
            </w:pPr>
          </w:p>
        </w:tc>
        <w:tc>
          <w:tcPr>
            <w:tcW w:w="1703" w:type="dxa"/>
          </w:tcPr>
          <w:p w:rsidR="002C72B9" w:rsidRDefault="002C72B9" w:rsidP="00FE2419">
            <w:pPr>
              <w:contextualSpacing/>
              <w:rPr>
                <w:rFonts w:ascii="Arial" w:hAnsi="Arial" w:cs="Arial"/>
                <w:color w:val="3C3C3C"/>
              </w:rPr>
            </w:pPr>
            <w:r>
              <w:rPr>
                <w:rFonts w:ascii="Arial" w:hAnsi="Arial" w:cs="Arial"/>
                <w:color w:val="3C3C3C"/>
              </w:rPr>
              <w:t>LO1</w:t>
            </w:r>
          </w:p>
        </w:tc>
        <w:tc>
          <w:tcPr>
            <w:tcW w:w="5136" w:type="dxa"/>
          </w:tcPr>
          <w:p w:rsidR="002C72B9" w:rsidRDefault="002C72B9" w:rsidP="00FE2419">
            <w:pPr>
              <w:contextualSpacing/>
              <w:rPr>
                <w:rFonts w:ascii="Arial" w:hAnsi="Arial" w:cs="Arial"/>
                <w:color w:val="3C3C3C"/>
              </w:rPr>
            </w:pPr>
            <w:r>
              <w:rPr>
                <w:rFonts w:ascii="Arial" w:hAnsi="Arial" w:cs="Arial"/>
                <w:color w:val="3C3C3C"/>
              </w:rPr>
              <w:t xml:space="preserve">Employee Handbook – Company Standards </w:t>
            </w:r>
          </w:p>
        </w:tc>
        <w:tc>
          <w:tcPr>
            <w:tcW w:w="1353" w:type="dxa"/>
            <w:gridSpan w:val="2"/>
          </w:tcPr>
          <w:p w:rsidR="002C72B9" w:rsidRDefault="002C72B9" w:rsidP="00FE2419">
            <w:pPr>
              <w:contextualSpacing/>
              <w:rPr>
                <w:rFonts w:ascii="Arial" w:hAnsi="Arial" w:cs="Arial"/>
                <w:color w:val="3C3C3C"/>
              </w:rPr>
            </w:pPr>
            <w:r>
              <w:rPr>
                <w:rFonts w:ascii="Arial" w:hAnsi="Arial" w:cs="Arial"/>
                <w:color w:val="3C3C3C"/>
              </w:rPr>
              <w:t>EV.</w:t>
            </w:r>
            <w:r w:rsidR="00AC00FE">
              <w:rPr>
                <w:rFonts w:ascii="Arial" w:hAnsi="Arial" w:cs="Arial"/>
                <w:color w:val="3C3C3C"/>
              </w:rPr>
              <w:t>2</w:t>
            </w:r>
          </w:p>
        </w:tc>
        <w:tc>
          <w:tcPr>
            <w:tcW w:w="1440" w:type="dxa"/>
          </w:tcPr>
          <w:p w:rsidR="002C72B9" w:rsidRPr="00E758AC" w:rsidRDefault="002C72B9" w:rsidP="00FE2419">
            <w:pPr>
              <w:contextualSpacing/>
              <w:rPr>
                <w:rFonts w:ascii="Arial" w:hAnsi="Arial" w:cs="Arial"/>
                <w:color w:val="3C3C3C"/>
              </w:rPr>
            </w:pPr>
          </w:p>
        </w:tc>
        <w:tc>
          <w:tcPr>
            <w:tcW w:w="1440" w:type="dxa"/>
          </w:tcPr>
          <w:p w:rsidR="002C72B9" w:rsidRPr="00E758AC" w:rsidRDefault="002C72B9" w:rsidP="00FE2419">
            <w:pPr>
              <w:contextualSpacing/>
              <w:rPr>
                <w:rFonts w:ascii="Arial" w:hAnsi="Arial" w:cs="Arial"/>
                <w:color w:val="3C3C3C"/>
              </w:rPr>
            </w:pPr>
          </w:p>
        </w:tc>
      </w:tr>
      <w:tr w:rsidR="000A19B4" w:rsidRPr="00E758AC" w:rsidTr="00FE2419">
        <w:tc>
          <w:tcPr>
            <w:tcW w:w="988" w:type="dxa"/>
          </w:tcPr>
          <w:p w:rsidR="000A19B4" w:rsidRPr="00E758AC" w:rsidRDefault="000A19B4" w:rsidP="00FE2419">
            <w:pPr>
              <w:contextualSpacing/>
              <w:rPr>
                <w:rFonts w:ascii="Arial" w:hAnsi="Arial" w:cs="Arial"/>
                <w:color w:val="3C3C3C"/>
              </w:rPr>
            </w:pPr>
          </w:p>
        </w:tc>
        <w:tc>
          <w:tcPr>
            <w:tcW w:w="3258" w:type="dxa"/>
            <w:gridSpan w:val="2"/>
          </w:tcPr>
          <w:p w:rsidR="000A19B4" w:rsidRPr="00E758AC" w:rsidRDefault="000A19B4" w:rsidP="00FE2419">
            <w:pPr>
              <w:contextualSpacing/>
              <w:rPr>
                <w:rFonts w:ascii="Arial" w:hAnsi="Arial" w:cs="Arial"/>
                <w:color w:val="3C3C3C"/>
              </w:rPr>
            </w:pPr>
          </w:p>
          <w:p w:rsidR="000A19B4" w:rsidRPr="00E758AC" w:rsidRDefault="000A19B4" w:rsidP="00FE2419">
            <w:pPr>
              <w:contextualSpacing/>
              <w:rPr>
                <w:rFonts w:ascii="Arial" w:hAnsi="Arial" w:cs="Arial"/>
                <w:color w:val="3C3C3C"/>
              </w:rPr>
            </w:pPr>
          </w:p>
        </w:tc>
        <w:tc>
          <w:tcPr>
            <w:tcW w:w="1703" w:type="dxa"/>
          </w:tcPr>
          <w:p w:rsidR="000A19B4" w:rsidRPr="00E758AC" w:rsidRDefault="00442A23" w:rsidP="00FE2419">
            <w:pPr>
              <w:contextualSpacing/>
              <w:rPr>
                <w:rFonts w:ascii="Arial" w:hAnsi="Arial" w:cs="Arial"/>
                <w:color w:val="3C3C3C"/>
              </w:rPr>
            </w:pPr>
            <w:r>
              <w:rPr>
                <w:rFonts w:ascii="Arial" w:hAnsi="Arial" w:cs="Arial"/>
                <w:color w:val="3C3C3C"/>
              </w:rPr>
              <w:t>LO1</w:t>
            </w:r>
          </w:p>
        </w:tc>
        <w:tc>
          <w:tcPr>
            <w:tcW w:w="5136" w:type="dxa"/>
          </w:tcPr>
          <w:p w:rsidR="000A19B4" w:rsidRPr="00E758AC" w:rsidRDefault="00E70809" w:rsidP="00FE2419">
            <w:pPr>
              <w:contextualSpacing/>
              <w:rPr>
                <w:rFonts w:ascii="Arial" w:hAnsi="Arial" w:cs="Arial"/>
                <w:color w:val="3C3C3C"/>
              </w:rPr>
            </w:pPr>
            <w:r>
              <w:rPr>
                <w:rFonts w:ascii="Arial" w:hAnsi="Arial" w:cs="Arial"/>
                <w:color w:val="3C3C3C"/>
              </w:rPr>
              <w:t>Employee Handbook – Disciplinary procedures</w:t>
            </w:r>
          </w:p>
        </w:tc>
        <w:tc>
          <w:tcPr>
            <w:tcW w:w="1353" w:type="dxa"/>
            <w:gridSpan w:val="2"/>
          </w:tcPr>
          <w:p w:rsidR="000A19B4" w:rsidRPr="00E758AC" w:rsidRDefault="000A19B4" w:rsidP="00FE2419">
            <w:pPr>
              <w:contextualSpacing/>
              <w:rPr>
                <w:rFonts w:ascii="Arial" w:hAnsi="Arial" w:cs="Arial"/>
                <w:color w:val="3C3C3C"/>
              </w:rPr>
            </w:pPr>
            <w:r>
              <w:rPr>
                <w:rFonts w:ascii="Arial" w:hAnsi="Arial" w:cs="Arial"/>
                <w:color w:val="3C3C3C"/>
              </w:rPr>
              <w:t>EV</w:t>
            </w:r>
            <w:r w:rsidR="00442A23">
              <w:rPr>
                <w:rFonts w:ascii="Arial" w:hAnsi="Arial" w:cs="Arial"/>
                <w:color w:val="3C3C3C"/>
              </w:rPr>
              <w:t>.</w:t>
            </w:r>
            <w:r w:rsidR="00AC00FE">
              <w:rPr>
                <w:rFonts w:ascii="Arial" w:hAnsi="Arial" w:cs="Arial"/>
                <w:color w:val="3C3C3C"/>
              </w:rPr>
              <w:t>3</w:t>
            </w:r>
          </w:p>
        </w:tc>
        <w:tc>
          <w:tcPr>
            <w:tcW w:w="1440" w:type="dxa"/>
          </w:tcPr>
          <w:p w:rsidR="000A19B4" w:rsidRPr="00E758AC" w:rsidRDefault="000A19B4" w:rsidP="00FE2419">
            <w:pPr>
              <w:contextualSpacing/>
              <w:rPr>
                <w:rFonts w:ascii="Arial" w:hAnsi="Arial" w:cs="Arial"/>
                <w:color w:val="3C3C3C"/>
              </w:rPr>
            </w:pPr>
          </w:p>
        </w:tc>
        <w:tc>
          <w:tcPr>
            <w:tcW w:w="1440" w:type="dxa"/>
          </w:tcPr>
          <w:p w:rsidR="000A19B4" w:rsidRPr="00E758AC" w:rsidRDefault="000A19B4" w:rsidP="00FE2419">
            <w:pPr>
              <w:contextualSpacing/>
              <w:rPr>
                <w:rFonts w:ascii="Arial" w:hAnsi="Arial" w:cs="Arial"/>
                <w:color w:val="3C3C3C"/>
              </w:rPr>
            </w:pPr>
          </w:p>
        </w:tc>
      </w:tr>
      <w:tr w:rsidR="000A19B4" w:rsidRPr="00E758AC" w:rsidTr="00FE2419">
        <w:tc>
          <w:tcPr>
            <w:tcW w:w="988" w:type="dxa"/>
          </w:tcPr>
          <w:p w:rsidR="000A19B4" w:rsidRPr="00E758AC" w:rsidRDefault="000A19B4" w:rsidP="00FE2419">
            <w:pPr>
              <w:contextualSpacing/>
              <w:rPr>
                <w:rFonts w:ascii="Arial" w:hAnsi="Arial" w:cs="Arial"/>
                <w:color w:val="3C3C3C"/>
              </w:rPr>
            </w:pPr>
          </w:p>
        </w:tc>
        <w:tc>
          <w:tcPr>
            <w:tcW w:w="3258" w:type="dxa"/>
            <w:gridSpan w:val="2"/>
          </w:tcPr>
          <w:p w:rsidR="000A19B4" w:rsidRPr="00E758AC" w:rsidRDefault="000A19B4" w:rsidP="00FE2419">
            <w:pPr>
              <w:contextualSpacing/>
              <w:rPr>
                <w:rFonts w:ascii="Arial" w:hAnsi="Arial" w:cs="Arial"/>
                <w:color w:val="3C3C3C"/>
              </w:rPr>
            </w:pPr>
          </w:p>
          <w:p w:rsidR="000A19B4" w:rsidRPr="00E758AC" w:rsidRDefault="000A19B4" w:rsidP="00FE2419">
            <w:pPr>
              <w:contextualSpacing/>
              <w:rPr>
                <w:rFonts w:ascii="Arial" w:hAnsi="Arial" w:cs="Arial"/>
                <w:color w:val="3C3C3C"/>
              </w:rPr>
            </w:pPr>
          </w:p>
        </w:tc>
        <w:tc>
          <w:tcPr>
            <w:tcW w:w="1703" w:type="dxa"/>
          </w:tcPr>
          <w:p w:rsidR="000A19B4" w:rsidRPr="00E758AC" w:rsidRDefault="00442A23" w:rsidP="00FE2419">
            <w:pPr>
              <w:contextualSpacing/>
              <w:rPr>
                <w:rFonts w:ascii="Arial" w:hAnsi="Arial" w:cs="Arial"/>
                <w:color w:val="3C3C3C"/>
              </w:rPr>
            </w:pPr>
            <w:r>
              <w:rPr>
                <w:rFonts w:ascii="Arial" w:hAnsi="Arial" w:cs="Arial"/>
                <w:color w:val="3C3C3C"/>
              </w:rPr>
              <w:t>LO1</w:t>
            </w:r>
          </w:p>
        </w:tc>
        <w:tc>
          <w:tcPr>
            <w:tcW w:w="5136" w:type="dxa"/>
          </w:tcPr>
          <w:p w:rsidR="000A19B4" w:rsidRPr="00E758AC" w:rsidRDefault="009E452D" w:rsidP="00FE2419">
            <w:pPr>
              <w:contextualSpacing/>
              <w:rPr>
                <w:rFonts w:ascii="Arial" w:hAnsi="Arial" w:cs="Arial"/>
                <w:color w:val="3C3C3C"/>
              </w:rPr>
            </w:pPr>
            <w:r>
              <w:rPr>
                <w:rFonts w:ascii="Arial" w:hAnsi="Arial" w:cs="Arial"/>
                <w:color w:val="3C3C3C"/>
              </w:rPr>
              <w:t xml:space="preserve">Development plan put together by HR and line manager </w:t>
            </w:r>
          </w:p>
        </w:tc>
        <w:tc>
          <w:tcPr>
            <w:tcW w:w="1353" w:type="dxa"/>
            <w:gridSpan w:val="2"/>
          </w:tcPr>
          <w:p w:rsidR="000A19B4" w:rsidRPr="00E758AC" w:rsidRDefault="000A19B4" w:rsidP="00FE2419">
            <w:pPr>
              <w:contextualSpacing/>
              <w:rPr>
                <w:rFonts w:ascii="Arial" w:hAnsi="Arial" w:cs="Arial"/>
                <w:color w:val="3C3C3C"/>
              </w:rPr>
            </w:pPr>
            <w:r>
              <w:rPr>
                <w:rFonts w:ascii="Arial" w:hAnsi="Arial" w:cs="Arial"/>
                <w:color w:val="3C3C3C"/>
              </w:rPr>
              <w:t>EV</w:t>
            </w:r>
            <w:r w:rsidR="00442A23">
              <w:rPr>
                <w:rFonts w:ascii="Arial" w:hAnsi="Arial" w:cs="Arial"/>
                <w:color w:val="3C3C3C"/>
              </w:rPr>
              <w:t>.</w:t>
            </w:r>
            <w:r w:rsidR="00AC00FE">
              <w:rPr>
                <w:rFonts w:ascii="Arial" w:hAnsi="Arial" w:cs="Arial"/>
                <w:color w:val="3C3C3C"/>
              </w:rPr>
              <w:t>4</w:t>
            </w:r>
          </w:p>
        </w:tc>
        <w:tc>
          <w:tcPr>
            <w:tcW w:w="1440" w:type="dxa"/>
          </w:tcPr>
          <w:p w:rsidR="000A19B4" w:rsidRPr="00E758AC" w:rsidRDefault="000A19B4" w:rsidP="00FE2419">
            <w:pPr>
              <w:contextualSpacing/>
              <w:rPr>
                <w:rFonts w:ascii="Arial" w:hAnsi="Arial" w:cs="Arial"/>
                <w:color w:val="3C3C3C"/>
              </w:rPr>
            </w:pPr>
          </w:p>
        </w:tc>
        <w:tc>
          <w:tcPr>
            <w:tcW w:w="1440" w:type="dxa"/>
          </w:tcPr>
          <w:p w:rsidR="000A19B4" w:rsidRPr="00E758AC" w:rsidRDefault="000A19B4" w:rsidP="00FE2419">
            <w:pPr>
              <w:contextualSpacing/>
              <w:rPr>
                <w:rFonts w:ascii="Arial" w:hAnsi="Arial" w:cs="Arial"/>
                <w:color w:val="3C3C3C"/>
              </w:rPr>
            </w:pPr>
          </w:p>
        </w:tc>
      </w:tr>
      <w:tr w:rsidR="000A19B4" w:rsidRPr="00E758AC" w:rsidTr="00FE2419">
        <w:tc>
          <w:tcPr>
            <w:tcW w:w="988" w:type="dxa"/>
          </w:tcPr>
          <w:p w:rsidR="000A19B4" w:rsidRPr="00E758AC" w:rsidRDefault="000A19B4" w:rsidP="00FE2419">
            <w:pPr>
              <w:contextualSpacing/>
              <w:rPr>
                <w:rFonts w:ascii="Arial" w:hAnsi="Arial" w:cs="Arial"/>
                <w:color w:val="3C3C3C"/>
              </w:rPr>
            </w:pPr>
          </w:p>
        </w:tc>
        <w:tc>
          <w:tcPr>
            <w:tcW w:w="3258" w:type="dxa"/>
            <w:gridSpan w:val="2"/>
          </w:tcPr>
          <w:p w:rsidR="000A19B4" w:rsidRPr="00E758AC" w:rsidRDefault="000A19B4" w:rsidP="00FE2419">
            <w:pPr>
              <w:contextualSpacing/>
              <w:rPr>
                <w:rFonts w:ascii="Arial" w:hAnsi="Arial" w:cs="Arial"/>
                <w:color w:val="3C3C3C"/>
              </w:rPr>
            </w:pPr>
          </w:p>
          <w:p w:rsidR="000A19B4" w:rsidRPr="00E758AC" w:rsidRDefault="000A19B4" w:rsidP="00FE2419">
            <w:pPr>
              <w:contextualSpacing/>
              <w:rPr>
                <w:rFonts w:ascii="Arial" w:hAnsi="Arial" w:cs="Arial"/>
                <w:color w:val="3C3C3C"/>
              </w:rPr>
            </w:pPr>
          </w:p>
        </w:tc>
        <w:tc>
          <w:tcPr>
            <w:tcW w:w="1703" w:type="dxa"/>
          </w:tcPr>
          <w:p w:rsidR="000A19B4" w:rsidRPr="00E758AC" w:rsidRDefault="00442A23" w:rsidP="00FE2419">
            <w:pPr>
              <w:contextualSpacing/>
              <w:rPr>
                <w:rFonts w:ascii="Arial" w:hAnsi="Arial" w:cs="Arial"/>
                <w:color w:val="3C3C3C"/>
              </w:rPr>
            </w:pPr>
            <w:r>
              <w:rPr>
                <w:rFonts w:ascii="Arial" w:hAnsi="Arial" w:cs="Arial"/>
                <w:color w:val="3C3C3C"/>
              </w:rPr>
              <w:t>LO1</w:t>
            </w:r>
          </w:p>
        </w:tc>
        <w:tc>
          <w:tcPr>
            <w:tcW w:w="5136" w:type="dxa"/>
          </w:tcPr>
          <w:p w:rsidR="000A19B4" w:rsidRPr="00E758AC" w:rsidRDefault="009E452D" w:rsidP="00FE2419">
            <w:pPr>
              <w:contextualSpacing/>
              <w:rPr>
                <w:rFonts w:ascii="Arial" w:hAnsi="Arial" w:cs="Arial"/>
                <w:color w:val="3C3C3C"/>
              </w:rPr>
            </w:pPr>
            <w:proofErr w:type="spellStart"/>
            <w:r>
              <w:rPr>
                <w:rFonts w:ascii="Arial" w:hAnsi="Arial" w:cs="Arial"/>
                <w:color w:val="3C3C3C"/>
              </w:rPr>
              <w:t>TripAdvisor</w:t>
            </w:r>
            <w:proofErr w:type="spellEnd"/>
            <w:r>
              <w:rPr>
                <w:rFonts w:ascii="Arial" w:hAnsi="Arial" w:cs="Arial"/>
                <w:color w:val="3C3C3C"/>
              </w:rPr>
              <w:t xml:space="preserve"> review mentioning positive staff feedback</w:t>
            </w:r>
          </w:p>
        </w:tc>
        <w:tc>
          <w:tcPr>
            <w:tcW w:w="1353" w:type="dxa"/>
            <w:gridSpan w:val="2"/>
          </w:tcPr>
          <w:p w:rsidR="000A19B4" w:rsidRPr="00E758AC" w:rsidRDefault="000A19B4" w:rsidP="00FE2419">
            <w:pPr>
              <w:contextualSpacing/>
              <w:rPr>
                <w:rFonts w:ascii="Arial" w:hAnsi="Arial" w:cs="Arial"/>
                <w:color w:val="3C3C3C"/>
              </w:rPr>
            </w:pPr>
            <w:r>
              <w:rPr>
                <w:rFonts w:ascii="Arial" w:hAnsi="Arial" w:cs="Arial"/>
                <w:color w:val="3C3C3C"/>
              </w:rPr>
              <w:t>EV</w:t>
            </w:r>
            <w:r w:rsidR="00442A23">
              <w:rPr>
                <w:rFonts w:ascii="Arial" w:hAnsi="Arial" w:cs="Arial"/>
                <w:color w:val="3C3C3C"/>
              </w:rPr>
              <w:t>.</w:t>
            </w:r>
            <w:r w:rsidR="00AC00FE">
              <w:rPr>
                <w:rFonts w:ascii="Arial" w:hAnsi="Arial" w:cs="Arial"/>
                <w:color w:val="3C3C3C"/>
              </w:rPr>
              <w:t>5</w:t>
            </w:r>
          </w:p>
        </w:tc>
        <w:tc>
          <w:tcPr>
            <w:tcW w:w="1440" w:type="dxa"/>
          </w:tcPr>
          <w:p w:rsidR="000A19B4" w:rsidRPr="00E758AC" w:rsidRDefault="000A19B4" w:rsidP="00FE2419">
            <w:pPr>
              <w:contextualSpacing/>
              <w:rPr>
                <w:rFonts w:ascii="Arial" w:hAnsi="Arial" w:cs="Arial"/>
                <w:color w:val="3C3C3C"/>
              </w:rPr>
            </w:pPr>
          </w:p>
        </w:tc>
        <w:tc>
          <w:tcPr>
            <w:tcW w:w="1440" w:type="dxa"/>
          </w:tcPr>
          <w:p w:rsidR="000A19B4" w:rsidRPr="00E758AC" w:rsidRDefault="000A19B4" w:rsidP="00FE2419">
            <w:pPr>
              <w:contextualSpacing/>
              <w:rPr>
                <w:rFonts w:ascii="Arial" w:hAnsi="Arial" w:cs="Arial"/>
                <w:color w:val="3C3C3C"/>
              </w:rPr>
            </w:pPr>
          </w:p>
        </w:tc>
      </w:tr>
      <w:tr w:rsidR="003E05C9" w:rsidRPr="00E758AC" w:rsidTr="00FE2419">
        <w:tc>
          <w:tcPr>
            <w:tcW w:w="988" w:type="dxa"/>
          </w:tcPr>
          <w:p w:rsidR="003E05C9" w:rsidRPr="00E758AC" w:rsidRDefault="003E05C9" w:rsidP="00FE2419">
            <w:pPr>
              <w:contextualSpacing/>
              <w:rPr>
                <w:rFonts w:ascii="Arial" w:hAnsi="Arial" w:cs="Arial"/>
                <w:color w:val="3C3C3C"/>
              </w:rPr>
            </w:pPr>
          </w:p>
        </w:tc>
        <w:tc>
          <w:tcPr>
            <w:tcW w:w="3258" w:type="dxa"/>
            <w:gridSpan w:val="2"/>
          </w:tcPr>
          <w:p w:rsidR="003E05C9" w:rsidRPr="00E758AC" w:rsidRDefault="003E05C9" w:rsidP="00FE2419">
            <w:pPr>
              <w:contextualSpacing/>
              <w:rPr>
                <w:rFonts w:ascii="Arial" w:hAnsi="Arial" w:cs="Arial"/>
                <w:color w:val="3C3C3C"/>
              </w:rPr>
            </w:pPr>
          </w:p>
        </w:tc>
        <w:tc>
          <w:tcPr>
            <w:tcW w:w="1703" w:type="dxa"/>
          </w:tcPr>
          <w:p w:rsidR="003E05C9" w:rsidRDefault="003E05C9" w:rsidP="00FE2419">
            <w:pPr>
              <w:contextualSpacing/>
              <w:rPr>
                <w:rFonts w:ascii="Arial" w:hAnsi="Arial" w:cs="Arial"/>
                <w:color w:val="3C3C3C"/>
              </w:rPr>
            </w:pPr>
            <w:r>
              <w:rPr>
                <w:rFonts w:ascii="Arial" w:hAnsi="Arial" w:cs="Arial"/>
                <w:color w:val="3C3C3C"/>
              </w:rPr>
              <w:t xml:space="preserve">LO1 </w:t>
            </w:r>
          </w:p>
        </w:tc>
        <w:tc>
          <w:tcPr>
            <w:tcW w:w="5136" w:type="dxa"/>
          </w:tcPr>
          <w:p w:rsidR="003E05C9" w:rsidRDefault="003E05C9" w:rsidP="00FE2419">
            <w:pPr>
              <w:contextualSpacing/>
              <w:rPr>
                <w:rFonts w:ascii="Arial" w:hAnsi="Arial" w:cs="Arial"/>
                <w:color w:val="3C3C3C"/>
              </w:rPr>
            </w:pPr>
            <w:r>
              <w:rPr>
                <w:rFonts w:ascii="Arial" w:hAnsi="Arial" w:cs="Arial"/>
                <w:color w:val="3C3C3C"/>
              </w:rPr>
              <w:t xml:space="preserve">Fault code system </w:t>
            </w:r>
          </w:p>
          <w:p w:rsidR="003E05C9" w:rsidRDefault="003E05C9" w:rsidP="00FE2419">
            <w:pPr>
              <w:contextualSpacing/>
              <w:rPr>
                <w:rFonts w:ascii="Arial" w:hAnsi="Arial" w:cs="Arial"/>
                <w:color w:val="3C3C3C"/>
              </w:rPr>
            </w:pPr>
          </w:p>
        </w:tc>
        <w:tc>
          <w:tcPr>
            <w:tcW w:w="1353" w:type="dxa"/>
            <w:gridSpan w:val="2"/>
          </w:tcPr>
          <w:p w:rsidR="003E05C9" w:rsidRDefault="003E05C9" w:rsidP="00FE2419">
            <w:pPr>
              <w:contextualSpacing/>
              <w:rPr>
                <w:rFonts w:ascii="Arial" w:hAnsi="Arial" w:cs="Arial"/>
                <w:color w:val="3C3C3C"/>
              </w:rPr>
            </w:pPr>
            <w:r>
              <w:rPr>
                <w:rFonts w:ascii="Arial" w:hAnsi="Arial" w:cs="Arial"/>
                <w:color w:val="3C3C3C"/>
              </w:rPr>
              <w:t xml:space="preserve">EV.6 </w:t>
            </w:r>
          </w:p>
        </w:tc>
        <w:tc>
          <w:tcPr>
            <w:tcW w:w="1440" w:type="dxa"/>
          </w:tcPr>
          <w:p w:rsidR="003E05C9" w:rsidRPr="00E758AC" w:rsidRDefault="003E05C9" w:rsidP="00FE2419">
            <w:pPr>
              <w:contextualSpacing/>
              <w:rPr>
                <w:rFonts w:ascii="Arial" w:hAnsi="Arial" w:cs="Arial"/>
                <w:color w:val="3C3C3C"/>
              </w:rPr>
            </w:pPr>
          </w:p>
        </w:tc>
        <w:tc>
          <w:tcPr>
            <w:tcW w:w="1440" w:type="dxa"/>
          </w:tcPr>
          <w:p w:rsidR="003E05C9" w:rsidRPr="00E758AC" w:rsidRDefault="003E05C9" w:rsidP="00FE2419">
            <w:pPr>
              <w:contextualSpacing/>
              <w:rPr>
                <w:rFonts w:ascii="Arial" w:hAnsi="Arial" w:cs="Arial"/>
                <w:color w:val="3C3C3C"/>
              </w:rPr>
            </w:pPr>
          </w:p>
        </w:tc>
      </w:tr>
      <w:tr w:rsidR="000A19B4" w:rsidRPr="00E758AC" w:rsidTr="00FE2419">
        <w:tc>
          <w:tcPr>
            <w:tcW w:w="988" w:type="dxa"/>
          </w:tcPr>
          <w:p w:rsidR="000A19B4" w:rsidRPr="00E758AC" w:rsidRDefault="000A19B4" w:rsidP="00FE2419">
            <w:pPr>
              <w:contextualSpacing/>
              <w:rPr>
                <w:rFonts w:ascii="Arial" w:hAnsi="Arial" w:cs="Arial"/>
                <w:color w:val="3C3C3C"/>
              </w:rPr>
            </w:pPr>
          </w:p>
        </w:tc>
        <w:tc>
          <w:tcPr>
            <w:tcW w:w="3258" w:type="dxa"/>
            <w:gridSpan w:val="2"/>
          </w:tcPr>
          <w:p w:rsidR="000A19B4" w:rsidRPr="00E758AC" w:rsidRDefault="000A19B4" w:rsidP="00FE2419">
            <w:pPr>
              <w:contextualSpacing/>
              <w:rPr>
                <w:rFonts w:ascii="Arial" w:hAnsi="Arial" w:cs="Arial"/>
                <w:color w:val="3C3C3C"/>
              </w:rPr>
            </w:pPr>
          </w:p>
          <w:p w:rsidR="000A19B4" w:rsidRPr="00E758AC" w:rsidRDefault="000A19B4" w:rsidP="00FE2419">
            <w:pPr>
              <w:contextualSpacing/>
              <w:rPr>
                <w:rFonts w:ascii="Arial" w:hAnsi="Arial" w:cs="Arial"/>
                <w:color w:val="3C3C3C"/>
              </w:rPr>
            </w:pPr>
          </w:p>
        </w:tc>
        <w:tc>
          <w:tcPr>
            <w:tcW w:w="1703" w:type="dxa"/>
          </w:tcPr>
          <w:p w:rsidR="000A19B4" w:rsidRPr="00E758AC" w:rsidRDefault="00442A23" w:rsidP="00FE2419">
            <w:pPr>
              <w:contextualSpacing/>
              <w:rPr>
                <w:rFonts w:ascii="Arial" w:hAnsi="Arial" w:cs="Arial"/>
                <w:color w:val="3C3C3C"/>
              </w:rPr>
            </w:pPr>
            <w:r>
              <w:rPr>
                <w:rFonts w:ascii="Arial" w:hAnsi="Arial" w:cs="Arial"/>
                <w:color w:val="3C3C3C"/>
              </w:rPr>
              <w:t>LO1</w:t>
            </w:r>
          </w:p>
        </w:tc>
        <w:tc>
          <w:tcPr>
            <w:tcW w:w="5136" w:type="dxa"/>
          </w:tcPr>
          <w:p w:rsidR="000A19B4" w:rsidRPr="00E758AC" w:rsidRDefault="00A642DE" w:rsidP="00FE2419">
            <w:pPr>
              <w:contextualSpacing/>
              <w:rPr>
                <w:rFonts w:ascii="Arial" w:hAnsi="Arial" w:cs="Arial"/>
                <w:color w:val="3C3C3C"/>
              </w:rPr>
            </w:pPr>
            <w:r>
              <w:rPr>
                <w:rFonts w:ascii="Arial" w:hAnsi="Arial" w:cs="Arial"/>
                <w:color w:val="3C3C3C"/>
              </w:rPr>
              <w:t xml:space="preserve">Personal Meeting Form relating to underperformance </w:t>
            </w:r>
          </w:p>
        </w:tc>
        <w:tc>
          <w:tcPr>
            <w:tcW w:w="1353" w:type="dxa"/>
            <w:gridSpan w:val="2"/>
          </w:tcPr>
          <w:p w:rsidR="000A19B4" w:rsidRPr="00E758AC" w:rsidRDefault="000A19B4" w:rsidP="00FE2419">
            <w:pPr>
              <w:contextualSpacing/>
              <w:rPr>
                <w:rFonts w:ascii="Arial" w:hAnsi="Arial" w:cs="Arial"/>
                <w:color w:val="3C3C3C"/>
              </w:rPr>
            </w:pPr>
            <w:r>
              <w:rPr>
                <w:rFonts w:ascii="Arial" w:hAnsi="Arial" w:cs="Arial"/>
                <w:color w:val="3C3C3C"/>
              </w:rPr>
              <w:t>EV</w:t>
            </w:r>
            <w:r w:rsidR="00442A23">
              <w:rPr>
                <w:rFonts w:ascii="Arial" w:hAnsi="Arial" w:cs="Arial"/>
                <w:color w:val="3C3C3C"/>
              </w:rPr>
              <w:t>.</w:t>
            </w:r>
            <w:r w:rsidR="003E05C9">
              <w:rPr>
                <w:rFonts w:ascii="Arial" w:hAnsi="Arial" w:cs="Arial"/>
                <w:color w:val="3C3C3C"/>
              </w:rPr>
              <w:t xml:space="preserve"> 7</w:t>
            </w:r>
          </w:p>
        </w:tc>
        <w:tc>
          <w:tcPr>
            <w:tcW w:w="1440" w:type="dxa"/>
          </w:tcPr>
          <w:p w:rsidR="000A19B4" w:rsidRPr="00E758AC" w:rsidRDefault="000A19B4" w:rsidP="00FE2419">
            <w:pPr>
              <w:contextualSpacing/>
              <w:rPr>
                <w:rFonts w:ascii="Arial" w:hAnsi="Arial" w:cs="Arial"/>
                <w:color w:val="3C3C3C"/>
              </w:rPr>
            </w:pPr>
          </w:p>
        </w:tc>
        <w:tc>
          <w:tcPr>
            <w:tcW w:w="1440" w:type="dxa"/>
          </w:tcPr>
          <w:p w:rsidR="000A19B4" w:rsidRPr="00E758AC" w:rsidRDefault="000A19B4" w:rsidP="00FE2419">
            <w:pPr>
              <w:contextualSpacing/>
              <w:rPr>
                <w:rFonts w:ascii="Arial" w:hAnsi="Arial" w:cs="Arial"/>
                <w:color w:val="3C3C3C"/>
              </w:rPr>
            </w:pPr>
          </w:p>
        </w:tc>
      </w:tr>
      <w:tr w:rsidR="000A19B4" w:rsidRPr="00E758AC" w:rsidTr="00FE2419">
        <w:tc>
          <w:tcPr>
            <w:tcW w:w="988" w:type="dxa"/>
          </w:tcPr>
          <w:p w:rsidR="000A19B4" w:rsidRPr="00E758AC" w:rsidRDefault="000A19B4" w:rsidP="00FE2419">
            <w:pPr>
              <w:contextualSpacing/>
              <w:rPr>
                <w:rFonts w:ascii="Arial" w:hAnsi="Arial" w:cs="Arial"/>
                <w:color w:val="3C3C3C"/>
              </w:rPr>
            </w:pPr>
          </w:p>
        </w:tc>
        <w:tc>
          <w:tcPr>
            <w:tcW w:w="3258" w:type="dxa"/>
            <w:gridSpan w:val="2"/>
          </w:tcPr>
          <w:p w:rsidR="000A19B4" w:rsidRPr="00E758AC" w:rsidRDefault="000A19B4" w:rsidP="00FE2419">
            <w:pPr>
              <w:contextualSpacing/>
              <w:rPr>
                <w:rFonts w:ascii="Arial" w:hAnsi="Arial" w:cs="Arial"/>
                <w:color w:val="3C3C3C"/>
              </w:rPr>
            </w:pPr>
          </w:p>
          <w:p w:rsidR="000A19B4" w:rsidRPr="00E758AC" w:rsidRDefault="000A19B4" w:rsidP="00FE2419">
            <w:pPr>
              <w:contextualSpacing/>
              <w:rPr>
                <w:rFonts w:ascii="Arial" w:hAnsi="Arial" w:cs="Arial"/>
                <w:color w:val="3C3C3C"/>
              </w:rPr>
            </w:pPr>
          </w:p>
        </w:tc>
        <w:tc>
          <w:tcPr>
            <w:tcW w:w="1703" w:type="dxa"/>
          </w:tcPr>
          <w:p w:rsidR="000A19B4" w:rsidRPr="00E758AC" w:rsidRDefault="00A642DE" w:rsidP="00FE2419">
            <w:pPr>
              <w:contextualSpacing/>
              <w:rPr>
                <w:rFonts w:ascii="Arial" w:hAnsi="Arial" w:cs="Arial"/>
                <w:color w:val="3C3C3C"/>
              </w:rPr>
            </w:pPr>
            <w:r>
              <w:rPr>
                <w:rFonts w:ascii="Arial" w:hAnsi="Arial" w:cs="Arial"/>
                <w:color w:val="3C3C3C"/>
              </w:rPr>
              <w:t>LO1</w:t>
            </w:r>
          </w:p>
        </w:tc>
        <w:tc>
          <w:tcPr>
            <w:tcW w:w="5136" w:type="dxa"/>
          </w:tcPr>
          <w:p w:rsidR="000A19B4" w:rsidRPr="00E758AC" w:rsidRDefault="00A642DE" w:rsidP="00FE2419">
            <w:pPr>
              <w:contextualSpacing/>
              <w:rPr>
                <w:rFonts w:ascii="Arial" w:hAnsi="Arial" w:cs="Arial"/>
                <w:color w:val="3C3C3C"/>
              </w:rPr>
            </w:pPr>
            <w:r>
              <w:rPr>
                <w:rFonts w:ascii="Arial" w:hAnsi="Arial" w:cs="Arial"/>
                <w:color w:val="3C3C3C"/>
              </w:rPr>
              <w:t>Email form line manger highlighting that advi</w:t>
            </w:r>
            <w:r w:rsidR="0018084F">
              <w:rPr>
                <w:rFonts w:ascii="Arial" w:hAnsi="Arial" w:cs="Arial"/>
                <w:color w:val="3C3C3C"/>
              </w:rPr>
              <w:t>c</w:t>
            </w:r>
            <w:r>
              <w:rPr>
                <w:rFonts w:ascii="Arial" w:hAnsi="Arial" w:cs="Arial"/>
                <w:color w:val="3C3C3C"/>
              </w:rPr>
              <w:t xml:space="preserve">e is received in a timely manner </w:t>
            </w:r>
          </w:p>
        </w:tc>
        <w:tc>
          <w:tcPr>
            <w:tcW w:w="1353" w:type="dxa"/>
            <w:gridSpan w:val="2"/>
          </w:tcPr>
          <w:p w:rsidR="000A19B4" w:rsidRPr="00E758AC" w:rsidRDefault="00A642DE" w:rsidP="00FE2419">
            <w:pPr>
              <w:contextualSpacing/>
              <w:rPr>
                <w:rFonts w:ascii="Arial" w:hAnsi="Arial" w:cs="Arial"/>
                <w:color w:val="3C3C3C"/>
              </w:rPr>
            </w:pPr>
            <w:r>
              <w:rPr>
                <w:rFonts w:ascii="Arial" w:hAnsi="Arial" w:cs="Arial"/>
                <w:color w:val="3C3C3C"/>
              </w:rPr>
              <w:t>EV.</w:t>
            </w:r>
            <w:r w:rsidR="003E05C9">
              <w:rPr>
                <w:rFonts w:ascii="Arial" w:hAnsi="Arial" w:cs="Arial"/>
                <w:color w:val="3C3C3C"/>
              </w:rPr>
              <w:t>8</w:t>
            </w:r>
          </w:p>
        </w:tc>
        <w:tc>
          <w:tcPr>
            <w:tcW w:w="1440" w:type="dxa"/>
          </w:tcPr>
          <w:p w:rsidR="000A19B4" w:rsidRPr="00E758AC" w:rsidRDefault="000A19B4" w:rsidP="00FE2419">
            <w:pPr>
              <w:contextualSpacing/>
              <w:rPr>
                <w:rFonts w:ascii="Arial" w:hAnsi="Arial" w:cs="Arial"/>
                <w:color w:val="3C3C3C"/>
              </w:rPr>
            </w:pPr>
          </w:p>
        </w:tc>
        <w:tc>
          <w:tcPr>
            <w:tcW w:w="1440" w:type="dxa"/>
          </w:tcPr>
          <w:p w:rsidR="000A19B4" w:rsidRPr="00E758AC" w:rsidRDefault="000A19B4" w:rsidP="00FE2419">
            <w:pPr>
              <w:contextualSpacing/>
              <w:rPr>
                <w:rFonts w:ascii="Arial" w:hAnsi="Arial" w:cs="Arial"/>
                <w:color w:val="3C3C3C"/>
              </w:rPr>
            </w:pPr>
          </w:p>
        </w:tc>
      </w:tr>
      <w:tr w:rsidR="000A19B4" w:rsidRPr="00E758AC" w:rsidTr="00FE2419">
        <w:tc>
          <w:tcPr>
            <w:tcW w:w="988" w:type="dxa"/>
          </w:tcPr>
          <w:p w:rsidR="000A19B4" w:rsidRPr="00E758AC" w:rsidRDefault="000A19B4" w:rsidP="00FE2419">
            <w:pPr>
              <w:contextualSpacing/>
              <w:rPr>
                <w:rFonts w:ascii="Arial" w:hAnsi="Arial" w:cs="Arial"/>
                <w:color w:val="3C3C3C"/>
              </w:rPr>
            </w:pPr>
          </w:p>
        </w:tc>
        <w:tc>
          <w:tcPr>
            <w:tcW w:w="3258" w:type="dxa"/>
            <w:gridSpan w:val="2"/>
          </w:tcPr>
          <w:p w:rsidR="000A19B4" w:rsidRPr="00E758AC" w:rsidRDefault="000A19B4" w:rsidP="00FE2419">
            <w:pPr>
              <w:contextualSpacing/>
              <w:rPr>
                <w:rFonts w:ascii="Arial" w:hAnsi="Arial" w:cs="Arial"/>
                <w:color w:val="3C3C3C"/>
              </w:rPr>
            </w:pPr>
          </w:p>
          <w:p w:rsidR="000A19B4" w:rsidRPr="00E758AC" w:rsidRDefault="000A19B4" w:rsidP="00FE2419">
            <w:pPr>
              <w:contextualSpacing/>
              <w:rPr>
                <w:rFonts w:ascii="Arial" w:hAnsi="Arial" w:cs="Arial"/>
                <w:color w:val="3C3C3C"/>
              </w:rPr>
            </w:pPr>
          </w:p>
        </w:tc>
        <w:tc>
          <w:tcPr>
            <w:tcW w:w="1703" w:type="dxa"/>
          </w:tcPr>
          <w:p w:rsidR="000A19B4" w:rsidRPr="00E758AC" w:rsidRDefault="00A636BA" w:rsidP="00FE2419">
            <w:pPr>
              <w:contextualSpacing/>
              <w:rPr>
                <w:rFonts w:ascii="Arial" w:hAnsi="Arial" w:cs="Arial"/>
                <w:color w:val="3C3C3C"/>
              </w:rPr>
            </w:pPr>
            <w:r>
              <w:rPr>
                <w:rFonts w:ascii="Arial" w:hAnsi="Arial" w:cs="Arial"/>
                <w:color w:val="3C3C3C"/>
              </w:rPr>
              <w:t>LO2</w:t>
            </w:r>
          </w:p>
        </w:tc>
        <w:tc>
          <w:tcPr>
            <w:tcW w:w="5136" w:type="dxa"/>
          </w:tcPr>
          <w:p w:rsidR="000A19B4" w:rsidRPr="00E758AC" w:rsidRDefault="00A636BA" w:rsidP="00FE2419">
            <w:pPr>
              <w:contextualSpacing/>
              <w:rPr>
                <w:rFonts w:ascii="Arial" w:hAnsi="Arial" w:cs="Arial"/>
                <w:color w:val="3C3C3C"/>
              </w:rPr>
            </w:pPr>
            <w:r>
              <w:rPr>
                <w:rFonts w:ascii="Arial" w:hAnsi="Arial" w:cs="Arial"/>
                <w:color w:val="3C3C3C"/>
              </w:rPr>
              <w:t>Email form line manger arranging development plan meeting</w:t>
            </w:r>
          </w:p>
        </w:tc>
        <w:tc>
          <w:tcPr>
            <w:tcW w:w="1353" w:type="dxa"/>
            <w:gridSpan w:val="2"/>
          </w:tcPr>
          <w:p w:rsidR="000A19B4" w:rsidRPr="00E758AC" w:rsidRDefault="00A636BA" w:rsidP="00FE2419">
            <w:pPr>
              <w:contextualSpacing/>
              <w:rPr>
                <w:rFonts w:ascii="Arial" w:hAnsi="Arial" w:cs="Arial"/>
                <w:color w:val="3C3C3C"/>
              </w:rPr>
            </w:pPr>
            <w:r>
              <w:rPr>
                <w:rFonts w:ascii="Arial" w:hAnsi="Arial" w:cs="Arial"/>
                <w:color w:val="3C3C3C"/>
              </w:rPr>
              <w:t>EV.</w:t>
            </w:r>
            <w:r w:rsidR="003E05C9">
              <w:rPr>
                <w:rFonts w:ascii="Arial" w:hAnsi="Arial" w:cs="Arial"/>
                <w:color w:val="3C3C3C"/>
              </w:rPr>
              <w:t>9</w:t>
            </w:r>
            <w:r>
              <w:rPr>
                <w:rFonts w:ascii="Arial" w:hAnsi="Arial" w:cs="Arial"/>
                <w:color w:val="3C3C3C"/>
              </w:rPr>
              <w:t xml:space="preserve"> </w:t>
            </w:r>
          </w:p>
        </w:tc>
        <w:tc>
          <w:tcPr>
            <w:tcW w:w="1440" w:type="dxa"/>
          </w:tcPr>
          <w:p w:rsidR="000A19B4" w:rsidRPr="00E758AC" w:rsidRDefault="000A19B4" w:rsidP="00FE2419">
            <w:pPr>
              <w:contextualSpacing/>
              <w:rPr>
                <w:rFonts w:ascii="Arial" w:hAnsi="Arial" w:cs="Arial"/>
                <w:color w:val="3C3C3C"/>
              </w:rPr>
            </w:pPr>
          </w:p>
        </w:tc>
        <w:tc>
          <w:tcPr>
            <w:tcW w:w="1440" w:type="dxa"/>
          </w:tcPr>
          <w:p w:rsidR="000A19B4" w:rsidRPr="00E758AC" w:rsidRDefault="000A19B4" w:rsidP="00FE2419">
            <w:pPr>
              <w:contextualSpacing/>
              <w:rPr>
                <w:rFonts w:ascii="Arial" w:hAnsi="Arial" w:cs="Arial"/>
                <w:color w:val="3C3C3C"/>
              </w:rPr>
            </w:pPr>
          </w:p>
        </w:tc>
      </w:tr>
      <w:tr w:rsidR="000A19B4" w:rsidRPr="00E758AC" w:rsidTr="00FE2419">
        <w:tc>
          <w:tcPr>
            <w:tcW w:w="988" w:type="dxa"/>
          </w:tcPr>
          <w:p w:rsidR="000A19B4" w:rsidRPr="00E758AC" w:rsidRDefault="000A19B4" w:rsidP="00FE2419">
            <w:pPr>
              <w:contextualSpacing/>
              <w:rPr>
                <w:rFonts w:ascii="Arial" w:hAnsi="Arial" w:cs="Arial"/>
                <w:color w:val="3C3C3C"/>
              </w:rPr>
            </w:pPr>
          </w:p>
        </w:tc>
        <w:tc>
          <w:tcPr>
            <w:tcW w:w="3258" w:type="dxa"/>
            <w:gridSpan w:val="2"/>
          </w:tcPr>
          <w:p w:rsidR="000A19B4" w:rsidRPr="00E758AC" w:rsidRDefault="000A19B4" w:rsidP="00FE2419">
            <w:pPr>
              <w:contextualSpacing/>
              <w:rPr>
                <w:rFonts w:ascii="Arial" w:hAnsi="Arial" w:cs="Arial"/>
                <w:color w:val="3C3C3C"/>
              </w:rPr>
            </w:pPr>
          </w:p>
          <w:p w:rsidR="000A19B4" w:rsidRPr="00E758AC" w:rsidRDefault="000A19B4" w:rsidP="00FE2419">
            <w:pPr>
              <w:contextualSpacing/>
              <w:rPr>
                <w:rFonts w:ascii="Arial" w:hAnsi="Arial" w:cs="Arial"/>
                <w:color w:val="3C3C3C"/>
              </w:rPr>
            </w:pPr>
          </w:p>
        </w:tc>
        <w:tc>
          <w:tcPr>
            <w:tcW w:w="1703" w:type="dxa"/>
          </w:tcPr>
          <w:p w:rsidR="000A19B4" w:rsidRPr="00E758AC" w:rsidRDefault="00A602C2" w:rsidP="00FE2419">
            <w:pPr>
              <w:contextualSpacing/>
              <w:rPr>
                <w:rFonts w:ascii="Arial" w:hAnsi="Arial" w:cs="Arial"/>
                <w:color w:val="3C3C3C"/>
              </w:rPr>
            </w:pPr>
            <w:r>
              <w:rPr>
                <w:rFonts w:ascii="Arial" w:hAnsi="Arial" w:cs="Arial"/>
                <w:color w:val="3C3C3C"/>
              </w:rPr>
              <w:t>LO2</w:t>
            </w:r>
          </w:p>
        </w:tc>
        <w:tc>
          <w:tcPr>
            <w:tcW w:w="5136" w:type="dxa"/>
          </w:tcPr>
          <w:p w:rsidR="000A19B4" w:rsidRPr="00E758AC" w:rsidRDefault="00A602C2" w:rsidP="00FE2419">
            <w:pPr>
              <w:contextualSpacing/>
              <w:rPr>
                <w:rFonts w:ascii="Arial" w:hAnsi="Arial" w:cs="Arial"/>
                <w:color w:val="3C3C3C"/>
              </w:rPr>
            </w:pPr>
            <w:r>
              <w:rPr>
                <w:rFonts w:ascii="Arial" w:hAnsi="Arial" w:cs="Arial"/>
                <w:color w:val="3C3C3C"/>
              </w:rPr>
              <w:t xml:space="preserve">Seasonal Staff appraisal </w:t>
            </w:r>
          </w:p>
        </w:tc>
        <w:tc>
          <w:tcPr>
            <w:tcW w:w="1353" w:type="dxa"/>
            <w:gridSpan w:val="2"/>
          </w:tcPr>
          <w:p w:rsidR="000A19B4" w:rsidRPr="00E758AC" w:rsidRDefault="00A602C2" w:rsidP="00FE2419">
            <w:pPr>
              <w:contextualSpacing/>
              <w:rPr>
                <w:rFonts w:ascii="Arial" w:hAnsi="Arial" w:cs="Arial"/>
                <w:color w:val="3C3C3C"/>
              </w:rPr>
            </w:pPr>
            <w:r>
              <w:rPr>
                <w:rFonts w:ascii="Arial" w:hAnsi="Arial" w:cs="Arial"/>
                <w:color w:val="3C3C3C"/>
              </w:rPr>
              <w:t>EV.</w:t>
            </w:r>
            <w:r w:rsidR="00026A4C">
              <w:rPr>
                <w:rFonts w:ascii="Arial" w:hAnsi="Arial" w:cs="Arial"/>
                <w:color w:val="3C3C3C"/>
              </w:rPr>
              <w:t>10</w:t>
            </w:r>
          </w:p>
        </w:tc>
        <w:tc>
          <w:tcPr>
            <w:tcW w:w="1440" w:type="dxa"/>
          </w:tcPr>
          <w:p w:rsidR="000A19B4" w:rsidRPr="00E758AC" w:rsidRDefault="000A19B4" w:rsidP="00FE2419">
            <w:pPr>
              <w:contextualSpacing/>
              <w:rPr>
                <w:rFonts w:ascii="Arial" w:hAnsi="Arial" w:cs="Arial"/>
                <w:color w:val="3C3C3C"/>
              </w:rPr>
            </w:pPr>
          </w:p>
        </w:tc>
        <w:tc>
          <w:tcPr>
            <w:tcW w:w="1440" w:type="dxa"/>
          </w:tcPr>
          <w:p w:rsidR="000A19B4" w:rsidRPr="00E758AC" w:rsidRDefault="000A19B4" w:rsidP="00FE2419">
            <w:pPr>
              <w:contextualSpacing/>
              <w:rPr>
                <w:rFonts w:ascii="Arial" w:hAnsi="Arial" w:cs="Arial"/>
                <w:color w:val="3C3C3C"/>
              </w:rPr>
            </w:pPr>
          </w:p>
        </w:tc>
      </w:tr>
      <w:tr w:rsidR="000A19B4" w:rsidRPr="00E758AC" w:rsidTr="00FE2419">
        <w:tc>
          <w:tcPr>
            <w:tcW w:w="988" w:type="dxa"/>
          </w:tcPr>
          <w:p w:rsidR="000A19B4" w:rsidRPr="00E758AC" w:rsidRDefault="000A19B4" w:rsidP="00FE2419">
            <w:pPr>
              <w:contextualSpacing/>
              <w:rPr>
                <w:rFonts w:ascii="Arial" w:hAnsi="Arial" w:cs="Arial"/>
                <w:color w:val="3C3C3C"/>
              </w:rPr>
            </w:pPr>
          </w:p>
        </w:tc>
        <w:tc>
          <w:tcPr>
            <w:tcW w:w="3258" w:type="dxa"/>
            <w:gridSpan w:val="2"/>
          </w:tcPr>
          <w:p w:rsidR="000A19B4" w:rsidRPr="00E758AC" w:rsidRDefault="000A19B4" w:rsidP="00FE2419">
            <w:pPr>
              <w:contextualSpacing/>
              <w:rPr>
                <w:rFonts w:ascii="Arial" w:hAnsi="Arial" w:cs="Arial"/>
                <w:color w:val="3C3C3C"/>
              </w:rPr>
            </w:pPr>
          </w:p>
          <w:p w:rsidR="000A19B4" w:rsidRPr="00E758AC" w:rsidRDefault="000A19B4" w:rsidP="00FE2419">
            <w:pPr>
              <w:contextualSpacing/>
              <w:rPr>
                <w:rFonts w:ascii="Arial" w:hAnsi="Arial" w:cs="Arial"/>
                <w:color w:val="3C3C3C"/>
              </w:rPr>
            </w:pPr>
          </w:p>
        </w:tc>
        <w:tc>
          <w:tcPr>
            <w:tcW w:w="1703" w:type="dxa"/>
          </w:tcPr>
          <w:p w:rsidR="000A19B4" w:rsidRPr="00E758AC" w:rsidRDefault="00A602C2" w:rsidP="00FE2419">
            <w:pPr>
              <w:contextualSpacing/>
              <w:rPr>
                <w:rFonts w:ascii="Arial" w:hAnsi="Arial" w:cs="Arial"/>
                <w:color w:val="3C3C3C"/>
              </w:rPr>
            </w:pPr>
            <w:r>
              <w:rPr>
                <w:rFonts w:ascii="Arial" w:hAnsi="Arial" w:cs="Arial"/>
                <w:color w:val="3C3C3C"/>
              </w:rPr>
              <w:t>LO2</w:t>
            </w:r>
          </w:p>
        </w:tc>
        <w:tc>
          <w:tcPr>
            <w:tcW w:w="5136" w:type="dxa"/>
          </w:tcPr>
          <w:p w:rsidR="000A19B4" w:rsidRPr="00E758AC" w:rsidRDefault="002C72B9" w:rsidP="00FE2419">
            <w:pPr>
              <w:contextualSpacing/>
              <w:rPr>
                <w:rFonts w:ascii="Arial" w:hAnsi="Arial" w:cs="Arial"/>
                <w:color w:val="3C3C3C"/>
              </w:rPr>
            </w:pPr>
            <w:r>
              <w:rPr>
                <w:rFonts w:ascii="Arial" w:hAnsi="Arial" w:cs="Arial"/>
                <w:color w:val="3C3C3C"/>
              </w:rPr>
              <w:t>Appraisal company standards section</w:t>
            </w:r>
          </w:p>
        </w:tc>
        <w:tc>
          <w:tcPr>
            <w:tcW w:w="1353" w:type="dxa"/>
            <w:gridSpan w:val="2"/>
          </w:tcPr>
          <w:p w:rsidR="000A19B4" w:rsidRPr="00E758AC" w:rsidRDefault="002C72B9" w:rsidP="00FE2419">
            <w:pPr>
              <w:contextualSpacing/>
              <w:rPr>
                <w:rFonts w:ascii="Arial" w:hAnsi="Arial" w:cs="Arial"/>
                <w:color w:val="3C3C3C"/>
              </w:rPr>
            </w:pPr>
            <w:r>
              <w:rPr>
                <w:rFonts w:ascii="Arial" w:hAnsi="Arial" w:cs="Arial"/>
                <w:color w:val="3C3C3C"/>
              </w:rPr>
              <w:t>EV.</w:t>
            </w:r>
            <w:r w:rsidR="00026A4C">
              <w:rPr>
                <w:rFonts w:ascii="Arial" w:hAnsi="Arial" w:cs="Arial"/>
                <w:color w:val="3C3C3C"/>
              </w:rPr>
              <w:t>11</w:t>
            </w:r>
          </w:p>
        </w:tc>
        <w:tc>
          <w:tcPr>
            <w:tcW w:w="1440" w:type="dxa"/>
          </w:tcPr>
          <w:p w:rsidR="000A19B4" w:rsidRPr="00E758AC" w:rsidRDefault="000A19B4" w:rsidP="00FE2419">
            <w:pPr>
              <w:contextualSpacing/>
              <w:rPr>
                <w:rFonts w:ascii="Arial" w:hAnsi="Arial" w:cs="Arial"/>
                <w:color w:val="3C3C3C"/>
              </w:rPr>
            </w:pPr>
          </w:p>
        </w:tc>
        <w:tc>
          <w:tcPr>
            <w:tcW w:w="1440" w:type="dxa"/>
          </w:tcPr>
          <w:p w:rsidR="000A19B4" w:rsidRPr="00E758AC" w:rsidRDefault="000A19B4" w:rsidP="00FE2419">
            <w:pPr>
              <w:contextualSpacing/>
              <w:rPr>
                <w:rFonts w:ascii="Arial" w:hAnsi="Arial" w:cs="Arial"/>
                <w:color w:val="3C3C3C"/>
              </w:rPr>
            </w:pPr>
          </w:p>
        </w:tc>
      </w:tr>
      <w:tr w:rsidR="000A19B4" w:rsidRPr="00E758AC" w:rsidTr="00FE2419">
        <w:trPr>
          <w:trHeight w:val="482"/>
        </w:trPr>
        <w:tc>
          <w:tcPr>
            <w:tcW w:w="988" w:type="dxa"/>
          </w:tcPr>
          <w:p w:rsidR="000A19B4" w:rsidRPr="00E758AC" w:rsidRDefault="000A19B4" w:rsidP="00FE2419">
            <w:pPr>
              <w:contextualSpacing/>
              <w:rPr>
                <w:rFonts w:ascii="Arial" w:hAnsi="Arial" w:cs="Arial"/>
                <w:color w:val="3C3C3C"/>
              </w:rPr>
            </w:pPr>
          </w:p>
        </w:tc>
        <w:tc>
          <w:tcPr>
            <w:tcW w:w="3258" w:type="dxa"/>
            <w:gridSpan w:val="2"/>
          </w:tcPr>
          <w:p w:rsidR="000A19B4" w:rsidRPr="00E758AC" w:rsidRDefault="000A19B4" w:rsidP="00FE2419">
            <w:pPr>
              <w:contextualSpacing/>
              <w:rPr>
                <w:rFonts w:ascii="Arial" w:hAnsi="Arial" w:cs="Arial"/>
                <w:color w:val="3C3C3C"/>
              </w:rPr>
            </w:pPr>
          </w:p>
          <w:p w:rsidR="000A19B4" w:rsidRPr="00E758AC" w:rsidRDefault="000A19B4" w:rsidP="00FE2419">
            <w:pPr>
              <w:contextualSpacing/>
              <w:rPr>
                <w:rFonts w:ascii="Arial" w:hAnsi="Arial" w:cs="Arial"/>
                <w:color w:val="3C3C3C"/>
              </w:rPr>
            </w:pPr>
          </w:p>
        </w:tc>
        <w:tc>
          <w:tcPr>
            <w:tcW w:w="1703" w:type="dxa"/>
          </w:tcPr>
          <w:p w:rsidR="000A19B4" w:rsidRPr="00E758AC" w:rsidRDefault="008A5B53" w:rsidP="00FE2419">
            <w:pPr>
              <w:contextualSpacing/>
              <w:rPr>
                <w:rFonts w:ascii="Arial" w:hAnsi="Arial" w:cs="Arial"/>
                <w:color w:val="3C3C3C"/>
              </w:rPr>
            </w:pPr>
            <w:r>
              <w:rPr>
                <w:rFonts w:ascii="Arial" w:hAnsi="Arial" w:cs="Arial"/>
                <w:color w:val="3C3C3C"/>
              </w:rPr>
              <w:t>LO2</w:t>
            </w:r>
          </w:p>
        </w:tc>
        <w:tc>
          <w:tcPr>
            <w:tcW w:w="5136" w:type="dxa"/>
          </w:tcPr>
          <w:p w:rsidR="000A19B4" w:rsidRPr="00E758AC" w:rsidRDefault="008A5B53" w:rsidP="00FE2419">
            <w:pPr>
              <w:contextualSpacing/>
              <w:rPr>
                <w:rFonts w:ascii="Arial" w:hAnsi="Arial" w:cs="Arial"/>
                <w:color w:val="3C3C3C"/>
              </w:rPr>
            </w:pPr>
            <w:r>
              <w:rPr>
                <w:rFonts w:ascii="Arial" w:hAnsi="Arial" w:cs="Arial"/>
                <w:color w:val="3C3C3C"/>
              </w:rPr>
              <w:t xml:space="preserve">Coaching workshop slides </w:t>
            </w:r>
          </w:p>
        </w:tc>
        <w:tc>
          <w:tcPr>
            <w:tcW w:w="1353" w:type="dxa"/>
            <w:gridSpan w:val="2"/>
          </w:tcPr>
          <w:p w:rsidR="000A19B4" w:rsidRPr="00E758AC" w:rsidRDefault="008A5B53" w:rsidP="00FE2419">
            <w:pPr>
              <w:contextualSpacing/>
              <w:rPr>
                <w:rFonts w:ascii="Arial" w:hAnsi="Arial" w:cs="Arial"/>
                <w:color w:val="3C3C3C"/>
              </w:rPr>
            </w:pPr>
            <w:r>
              <w:rPr>
                <w:rFonts w:ascii="Arial" w:hAnsi="Arial" w:cs="Arial"/>
                <w:color w:val="3C3C3C"/>
              </w:rPr>
              <w:t>EV.</w:t>
            </w:r>
            <w:r w:rsidR="00026A4C">
              <w:rPr>
                <w:rFonts w:ascii="Arial" w:hAnsi="Arial" w:cs="Arial"/>
                <w:color w:val="3C3C3C"/>
              </w:rPr>
              <w:t>12</w:t>
            </w:r>
          </w:p>
        </w:tc>
        <w:tc>
          <w:tcPr>
            <w:tcW w:w="1440" w:type="dxa"/>
          </w:tcPr>
          <w:p w:rsidR="000A19B4" w:rsidRPr="00E758AC" w:rsidRDefault="000A19B4" w:rsidP="00FE2419">
            <w:pPr>
              <w:contextualSpacing/>
              <w:rPr>
                <w:rFonts w:ascii="Arial" w:hAnsi="Arial" w:cs="Arial"/>
                <w:color w:val="3C3C3C"/>
              </w:rPr>
            </w:pPr>
          </w:p>
        </w:tc>
        <w:tc>
          <w:tcPr>
            <w:tcW w:w="1440" w:type="dxa"/>
          </w:tcPr>
          <w:p w:rsidR="000A19B4" w:rsidRPr="00E758AC" w:rsidRDefault="000A19B4" w:rsidP="00FE2419">
            <w:pPr>
              <w:contextualSpacing/>
              <w:rPr>
                <w:rFonts w:ascii="Arial" w:hAnsi="Arial" w:cs="Arial"/>
                <w:color w:val="3C3C3C"/>
              </w:rPr>
            </w:pPr>
          </w:p>
        </w:tc>
      </w:tr>
      <w:tr w:rsidR="008A5B53" w:rsidRPr="00E758AC" w:rsidTr="00FE2419">
        <w:trPr>
          <w:trHeight w:val="482"/>
        </w:trPr>
        <w:tc>
          <w:tcPr>
            <w:tcW w:w="988" w:type="dxa"/>
          </w:tcPr>
          <w:p w:rsidR="008A5B53" w:rsidRPr="00E758AC" w:rsidRDefault="008A5B53" w:rsidP="00FE2419">
            <w:pPr>
              <w:contextualSpacing/>
              <w:rPr>
                <w:rFonts w:ascii="Arial" w:hAnsi="Arial" w:cs="Arial"/>
                <w:color w:val="3C3C3C"/>
              </w:rPr>
            </w:pPr>
          </w:p>
        </w:tc>
        <w:tc>
          <w:tcPr>
            <w:tcW w:w="3258" w:type="dxa"/>
            <w:gridSpan w:val="2"/>
          </w:tcPr>
          <w:p w:rsidR="008A5B53" w:rsidRPr="00E758AC" w:rsidRDefault="008A5B53" w:rsidP="00FE2419">
            <w:pPr>
              <w:contextualSpacing/>
              <w:rPr>
                <w:rFonts w:ascii="Arial" w:hAnsi="Arial" w:cs="Arial"/>
                <w:color w:val="3C3C3C"/>
              </w:rPr>
            </w:pPr>
          </w:p>
        </w:tc>
        <w:tc>
          <w:tcPr>
            <w:tcW w:w="1703" w:type="dxa"/>
          </w:tcPr>
          <w:p w:rsidR="008A5B53" w:rsidRDefault="0018084F" w:rsidP="00FE2419">
            <w:pPr>
              <w:contextualSpacing/>
              <w:rPr>
                <w:rFonts w:ascii="Arial" w:hAnsi="Arial" w:cs="Arial"/>
                <w:color w:val="3C3C3C"/>
              </w:rPr>
            </w:pPr>
            <w:r>
              <w:rPr>
                <w:rFonts w:ascii="Arial" w:hAnsi="Arial" w:cs="Arial"/>
                <w:color w:val="3C3C3C"/>
              </w:rPr>
              <w:t>LO2</w:t>
            </w:r>
          </w:p>
        </w:tc>
        <w:tc>
          <w:tcPr>
            <w:tcW w:w="5136" w:type="dxa"/>
          </w:tcPr>
          <w:p w:rsidR="008A5B53" w:rsidRDefault="0018084F" w:rsidP="00FE2419">
            <w:pPr>
              <w:contextualSpacing/>
              <w:rPr>
                <w:rFonts w:ascii="Arial" w:hAnsi="Arial" w:cs="Arial"/>
                <w:color w:val="3C3C3C"/>
              </w:rPr>
            </w:pPr>
            <w:r>
              <w:rPr>
                <w:rFonts w:ascii="Arial" w:hAnsi="Arial" w:cs="Arial"/>
                <w:color w:val="3C3C3C"/>
              </w:rPr>
              <w:t xml:space="preserve">Emails to Line Manager following up on Performance issue </w:t>
            </w:r>
          </w:p>
        </w:tc>
        <w:tc>
          <w:tcPr>
            <w:tcW w:w="1353" w:type="dxa"/>
            <w:gridSpan w:val="2"/>
          </w:tcPr>
          <w:p w:rsidR="008A5B53" w:rsidRDefault="0018084F" w:rsidP="00FE2419">
            <w:pPr>
              <w:contextualSpacing/>
              <w:rPr>
                <w:rFonts w:ascii="Arial" w:hAnsi="Arial" w:cs="Arial"/>
                <w:color w:val="3C3C3C"/>
              </w:rPr>
            </w:pPr>
            <w:r>
              <w:rPr>
                <w:rFonts w:ascii="Arial" w:hAnsi="Arial" w:cs="Arial"/>
                <w:color w:val="3C3C3C"/>
              </w:rPr>
              <w:t>EV.</w:t>
            </w:r>
            <w:r w:rsidR="00026A4C">
              <w:rPr>
                <w:rFonts w:ascii="Arial" w:hAnsi="Arial" w:cs="Arial"/>
                <w:color w:val="3C3C3C"/>
              </w:rPr>
              <w:t>13</w:t>
            </w:r>
          </w:p>
        </w:tc>
        <w:tc>
          <w:tcPr>
            <w:tcW w:w="1440" w:type="dxa"/>
          </w:tcPr>
          <w:p w:rsidR="008A5B53" w:rsidRPr="00E758AC" w:rsidRDefault="008A5B53" w:rsidP="00FE2419">
            <w:pPr>
              <w:contextualSpacing/>
              <w:rPr>
                <w:rFonts w:ascii="Arial" w:hAnsi="Arial" w:cs="Arial"/>
                <w:color w:val="3C3C3C"/>
              </w:rPr>
            </w:pPr>
          </w:p>
        </w:tc>
        <w:tc>
          <w:tcPr>
            <w:tcW w:w="1440" w:type="dxa"/>
          </w:tcPr>
          <w:p w:rsidR="008A5B53" w:rsidRPr="00E758AC" w:rsidRDefault="008A5B53" w:rsidP="00FE2419">
            <w:pPr>
              <w:contextualSpacing/>
              <w:rPr>
                <w:rFonts w:ascii="Arial" w:hAnsi="Arial" w:cs="Arial"/>
                <w:color w:val="3C3C3C"/>
              </w:rPr>
            </w:pPr>
          </w:p>
        </w:tc>
      </w:tr>
      <w:tr w:rsidR="008A5B53" w:rsidRPr="00E758AC" w:rsidTr="00FE2419">
        <w:trPr>
          <w:trHeight w:val="482"/>
        </w:trPr>
        <w:tc>
          <w:tcPr>
            <w:tcW w:w="988" w:type="dxa"/>
          </w:tcPr>
          <w:p w:rsidR="008A5B53" w:rsidRPr="00E758AC" w:rsidRDefault="008A5B53" w:rsidP="00FE2419">
            <w:pPr>
              <w:contextualSpacing/>
              <w:rPr>
                <w:rFonts w:ascii="Arial" w:hAnsi="Arial" w:cs="Arial"/>
                <w:color w:val="3C3C3C"/>
              </w:rPr>
            </w:pPr>
          </w:p>
        </w:tc>
        <w:tc>
          <w:tcPr>
            <w:tcW w:w="3258" w:type="dxa"/>
            <w:gridSpan w:val="2"/>
          </w:tcPr>
          <w:p w:rsidR="008A5B53" w:rsidRPr="00E758AC" w:rsidRDefault="008A5B53" w:rsidP="00FE2419">
            <w:pPr>
              <w:contextualSpacing/>
              <w:rPr>
                <w:rFonts w:ascii="Arial" w:hAnsi="Arial" w:cs="Arial"/>
                <w:color w:val="3C3C3C"/>
              </w:rPr>
            </w:pPr>
          </w:p>
        </w:tc>
        <w:tc>
          <w:tcPr>
            <w:tcW w:w="1703" w:type="dxa"/>
          </w:tcPr>
          <w:p w:rsidR="008A5B53" w:rsidRDefault="0018084F" w:rsidP="00FE2419">
            <w:pPr>
              <w:contextualSpacing/>
              <w:rPr>
                <w:rFonts w:ascii="Arial" w:hAnsi="Arial" w:cs="Arial"/>
                <w:color w:val="3C3C3C"/>
              </w:rPr>
            </w:pPr>
            <w:r>
              <w:rPr>
                <w:rFonts w:ascii="Arial" w:hAnsi="Arial" w:cs="Arial"/>
                <w:color w:val="3C3C3C"/>
              </w:rPr>
              <w:t xml:space="preserve">LO2 </w:t>
            </w:r>
          </w:p>
        </w:tc>
        <w:tc>
          <w:tcPr>
            <w:tcW w:w="5136" w:type="dxa"/>
          </w:tcPr>
          <w:p w:rsidR="008A5B53" w:rsidRDefault="0018084F" w:rsidP="00FE2419">
            <w:pPr>
              <w:contextualSpacing/>
              <w:rPr>
                <w:rFonts w:ascii="Arial" w:hAnsi="Arial" w:cs="Arial"/>
                <w:color w:val="3C3C3C"/>
              </w:rPr>
            </w:pPr>
            <w:r>
              <w:rPr>
                <w:rFonts w:ascii="Arial" w:hAnsi="Arial" w:cs="Arial"/>
                <w:color w:val="3C3C3C"/>
              </w:rPr>
              <w:t>Email from line manager – statement confirming support</w:t>
            </w:r>
          </w:p>
        </w:tc>
        <w:tc>
          <w:tcPr>
            <w:tcW w:w="1353" w:type="dxa"/>
            <w:gridSpan w:val="2"/>
          </w:tcPr>
          <w:p w:rsidR="008A5B53" w:rsidRDefault="0018084F" w:rsidP="00FE2419">
            <w:pPr>
              <w:contextualSpacing/>
              <w:rPr>
                <w:rFonts w:ascii="Arial" w:hAnsi="Arial" w:cs="Arial"/>
                <w:color w:val="3C3C3C"/>
              </w:rPr>
            </w:pPr>
            <w:r>
              <w:rPr>
                <w:rFonts w:ascii="Arial" w:hAnsi="Arial" w:cs="Arial"/>
                <w:color w:val="3C3C3C"/>
              </w:rPr>
              <w:t>EV.1</w:t>
            </w:r>
            <w:r w:rsidR="00026A4C">
              <w:rPr>
                <w:rFonts w:ascii="Arial" w:hAnsi="Arial" w:cs="Arial"/>
                <w:color w:val="3C3C3C"/>
              </w:rPr>
              <w:t>4</w:t>
            </w:r>
          </w:p>
        </w:tc>
        <w:tc>
          <w:tcPr>
            <w:tcW w:w="1440" w:type="dxa"/>
          </w:tcPr>
          <w:p w:rsidR="008A5B53" w:rsidRPr="00E758AC" w:rsidRDefault="008A5B53" w:rsidP="00FE2419">
            <w:pPr>
              <w:contextualSpacing/>
              <w:rPr>
                <w:rFonts w:ascii="Arial" w:hAnsi="Arial" w:cs="Arial"/>
                <w:color w:val="3C3C3C"/>
              </w:rPr>
            </w:pPr>
          </w:p>
        </w:tc>
        <w:tc>
          <w:tcPr>
            <w:tcW w:w="1440" w:type="dxa"/>
          </w:tcPr>
          <w:p w:rsidR="008A5B53" w:rsidRPr="00E758AC" w:rsidRDefault="008A5B53" w:rsidP="00FE2419">
            <w:pPr>
              <w:contextualSpacing/>
              <w:rPr>
                <w:rFonts w:ascii="Arial" w:hAnsi="Arial" w:cs="Arial"/>
                <w:color w:val="3C3C3C"/>
              </w:rPr>
            </w:pPr>
          </w:p>
        </w:tc>
      </w:tr>
      <w:tr w:rsidR="008A5B53" w:rsidRPr="00E758AC" w:rsidTr="00FE2419">
        <w:trPr>
          <w:trHeight w:val="482"/>
        </w:trPr>
        <w:tc>
          <w:tcPr>
            <w:tcW w:w="988" w:type="dxa"/>
          </w:tcPr>
          <w:p w:rsidR="008A5B53" w:rsidRPr="00E758AC" w:rsidRDefault="008A5B53" w:rsidP="00FE2419">
            <w:pPr>
              <w:contextualSpacing/>
              <w:rPr>
                <w:rFonts w:ascii="Arial" w:hAnsi="Arial" w:cs="Arial"/>
                <w:color w:val="3C3C3C"/>
              </w:rPr>
            </w:pPr>
          </w:p>
        </w:tc>
        <w:tc>
          <w:tcPr>
            <w:tcW w:w="3258" w:type="dxa"/>
            <w:gridSpan w:val="2"/>
          </w:tcPr>
          <w:p w:rsidR="008A5B53" w:rsidRPr="00E758AC" w:rsidRDefault="008A5B53" w:rsidP="00FE2419">
            <w:pPr>
              <w:contextualSpacing/>
              <w:rPr>
                <w:rFonts w:ascii="Arial" w:hAnsi="Arial" w:cs="Arial"/>
                <w:color w:val="3C3C3C"/>
              </w:rPr>
            </w:pPr>
          </w:p>
        </w:tc>
        <w:tc>
          <w:tcPr>
            <w:tcW w:w="1703" w:type="dxa"/>
          </w:tcPr>
          <w:p w:rsidR="008A5B53" w:rsidRDefault="00E234C1" w:rsidP="00FE2419">
            <w:pPr>
              <w:contextualSpacing/>
              <w:rPr>
                <w:rFonts w:ascii="Arial" w:hAnsi="Arial" w:cs="Arial"/>
                <w:color w:val="3C3C3C"/>
              </w:rPr>
            </w:pPr>
            <w:r>
              <w:rPr>
                <w:rFonts w:ascii="Arial" w:hAnsi="Arial" w:cs="Arial"/>
                <w:color w:val="3C3C3C"/>
              </w:rPr>
              <w:t>LO3</w:t>
            </w:r>
          </w:p>
        </w:tc>
        <w:tc>
          <w:tcPr>
            <w:tcW w:w="5136" w:type="dxa"/>
          </w:tcPr>
          <w:p w:rsidR="008A5B53" w:rsidRDefault="00B2722D" w:rsidP="00FE2419">
            <w:pPr>
              <w:contextualSpacing/>
              <w:rPr>
                <w:rFonts w:ascii="Arial" w:hAnsi="Arial" w:cs="Arial"/>
                <w:color w:val="3C3C3C"/>
              </w:rPr>
            </w:pPr>
            <w:r>
              <w:rPr>
                <w:rFonts w:ascii="Arial" w:hAnsi="Arial" w:cs="Arial"/>
                <w:color w:val="3C3C3C"/>
              </w:rPr>
              <w:t xml:space="preserve">Summary of notes from analysing performance management systems. </w:t>
            </w:r>
          </w:p>
        </w:tc>
        <w:tc>
          <w:tcPr>
            <w:tcW w:w="1353" w:type="dxa"/>
            <w:gridSpan w:val="2"/>
          </w:tcPr>
          <w:p w:rsidR="008A5B53" w:rsidRDefault="00E234C1" w:rsidP="00FE2419">
            <w:pPr>
              <w:contextualSpacing/>
              <w:rPr>
                <w:rFonts w:ascii="Arial" w:hAnsi="Arial" w:cs="Arial"/>
                <w:color w:val="3C3C3C"/>
              </w:rPr>
            </w:pPr>
            <w:r>
              <w:rPr>
                <w:rFonts w:ascii="Arial" w:hAnsi="Arial" w:cs="Arial"/>
                <w:color w:val="3C3C3C"/>
              </w:rPr>
              <w:t>EV.15</w:t>
            </w:r>
          </w:p>
        </w:tc>
        <w:tc>
          <w:tcPr>
            <w:tcW w:w="1440" w:type="dxa"/>
          </w:tcPr>
          <w:p w:rsidR="008A5B53" w:rsidRPr="00E758AC" w:rsidRDefault="008A5B53" w:rsidP="00FE2419">
            <w:pPr>
              <w:contextualSpacing/>
              <w:rPr>
                <w:rFonts w:ascii="Arial" w:hAnsi="Arial" w:cs="Arial"/>
                <w:color w:val="3C3C3C"/>
              </w:rPr>
            </w:pPr>
          </w:p>
        </w:tc>
        <w:tc>
          <w:tcPr>
            <w:tcW w:w="1440" w:type="dxa"/>
          </w:tcPr>
          <w:p w:rsidR="008A5B53" w:rsidRPr="00E758AC" w:rsidRDefault="008A5B53" w:rsidP="00FE2419">
            <w:pPr>
              <w:contextualSpacing/>
              <w:rPr>
                <w:rFonts w:ascii="Arial" w:hAnsi="Arial" w:cs="Arial"/>
                <w:color w:val="3C3C3C"/>
              </w:rPr>
            </w:pPr>
          </w:p>
        </w:tc>
      </w:tr>
      <w:tr w:rsidR="00B2722D" w:rsidRPr="00E758AC" w:rsidTr="00FE2419">
        <w:trPr>
          <w:trHeight w:val="482"/>
        </w:trPr>
        <w:tc>
          <w:tcPr>
            <w:tcW w:w="988" w:type="dxa"/>
          </w:tcPr>
          <w:p w:rsidR="00B2722D" w:rsidRPr="00E758AC" w:rsidRDefault="00B2722D" w:rsidP="00FE2419">
            <w:pPr>
              <w:contextualSpacing/>
              <w:rPr>
                <w:rFonts w:ascii="Arial" w:hAnsi="Arial" w:cs="Arial"/>
                <w:color w:val="3C3C3C"/>
              </w:rPr>
            </w:pPr>
          </w:p>
        </w:tc>
        <w:tc>
          <w:tcPr>
            <w:tcW w:w="3258" w:type="dxa"/>
            <w:gridSpan w:val="2"/>
          </w:tcPr>
          <w:p w:rsidR="00B2722D" w:rsidRPr="00E758AC" w:rsidRDefault="00B2722D" w:rsidP="00FE2419">
            <w:pPr>
              <w:contextualSpacing/>
              <w:rPr>
                <w:rFonts w:ascii="Arial" w:hAnsi="Arial" w:cs="Arial"/>
                <w:color w:val="3C3C3C"/>
              </w:rPr>
            </w:pPr>
          </w:p>
        </w:tc>
        <w:tc>
          <w:tcPr>
            <w:tcW w:w="1703" w:type="dxa"/>
          </w:tcPr>
          <w:p w:rsidR="00B2722D" w:rsidRDefault="00B2722D" w:rsidP="00FE2419">
            <w:pPr>
              <w:contextualSpacing/>
              <w:rPr>
                <w:rFonts w:ascii="Arial" w:hAnsi="Arial" w:cs="Arial"/>
                <w:color w:val="3C3C3C"/>
              </w:rPr>
            </w:pPr>
            <w:r>
              <w:rPr>
                <w:rFonts w:ascii="Arial" w:hAnsi="Arial" w:cs="Arial"/>
                <w:color w:val="3C3C3C"/>
              </w:rPr>
              <w:t>LO3</w:t>
            </w:r>
          </w:p>
        </w:tc>
        <w:tc>
          <w:tcPr>
            <w:tcW w:w="5136" w:type="dxa"/>
          </w:tcPr>
          <w:p w:rsidR="00B2722D" w:rsidRDefault="00B2722D" w:rsidP="00FE2419">
            <w:pPr>
              <w:contextualSpacing/>
              <w:rPr>
                <w:rFonts w:ascii="Arial" w:hAnsi="Arial" w:cs="Arial"/>
                <w:color w:val="3C3C3C"/>
              </w:rPr>
            </w:pPr>
            <w:proofErr w:type="spellStart"/>
            <w:r>
              <w:rPr>
                <w:rFonts w:ascii="Arial" w:hAnsi="Arial" w:cs="Arial"/>
                <w:color w:val="3C3C3C"/>
              </w:rPr>
              <w:t>Feed back</w:t>
            </w:r>
            <w:proofErr w:type="spellEnd"/>
            <w:r>
              <w:rPr>
                <w:rFonts w:ascii="Arial" w:hAnsi="Arial" w:cs="Arial"/>
                <w:color w:val="3C3C3C"/>
              </w:rPr>
              <w:t xml:space="preserve"> questionnaire </w:t>
            </w:r>
          </w:p>
        </w:tc>
        <w:tc>
          <w:tcPr>
            <w:tcW w:w="1353" w:type="dxa"/>
            <w:gridSpan w:val="2"/>
          </w:tcPr>
          <w:p w:rsidR="00B2722D" w:rsidRDefault="00B2722D" w:rsidP="00FE2419">
            <w:pPr>
              <w:contextualSpacing/>
              <w:rPr>
                <w:rFonts w:ascii="Arial" w:hAnsi="Arial" w:cs="Arial"/>
                <w:color w:val="3C3C3C"/>
              </w:rPr>
            </w:pPr>
            <w:r>
              <w:rPr>
                <w:rFonts w:ascii="Arial" w:hAnsi="Arial" w:cs="Arial"/>
                <w:color w:val="3C3C3C"/>
              </w:rPr>
              <w:t>EV.16</w:t>
            </w:r>
          </w:p>
        </w:tc>
        <w:tc>
          <w:tcPr>
            <w:tcW w:w="1440" w:type="dxa"/>
          </w:tcPr>
          <w:p w:rsidR="00B2722D" w:rsidRPr="00E758AC" w:rsidRDefault="00B2722D" w:rsidP="00FE2419">
            <w:pPr>
              <w:contextualSpacing/>
              <w:rPr>
                <w:rFonts w:ascii="Arial" w:hAnsi="Arial" w:cs="Arial"/>
                <w:color w:val="3C3C3C"/>
              </w:rPr>
            </w:pPr>
          </w:p>
        </w:tc>
        <w:tc>
          <w:tcPr>
            <w:tcW w:w="1440" w:type="dxa"/>
          </w:tcPr>
          <w:p w:rsidR="00B2722D" w:rsidRPr="00E758AC" w:rsidRDefault="00B2722D" w:rsidP="00FE2419">
            <w:pPr>
              <w:contextualSpacing/>
              <w:rPr>
                <w:rFonts w:ascii="Arial" w:hAnsi="Arial" w:cs="Arial"/>
                <w:color w:val="3C3C3C"/>
              </w:rPr>
            </w:pPr>
          </w:p>
        </w:tc>
      </w:tr>
      <w:tr w:rsidR="000A19B4" w:rsidRPr="00E758AC" w:rsidTr="00FE2419">
        <w:tc>
          <w:tcPr>
            <w:tcW w:w="15318" w:type="dxa"/>
            <w:gridSpan w:val="9"/>
            <w:shd w:val="clear" w:color="auto" w:fill="DBD3E5"/>
          </w:tcPr>
          <w:p w:rsidR="000A19B4" w:rsidRPr="00E758AC" w:rsidRDefault="000A19B4" w:rsidP="00FE2419">
            <w:pPr>
              <w:contextualSpacing/>
              <w:rPr>
                <w:rFonts w:ascii="Arial" w:hAnsi="Arial" w:cs="Arial"/>
                <w:b/>
                <w:color w:val="3C3C3C"/>
              </w:rPr>
            </w:pPr>
            <w:r w:rsidRPr="00E758AC">
              <w:rPr>
                <w:rFonts w:ascii="Arial" w:hAnsi="Arial" w:cs="Arial"/>
                <w:b/>
                <w:color w:val="3C3C3C"/>
              </w:rPr>
              <w:t>Candidate declaration:</w:t>
            </w:r>
          </w:p>
        </w:tc>
      </w:tr>
      <w:tr w:rsidR="000A19B4" w:rsidRPr="00E758AC" w:rsidTr="00FE2419">
        <w:tc>
          <w:tcPr>
            <w:tcW w:w="15318" w:type="dxa"/>
            <w:gridSpan w:val="9"/>
            <w:shd w:val="clear" w:color="auto" w:fill="auto"/>
          </w:tcPr>
          <w:p w:rsidR="000A19B4" w:rsidRPr="00E758AC" w:rsidRDefault="000A19B4" w:rsidP="000A19B4">
            <w:pPr>
              <w:pStyle w:val="ListParagraph"/>
              <w:numPr>
                <w:ilvl w:val="0"/>
                <w:numId w:val="1"/>
              </w:numPr>
              <w:suppressAutoHyphens w:val="0"/>
              <w:autoSpaceDN/>
              <w:spacing w:before="60" w:after="60"/>
              <w:ind w:left="499" w:hanging="357"/>
              <w:textAlignment w:val="auto"/>
              <w:rPr>
                <w:rFonts w:ascii="Arial" w:hAnsi="Arial" w:cs="Arial"/>
                <w:color w:val="3C3C3C"/>
                <w:sz w:val="18"/>
                <w:szCs w:val="18"/>
              </w:rPr>
            </w:pPr>
            <w:r w:rsidRPr="00E758AC">
              <w:rPr>
                <w:rFonts w:ascii="Arial" w:hAnsi="Arial" w:cs="Arial"/>
                <w:color w:val="3C3C3C"/>
                <w:sz w:val="18"/>
                <w:szCs w:val="18"/>
              </w:rPr>
              <w:t xml:space="preserve">I confirm that the work/evidence presented for assessment is my own unaided work. </w:t>
            </w:r>
          </w:p>
          <w:p w:rsidR="000A19B4" w:rsidRPr="00E758AC" w:rsidRDefault="000A19B4" w:rsidP="000A19B4">
            <w:pPr>
              <w:pStyle w:val="ListParagraph"/>
              <w:numPr>
                <w:ilvl w:val="0"/>
                <w:numId w:val="1"/>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rsidR="000A19B4" w:rsidRPr="00E758AC" w:rsidRDefault="000A19B4" w:rsidP="000A19B4">
            <w:pPr>
              <w:pStyle w:val="ListParagraph"/>
              <w:numPr>
                <w:ilvl w:val="0"/>
                <w:numId w:val="1"/>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agree to this work being subjected to scrutiny by textual analysis software if required.</w:t>
            </w:r>
          </w:p>
          <w:p w:rsidR="000A19B4" w:rsidRPr="00E758AC" w:rsidRDefault="000A19B4" w:rsidP="000A19B4">
            <w:pPr>
              <w:pStyle w:val="ListParagraph"/>
              <w:numPr>
                <w:ilvl w:val="0"/>
                <w:numId w:val="1"/>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my work may be used for future academic/quality assurance purposes in accordance with the provisions of the Data Protection Act 1998.</w:t>
            </w:r>
          </w:p>
          <w:p w:rsidR="000A19B4" w:rsidRPr="00E758AC" w:rsidRDefault="000A19B4" w:rsidP="000A19B4">
            <w:pPr>
              <w:pStyle w:val="ListParagraph"/>
              <w:numPr>
                <w:ilvl w:val="0"/>
                <w:numId w:val="1"/>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the work/evidence submitted for assessment may not be returned to me and that I have retained a copy for my records.</w:t>
            </w:r>
          </w:p>
          <w:p w:rsidR="000A19B4" w:rsidRPr="00E758AC" w:rsidRDefault="000A19B4" w:rsidP="000A19B4">
            <w:pPr>
              <w:pStyle w:val="ListParagraph"/>
              <w:numPr>
                <w:ilvl w:val="0"/>
                <w:numId w:val="1"/>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until such time as the assessment grade has been ratified through internal and external quality assurance processes it is not final.</w:t>
            </w:r>
          </w:p>
        </w:tc>
      </w:tr>
      <w:tr w:rsidR="000A19B4" w:rsidRPr="00E758AC" w:rsidTr="00FE2419">
        <w:trPr>
          <w:trHeight w:val="380"/>
        </w:trPr>
        <w:tc>
          <w:tcPr>
            <w:tcW w:w="2516" w:type="dxa"/>
            <w:gridSpan w:val="2"/>
            <w:shd w:val="clear" w:color="auto" w:fill="DBD3E5"/>
            <w:vAlign w:val="center"/>
          </w:tcPr>
          <w:p w:rsidR="000A19B4" w:rsidRPr="00E758AC" w:rsidRDefault="000A19B4" w:rsidP="00FE2419">
            <w:pPr>
              <w:rPr>
                <w:rFonts w:ascii="Arial" w:hAnsi="Arial" w:cs="Arial"/>
                <w:b/>
                <w:color w:val="3C3C3C"/>
              </w:rPr>
            </w:pPr>
            <w:r w:rsidRPr="00E758AC">
              <w:rPr>
                <w:rFonts w:ascii="Arial" w:hAnsi="Arial" w:cs="Arial"/>
                <w:b/>
                <w:color w:val="3C3C3C"/>
              </w:rPr>
              <w:t>Signature:</w:t>
            </w:r>
          </w:p>
        </w:tc>
        <w:tc>
          <w:tcPr>
            <w:tcW w:w="8649" w:type="dxa"/>
            <w:gridSpan w:val="4"/>
            <w:vAlign w:val="center"/>
          </w:tcPr>
          <w:p w:rsidR="000A19B4" w:rsidRPr="00E758AC" w:rsidRDefault="00940F2D" w:rsidP="00FE2419">
            <w:pPr>
              <w:rPr>
                <w:rFonts w:ascii="Arial" w:hAnsi="Arial" w:cs="Arial"/>
                <w:b/>
                <w:color w:val="3C3C3C"/>
              </w:rPr>
            </w:pPr>
            <w:proofErr w:type="spellStart"/>
            <w:r>
              <w:rPr>
                <w:rFonts w:ascii="Arial" w:hAnsi="Arial" w:cs="Arial"/>
                <w:b/>
                <w:color w:val="3C3C3C"/>
              </w:rPr>
              <w:t>K.A.Low</w:t>
            </w:r>
            <w:proofErr w:type="spellEnd"/>
          </w:p>
        </w:tc>
        <w:tc>
          <w:tcPr>
            <w:tcW w:w="1273" w:type="dxa"/>
            <w:shd w:val="clear" w:color="auto" w:fill="DBD3E5"/>
            <w:vAlign w:val="center"/>
          </w:tcPr>
          <w:p w:rsidR="000A19B4" w:rsidRPr="00E758AC" w:rsidRDefault="000A19B4" w:rsidP="00FE2419">
            <w:pPr>
              <w:rPr>
                <w:rFonts w:ascii="Arial" w:hAnsi="Arial" w:cs="Arial"/>
                <w:b/>
                <w:color w:val="3C3C3C"/>
              </w:rPr>
            </w:pPr>
            <w:r w:rsidRPr="00E758AC">
              <w:rPr>
                <w:rFonts w:ascii="Arial" w:hAnsi="Arial" w:cs="Arial"/>
                <w:b/>
                <w:color w:val="3C3C3C"/>
              </w:rPr>
              <w:t>Date:</w:t>
            </w:r>
          </w:p>
        </w:tc>
        <w:tc>
          <w:tcPr>
            <w:tcW w:w="2880" w:type="dxa"/>
            <w:gridSpan w:val="2"/>
            <w:vAlign w:val="center"/>
          </w:tcPr>
          <w:p w:rsidR="000A19B4" w:rsidRPr="00E758AC" w:rsidRDefault="00940F2D" w:rsidP="00FE2419">
            <w:pPr>
              <w:rPr>
                <w:rFonts w:ascii="Arial" w:hAnsi="Arial" w:cs="Arial"/>
                <w:b/>
                <w:color w:val="3C3C3C"/>
              </w:rPr>
            </w:pPr>
            <w:r>
              <w:rPr>
                <w:rFonts w:ascii="Arial" w:hAnsi="Arial" w:cs="Arial"/>
                <w:b/>
                <w:color w:val="3C3C3C"/>
              </w:rPr>
              <w:t>20/09/2021</w:t>
            </w:r>
          </w:p>
        </w:tc>
      </w:tr>
    </w:tbl>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rsidP="000A19B4">
      <w:pPr>
        <w:pStyle w:val="Heading1"/>
      </w:pPr>
    </w:p>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 w:rsidR="000A19B4" w:rsidRDefault="000A19B4">
      <w:pPr>
        <w:sectPr w:rsidR="000A19B4" w:rsidSect="000A19B4">
          <w:pgSz w:w="16840" w:h="11907" w:orient="landscape" w:code="9"/>
          <w:pgMar w:top="720" w:right="720" w:bottom="720" w:left="720" w:header="709" w:footer="709" w:gutter="0"/>
          <w:pgNumType w:start="0"/>
          <w:cols w:space="708"/>
          <w:titlePg/>
          <w:docGrid w:linePitch="360"/>
        </w:sectPr>
      </w:pPr>
    </w:p>
    <w:p w:rsidR="000A19B4" w:rsidRDefault="000A19B4" w:rsidP="000A19B4">
      <w:pPr>
        <w:pStyle w:val="Heading1"/>
      </w:pPr>
      <w:bookmarkStart w:id="1" w:name="_Toc83649550"/>
      <w:r>
        <w:lastRenderedPageBreak/>
        <w:t>Learning outcome 1</w:t>
      </w:r>
      <w:bookmarkEnd w:id="1"/>
      <w:r>
        <w:t xml:space="preserve"> </w:t>
      </w:r>
    </w:p>
    <w:p w:rsidR="000A19B4" w:rsidRDefault="00442A23" w:rsidP="00940F2D">
      <w:r>
        <w:t>Performance management processes at Folly Farm follow a continuous approach which starts at induction and then goes through an annual process from development plan to appraisal, with any performance issues being addressed in between</w:t>
      </w:r>
      <w:r w:rsidR="00D27D22">
        <w:t xml:space="preserve"> via personal meetings or the company ambassador scheme</w:t>
      </w:r>
      <w:r>
        <w:t xml:space="preserve">. </w:t>
      </w:r>
      <w:r w:rsidR="00C400BB">
        <w:t xml:space="preserve">The approach at Folly Farm roughly follows that highlighted within the performance management cycle of </w:t>
      </w:r>
      <w:r w:rsidR="00284C15">
        <w:t xml:space="preserve">plan, develop, act and review (Sands 2020) although this adapted to reflect the different types of contracts within the organisation such as permanent and seasonal. </w:t>
      </w:r>
      <w:r w:rsidR="00B52DCD">
        <w:t xml:space="preserve">This is largely strategized by the HR department but requires working together with line managers to implement the processes. </w:t>
      </w:r>
    </w:p>
    <w:p w:rsidR="00690C12" w:rsidRDefault="00690C12" w:rsidP="00940F2D">
      <w:r>
        <w:t xml:space="preserve">The recruitment process can contribute to organisational performance by generating a diverse and multi skilled team, this means skills can be transferred as employees learn from one another and the organisation can benefit from having various employees with different backgrounds. It is crucial to manage this in line with legislation and not discriminate and fair an appropriate recruitment processes must not discriminate based on any of the seven protected characteristics (Equality Act 2010). It is important for HR to clearly communicate this to line </w:t>
      </w:r>
      <w:r w:rsidR="00946FFF">
        <w:t>managers</w:t>
      </w:r>
      <w:r>
        <w:t xml:space="preserve"> who may be less aware of discrimination laws and the potential impact they could have.</w:t>
      </w:r>
    </w:p>
    <w:p w:rsidR="00CF511C" w:rsidRDefault="00CF511C" w:rsidP="00940F2D">
      <w:r>
        <w:t xml:space="preserve">The induction process is delivered by the HR department and within my role I conduct the majority of company inductions, this creates the basis of the performance management approach carried out by the organisation as it communicates what is expected from employees such as the mission (EV.1) </w:t>
      </w:r>
      <w:r w:rsidR="00AC00FE">
        <w:t xml:space="preserve">and company standards (EV.2) </w:t>
      </w:r>
      <w:r w:rsidR="001D30D5">
        <w:t>and</w:t>
      </w:r>
      <w:r>
        <w:t xml:space="preserve"> highlights the organisations formal processes for performance noting annual appraisals, and the disciplinary procedure which is verbal </w:t>
      </w:r>
      <w:r w:rsidR="00946FFF">
        <w:t>warning</w:t>
      </w:r>
      <w:r>
        <w:t>, first written warning and dismissal (EV.</w:t>
      </w:r>
      <w:r w:rsidR="00AC00FE">
        <w:t>3</w:t>
      </w:r>
      <w:r>
        <w:t>)</w:t>
      </w:r>
      <w:r w:rsidR="003353F2">
        <w:t>. Clearly communicating what is expected and linking individual performance to that of the overall organisation can improve employee performance, (Craig 2018) which is why delivering a strong and insightful company induction is an important first step in Folly Farms approach to Performance managemen</w:t>
      </w:r>
      <w:r w:rsidR="001D4303">
        <w:t>t, it is also important for HR to get line mangers to follow this with departmental inductions</w:t>
      </w:r>
      <w:r w:rsidR="003C63BF">
        <w:t xml:space="preserve"> otherwise this can lead to lack of confidence</w:t>
      </w:r>
      <w:r w:rsidR="001D4303">
        <w:t xml:space="preserve">. </w:t>
      </w:r>
      <w:r w:rsidR="00C758D9">
        <w:t xml:space="preserve">This </w:t>
      </w:r>
      <w:r w:rsidR="00B7067E">
        <w:t>is</w:t>
      </w:r>
      <w:r w:rsidR="00C758D9">
        <w:t xml:space="preserve"> an important process as it is also where contracts of employment are signed and codes of conduct, this is important as should there be a need to escalate an incident to disciplinary</w:t>
      </w:r>
      <w:r w:rsidR="00B7067E">
        <w:t>, Folly Farm would need to have the relevant paper trail showing what was agreed and what had not been carried out in line with contractual obligations</w:t>
      </w:r>
      <w:r w:rsidR="00B0349F">
        <w:t>.</w:t>
      </w:r>
    </w:p>
    <w:p w:rsidR="001D4303" w:rsidRDefault="001D4303" w:rsidP="00940F2D">
      <w:r>
        <w:t xml:space="preserve">The cycle of performance management at Folly Farm starts with </w:t>
      </w:r>
      <w:r w:rsidR="00E70809">
        <w:t xml:space="preserve">outlining objects and areas for improvement and defining roles so that each employee knows what they are personally responsible for and also what their team is responsible for, the next step is to set up and implement development plans </w:t>
      </w:r>
      <w:r w:rsidR="009E452D">
        <w:t>(EV.</w:t>
      </w:r>
      <w:r w:rsidR="00AC00FE">
        <w:t>4</w:t>
      </w:r>
      <w:r w:rsidR="009E452D">
        <w:t xml:space="preserve">) </w:t>
      </w:r>
      <w:r w:rsidR="00E70809">
        <w:t xml:space="preserve">which are done jointly by HR and line managers to provide a holistic overview, during this process any training to be carried out over the next twelve months is set out as well as targets and goals which are agreed by the line manager and HR. </w:t>
      </w:r>
      <w:r w:rsidR="009E452D">
        <w:t xml:space="preserve">These are then delivered and implemented. </w:t>
      </w:r>
    </w:p>
    <w:p w:rsidR="009E452D" w:rsidRDefault="009E452D" w:rsidP="00940F2D">
      <w:r>
        <w:t>Performance of employees is managed by both line managers and HR throughout the year. This is done by line managers continually communicating the company mission and providing updates on the company and teams progress, continuous feedback is important and HR regularly pass on visitor feedback which mentions individual employees or work areas relating to customer service as this is the company’s mission, this is done by passing on trip advisor reviews for example (EV.</w:t>
      </w:r>
      <w:r w:rsidR="00AC00FE">
        <w:t>5</w:t>
      </w:r>
      <w:r>
        <w:t xml:space="preserve">) and can boost morale for an employee as they receive praise from their line manager, this is noted by The Training Journal (2014) who discusses that regular praise, when earned can boost an </w:t>
      </w:r>
      <w:proofErr w:type="spellStart"/>
      <w:r>
        <w:t>employees</w:t>
      </w:r>
      <w:proofErr w:type="spellEnd"/>
      <w:r>
        <w:t xml:space="preserve"> performance. </w:t>
      </w:r>
    </w:p>
    <w:p w:rsidR="009E452D" w:rsidRDefault="009E452D" w:rsidP="00940F2D">
      <w:r>
        <w:t xml:space="preserve">The opposite side of providing regular positive feedback is addressing underperformance or misconduct. </w:t>
      </w:r>
      <w:r w:rsidR="00047BF2">
        <w:t>We use a fault code system across departments (EV</w:t>
      </w:r>
      <w:r w:rsidR="003E05C9">
        <w:t>.6</w:t>
      </w:r>
      <w:r w:rsidR="00047BF2">
        <w:t xml:space="preserve">) and the third fault code leads to a personal meeting. </w:t>
      </w:r>
      <w:r w:rsidR="00690C12">
        <w:t>The first step in these cases is a personal meeting with a line manger or a line manager and HR this clearly sets out what is happening and that it is unacceptable and that an immediate improvement in performance should follow or disciplinary action may be taken (EV.</w:t>
      </w:r>
      <w:r w:rsidR="003E05C9">
        <w:t>7</w:t>
      </w:r>
      <w:r w:rsidR="00690C12">
        <w:t xml:space="preserve">). </w:t>
      </w:r>
      <w:r w:rsidR="00B0349F">
        <w:t xml:space="preserve">If there is not an improvement in performance line mangers will then escalate to HR who will </w:t>
      </w:r>
      <w:r w:rsidR="00167B34">
        <w:t xml:space="preserve">advise and </w:t>
      </w:r>
      <w:r w:rsidR="00B0349F">
        <w:t xml:space="preserve">outline the next steps and if </w:t>
      </w:r>
      <w:r w:rsidR="00167B34">
        <w:t xml:space="preserve">necessary, start disciplinary proceedings. ACAS (2021) highlights the essential information which must be present in a contract of employment, and this mentions disciplinary procedures, if this is not present it can make it very difficult to challenge employee performance and correct problems thus leading to issues which are lengthy and could potentially have high costs associated to them if things were escalated to a </w:t>
      </w:r>
      <w:r w:rsidR="00167B34">
        <w:lastRenderedPageBreak/>
        <w:t>tribunal.</w:t>
      </w:r>
      <w:r w:rsidR="00B16B23">
        <w:t xml:space="preserve"> </w:t>
      </w:r>
      <w:r w:rsidR="00EC28B4">
        <w:t xml:space="preserve">Disciplinary procedures would then be followed, and the relevant outcome communicated to the employee. </w:t>
      </w:r>
    </w:p>
    <w:p w:rsidR="00EC28B4" w:rsidRDefault="00EC28B4" w:rsidP="00940F2D">
      <w:r>
        <w:t xml:space="preserve">Folly Farm regularly reviews its performance management process and policies to ensure they follow guidance set out by ACAS and the CIPD, it is important to act in line with legislation and best practice to allow for a fair working environment. </w:t>
      </w:r>
      <w:r w:rsidR="00B82AC2">
        <w:t>When managing performance, things can often be time sensitive for ex</w:t>
      </w:r>
      <w:r w:rsidR="009E5283">
        <w:t>ample when providing positive reviews or feedback it is important to act quickly and provide the information when it is relevant, if things are delayed it can minimise the positive impact</w:t>
      </w:r>
      <w:r w:rsidR="00B4581E">
        <w:t xml:space="preserve">. </w:t>
      </w:r>
      <w:proofErr w:type="spellStart"/>
      <w:r w:rsidR="00B47FDA">
        <w:t>Thornock</w:t>
      </w:r>
      <w:proofErr w:type="spellEnd"/>
      <w:r w:rsidR="00B47FDA">
        <w:t xml:space="preserve"> (2016) notes that delaying feedback, both positive and negative can only hinder performance as we live in a fast-paced society and if feedback is based on an event that took place some time ago, the employee has already moved on from this. </w:t>
      </w:r>
      <w:r w:rsidR="00A642DE">
        <w:t>Within my role it is important that when managers need advice on performance management it is accurate, in line with legislation, in accordance to company policy and in a timely manner, (EV.</w:t>
      </w:r>
      <w:r w:rsidR="003E05C9">
        <w:t>8</w:t>
      </w:r>
      <w:r w:rsidR="00A642DE">
        <w:t xml:space="preserve">) due to this and the size of the organisation communication is encouraged in person and as soon as possible. </w:t>
      </w:r>
    </w:p>
    <w:p w:rsidR="00124B54" w:rsidRDefault="00124B54" w:rsidP="00940F2D"/>
    <w:p w:rsidR="00124B54" w:rsidRDefault="00124B54" w:rsidP="00940F2D"/>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F4E2E" w:rsidP="000F4E2E">
      <w:pPr>
        <w:pStyle w:val="Heading1"/>
      </w:pPr>
      <w:bookmarkStart w:id="2" w:name="_Toc83649551"/>
      <w:r>
        <w:t>Evidence</w:t>
      </w:r>
      <w:bookmarkEnd w:id="2"/>
      <w:r>
        <w:t xml:space="preserve"> </w:t>
      </w:r>
    </w:p>
    <w:p w:rsidR="000A19B4" w:rsidRDefault="00AC00FE" w:rsidP="000A19B4">
      <w:r w:rsidRPr="00AC00FE">
        <w:rPr>
          <w:noProof/>
          <w:lang w:eastAsia="en-GB"/>
        </w:rPr>
        <w:drawing>
          <wp:anchor distT="0" distB="0" distL="114300" distR="114300" simplePos="0" relativeHeight="251662336" behindDoc="1" locked="0" layoutInCell="1" allowOverlap="1">
            <wp:simplePos x="0" y="0"/>
            <wp:positionH relativeFrom="column">
              <wp:posOffset>3505200</wp:posOffset>
            </wp:positionH>
            <wp:positionV relativeFrom="paragraph">
              <wp:posOffset>320040</wp:posOffset>
            </wp:positionV>
            <wp:extent cx="3394710" cy="1938655"/>
            <wp:effectExtent l="0" t="0" r="0" b="4445"/>
            <wp:wrapTight wrapText="bothSides">
              <wp:wrapPolygon edited="0">
                <wp:start x="0" y="0"/>
                <wp:lineTo x="0" y="21437"/>
                <wp:lineTo x="21455" y="21437"/>
                <wp:lineTo x="2145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430" t="7897" r="13012" b="4212"/>
                    <a:stretch/>
                  </pic:blipFill>
                  <pic:spPr bwMode="auto">
                    <a:xfrm>
                      <a:off x="0" y="0"/>
                      <a:ext cx="3394710" cy="193865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t xml:space="preserve">EV.1                                                                                                          EV.2 </w:t>
      </w:r>
    </w:p>
    <w:p w:rsidR="000A19B4" w:rsidRDefault="00AC00FE" w:rsidP="000A19B4">
      <w:r>
        <w:rPr>
          <w:noProof/>
          <w:lang w:eastAsia="en-GB"/>
        </w:rPr>
        <w:drawing>
          <wp:anchor distT="0" distB="0" distL="114300" distR="114300" simplePos="0" relativeHeight="251661312" behindDoc="1" locked="0" layoutInCell="1" allowOverlap="1">
            <wp:simplePos x="0" y="0"/>
            <wp:positionH relativeFrom="margin">
              <wp:align>left</wp:align>
            </wp:positionH>
            <wp:positionV relativeFrom="paragraph">
              <wp:posOffset>75565</wp:posOffset>
            </wp:positionV>
            <wp:extent cx="3238500" cy="1889125"/>
            <wp:effectExtent l="0" t="0" r="0" b="0"/>
            <wp:wrapTight wrapText="bothSides">
              <wp:wrapPolygon edited="0">
                <wp:start x="0" y="0"/>
                <wp:lineTo x="0" y="21346"/>
                <wp:lineTo x="21473" y="21346"/>
                <wp:lineTo x="214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719" t="7388" r="16021" b="7269"/>
                    <a:stretch/>
                  </pic:blipFill>
                  <pic:spPr bwMode="auto">
                    <a:xfrm>
                      <a:off x="0" y="0"/>
                      <a:ext cx="3238500" cy="188912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0A19B4" w:rsidRDefault="00AC00FE" w:rsidP="000A19B4">
      <w:r>
        <w:t xml:space="preserve">EV.3 </w:t>
      </w:r>
    </w:p>
    <w:p w:rsidR="00AC00FE" w:rsidRDefault="00AC00FE" w:rsidP="000A19B4">
      <w:r>
        <w:rPr>
          <w:noProof/>
          <w:lang w:eastAsia="en-GB"/>
        </w:rPr>
        <w:drawing>
          <wp:anchor distT="0" distB="0" distL="114300" distR="114300" simplePos="0" relativeHeight="251663360" behindDoc="1" locked="0" layoutInCell="1" allowOverlap="1">
            <wp:simplePos x="0" y="0"/>
            <wp:positionH relativeFrom="margin">
              <wp:align>left</wp:align>
            </wp:positionH>
            <wp:positionV relativeFrom="paragraph">
              <wp:posOffset>4445</wp:posOffset>
            </wp:positionV>
            <wp:extent cx="4181475" cy="2221865"/>
            <wp:effectExtent l="0" t="0" r="9525" b="6985"/>
            <wp:wrapTight wrapText="bothSides">
              <wp:wrapPolygon edited="0">
                <wp:start x="0" y="0"/>
                <wp:lineTo x="0" y="21483"/>
                <wp:lineTo x="21551" y="21483"/>
                <wp:lineTo x="2155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2149" t="12738" r="15592" b="9561"/>
                    <a:stretch/>
                  </pic:blipFill>
                  <pic:spPr bwMode="auto">
                    <a:xfrm>
                      <a:off x="0" y="0"/>
                      <a:ext cx="4181475" cy="222186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0A19B4" w:rsidRDefault="000A19B4" w:rsidP="000A19B4"/>
    <w:p w:rsidR="000F4E2E" w:rsidRDefault="000F4E2E" w:rsidP="000A19B4"/>
    <w:p w:rsidR="000F4E2E" w:rsidRDefault="000F4E2E" w:rsidP="000A19B4"/>
    <w:p w:rsidR="000F4E2E" w:rsidRDefault="000F4E2E" w:rsidP="000A19B4"/>
    <w:p w:rsidR="000F4E2E" w:rsidRDefault="000F4E2E" w:rsidP="000A19B4"/>
    <w:p w:rsidR="000F4E2E" w:rsidRDefault="000F4E2E" w:rsidP="000A19B4"/>
    <w:p w:rsidR="000F4E2E" w:rsidRDefault="000F4E2E" w:rsidP="000A19B4"/>
    <w:p w:rsidR="000F4E2E" w:rsidRDefault="000F4E2E" w:rsidP="000A19B4"/>
    <w:p w:rsidR="000F4E2E" w:rsidRDefault="00AC00FE" w:rsidP="000A19B4">
      <w:r>
        <w:rPr>
          <w:noProof/>
          <w:lang w:eastAsia="en-GB"/>
        </w:rPr>
        <w:drawing>
          <wp:anchor distT="0" distB="0" distL="114300" distR="114300" simplePos="0" relativeHeight="251664384" behindDoc="1" locked="0" layoutInCell="1" allowOverlap="1">
            <wp:simplePos x="0" y="0"/>
            <wp:positionH relativeFrom="column">
              <wp:posOffset>590675</wp:posOffset>
            </wp:positionH>
            <wp:positionV relativeFrom="paragraph">
              <wp:posOffset>-48895</wp:posOffset>
            </wp:positionV>
            <wp:extent cx="4962525" cy="3412576"/>
            <wp:effectExtent l="0" t="0" r="0" b="0"/>
            <wp:wrapTight wrapText="bothSides">
              <wp:wrapPolygon edited="0">
                <wp:start x="0" y="0"/>
                <wp:lineTo x="0" y="21463"/>
                <wp:lineTo x="21476" y="21463"/>
                <wp:lineTo x="2147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6051" t="14776" r="18744" b="5485"/>
                    <a:stretch/>
                  </pic:blipFill>
                  <pic:spPr bwMode="auto">
                    <a:xfrm>
                      <a:off x="0" y="0"/>
                      <a:ext cx="4962525" cy="3412576"/>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t xml:space="preserve">EV.4 </w:t>
      </w:r>
    </w:p>
    <w:p w:rsidR="00AC00FE" w:rsidRDefault="00AC00FE" w:rsidP="000A19B4"/>
    <w:p w:rsidR="00AC00FE" w:rsidRDefault="00AC00FE" w:rsidP="000A19B4"/>
    <w:p w:rsidR="000F4E2E" w:rsidRDefault="000F4E2E" w:rsidP="000A19B4"/>
    <w:p w:rsidR="000F4E2E" w:rsidRDefault="000F4E2E" w:rsidP="000A19B4"/>
    <w:p w:rsidR="000F4E2E" w:rsidRDefault="000F4E2E" w:rsidP="000A19B4"/>
    <w:p w:rsidR="000F4E2E" w:rsidRDefault="000F4E2E" w:rsidP="000A19B4"/>
    <w:p w:rsidR="000F4E2E" w:rsidRDefault="000F4E2E" w:rsidP="000A19B4"/>
    <w:p w:rsidR="000F4E2E" w:rsidRDefault="000F4E2E" w:rsidP="000A19B4"/>
    <w:p w:rsidR="000F4E2E" w:rsidRDefault="000F4E2E" w:rsidP="000A19B4"/>
    <w:p w:rsidR="000F4E2E" w:rsidRDefault="000F4E2E" w:rsidP="000A19B4"/>
    <w:p w:rsidR="000F4E2E" w:rsidRDefault="000F4E2E" w:rsidP="000A19B4"/>
    <w:p w:rsidR="000F4E2E" w:rsidRDefault="00AC00FE" w:rsidP="000A19B4">
      <w:r>
        <w:t xml:space="preserve">EV.5 </w:t>
      </w:r>
    </w:p>
    <w:p w:rsidR="00AC00FE" w:rsidRDefault="00026A4C" w:rsidP="000A19B4">
      <w:r>
        <w:rPr>
          <w:noProof/>
          <w:lang w:eastAsia="en-GB"/>
        </w:rPr>
        <w:drawing>
          <wp:anchor distT="0" distB="0" distL="114300" distR="114300" simplePos="0" relativeHeight="251665408" behindDoc="1" locked="0" layoutInCell="1" allowOverlap="1">
            <wp:simplePos x="0" y="0"/>
            <wp:positionH relativeFrom="margin">
              <wp:align>center</wp:align>
            </wp:positionH>
            <wp:positionV relativeFrom="paragraph">
              <wp:posOffset>219075</wp:posOffset>
            </wp:positionV>
            <wp:extent cx="6956424" cy="2981325"/>
            <wp:effectExtent l="0" t="0" r="0" b="0"/>
            <wp:wrapTight wrapText="bothSides">
              <wp:wrapPolygon edited="0">
                <wp:start x="0" y="0"/>
                <wp:lineTo x="0" y="21393"/>
                <wp:lineTo x="21533" y="21393"/>
                <wp:lineTo x="2153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34250" t="34137" r="7567" b="21535"/>
                    <a:stretch/>
                  </pic:blipFill>
                  <pic:spPr bwMode="auto">
                    <a:xfrm>
                      <a:off x="0" y="0"/>
                      <a:ext cx="6956424" cy="298132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026A4C" w:rsidRDefault="00026A4C" w:rsidP="000A19B4"/>
    <w:p w:rsidR="00026A4C" w:rsidRDefault="00026A4C" w:rsidP="000A19B4"/>
    <w:p w:rsidR="003E05C9" w:rsidRDefault="003E05C9" w:rsidP="000A19B4"/>
    <w:p w:rsidR="003E05C9" w:rsidRDefault="00026A4C" w:rsidP="000A19B4">
      <w:r>
        <w:rPr>
          <w:noProof/>
          <w:lang w:eastAsia="en-GB"/>
        </w:rPr>
        <w:drawing>
          <wp:anchor distT="0" distB="0" distL="114300" distR="114300" simplePos="0" relativeHeight="251666432" behindDoc="1" locked="0" layoutInCell="1" allowOverlap="1">
            <wp:simplePos x="0" y="0"/>
            <wp:positionH relativeFrom="margin">
              <wp:posOffset>-635</wp:posOffset>
            </wp:positionH>
            <wp:positionV relativeFrom="paragraph">
              <wp:posOffset>296545</wp:posOffset>
            </wp:positionV>
            <wp:extent cx="6355715" cy="3495675"/>
            <wp:effectExtent l="0" t="0" r="6985" b="9525"/>
            <wp:wrapTight wrapText="bothSides">
              <wp:wrapPolygon edited="0">
                <wp:start x="259" y="0"/>
                <wp:lineTo x="259" y="21541"/>
                <wp:lineTo x="21559" y="21541"/>
                <wp:lineTo x="21559" y="0"/>
                <wp:lineTo x="259"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861" t="34441" r="49197" b="15045"/>
                    <a:stretch/>
                  </pic:blipFill>
                  <pic:spPr bwMode="auto">
                    <a:xfrm>
                      <a:off x="0" y="0"/>
                      <a:ext cx="6355715" cy="349567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sidR="003E05C9">
        <w:t xml:space="preserve">EV.6 </w:t>
      </w:r>
    </w:p>
    <w:p w:rsidR="003E05C9" w:rsidRDefault="003E05C9" w:rsidP="000A19B4"/>
    <w:p w:rsidR="003E05C9" w:rsidRDefault="003E05C9" w:rsidP="000A19B4"/>
    <w:p w:rsidR="00026A4C" w:rsidRDefault="00026A4C" w:rsidP="003E05C9"/>
    <w:p w:rsidR="00026A4C" w:rsidRDefault="00026A4C" w:rsidP="003E05C9"/>
    <w:p w:rsidR="00E621B9" w:rsidRDefault="00E621B9" w:rsidP="003E05C9"/>
    <w:p w:rsidR="00E621B9" w:rsidRDefault="00E621B9" w:rsidP="003E05C9"/>
    <w:p w:rsidR="00E621B9" w:rsidRDefault="00E621B9" w:rsidP="003E05C9"/>
    <w:p w:rsidR="00E621B9" w:rsidRDefault="00E621B9" w:rsidP="003E05C9"/>
    <w:p w:rsidR="00E621B9" w:rsidRDefault="00E621B9" w:rsidP="003E05C9"/>
    <w:p w:rsidR="00E621B9" w:rsidRDefault="00E621B9" w:rsidP="003E05C9"/>
    <w:p w:rsidR="00E621B9" w:rsidRDefault="00E621B9" w:rsidP="003E05C9"/>
    <w:p w:rsidR="00E621B9" w:rsidRDefault="00E621B9" w:rsidP="003E05C9"/>
    <w:p w:rsidR="00E621B9" w:rsidRDefault="00E621B9" w:rsidP="003E05C9"/>
    <w:p w:rsidR="00E621B9" w:rsidRDefault="00E621B9" w:rsidP="003E05C9"/>
    <w:p w:rsidR="00E621B9" w:rsidRDefault="00E621B9" w:rsidP="003E05C9"/>
    <w:p w:rsidR="00E621B9" w:rsidRDefault="00E621B9" w:rsidP="003E05C9"/>
    <w:p w:rsidR="00E621B9" w:rsidRDefault="00E621B9" w:rsidP="003E05C9"/>
    <w:p w:rsidR="00E621B9" w:rsidRDefault="00E621B9" w:rsidP="003E05C9"/>
    <w:p w:rsidR="003E05C9" w:rsidRDefault="00E621B9" w:rsidP="003E05C9">
      <w:r>
        <w:rPr>
          <w:noProof/>
          <w:lang w:eastAsia="en-GB"/>
        </w:rPr>
        <w:drawing>
          <wp:anchor distT="0" distB="0" distL="114300" distR="114300" simplePos="0" relativeHeight="251667456" behindDoc="1" locked="0" layoutInCell="1" allowOverlap="1">
            <wp:simplePos x="0" y="0"/>
            <wp:positionH relativeFrom="column">
              <wp:posOffset>581025</wp:posOffset>
            </wp:positionH>
            <wp:positionV relativeFrom="paragraph">
              <wp:posOffset>95250</wp:posOffset>
            </wp:positionV>
            <wp:extent cx="5038725" cy="3952875"/>
            <wp:effectExtent l="19050" t="0" r="9525" b="0"/>
            <wp:wrapTight wrapText="bothSides">
              <wp:wrapPolygon edited="0">
                <wp:start x="-82" y="0"/>
                <wp:lineTo x="-82" y="21548"/>
                <wp:lineTo x="21641" y="21548"/>
                <wp:lineTo x="21641" y="0"/>
                <wp:lineTo x="-82"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573" t="30085" r="57313" b="8798"/>
                    <a:stretch/>
                  </pic:blipFill>
                  <pic:spPr bwMode="auto">
                    <a:xfrm>
                      <a:off x="0" y="0"/>
                      <a:ext cx="5038725" cy="395287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sidR="003E05C9">
        <w:t>EV.7</w:t>
      </w:r>
    </w:p>
    <w:p w:rsidR="003E05C9" w:rsidRDefault="003E05C9" w:rsidP="003E05C9"/>
    <w:p w:rsidR="003E05C9" w:rsidRDefault="003E05C9" w:rsidP="003E05C9"/>
    <w:p w:rsidR="003E05C9" w:rsidRDefault="003E05C9" w:rsidP="003E05C9"/>
    <w:p w:rsidR="003E05C9" w:rsidRDefault="003E05C9" w:rsidP="003E05C9"/>
    <w:p w:rsidR="003E05C9" w:rsidRDefault="003E05C9" w:rsidP="003E05C9"/>
    <w:p w:rsidR="003E05C9" w:rsidRDefault="003E05C9" w:rsidP="003E05C9"/>
    <w:p w:rsidR="003E05C9" w:rsidRDefault="003E05C9" w:rsidP="003E05C9"/>
    <w:p w:rsidR="003E05C9" w:rsidRDefault="003E05C9" w:rsidP="003E05C9"/>
    <w:p w:rsidR="003E05C9" w:rsidRDefault="003E05C9" w:rsidP="003E05C9"/>
    <w:p w:rsidR="003E05C9" w:rsidRDefault="003E05C9" w:rsidP="003E05C9"/>
    <w:p w:rsidR="003E05C9" w:rsidRDefault="003E05C9" w:rsidP="003E05C9"/>
    <w:p w:rsidR="003E05C9" w:rsidRDefault="003E05C9" w:rsidP="003E05C9"/>
    <w:p w:rsidR="003E05C9" w:rsidRDefault="003E05C9" w:rsidP="003E05C9"/>
    <w:p w:rsidR="003E05C9" w:rsidRDefault="003E05C9" w:rsidP="003E05C9"/>
    <w:p w:rsidR="003E05C9" w:rsidRDefault="003E05C9" w:rsidP="003E05C9"/>
    <w:p w:rsidR="003E05C9" w:rsidRDefault="003E05C9" w:rsidP="003E05C9"/>
    <w:p w:rsidR="003E05C9" w:rsidRDefault="00026A4C" w:rsidP="003E05C9">
      <w:r>
        <w:t xml:space="preserve">EV.8 </w:t>
      </w:r>
    </w:p>
    <w:p w:rsidR="003E05C9" w:rsidRDefault="003E05C9" w:rsidP="003733DD"/>
    <w:p w:rsidR="003E05C9" w:rsidRDefault="003733DD" w:rsidP="003E05C9">
      <w:r w:rsidRPr="003733DD">
        <w:rPr>
          <w:noProof/>
          <w:lang w:eastAsia="en-GB"/>
        </w:rPr>
        <w:drawing>
          <wp:anchor distT="0" distB="0" distL="114300" distR="114300" simplePos="0" relativeHeight="251669504" behindDoc="0" locked="0" layoutInCell="1" allowOverlap="1">
            <wp:simplePos x="0" y="0"/>
            <wp:positionH relativeFrom="column">
              <wp:posOffset>0</wp:posOffset>
            </wp:positionH>
            <wp:positionV relativeFrom="paragraph">
              <wp:posOffset>40640</wp:posOffset>
            </wp:positionV>
            <wp:extent cx="6391275" cy="3088763"/>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391275" cy="3088763"/>
                    </a:xfrm>
                    <a:prstGeom prst="rect">
                      <a:avLst/>
                    </a:prstGeom>
                    <a:noFill/>
                    <a:ln>
                      <a:noFill/>
                    </a:ln>
                  </pic:spPr>
                </pic:pic>
              </a:graphicData>
            </a:graphic>
          </wp:anchor>
        </w:drawing>
      </w:r>
    </w:p>
    <w:p w:rsidR="003E05C9" w:rsidRDefault="003E05C9" w:rsidP="003E05C9"/>
    <w:p w:rsidR="003E05C9" w:rsidRDefault="003E05C9" w:rsidP="003E05C9"/>
    <w:p w:rsidR="003E05C9" w:rsidRDefault="003E05C9" w:rsidP="003E05C9"/>
    <w:p w:rsidR="003E05C9" w:rsidRDefault="003E05C9" w:rsidP="003E05C9"/>
    <w:p w:rsidR="003E05C9" w:rsidRDefault="003E05C9" w:rsidP="003E05C9"/>
    <w:p w:rsidR="003E05C9" w:rsidRDefault="003E05C9" w:rsidP="003E05C9"/>
    <w:p w:rsidR="003E05C9" w:rsidRDefault="003E05C9" w:rsidP="003E05C9"/>
    <w:p w:rsidR="003E05C9" w:rsidRDefault="003E05C9" w:rsidP="003E05C9"/>
    <w:p w:rsidR="003E05C9" w:rsidRDefault="003E05C9" w:rsidP="003E05C9"/>
    <w:p w:rsidR="003E05C9" w:rsidRDefault="003E05C9" w:rsidP="003E05C9"/>
    <w:p w:rsidR="003E05C9" w:rsidRDefault="003E05C9" w:rsidP="003E05C9"/>
    <w:p w:rsidR="000A19B4" w:rsidRDefault="000A19B4" w:rsidP="000A19B4">
      <w:pPr>
        <w:pStyle w:val="Heading1"/>
      </w:pPr>
      <w:bookmarkStart w:id="3" w:name="_Toc83649552"/>
      <w:r>
        <w:lastRenderedPageBreak/>
        <w:t>Learning Outcome 2</w:t>
      </w:r>
      <w:bookmarkEnd w:id="3"/>
      <w:r>
        <w:t xml:space="preserve"> </w:t>
      </w:r>
    </w:p>
    <w:p w:rsidR="000745B0" w:rsidRDefault="00CD1C61" w:rsidP="000A19B4">
      <w:r>
        <w:t xml:space="preserve">Line managers and HR need to work collaboratively as line managers are the ones who drive forward performance management on the ground. At Folly Farm line managers are supported by the HR in </w:t>
      </w:r>
      <w:r w:rsidR="000845E8">
        <w:t>several</w:t>
      </w:r>
      <w:r>
        <w:t xml:space="preserve"> different ways and within my own role I contribute to this. </w:t>
      </w:r>
      <w:r w:rsidR="000845E8">
        <w:t>HR can provide advice to line managers when performance issues are raised and how to best proceed to resolve this. H</w:t>
      </w:r>
      <w:r w:rsidR="00516F5A">
        <w:t>R</w:t>
      </w:r>
      <w:r w:rsidR="000845E8">
        <w:t xml:space="preserve"> also provide advice in terms of legislation and company policies to ensure everything is done fairly as they are impartial. </w:t>
      </w:r>
      <w:r w:rsidR="0051467C">
        <w:t xml:space="preserve">Line managers typically require more support when managing under performance compared to when providing praise when an individual is over performing, </w:t>
      </w:r>
      <w:r w:rsidR="00316676">
        <w:t xml:space="preserve">Solomon (2016) discusses that most mangers feel uncomfortable having conversations about poor </w:t>
      </w:r>
      <w:r w:rsidR="00174304">
        <w:t>performance,</w:t>
      </w:r>
      <w:r w:rsidR="00316676">
        <w:t xml:space="preserve"> but employees can sometimes benefit from this is feedback is honest and helpful rather than just being scolded. </w:t>
      </w:r>
      <w:r w:rsidR="00174304">
        <w:t>HR can support with this by providing skills for line managers and techniques for approaching challenging areas</w:t>
      </w:r>
      <w:r w:rsidR="000959C7">
        <w:t>, at Folly Farm this is typically done via informal discussion with line manager</w:t>
      </w:r>
      <w:r w:rsidR="000745B0">
        <w:t xml:space="preserve">s. </w:t>
      </w:r>
      <w:r w:rsidR="004765CB">
        <w:t xml:space="preserve">Providing relevant an appropriate support for line managers and specific training in dealing with performance issues are two of the biggest influential factors in improving employee performance according to </w:t>
      </w:r>
      <w:proofErr w:type="spellStart"/>
      <w:r w:rsidR="004765CB">
        <w:t>Xpert</w:t>
      </w:r>
      <w:proofErr w:type="spellEnd"/>
      <w:r w:rsidR="004765CB">
        <w:t xml:space="preserve"> HR (2020). </w:t>
      </w:r>
      <w:r w:rsidR="0018084F">
        <w:t xml:space="preserve"> </w:t>
      </w:r>
    </w:p>
    <w:p w:rsidR="00A636BA" w:rsidRDefault="000745B0" w:rsidP="000A19B4">
      <w:r>
        <w:t>Another area in which my role is used to support line mangers with performance management is by completing development plans for employees, this done jointly with a line manager and HR personnel, Involvement from HR helps support as it provides another point of view and can help forward plan how to develop individuals and tailor plans by identifying key areas for training (EV.</w:t>
      </w:r>
      <w:r w:rsidR="00026A4C">
        <w:t>9</w:t>
      </w:r>
      <w:r>
        <w:t xml:space="preserve">) this allows line managers who know their teams best to communicate with HR and then the HR department can outline potential courses which may be beneficial and can strategies and develop the team in different directions.  Sharma (2019) discusses that by giving member of a team specialist skills or areas of responsibility, they take ownership and are more likely to perform well, this is the basis of the strategy at Folly Farm. </w:t>
      </w:r>
      <w:r w:rsidR="00A636BA">
        <w:t>Due to the nature of the business and some contracts short and seasonal not all employees will get</w:t>
      </w:r>
      <w:r w:rsidR="00A602C2">
        <w:t xml:space="preserve"> </w:t>
      </w:r>
      <w:r w:rsidR="00A636BA">
        <w:t>a development plan due to time constraints, however all employees will get an appraisal, with seasonal staff having their at the end of the contracted period, permanent appraisals are done by li</w:t>
      </w:r>
      <w:r w:rsidR="00A602C2">
        <w:t>ne</w:t>
      </w:r>
      <w:r w:rsidR="00A636BA">
        <w:t xml:space="preserve"> manager and HR but seasonal are d</w:t>
      </w:r>
      <w:r w:rsidR="00D96A35">
        <w:t>elivered and written</w:t>
      </w:r>
      <w:r w:rsidR="00A636BA">
        <w:t xml:space="preserve"> solely by HR</w:t>
      </w:r>
      <w:r w:rsidR="00D96A35">
        <w:t>, this is a large part of my role</w:t>
      </w:r>
      <w:r w:rsidR="00A602C2">
        <w:t xml:space="preserve"> (EV.</w:t>
      </w:r>
      <w:r w:rsidR="00026A4C">
        <w:t>10</w:t>
      </w:r>
      <w:r w:rsidR="00A602C2">
        <w:t>)</w:t>
      </w:r>
      <w:r w:rsidR="00A636BA">
        <w:t xml:space="preserve"> </w:t>
      </w:r>
      <w:r w:rsidR="00D96A35">
        <w:t xml:space="preserve">and </w:t>
      </w:r>
      <w:r w:rsidR="00A636BA">
        <w:t xml:space="preserve">this is due to time constraints but as part of my role I will gather feedback on individuals and take this into account when delivering appraisals and provide manger comments to employees. </w:t>
      </w:r>
      <w:r w:rsidR="002C72B9">
        <w:t>HR support line managers with appraisals and regularly sit in to ensure consistency and to provide feedback to management on how they deliver appraisals and the best way to ensure it is a two way process and focused on strengths, this is also discusses by the CIPD (2020) who highlight a strengths focused approach to be most beneficial as it doesn’t leave an employee deflated in the way traditional employee appraisals would, the approach focuses on asking questions, listening and providing feedback and this is adopted into Folly Farm appraisals. Folly Farm also links the appraisal back to the company mission of exceeding expectations and acting in li</w:t>
      </w:r>
      <w:r w:rsidR="00695031">
        <w:t>ne</w:t>
      </w:r>
      <w:r w:rsidR="002C72B9">
        <w:t xml:space="preserve"> with the core FAMILY standards (EV.</w:t>
      </w:r>
      <w:r w:rsidR="00026A4C">
        <w:t>11</w:t>
      </w:r>
      <w:r w:rsidR="002C72B9">
        <w:t xml:space="preserve">) which is another opportunity to link the company goal to that of the business thus enhancing the overall link with performance. </w:t>
      </w:r>
    </w:p>
    <w:p w:rsidR="009434A1" w:rsidRDefault="007E00F4" w:rsidP="000A19B4">
      <w:r>
        <w:t xml:space="preserve">Another area line </w:t>
      </w:r>
      <w:r w:rsidR="00626C74">
        <w:t>managers</w:t>
      </w:r>
      <w:r>
        <w:t xml:space="preserve"> are supported at Folly Farm is with the company ambassador scheme and coaching processes, these can be used to drive performance and build strong working relationships as employees learn from their colleagues or line managers and share knowledge, it is also a large part of learning and development, (CIPD 2021). </w:t>
      </w:r>
      <w:r w:rsidR="00C82361">
        <w:t xml:space="preserve"> Ibarra and Scoular (2019) Discuss that if coaching is done right, it can really elevate an individual’s performance, and this will have a knock-on impact and lead to a high achieving team. This is a newly adopted process at Folly Farm and thus </w:t>
      </w:r>
      <w:r w:rsidR="00AE7DF6">
        <w:t>n</w:t>
      </w:r>
      <w:r>
        <w:t xml:space="preserve">ot all managers feel comfortable in this setting and HR is key to supporting and providing the knowledge and tools for this to be a success, this is an ongoing process </w:t>
      </w:r>
      <w:r w:rsidR="00C82361">
        <w:t>within the organisation</w:t>
      </w:r>
      <w:r>
        <w:t xml:space="preserve"> and within my role I have developed and delivered a session on coaching skills for line mangers (EV.1</w:t>
      </w:r>
      <w:r w:rsidR="00026A4C">
        <w:t>2)</w:t>
      </w:r>
      <w:r>
        <w:t xml:space="preserve">. </w:t>
      </w:r>
      <w:r w:rsidR="00AE7DF6">
        <w:t xml:space="preserve"> This strategy has been implemented by HR but requires the backing of line managers as they are the ones driving it forward, approaching performance issues from a coaching perspective can be beneficial especially as line manger soften already have the trust of employees, (Mosley 2020).</w:t>
      </w:r>
    </w:p>
    <w:p w:rsidR="00793296" w:rsidRDefault="00793296" w:rsidP="000A19B4">
      <w:r>
        <w:t>Within my role I also provide support and work closely with line managers when issues arise, this can be through providing advi</w:t>
      </w:r>
      <w:r w:rsidR="000377D2">
        <w:t>c</w:t>
      </w:r>
      <w:r>
        <w:t xml:space="preserve">e and guidance or by sitting in on personal meetings addressing performance concerns. </w:t>
      </w:r>
      <w:r w:rsidR="000377D2">
        <w:t>This is an ongoing area of performance management which occurs as and when performance issues arise</w:t>
      </w:r>
      <w:r w:rsidR="00C20B4F">
        <w:t>, typically examples include absence</w:t>
      </w:r>
      <w:r w:rsidR="004765CB">
        <w:t>, timekeeping, customer service. On</w:t>
      </w:r>
      <w:r>
        <w:t xml:space="preserve"> occasion line </w:t>
      </w:r>
      <w:r w:rsidR="00E621B9">
        <w:t>managers</w:t>
      </w:r>
      <w:r>
        <w:t xml:space="preserve"> can address a performance issue and </w:t>
      </w:r>
      <w:r>
        <w:lastRenderedPageBreak/>
        <w:t xml:space="preserve">then not follow it up so often support is provided with following up </w:t>
      </w:r>
      <w:r w:rsidR="000377D2">
        <w:t>and ensuring targets are actioned for example (EV.1</w:t>
      </w:r>
      <w:r w:rsidR="00026A4C">
        <w:t>3</w:t>
      </w:r>
      <w:r w:rsidR="000377D2">
        <w:t>)</w:t>
      </w:r>
      <w:r w:rsidR="0018084F">
        <w:t>.</w:t>
      </w:r>
      <w:r w:rsidR="000377D2">
        <w:t xml:space="preserve"> </w:t>
      </w:r>
    </w:p>
    <w:p w:rsidR="0018084F" w:rsidRDefault="0018084F" w:rsidP="000A19B4">
      <w:r w:rsidRPr="0018084F">
        <w:t xml:space="preserve">Collaboratively working with line managers and assisting them with performance issues is a large part of my role at Folly Farm as evidenced in a statement from a line manager within the operations department, </w:t>
      </w:r>
      <w:r>
        <w:t xml:space="preserve">highlighting advice given, supporting with performance reviews and developing skills via coaching </w:t>
      </w:r>
      <w:r w:rsidR="00026A4C">
        <w:t>sessions (</w:t>
      </w:r>
      <w:r w:rsidRPr="0018084F">
        <w:t>EV</w:t>
      </w:r>
      <w:r w:rsidR="00026A4C">
        <w:t>.14</w:t>
      </w:r>
      <w:r w:rsidRPr="0018084F">
        <w:t>).</w:t>
      </w:r>
    </w:p>
    <w:p w:rsidR="00D27D22" w:rsidRDefault="00D27D22" w:rsidP="000A19B4"/>
    <w:p w:rsidR="00695031" w:rsidRDefault="00695031" w:rsidP="000A19B4"/>
    <w:p w:rsidR="007E5892" w:rsidRDefault="007E5892" w:rsidP="000A19B4"/>
    <w:p w:rsidR="00116782" w:rsidRDefault="00116782"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F4E2E" w:rsidRDefault="000F4E2E" w:rsidP="000A19B4"/>
    <w:p w:rsidR="000F4E2E" w:rsidRDefault="000F4E2E" w:rsidP="000A19B4"/>
    <w:p w:rsidR="000F4E2E" w:rsidRDefault="000F4E2E" w:rsidP="000A19B4"/>
    <w:p w:rsidR="000F4E2E" w:rsidRDefault="000F4E2E"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5A0787" w:rsidP="005A0787">
      <w:pPr>
        <w:pStyle w:val="Heading1"/>
      </w:pPr>
      <w:bookmarkStart w:id="4" w:name="_Toc83649553"/>
      <w:r>
        <w:lastRenderedPageBreak/>
        <w:t>Evidence</w:t>
      </w:r>
      <w:bookmarkEnd w:id="4"/>
      <w:r>
        <w:t xml:space="preserve"> </w:t>
      </w:r>
    </w:p>
    <w:p w:rsidR="000A19B4" w:rsidRDefault="00DE464A" w:rsidP="000A19B4">
      <w:r w:rsidRPr="00DE464A">
        <w:rPr>
          <w:noProof/>
          <w:lang w:eastAsia="en-GB"/>
        </w:rPr>
        <w:drawing>
          <wp:anchor distT="0" distB="0" distL="114300" distR="114300" simplePos="0" relativeHeight="251671552" behindDoc="1" locked="0" layoutInCell="1" allowOverlap="1">
            <wp:simplePos x="0" y="0"/>
            <wp:positionH relativeFrom="column">
              <wp:posOffset>-635</wp:posOffset>
            </wp:positionH>
            <wp:positionV relativeFrom="paragraph">
              <wp:posOffset>284480</wp:posOffset>
            </wp:positionV>
            <wp:extent cx="5343525" cy="3669030"/>
            <wp:effectExtent l="0" t="0" r="9525" b="7620"/>
            <wp:wrapTight wrapText="bothSides">
              <wp:wrapPolygon edited="0">
                <wp:start x="0" y="0"/>
                <wp:lineTo x="0" y="21533"/>
                <wp:lineTo x="21561" y="21533"/>
                <wp:lineTo x="2156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43525" cy="3669030"/>
                    </a:xfrm>
                    <a:prstGeom prst="rect">
                      <a:avLst/>
                    </a:prstGeom>
                    <a:noFill/>
                    <a:ln>
                      <a:noFill/>
                    </a:ln>
                  </pic:spPr>
                </pic:pic>
              </a:graphicData>
            </a:graphic>
          </wp:anchor>
        </w:drawing>
      </w:r>
      <w:r>
        <w:t xml:space="preserve">EV.9 </w:t>
      </w:r>
    </w:p>
    <w:p w:rsidR="00DE464A" w:rsidRDefault="00DE464A" w:rsidP="000A19B4"/>
    <w:p w:rsidR="000A19B4" w:rsidRDefault="000A19B4" w:rsidP="000A19B4"/>
    <w:p w:rsidR="000A19B4" w:rsidRDefault="000A19B4" w:rsidP="000A19B4"/>
    <w:p w:rsidR="000A19B4" w:rsidRDefault="000A19B4" w:rsidP="000A19B4"/>
    <w:p w:rsidR="000A19B4" w:rsidRDefault="000A19B4" w:rsidP="000A19B4"/>
    <w:p w:rsidR="005A0787" w:rsidRDefault="005A0787" w:rsidP="000A19B4"/>
    <w:p w:rsidR="005A0787" w:rsidRDefault="005A0787" w:rsidP="000A19B4"/>
    <w:p w:rsidR="005A0787" w:rsidRDefault="005A0787" w:rsidP="000A19B4"/>
    <w:p w:rsidR="005A0787" w:rsidRDefault="005A0787" w:rsidP="000A19B4"/>
    <w:p w:rsidR="005A0787" w:rsidRDefault="005A0787" w:rsidP="000A19B4"/>
    <w:p w:rsidR="005A0787" w:rsidRDefault="005A0787" w:rsidP="000A19B4"/>
    <w:p w:rsidR="005A0787" w:rsidRDefault="005A0787" w:rsidP="000A19B4"/>
    <w:p w:rsidR="005A0787" w:rsidRDefault="005A0787" w:rsidP="000A19B4"/>
    <w:p w:rsidR="005A0787" w:rsidRDefault="005A0787" w:rsidP="000A19B4"/>
    <w:p w:rsidR="005A0787" w:rsidRDefault="002A490B" w:rsidP="000A19B4">
      <w:r w:rsidRPr="002A490B">
        <w:rPr>
          <w:noProof/>
          <w:lang w:eastAsia="en-GB"/>
        </w:rPr>
        <w:drawing>
          <wp:anchor distT="0" distB="0" distL="114300" distR="114300" simplePos="0" relativeHeight="251673600" behindDoc="1" locked="0" layoutInCell="1" allowOverlap="1">
            <wp:simplePos x="0" y="0"/>
            <wp:positionH relativeFrom="column">
              <wp:posOffset>456565</wp:posOffset>
            </wp:positionH>
            <wp:positionV relativeFrom="paragraph">
              <wp:posOffset>-29845</wp:posOffset>
            </wp:positionV>
            <wp:extent cx="5624195" cy="4919345"/>
            <wp:effectExtent l="0" t="0" r="0" b="0"/>
            <wp:wrapTight wrapText="bothSides">
              <wp:wrapPolygon edited="0">
                <wp:start x="0" y="0"/>
                <wp:lineTo x="0" y="21497"/>
                <wp:lineTo x="21510" y="21497"/>
                <wp:lineTo x="2151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24195" cy="4919345"/>
                    </a:xfrm>
                    <a:prstGeom prst="rect">
                      <a:avLst/>
                    </a:prstGeom>
                    <a:noFill/>
                    <a:ln>
                      <a:noFill/>
                    </a:ln>
                  </pic:spPr>
                </pic:pic>
              </a:graphicData>
            </a:graphic>
          </wp:anchor>
        </w:drawing>
      </w:r>
      <w:r w:rsidR="00DE464A">
        <w:t xml:space="preserve">EV.10 </w:t>
      </w:r>
    </w:p>
    <w:p w:rsidR="005A0787" w:rsidRDefault="005A0787" w:rsidP="000A19B4"/>
    <w:p w:rsidR="005A0787" w:rsidRDefault="005A0787" w:rsidP="000A19B4"/>
    <w:p w:rsidR="005A0787" w:rsidRDefault="005A0787" w:rsidP="000A19B4"/>
    <w:p w:rsidR="005A0787" w:rsidRDefault="005A0787" w:rsidP="000A19B4"/>
    <w:p w:rsidR="005A0787" w:rsidRDefault="005A0787" w:rsidP="000A19B4"/>
    <w:p w:rsidR="005A0787" w:rsidRDefault="005A0787" w:rsidP="000A19B4"/>
    <w:p w:rsidR="005A0787" w:rsidRDefault="005A0787" w:rsidP="000A19B4"/>
    <w:p w:rsidR="005A0787" w:rsidRDefault="005A0787" w:rsidP="000A19B4"/>
    <w:p w:rsidR="005A0787" w:rsidRDefault="005A0787" w:rsidP="000A19B4"/>
    <w:p w:rsidR="005A0787" w:rsidRDefault="005A0787" w:rsidP="000A19B4"/>
    <w:p w:rsidR="005A0787" w:rsidRDefault="005A0787"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2A490B" w:rsidRDefault="002A490B" w:rsidP="000A19B4">
      <w:r>
        <w:lastRenderedPageBreak/>
        <w:t xml:space="preserve">EV.11 </w:t>
      </w:r>
    </w:p>
    <w:p w:rsidR="002A490B" w:rsidRDefault="002A490B" w:rsidP="000A19B4">
      <w:r w:rsidRPr="002A490B">
        <w:rPr>
          <w:noProof/>
          <w:lang w:eastAsia="en-GB"/>
        </w:rPr>
        <w:drawing>
          <wp:anchor distT="0" distB="0" distL="114300" distR="114300" simplePos="0" relativeHeight="251675648" behindDoc="1" locked="0" layoutInCell="1" allowOverlap="1">
            <wp:simplePos x="0" y="0"/>
            <wp:positionH relativeFrom="column">
              <wp:posOffset>57150</wp:posOffset>
            </wp:positionH>
            <wp:positionV relativeFrom="paragraph">
              <wp:posOffset>28575</wp:posOffset>
            </wp:positionV>
            <wp:extent cx="5941060" cy="974725"/>
            <wp:effectExtent l="0" t="0" r="2540" b="0"/>
            <wp:wrapTight wrapText="bothSides">
              <wp:wrapPolygon edited="0">
                <wp:start x="0" y="0"/>
                <wp:lineTo x="0" y="21107"/>
                <wp:lineTo x="21540" y="21107"/>
                <wp:lineTo x="2154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1060" cy="974725"/>
                    </a:xfrm>
                    <a:prstGeom prst="rect">
                      <a:avLst/>
                    </a:prstGeom>
                    <a:noFill/>
                    <a:ln>
                      <a:noFill/>
                    </a:ln>
                  </pic:spPr>
                </pic:pic>
              </a:graphicData>
            </a:graphic>
          </wp:anchor>
        </w:drawing>
      </w:r>
    </w:p>
    <w:p w:rsidR="002A490B" w:rsidRDefault="002A490B" w:rsidP="000A19B4"/>
    <w:p w:rsidR="002A490B" w:rsidRDefault="002A490B" w:rsidP="002A490B"/>
    <w:p w:rsidR="002A490B" w:rsidRDefault="002A490B" w:rsidP="002A490B"/>
    <w:p w:rsidR="002A490B" w:rsidRDefault="002A490B" w:rsidP="002A490B"/>
    <w:p w:rsidR="002A490B" w:rsidRDefault="002A490B" w:rsidP="002A490B"/>
    <w:p w:rsidR="002A490B" w:rsidRDefault="002A490B" w:rsidP="002A490B">
      <w:r>
        <w:rPr>
          <w:noProof/>
          <w:lang w:eastAsia="en-GB"/>
        </w:rPr>
        <w:drawing>
          <wp:anchor distT="0" distB="0" distL="114300" distR="114300" simplePos="0" relativeHeight="251676672" behindDoc="1" locked="0" layoutInCell="1" allowOverlap="1">
            <wp:simplePos x="0" y="0"/>
            <wp:positionH relativeFrom="column">
              <wp:posOffset>0</wp:posOffset>
            </wp:positionH>
            <wp:positionV relativeFrom="page">
              <wp:posOffset>2743200</wp:posOffset>
            </wp:positionV>
            <wp:extent cx="5998210" cy="3225165"/>
            <wp:effectExtent l="0" t="0" r="2540" b="0"/>
            <wp:wrapTight wrapText="bothSides">
              <wp:wrapPolygon edited="0">
                <wp:start x="0" y="0"/>
                <wp:lineTo x="0" y="21434"/>
                <wp:lineTo x="21541" y="21434"/>
                <wp:lineTo x="2154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98210" cy="3225165"/>
                    </a:xfrm>
                    <a:prstGeom prst="rect">
                      <a:avLst/>
                    </a:prstGeom>
                    <a:noFill/>
                  </pic:spPr>
                </pic:pic>
              </a:graphicData>
            </a:graphic>
          </wp:anchor>
        </w:drawing>
      </w:r>
      <w:r>
        <w:t>EV.12</w:t>
      </w:r>
    </w:p>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r w:rsidRPr="002A490B">
        <w:rPr>
          <w:noProof/>
          <w:lang w:eastAsia="en-GB"/>
        </w:rPr>
        <w:drawing>
          <wp:anchor distT="0" distB="0" distL="114300" distR="114300" simplePos="0" relativeHeight="251678720" behindDoc="1" locked="0" layoutInCell="1" allowOverlap="1">
            <wp:simplePos x="0" y="0"/>
            <wp:positionH relativeFrom="column">
              <wp:posOffset>581025</wp:posOffset>
            </wp:positionH>
            <wp:positionV relativeFrom="paragraph">
              <wp:posOffset>-160020</wp:posOffset>
            </wp:positionV>
            <wp:extent cx="5343525" cy="3603625"/>
            <wp:effectExtent l="0" t="0" r="9525" b="0"/>
            <wp:wrapTight wrapText="bothSides">
              <wp:wrapPolygon edited="0">
                <wp:start x="0" y="0"/>
                <wp:lineTo x="0" y="21467"/>
                <wp:lineTo x="21561" y="21467"/>
                <wp:lineTo x="2156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43525" cy="3603625"/>
                    </a:xfrm>
                    <a:prstGeom prst="rect">
                      <a:avLst/>
                    </a:prstGeom>
                    <a:noFill/>
                    <a:ln>
                      <a:noFill/>
                    </a:ln>
                  </pic:spPr>
                </pic:pic>
              </a:graphicData>
            </a:graphic>
          </wp:anchor>
        </w:drawing>
      </w:r>
      <w:r>
        <w:t>EV.13</w:t>
      </w:r>
    </w:p>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F031D8" w:rsidP="002A490B">
      <w:r w:rsidRPr="00F031D8">
        <w:rPr>
          <w:noProof/>
          <w:lang w:eastAsia="en-GB"/>
        </w:rPr>
        <w:lastRenderedPageBreak/>
        <w:drawing>
          <wp:anchor distT="0" distB="0" distL="114300" distR="114300" simplePos="0" relativeHeight="251680768" behindDoc="0" locked="0" layoutInCell="1" allowOverlap="1">
            <wp:simplePos x="0" y="0"/>
            <wp:positionH relativeFrom="column">
              <wp:posOffset>0</wp:posOffset>
            </wp:positionH>
            <wp:positionV relativeFrom="paragraph">
              <wp:posOffset>285750</wp:posOffset>
            </wp:positionV>
            <wp:extent cx="5400675" cy="3823073"/>
            <wp:effectExtent l="0" t="0" r="0" b="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404734" cy="3825946"/>
                    </a:xfrm>
                    <a:prstGeom prst="rect">
                      <a:avLst/>
                    </a:prstGeom>
                    <a:noFill/>
                    <a:ln>
                      <a:noFill/>
                    </a:ln>
                  </pic:spPr>
                </pic:pic>
              </a:graphicData>
            </a:graphic>
          </wp:anchor>
        </w:drawing>
      </w:r>
      <w:r>
        <w:t xml:space="preserve">EV.14 </w:t>
      </w:r>
    </w:p>
    <w:p w:rsidR="00F031D8" w:rsidRDefault="00F031D8"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Default="002A490B" w:rsidP="002A490B"/>
    <w:p w:rsidR="002A490B" w:rsidRPr="002A490B" w:rsidRDefault="000A19B4" w:rsidP="002A490B">
      <w:pPr>
        <w:pStyle w:val="Heading1"/>
      </w:pPr>
      <w:bookmarkStart w:id="5" w:name="_Toc83649554"/>
      <w:r>
        <w:lastRenderedPageBreak/>
        <w:t>Learning Outcome 3</w:t>
      </w:r>
      <w:bookmarkEnd w:id="5"/>
      <w:r>
        <w:t xml:space="preserve"> </w:t>
      </w:r>
    </w:p>
    <w:p w:rsidR="0035495C" w:rsidRDefault="00A40A2B" w:rsidP="0035495C">
      <w:r>
        <w:t xml:space="preserve">Folly Farm adopts some of the key components of </w:t>
      </w:r>
      <w:r w:rsidR="003E4DAB">
        <w:t>high-performance</w:t>
      </w:r>
      <w:r>
        <w:t xml:space="preserve"> working including sophisticated recruitment processes, training, team approaches, grievance procedures, information sharing, appraisals, flexible working, (</w:t>
      </w:r>
      <w:proofErr w:type="spellStart"/>
      <w:r>
        <w:t>Marchington</w:t>
      </w:r>
      <w:proofErr w:type="spellEnd"/>
      <w:r>
        <w:t xml:space="preserve"> and Wilkinson 2012) and bases its strategy of individual and organisational performance around this. </w:t>
      </w:r>
      <w:r w:rsidR="009A1192">
        <w:t>The organisation has a strong recruitment process which uses group interviews for seasonal positions to encourages the strongest applicants, there are clear training policies in place and training and development opportunities are open to all employees with employees being encourages to bring forward any courses that peak their interest, team working is present across the whole organisation and being a family business the company culture also lends its self to information sharing as teams are on the smaller side, and appraisals take place for all</w:t>
      </w:r>
      <w:r w:rsidR="00EF0386">
        <w:t xml:space="preserve"> permanent </w:t>
      </w:r>
      <w:r w:rsidR="009A1192">
        <w:t xml:space="preserve"> staff annually although a slightly less in depth review is used for seasonal and student positions to reflect the length of contract.</w:t>
      </w:r>
      <w:r w:rsidR="00AB578C">
        <w:t xml:space="preserve"> </w:t>
      </w:r>
      <w:proofErr w:type="spellStart"/>
      <w:r w:rsidR="0035495C" w:rsidRPr="0035495C">
        <w:t>Chunling</w:t>
      </w:r>
      <w:proofErr w:type="spellEnd"/>
      <w:r w:rsidR="0035495C" w:rsidRPr="0035495C">
        <w:t xml:space="preserve">, </w:t>
      </w:r>
      <w:proofErr w:type="spellStart"/>
      <w:r w:rsidR="0035495C" w:rsidRPr="0035495C">
        <w:t>Anqi</w:t>
      </w:r>
      <w:proofErr w:type="spellEnd"/>
      <w:r w:rsidR="0035495C" w:rsidRPr="0035495C">
        <w:t xml:space="preserve"> and </w:t>
      </w:r>
      <w:proofErr w:type="spellStart"/>
      <w:r w:rsidR="0035495C" w:rsidRPr="0035495C">
        <w:t>Guoling</w:t>
      </w:r>
      <w:proofErr w:type="spellEnd"/>
      <w:r w:rsidR="0035495C" w:rsidRPr="0035495C">
        <w:t xml:space="preserve"> (2018) discus the competitive advantage that can be gained through implementing </w:t>
      </w:r>
      <w:r w:rsidR="0035495C">
        <w:t xml:space="preserve"> HPW </w:t>
      </w:r>
      <w:r w:rsidR="0035495C" w:rsidRPr="0035495C">
        <w:t>systems</w:t>
      </w:r>
      <w:r w:rsidR="0035495C">
        <w:t xml:space="preserve">, </w:t>
      </w:r>
      <w:r w:rsidR="0035495C" w:rsidRPr="0035495C">
        <w:t>an organisation can shape the attitudes and skills of its people and use this to achieve organisational goals</w:t>
      </w:r>
      <w:r w:rsidR="0035495C">
        <w:t>, this is the theory which Folly Farm is following, although due to its size and seasonality there is room for further exploration of HPW systems, for example job security is an area to be developed as this is likely to engage employees however it is challenging to implement this due to the amount of seasonal contracts in the business</w:t>
      </w:r>
      <w:r w:rsidR="00EF0386">
        <w:t xml:space="preserve">. When assessing the impact these measures have on the organisation it is evident that those on permanent contracts have a high length of service and remain committed to the organisation’s goals, whereas staff </w:t>
      </w:r>
      <w:r w:rsidR="00E621B9">
        <w:t>turnover</w:t>
      </w:r>
      <w:r w:rsidR="00EF0386">
        <w:t xml:space="preserve"> is high amongst seasonal staff which could be linked to job security and limited room for progression and developing skill sets. This can be a costly to the organisation and means each year there is a large amount of time and money spent on recruitment, training, inductions etc as a new team starts, it then takes time for a team </w:t>
      </w:r>
      <w:r w:rsidR="00FC0A9E">
        <w:t>to settle in</w:t>
      </w:r>
      <w:r w:rsidR="002723EA">
        <w:t xml:space="preserve"> and high staff turnover can project a negative brand image (Hall 2019). </w:t>
      </w:r>
      <w:r w:rsidR="00FC0A9E">
        <w:t>There is clearly room to improve the offering in terms of training and job security to rectify this issue</w:t>
      </w:r>
      <w:r w:rsidR="002723EA">
        <w:t xml:space="preserve">. </w:t>
      </w:r>
    </w:p>
    <w:p w:rsidR="008521BC" w:rsidRDefault="00DF7B4B" w:rsidP="0035495C">
      <w:r>
        <w:t xml:space="preserve">When </w:t>
      </w:r>
      <w:r w:rsidR="001F7301">
        <w:t xml:space="preserve">evaluating current performance management activities, discussions were held with departmental managers from </w:t>
      </w:r>
      <w:r w:rsidR="00D4673B">
        <w:t>Retail,</w:t>
      </w:r>
      <w:r w:rsidR="001F7301">
        <w:t xml:space="preserve"> Operations and Food &amp; Beverage to get </w:t>
      </w:r>
      <w:r w:rsidR="00E621B9">
        <w:t>feedback</w:t>
      </w:r>
      <w:r w:rsidR="001F7301">
        <w:t xml:space="preserve"> on how they found systems that were in place (E</w:t>
      </w:r>
      <w:r w:rsidR="00026A4C">
        <w:t>V.15</w:t>
      </w:r>
      <w:r w:rsidR="001F7301">
        <w:t xml:space="preserve">). </w:t>
      </w:r>
      <w:r w:rsidR="00D4673B">
        <w:t xml:space="preserve"> Generally speaking, the performance systems in place are adequate for the organisation, especially for permanent employees, seasonal employees is where challenges are present and this is largely due to time constraints and as their contracts run during the busiest times, often line managers focus on park operations rather than addressing performance, this means issues or reward and recognition aren’t delivered in a timely manner and they often lose their impact, this is an area that HR could support with and should re-enforce to line managers that the HR department is thee to assist and ensure issues are dealt with so they </w:t>
      </w:r>
      <w:r w:rsidR="00E621B9">
        <w:t>do</w:t>
      </w:r>
      <w:r w:rsidR="00D4673B">
        <w:t xml:space="preserve"> not have a lasting impact. </w:t>
      </w:r>
      <w:r w:rsidR="008521BC">
        <w:t>There appears to be a difference of opinion across departments with fault code systems working well in operations and food and beverage but less so in retail, this appears to be due to a smaller team, the retail team are smaller and there for line managers probably have more time for training and address</w:t>
      </w:r>
      <w:r w:rsidR="008D185A">
        <w:t xml:space="preserve"> issues quickly and thus the system is needed less</w:t>
      </w:r>
      <w:r w:rsidR="00AD74CE">
        <w:t xml:space="preserve">, Wang and </w:t>
      </w:r>
      <w:r w:rsidR="006E4065">
        <w:t>E</w:t>
      </w:r>
      <w:r w:rsidR="00AD74CE">
        <w:t xml:space="preserve">vans (2019) support this notion  with their research highlighting smaller teams tend to work better and form tighter bonds thus boosting other team members during times of underperformance. </w:t>
      </w:r>
    </w:p>
    <w:p w:rsidR="008D185A" w:rsidRDefault="008521BC" w:rsidP="0035495C">
      <w:r>
        <w:t>Training systems in place seem to work well and when given feedback surveys (EV</w:t>
      </w:r>
      <w:r w:rsidR="00026A4C">
        <w:t>.16</w:t>
      </w:r>
      <w:r>
        <w:t xml:space="preserve">) employees are given the opportunity to comment on training, support systems and moral. These results </w:t>
      </w:r>
      <w:r w:rsidR="00090B71">
        <w:t xml:space="preserve">showed </w:t>
      </w:r>
      <w:r>
        <w:t xml:space="preserve">training was rated highly, this allows employees to feel confident within their roles, moral and team were also highly rated and this appears to be of particular importance to seasonal and short-term staff as they are here for a short yet very busy period and a good working environment is important to them. </w:t>
      </w:r>
    </w:p>
    <w:p w:rsidR="008D185A" w:rsidRDefault="008D185A" w:rsidP="0035495C">
      <w:r>
        <w:t>After evaluating the performance management approaches within the organisation,</w:t>
      </w:r>
      <w:r w:rsidR="00621AF2">
        <w:t xml:space="preserve"> and taking into account the impacts of HPW</w:t>
      </w:r>
      <w:r>
        <w:t xml:space="preserve"> the following recommendations are proposed:</w:t>
      </w:r>
      <w:r w:rsidR="00D75EBC">
        <w:t xml:space="preserve"> </w:t>
      </w:r>
    </w:p>
    <w:p w:rsidR="00621AF2" w:rsidRDefault="00FB4458" w:rsidP="00621AF2">
      <w:pPr>
        <w:pStyle w:val="ListParagraph"/>
        <w:numPr>
          <w:ilvl w:val="0"/>
          <w:numId w:val="2"/>
        </w:numPr>
        <w:rPr>
          <w:rFonts w:asciiTheme="minorHAnsi" w:hAnsiTheme="minorHAnsi" w:cstheme="minorHAnsi"/>
        </w:rPr>
      </w:pPr>
      <w:r w:rsidRPr="00FB4458">
        <w:rPr>
          <w:rFonts w:asciiTheme="minorHAnsi" w:hAnsiTheme="minorHAnsi" w:cstheme="minorHAnsi"/>
        </w:rPr>
        <w:t xml:space="preserve">Continued focus on training - </w:t>
      </w:r>
      <w:r>
        <w:rPr>
          <w:rFonts w:asciiTheme="minorHAnsi" w:hAnsiTheme="minorHAnsi" w:cstheme="minorHAnsi"/>
        </w:rPr>
        <w:t xml:space="preserve">Training systems are working well and permanent staff do regularly request courses to </w:t>
      </w:r>
      <w:r w:rsidR="00E621B9">
        <w:rPr>
          <w:rFonts w:asciiTheme="minorHAnsi" w:hAnsiTheme="minorHAnsi" w:cstheme="minorHAnsi"/>
        </w:rPr>
        <w:t>up skill</w:t>
      </w:r>
      <w:r>
        <w:rPr>
          <w:rFonts w:asciiTheme="minorHAnsi" w:hAnsiTheme="minorHAnsi" w:cstheme="minorHAnsi"/>
        </w:rPr>
        <w:t xml:space="preserve"> and departmental training is generally well received however the focus should move to training seasonal staff to improve confidence and give them the knowledge and practice they need before entering peak period of operation. This could be done by starting seasonal staff a week earlier whilst the park is still closed to visitors and dedicating this time to </w:t>
      </w:r>
      <w:r>
        <w:rPr>
          <w:rFonts w:asciiTheme="minorHAnsi" w:hAnsiTheme="minorHAnsi" w:cstheme="minorHAnsi"/>
        </w:rPr>
        <w:lastRenderedPageBreak/>
        <w:t xml:space="preserve">training. </w:t>
      </w:r>
      <w:r w:rsidR="00552B0F">
        <w:rPr>
          <w:rFonts w:asciiTheme="minorHAnsi" w:hAnsiTheme="minorHAnsi" w:cstheme="minorHAnsi"/>
        </w:rPr>
        <w:t xml:space="preserve">Lancaster (2018) notes that training in its self is often seen as a reward and can boost employee performance and Folly Farm could benefit from this approach. </w:t>
      </w:r>
    </w:p>
    <w:p w:rsidR="00552B0F" w:rsidRDefault="00552B0F" w:rsidP="00552B0F">
      <w:pPr>
        <w:pStyle w:val="ListParagraph"/>
        <w:rPr>
          <w:rFonts w:asciiTheme="minorHAnsi" w:hAnsiTheme="minorHAnsi" w:cstheme="minorHAnsi"/>
        </w:rPr>
      </w:pPr>
    </w:p>
    <w:p w:rsidR="00552B0F" w:rsidRDefault="0073368F" w:rsidP="00621AF2">
      <w:pPr>
        <w:pStyle w:val="ListParagraph"/>
        <w:numPr>
          <w:ilvl w:val="0"/>
          <w:numId w:val="2"/>
        </w:numPr>
        <w:rPr>
          <w:rFonts w:asciiTheme="minorHAnsi" w:hAnsiTheme="minorHAnsi" w:cstheme="minorHAnsi"/>
        </w:rPr>
      </w:pPr>
      <w:r>
        <w:rPr>
          <w:rFonts w:asciiTheme="minorHAnsi" w:hAnsiTheme="minorHAnsi" w:cstheme="minorHAnsi"/>
        </w:rPr>
        <w:t xml:space="preserve">Performance-related pay – CIPD (2020) state that this is a reliable way to boost performance and linking performance to pay can benefit an organisation as long as it is done fairly.  With seasonal contracts making up a large percentage of the work force at Folly Farm, financial motivation is likely to have a stronger impact than training opportunities and the organisation could implement performance-based pay, considerations must be made to ensure this is fair and follows appropriate guidelines. </w:t>
      </w:r>
    </w:p>
    <w:p w:rsidR="0073368F" w:rsidRPr="0073368F" w:rsidRDefault="0073368F" w:rsidP="0073368F">
      <w:pPr>
        <w:pStyle w:val="ListParagraph"/>
        <w:rPr>
          <w:rFonts w:asciiTheme="minorHAnsi" w:hAnsiTheme="minorHAnsi" w:cstheme="minorHAnsi"/>
        </w:rPr>
      </w:pPr>
    </w:p>
    <w:p w:rsidR="0073368F" w:rsidRPr="00FB4458" w:rsidRDefault="0073368F" w:rsidP="00621AF2">
      <w:pPr>
        <w:pStyle w:val="ListParagraph"/>
        <w:numPr>
          <w:ilvl w:val="0"/>
          <w:numId w:val="2"/>
        </w:numPr>
        <w:rPr>
          <w:rFonts w:asciiTheme="minorHAnsi" w:hAnsiTheme="minorHAnsi" w:cstheme="minorHAnsi"/>
        </w:rPr>
      </w:pPr>
      <w:r>
        <w:rPr>
          <w:rFonts w:asciiTheme="minorHAnsi" w:hAnsiTheme="minorHAnsi" w:cstheme="minorHAnsi"/>
        </w:rPr>
        <w:t xml:space="preserve">Appraisals – current appraisals work well, particularly for permanent staff. Seasonal staff do get an appraisal however this is done towards the end of the season, which is also typically the busiest time for the organisation, this means sometimes not all seasonal staff will get their review before their contract ends. Bringing this forward could benefit the organisation and instead of viewing the process as a roundup of performance at the end of the contract these could be done earlier in the season and meaningful targets and development plans could be </w:t>
      </w:r>
      <w:r w:rsidR="00E621B9">
        <w:rPr>
          <w:rFonts w:asciiTheme="minorHAnsi" w:hAnsiTheme="minorHAnsi" w:cstheme="minorHAnsi"/>
        </w:rPr>
        <w:t>put</w:t>
      </w:r>
      <w:r>
        <w:rPr>
          <w:rFonts w:asciiTheme="minorHAnsi" w:hAnsiTheme="minorHAnsi" w:cstheme="minorHAnsi"/>
        </w:rPr>
        <w:t xml:space="preserve"> in place and then a shorter review on how these have been met could be carried out towards the end. </w:t>
      </w:r>
    </w:p>
    <w:p w:rsidR="00D75EBC" w:rsidRDefault="00D75EBC" w:rsidP="0035495C"/>
    <w:p w:rsidR="008D185A" w:rsidRDefault="008D185A" w:rsidP="0035495C"/>
    <w:p w:rsidR="008D185A" w:rsidRDefault="008D185A" w:rsidP="0035495C"/>
    <w:p w:rsidR="008D185A" w:rsidRDefault="008D185A" w:rsidP="0035495C"/>
    <w:p w:rsidR="0061153A" w:rsidRDefault="0061153A" w:rsidP="0035495C"/>
    <w:p w:rsidR="0061153A" w:rsidRPr="0035495C" w:rsidRDefault="0061153A" w:rsidP="0035495C"/>
    <w:p w:rsidR="00A40A2B" w:rsidRDefault="00A40A2B"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73368F" w:rsidP="0073368F">
      <w:pPr>
        <w:pStyle w:val="Heading1"/>
      </w:pPr>
      <w:bookmarkStart w:id="6" w:name="_Toc83649555"/>
      <w:r>
        <w:lastRenderedPageBreak/>
        <w:t>Evidence</w:t>
      </w:r>
      <w:bookmarkEnd w:id="6"/>
      <w:r>
        <w:t xml:space="preserve"> </w:t>
      </w:r>
    </w:p>
    <w:p w:rsidR="000A19B4" w:rsidRDefault="00E234C1" w:rsidP="000A19B4">
      <w:r w:rsidRPr="00E234C1">
        <w:rPr>
          <w:noProof/>
          <w:lang w:eastAsia="en-GB"/>
        </w:rPr>
        <w:drawing>
          <wp:anchor distT="0" distB="0" distL="114300" distR="114300" simplePos="0" relativeHeight="251682816" behindDoc="1" locked="0" layoutInCell="1" allowOverlap="1">
            <wp:simplePos x="0" y="0"/>
            <wp:positionH relativeFrom="column">
              <wp:posOffset>0</wp:posOffset>
            </wp:positionH>
            <wp:positionV relativeFrom="paragraph">
              <wp:posOffset>217805</wp:posOffset>
            </wp:positionV>
            <wp:extent cx="5941060" cy="5966460"/>
            <wp:effectExtent l="0" t="0" r="2540" b="0"/>
            <wp:wrapTight wrapText="bothSides">
              <wp:wrapPolygon edited="0">
                <wp:start x="0" y="0"/>
                <wp:lineTo x="0" y="21517"/>
                <wp:lineTo x="21540" y="21517"/>
                <wp:lineTo x="2154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1060" cy="5966460"/>
                    </a:xfrm>
                    <a:prstGeom prst="rect">
                      <a:avLst/>
                    </a:prstGeom>
                    <a:noFill/>
                    <a:ln>
                      <a:noFill/>
                    </a:ln>
                  </pic:spPr>
                </pic:pic>
              </a:graphicData>
            </a:graphic>
          </wp:anchor>
        </w:drawing>
      </w:r>
      <w:r>
        <w:t xml:space="preserve">EV.15 </w:t>
      </w:r>
    </w:p>
    <w:p w:rsidR="00E234C1" w:rsidRDefault="00E234C1"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E234C1" w:rsidRDefault="00E234C1" w:rsidP="000A19B4"/>
    <w:p w:rsidR="00E234C1" w:rsidRDefault="00E234C1" w:rsidP="000A19B4"/>
    <w:p w:rsidR="00E234C1" w:rsidRDefault="00E234C1" w:rsidP="000A19B4"/>
    <w:p w:rsidR="00E234C1" w:rsidRDefault="00E234C1" w:rsidP="000A19B4"/>
    <w:p w:rsidR="00E234C1" w:rsidRDefault="00E234C1" w:rsidP="000A19B4"/>
    <w:p w:rsidR="00E234C1" w:rsidRDefault="00E234C1" w:rsidP="000A19B4"/>
    <w:p w:rsidR="00E234C1" w:rsidRDefault="00E234C1" w:rsidP="000A19B4"/>
    <w:p w:rsidR="00E234C1" w:rsidRDefault="00E234C1" w:rsidP="000A19B4"/>
    <w:p w:rsidR="00E234C1" w:rsidRDefault="006115E8" w:rsidP="000A19B4">
      <w:r w:rsidRPr="006115E8">
        <w:rPr>
          <w:noProof/>
          <w:lang w:eastAsia="en-GB"/>
        </w:rPr>
        <w:drawing>
          <wp:anchor distT="0" distB="0" distL="114300" distR="114300" simplePos="0" relativeHeight="251684864" behindDoc="1" locked="0" layoutInCell="1" allowOverlap="1">
            <wp:simplePos x="0" y="0"/>
            <wp:positionH relativeFrom="column">
              <wp:posOffset>762000</wp:posOffset>
            </wp:positionH>
            <wp:positionV relativeFrom="paragraph">
              <wp:posOffset>-62230</wp:posOffset>
            </wp:positionV>
            <wp:extent cx="4724400" cy="2952750"/>
            <wp:effectExtent l="0" t="0" r="0" b="0"/>
            <wp:wrapTight wrapText="bothSides">
              <wp:wrapPolygon edited="0">
                <wp:start x="0" y="0"/>
                <wp:lineTo x="0" y="21461"/>
                <wp:lineTo x="21513" y="21461"/>
                <wp:lineTo x="2151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24400" cy="2952750"/>
                    </a:xfrm>
                    <a:prstGeom prst="rect">
                      <a:avLst/>
                    </a:prstGeom>
                    <a:noFill/>
                    <a:ln>
                      <a:noFill/>
                    </a:ln>
                  </pic:spPr>
                </pic:pic>
              </a:graphicData>
            </a:graphic>
          </wp:anchor>
        </w:drawing>
      </w:r>
      <w:r w:rsidR="00E234C1">
        <w:t xml:space="preserve">EV.16 </w:t>
      </w:r>
    </w:p>
    <w:p w:rsidR="00E234C1" w:rsidRDefault="00E234C1" w:rsidP="000A19B4"/>
    <w:p w:rsidR="00E234C1" w:rsidRDefault="00E234C1" w:rsidP="000A19B4"/>
    <w:p w:rsidR="00E234C1" w:rsidRDefault="00E234C1" w:rsidP="000A19B4"/>
    <w:p w:rsidR="00E234C1" w:rsidRDefault="00E234C1" w:rsidP="000A19B4"/>
    <w:p w:rsidR="00E234C1" w:rsidRDefault="00E234C1" w:rsidP="000A19B4"/>
    <w:p w:rsidR="000A19B4" w:rsidRDefault="000A19B4" w:rsidP="000A19B4"/>
    <w:p w:rsidR="000A19B4" w:rsidRDefault="000A19B4" w:rsidP="000A19B4"/>
    <w:p w:rsidR="000A19B4" w:rsidRDefault="000A19B4" w:rsidP="000A19B4"/>
    <w:p w:rsidR="006115E8" w:rsidRDefault="006115E8" w:rsidP="006115E8"/>
    <w:p w:rsidR="000A19B4" w:rsidRDefault="000A19B4" w:rsidP="00E0661C">
      <w:pPr>
        <w:pStyle w:val="Heading1"/>
      </w:pPr>
      <w:bookmarkStart w:id="7" w:name="_Toc83649556"/>
      <w:r>
        <w:t>References</w:t>
      </w:r>
      <w:bookmarkEnd w:id="7"/>
      <w:r>
        <w:t xml:space="preserve"> </w:t>
      </w:r>
    </w:p>
    <w:p w:rsidR="00E621B9" w:rsidRDefault="00E621B9" w:rsidP="00E621B9">
      <w:pPr>
        <w:spacing w:before="240"/>
      </w:pPr>
      <w:r>
        <w:t>Armstrong, M (2016) ‘Armstrong’s Handbook of Strategic Human Resource Management’  6</w:t>
      </w:r>
      <w:r w:rsidRPr="00723E99">
        <w:rPr>
          <w:vertAlign w:val="superscript"/>
        </w:rPr>
        <w:t>th</w:t>
      </w:r>
      <w:r>
        <w:t xml:space="preserve"> </w:t>
      </w:r>
      <w:proofErr w:type="spellStart"/>
      <w:r>
        <w:t>ed</w:t>
      </w:r>
      <w:proofErr w:type="spellEnd"/>
      <w:r>
        <w:t xml:space="preserve">, Chartered Institute of Personnel and Development, London. </w:t>
      </w:r>
    </w:p>
    <w:p w:rsidR="00E621B9" w:rsidRDefault="00E621B9" w:rsidP="00E621B9">
      <w:r>
        <w:t xml:space="preserve">ACAS (2021) ‘What Must be Written in a Contract of Employment’ ACAS [Online] Available at: </w:t>
      </w:r>
      <w:hyperlink r:id="rId26" w:history="1">
        <w:r>
          <w:rPr>
            <w:rStyle w:val="Hyperlink"/>
          </w:rPr>
          <w:t xml:space="preserve">What the written terms must include: What must be written in an employment contract - </w:t>
        </w:r>
        <w:proofErr w:type="spellStart"/>
        <w:r>
          <w:rPr>
            <w:rStyle w:val="Hyperlink"/>
          </w:rPr>
          <w:t>Acas</w:t>
        </w:r>
        <w:proofErr w:type="spellEnd"/>
      </w:hyperlink>
      <w:r>
        <w:t xml:space="preserve"> (Accessed on 21</w:t>
      </w:r>
      <w:r w:rsidRPr="00A04F50">
        <w:rPr>
          <w:vertAlign w:val="superscript"/>
        </w:rPr>
        <w:t>st</w:t>
      </w:r>
      <w:r>
        <w:t xml:space="preserve"> September 2021) </w:t>
      </w:r>
    </w:p>
    <w:p w:rsidR="00E621B9" w:rsidRDefault="00E621B9" w:rsidP="00E621B9">
      <w:r>
        <w:t xml:space="preserve">CIPD (2020) ‘Performance Based Pay’ CIPD [Online] Available at: </w:t>
      </w:r>
      <w:hyperlink r:id="rId27" w:anchor="gref" w:history="1">
        <w:r w:rsidRPr="002F4F83">
          <w:rPr>
            <w:rStyle w:val="Hyperlink"/>
          </w:rPr>
          <w:t>https://www.cipd.co.uk/knowledge/fundamentals/people/pay/performance-factsheet#gref</w:t>
        </w:r>
      </w:hyperlink>
      <w:r>
        <w:t xml:space="preserve"> (Accessed on 24</w:t>
      </w:r>
      <w:r w:rsidRPr="0073368F">
        <w:rPr>
          <w:vertAlign w:val="superscript"/>
        </w:rPr>
        <w:t>th</w:t>
      </w:r>
      <w:r>
        <w:t xml:space="preserve"> September 2021) </w:t>
      </w:r>
    </w:p>
    <w:p w:rsidR="00E621B9" w:rsidRDefault="00E621B9" w:rsidP="00E621B9">
      <w:proofErr w:type="spellStart"/>
      <w:r>
        <w:t>Chunling</w:t>
      </w:r>
      <w:proofErr w:type="spellEnd"/>
      <w:r>
        <w:t xml:space="preserve">, Z, </w:t>
      </w:r>
      <w:proofErr w:type="spellStart"/>
      <w:r>
        <w:t>Anqi</w:t>
      </w:r>
      <w:proofErr w:type="spellEnd"/>
      <w:r>
        <w:t xml:space="preserve">, L and </w:t>
      </w:r>
      <w:proofErr w:type="spellStart"/>
      <w:r>
        <w:t>Guoling</w:t>
      </w:r>
      <w:proofErr w:type="spellEnd"/>
      <w:r>
        <w:t xml:space="preserve">, C (2018) ‘High Performance Work systems and Corporate Performance: The Influence of entrepreneurial Orientation and Organisational Learning’ Frontiers of business Research China, Vol.12, I.4 [Online] Available at: </w:t>
      </w:r>
      <w:hyperlink r:id="rId28" w:history="1">
        <w:r w:rsidRPr="00A90047">
          <w:rPr>
            <w:rStyle w:val="Hyperlink"/>
          </w:rPr>
          <w:t>https://fbr.springeropen.com/articles/10.1186/s11782-018-0025-y</w:t>
        </w:r>
      </w:hyperlink>
      <w:r>
        <w:t xml:space="preserve"> (Accessed on 2nd September 2021) </w:t>
      </w:r>
    </w:p>
    <w:p w:rsidR="00E621B9" w:rsidRDefault="00E621B9" w:rsidP="00E621B9">
      <w:r>
        <w:t xml:space="preserve">CIPD (2020) ‘Performance Reviews’ CIPD [Online] available at: </w:t>
      </w:r>
      <w:hyperlink r:id="rId29" w:history="1">
        <w:r>
          <w:rPr>
            <w:rStyle w:val="Hyperlink"/>
          </w:rPr>
          <w:t>Performance Reviews | Factsheets | CIPD</w:t>
        </w:r>
      </w:hyperlink>
      <w:r>
        <w:t xml:space="preserve"> (Accessed on 23</w:t>
      </w:r>
      <w:r w:rsidRPr="002C72B9">
        <w:rPr>
          <w:vertAlign w:val="superscript"/>
        </w:rPr>
        <w:t>rd</w:t>
      </w:r>
      <w:r>
        <w:t xml:space="preserve"> September 2021) </w:t>
      </w:r>
    </w:p>
    <w:p w:rsidR="00E621B9" w:rsidRDefault="00E621B9" w:rsidP="00E621B9">
      <w:r>
        <w:t xml:space="preserve">CIPD (2021) ‘Coaching and Mentoring’ CIPD [Online] Available at: </w:t>
      </w:r>
      <w:hyperlink r:id="rId30" w:history="1">
        <w:r>
          <w:rPr>
            <w:rStyle w:val="Hyperlink"/>
          </w:rPr>
          <w:t>Coaching and Mentoring | Factsheets | CIPD</w:t>
        </w:r>
      </w:hyperlink>
      <w:r>
        <w:t xml:space="preserve">  (Accessed on 24</w:t>
      </w:r>
      <w:r w:rsidRPr="007E00F4">
        <w:rPr>
          <w:vertAlign w:val="superscript"/>
        </w:rPr>
        <w:t>th</w:t>
      </w:r>
      <w:r>
        <w:t xml:space="preserve"> September 2021) </w:t>
      </w:r>
    </w:p>
    <w:p w:rsidR="00E621B9" w:rsidRDefault="00E621B9" w:rsidP="00E621B9">
      <w:r>
        <w:t xml:space="preserve">Craig, W (2018) ‘Why Communicating Company Goals is Key for Employee Growth’ Forbes [Online] </w:t>
      </w:r>
      <w:hyperlink r:id="rId31" w:history="1">
        <w:r>
          <w:rPr>
            <w:rStyle w:val="Hyperlink"/>
          </w:rPr>
          <w:t>Why Communicating Company Goals Is Key For Employee Growth (forbes.com)</w:t>
        </w:r>
      </w:hyperlink>
      <w:r>
        <w:t xml:space="preserve"> available at: (Accessed on 21</w:t>
      </w:r>
      <w:r w:rsidRPr="003353F2">
        <w:rPr>
          <w:vertAlign w:val="superscript"/>
        </w:rPr>
        <w:t>st</w:t>
      </w:r>
      <w:r>
        <w:t xml:space="preserve"> September 2021) </w:t>
      </w:r>
    </w:p>
    <w:p w:rsidR="00E621B9" w:rsidRDefault="00E621B9" w:rsidP="00E621B9">
      <w:r>
        <w:t xml:space="preserve">Equality Act (2010) ‘The Equality Act 2010, Chapter 1- Protected Characteristics’ UK GOV [Online] available at: </w:t>
      </w:r>
      <w:hyperlink r:id="rId32" w:history="1">
        <w:r>
          <w:rPr>
            <w:rStyle w:val="Hyperlink"/>
          </w:rPr>
          <w:t>Equality Act 2010 (legislation.gov.uk)</w:t>
        </w:r>
      </w:hyperlink>
      <w:r>
        <w:t xml:space="preserve">  (Accessed on 21</w:t>
      </w:r>
      <w:r w:rsidRPr="00C758D9">
        <w:rPr>
          <w:vertAlign w:val="superscript"/>
        </w:rPr>
        <w:t>st</w:t>
      </w:r>
      <w:r>
        <w:t xml:space="preserve"> September 2021) </w:t>
      </w:r>
    </w:p>
    <w:p w:rsidR="00E621B9" w:rsidRDefault="00E621B9" w:rsidP="00E621B9">
      <w:r>
        <w:t xml:space="preserve">Hall, J (219) ‘The Cost of Turnover Can Kill Your Business and Make Things Less Fun’ Forbes [Online] available at: </w:t>
      </w:r>
      <w:hyperlink r:id="rId33" w:history="1">
        <w:r w:rsidRPr="002F4F83">
          <w:rPr>
            <w:rStyle w:val="Hyperlink"/>
          </w:rPr>
          <w:t>https://www.forbes.com/sites/johnhall/2019/05/09/the-cost-of-turnover-can-kill-your-business-and-make-things-less-fun/?sh=270399ea7943</w:t>
        </w:r>
      </w:hyperlink>
      <w:r>
        <w:t xml:space="preserve"> (Accessed on 24</w:t>
      </w:r>
      <w:r w:rsidRPr="002723EA">
        <w:rPr>
          <w:vertAlign w:val="superscript"/>
        </w:rPr>
        <w:t>th</w:t>
      </w:r>
      <w:r>
        <w:t xml:space="preserve"> September 2021)  </w:t>
      </w:r>
    </w:p>
    <w:p w:rsidR="00E621B9" w:rsidRDefault="00E621B9" w:rsidP="00E621B9">
      <w:r>
        <w:t xml:space="preserve">Ibarra, H and Scoular A (2019) ‘The Leader as a Coach’ Harvard Business Review [Online] Available at: </w:t>
      </w:r>
      <w:hyperlink r:id="rId34" w:history="1">
        <w:r>
          <w:rPr>
            <w:rStyle w:val="Hyperlink"/>
          </w:rPr>
          <w:t>The Leader as Coach (hbr.org)</w:t>
        </w:r>
      </w:hyperlink>
      <w:r>
        <w:t xml:space="preserve"> (Accessed on 24</w:t>
      </w:r>
      <w:r w:rsidRPr="00C82361">
        <w:rPr>
          <w:vertAlign w:val="superscript"/>
        </w:rPr>
        <w:t>th</w:t>
      </w:r>
      <w:r>
        <w:t xml:space="preserve"> September 2021) </w:t>
      </w:r>
    </w:p>
    <w:p w:rsidR="00E621B9" w:rsidRDefault="00E621B9" w:rsidP="00E621B9">
      <w:r>
        <w:t xml:space="preserve">Lancaster, A (2018) ‘Unlocking Potential, Performance and Productivity Through Learning’ CIPD {Online] available at: </w:t>
      </w:r>
      <w:hyperlink r:id="rId35" w:anchor="gref" w:history="1">
        <w:r w:rsidRPr="002F4F83">
          <w:rPr>
            <w:rStyle w:val="Hyperlink"/>
          </w:rPr>
          <w:t>https://www.cipd.co.uk/news-views/news-articles/performance-productivity-learning#gref</w:t>
        </w:r>
      </w:hyperlink>
      <w:r>
        <w:t xml:space="preserve"> (Accessed on 24</w:t>
      </w:r>
      <w:r w:rsidRPr="00552B0F">
        <w:rPr>
          <w:vertAlign w:val="superscript"/>
        </w:rPr>
        <w:t>th</w:t>
      </w:r>
      <w:r>
        <w:t xml:space="preserve"> September 2021)</w:t>
      </w:r>
    </w:p>
    <w:p w:rsidR="00E621B9" w:rsidRDefault="00E621B9" w:rsidP="00E621B9">
      <w:pPr>
        <w:spacing w:before="240"/>
      </w:pPr>
      <w:r>
        <w:t xml:space="preserve">Mosley, E (2020) ‘6 Ways to Re-invent Your Company’s Performance Management’ Forbes [Online] Available at: </w:t>
      </w:r>
      <w:hyperlink r:id="rId36" w:history="1">
        <w:r w:rsidRPr="00AE520B">
          <w:rPr>
            <w:rStyle w:val="Hyperlink"/>
          </w:rPr>
          <w:t>https://www.forbes.com/sites/ericmosley/2020/01/30/6-ways-to-reinvent-your-companys-performance-management/?sh=710a7635b865</w:t>
        </w:r>
      </w:hyperlink>
      <w:r>
        <w:t xml:space="preserve"> (Accessed on 24</w:t>
      </w:r>
      <w:r w:rsidRPr="00AE7DF6">
        <w:rPr>
          <w:vertAlign w:val="superscript"/>
        </w:rPr>
        <w:t>th</w:t>
      </w:r>
      <w:r>
        <w:t xml:space="preserve"> September 2021) </w:t>
      </w:r>
    </w:p>
    <w:p w:rsidR="00E621B9" w:rsidRDefault="00E621B9" w:rsidP="00E621B9">
      <w:r>
        <w:t xml:space="preserve">Sands, L (2020) ‘The Performance Management Cycle: A Simple Guide’ Breath HR [Online] available at: </w:t>
      </w:r>
      <w:hyperlink r:id="rId37" w:history="1">
        <w:r>
          <w:rPr>
            <w:rStyle w:val="Hyperlink"/>
          </w:rPr>
          <w:t>The performance management cycle: a simple guide (breathehr.com)</w:t>
        </w:r>
      </w:hyperlink>
      <w:r>
        <w:t xml:space="preserve"> (Accessed on 21</w:t>
      </w:r>
      <w:r w:rsidRPr="00284C15">
        <w:rPr>
          <w:vertAlign w:val="superscript"/>
        </w:rPr>
        <w:t>st</w:t>
      </w:r>
      <w:r>
        <w:t xml:space="preserve"> September 2020) </w:t>
      </w:r>
    </w:p>
    <w:p w:rsidR="00E621B9" w:rsidRDefault="00E621B9" w:rsidP="00E621B9">
      <w:r>
        <w:t xml:space="preserve">Sharma, A (2019) ‘How to Empower Employees to Take Ownership of Their Own Performance’ People Matters [Online] Available at: </w:t>
      </w:r>
      <w:hyperlink r:id="rId38" w:history="1">
        <w:r>
          <w:rPr>
            <w:rStyle w:val="Hyperlink"/>
          </w:rPr>
          <w:t>Article: How to empower employees to take ownership of their own performance — People Matters</w:t>
        </w:r>
      </w:hyperlink>
      <w:r>
        <w:t xml:space="preserve">  (Accessed on 23</w:t>
      </w:r>
      <w:r w:rsidRPr="00154D60">
        <w:rPr>
          <w:vertAlign w:val="superscript"/>
        </w:rPr>
        <w:t>rd</w:t>
      </w:r>
      <w:r>
        <w:t xml:space="preserve"> September 2021) </w:t>
      </w:r>
    </w:p>
    <w:p w:rsidR="00E621B9" w:rsidRDefault="00E621B9" w:rsidP="00E621B9">
      <w:r>
        <w:t xml:space="preserve">Solomon, L (2016) ‘Two-Thirds of Managers Are Uncomfortable Communicating with Employees’ Harvard Business Review [Online] available at: </w:t>
      </w:r>
      <w:hyperlink r:id="rId39" w:history="1">
        <w:r>
          <w:rPr>
            <w:rStyle w:val="Hyperlink"/>
          </w:rPr>
          <w:t>Two-Thirds of Managers Are Uncomfortable Communicating with Employees (hbr.org)</w:t>
        </w:r>
      </w:hyperlink>
      <w:r>
        <w:t xml:space="preserve"> (Accessed on 21</w:t>
      </w:r>
      <w:r w:rsidRPr="00316676">
        <w:rPr>
          <w:vertAlign w:val="superscript"/>
        </w:rPr>
        <w:t>st</w:t>
      </w:r>
      <w:r>
        <w:t xml:space="preserve"> September 2021) </w:t>
      </w:r>
    </w:p>
    <w:p w:rsidR="00E621B9" w:rsidRDefault="00E621B9" w:rsidP="00E621B9">
      <w:proofErr w:type="spellStart"/>
      <w:r>
        <w:lastRenderedPageBreak/>
        <w:t>Thornock</w:t>
      </w:r>
      <w:proofErr w:type="spellEnd"/>
      <w:r>
        <w:t xml:space="preserve">, T (2016) ‘How the Timing of Performance Feedback Impacts Individual Performance’ Journal of Accounting, Society and Organisations, Vol.55, Page 1-11 [Online] available at: </w:t>
      </w:r>
      <w:hyperlink r:id="rId40" w:history="1">
        <w:r>
          <w:rPr>
            <w:rStyle w:val="Hyperlink"/>
          </w:rPr>
          <w:t xml:space="preserve">How the timing of performance feedback impacts individual performance - </w:t>
        </w:r>
        <w:proofErr w:type="spellStart"/>
        <w:r>
          <w:rPr>
            <w:rStyle w:val="Hyperlink"/>
          </w:rPr>
          <w:t>ScienceDirect</w:t>
        </w:r>
        <w:proofErr w:type="spellEnd"/>
      </w:hyperlink>
      <w:r>
        <w:t xml:space="preserve">  (Accessed on 21st September 2021) </w:t>
      </w:r>
    </w:p>
    <w:p w:rsidR="00E621B9" w:rsidRDefault="00E621B9" w:rsidP="00E621B9">
      <w:r>
        <w:t xml:space="preserve">The Training Journal (2014) ‘The Power of Praise and Recognition’ The Training Journal [Online] available at: </w:t>
      </w:r>
      <w:hyperlink r:id="rId41" w:history="1">
        <w:r>
          <w:rPr>
            <w:rStyle w:val="Hyperlink"/>
          </w:rPr>
          <w:t>The power of praise and recognition | Training Journal</w:t>
        </w:r>
      </w:hyperlink>
      <w:r>
        <w:t xml:space="preserve"> (Accessed on 21</w:t>
      </w:r>
      <w:r w:rsidRPr="009E452D">
        <w:rPr>
          <w:vertAlign w:val="superscript"/>
        </w:rPr>
        <w:t>st</w:t>
      </w:r>
      <w:r>
        <w:t xml:space="preserve"> September 2021) </w:t>
      </w:r>
    </w:p>
    <w:p w:rsidR="00E621B9" w:rsidRDefault="00E621B9" w:rsidP="00E621B9">
      <w:r>
        <w:t xml:space="preserve">Wang, D and Evans, J (2019) ‘Research: When Small Teams are Better Than Big Ones’ Harvard Business Review [Online] Available at: </w:t>
      </w:r>
      <w:hyperlink r:id="rId42" w:history="1">
        <w:r w:rsidRPr="002F4F83">
          <w:rPr>
            <w:rStyle w:val="Hyperlink"/>
          </w:rPr>
          <w:t>https://hbr.org/2019/02/research-when-small-teams-are-better-than-big-ones</w:t>
        </w:r>
      </w:hyperlink>
      <w:r>
        <w:t xml:space="preserve"> (Accessed on 25th September 2021)</w:t>
      </w:r>
    </w:p>
    <w:p w:rsidR="00AE7DF6" w:rsidRDefault="004765CB" w:rsidP="000A19B4">
      <w:proofErr w:type="spellStart"/>
      <w:r>
        <w:t>Xpert</w:t>
      </w:r>
      <w:proofErr w:type="spellEnd"/>
      <w:r>
        <w:t xml:space="preserve"> HR (2020) ‘Are Line Managers Competent in Managing Underperformance?’ </w:t>
      </w:r>
      <w:proofErr w:type="spellStart"/>
      <w:r>
        <w:t>Xpert</w:t>
      </w:r>
      <w:proofErr w:type="spellEnd"/>
      <w:r>
        <w:t xml:space="preserve"> HR [Online] available at: </w:t>
      </w:r>
      <w:hyperlink r:id="rId43" w:history="1">
        <w:r w:rsidRPr="00AE520B">
          <w:rPr>
            <w:rStyle w:val="Hyperlink"/>
          </w:rPr>
          <w:t>https://www.xperthr.co.uk/editors-choice/are-line-managers-competent-in-managing-underperformance/107425/</w:t>
        </w:r>
      </w:hyperlink>
      <w:r>
        <w:t xml:space="preserve"> (Accessed on 24</w:t>
      </w:r>
      <w:r w:rsidRPr="004765CB">
        <w:rPr>
          <w:vertAlign w:val="superscript"/>
        </w:rPr>
        <w:t>th</w:t>
      </w:r>
      <w:r>
        <w:t xml:space="preserve"> September 2021) </w:t>
      </w:r>
    </w:p>
    <w:p w:rsidR="001D6D84" w:rsidRDefault="001D6D84" w:rsidP="003E4DAB">
      <w:pPr>
        <w:spacing w:before="240"/>
      </w:pPr>
    </w:p>
    <w:p w:rsidR="003E4DAB" w:rsidRDefault="003E4DAB" w:rsidP="00AE7DF6">
      <w:pPr>
        <w:spacing w:before="240"/>
      </w:pPr>
    </w:p>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 w:rsidR="000A19B4" w:rsidRDefault="000A19B4" w:rsidP="000A19B4">
      <w:pPr>
        <w:pStyle w:val="Heading1"/>
      </w:pPr>
      <w:bookmarkStart w:id="8" w:name="_Toc83649557"/>
      <w:r>
        <w:lastRenderedPageBreak/>
        <w:t>Bibliography</w:t>
      </w:r>
      <w:bookmarkEnd w:id="8"/>
    </w:p>
    <w:p w:rsidR="00F11CD7" w:rsidRDefault="00F11CD7" w:rsidP="00F11CD7">
      <w:pPr>
        <w:spacing w:before="240"/>
      </w:pPr>
      <w:r>
        <w:t>Armstrong, M (2016) ‘Armstrong’s Handbook of Strategic Human Resource Management’  6</w:t>
      </w:r>
      <w:r w:rsidRPr="00723E99">
        <w:rPr>
          <w:vertAlign w:val="superscript"/>
        </w:rPr>
        <w:t>th</w:t>
      </w:r>
      <w:r>
        <w:t xml:space="preserve"> </w:t>
      </w:r>
      <w:proofErr w:type="spellStart"/>
      <w:r>
        <w:t>ed</w:t>
      </w:r>
      <w:proofErr w:type="spellEnd"/>
      <w:r>
        <w:t xml:space="preserve">, Chartered Institute of Personnel and Development, London. </w:t>
      </w:r>
    </w:p>
    <w:p w:rsidR="00F11CD7" w:rsidRDefault="00F11CD7" w:rsidP="00F11CD7">
      <w:r>
        <w:t xml:space="preserve">ACAS (2021) ‘What Must be Written in a Contract of Employment’ ACAS [Online] Available at: </w:t>
      </w:r>
      <w:hyperlink r:id="rId44" w:history="1">
        <w:r>
          <w:rPr>
            <w:rStyle w:val="Hyperlink"/>
          </w:rPr>
          <w:t xml:space="preserve">What the written terms must include: What must be written in an employment contract - </w:t>
        </w:r>
        <w:proofErr w:type="spellStart"/>
        <w:r>
          <w:rPr>
            <w:rStyle w:val="Hyperlink"/>
          </w:rPr>
          <w:t>Acas</w:t>
        </w:r>
        <w:proofErr w:type="spellEnd"/>
      </w:hyperlink>
      <w:r>
        <w:t xml:space="preserve"> (Accessed on 21</w:t>
      </w:r>
      <w:r w:rsidRPr="00A04F50">
        <w:rPr>
          <w:vertAlign w:val="superscript"/>
        </w:rPr>
        <w:t>st</w:t>
      </w:r>
      <w:r>
        <w:t xml:space="preserve"> September 2021) </w:t>
      </w:r>
    </w:p>
    <w:p w:rsidR="00FE2419" w:rsidRDefault="00FE2419" w:rsidP="00F11CD7">
      <w:r>
        <w:t>Carton, A (2017)</w:t>
      </w:r>
      <w:r w:rsidR="00C822C6">
        <w:t xml:space="preserve"> 'I'm Not Mopping Floors, I'm Putting a Man on the Moon' : How NASA Leaders Enhances the </w:t>
      </w:r>
      <w:proofErr w:type="spellStart"/>
      <w:r w:rsidR="00C822C6">
        <w:t>Meaningfullness</w:t>
      </w:r>
      <w:proofErr w:type="spellEnd"/>
      <w:r w:rsidR="00C822C6">
        <w:t xml:space="preserve"> of Work by Changing The Meaning of Work' Administrative Science Quarterly [Online] Available at: </w:t>
      </w:r>
      <w:hyperlink r:id="rId45" w:history="1">
        <w:r w:rsidR="00C822C6" w:rsidRPr="00C822C6">
          <w:rPr>
            <w:rStyle w:val="Hyperlink"/>
          </w:rPr>
          <w:t>https://journals.sagepub.com/doi/full/10.1177/0001839217713748?utm_source=Adestra&amp;utm_medium=email&amp;utm_content=Resend+of+8J1275&amp;utm_campaign=not+tracked&amp;utm_term=&amp;</w:t>
        </w:r>
      </w:hyperlink>
      <w:r w:rsidR="00C822C6">
        <w:t xml:space="preserve"> (Accessed on 23rd September 2021) </w:t>
      </w:r>
    </w:p>
    <w:p w:rsidR="00F11CD7" w:rsidRDefault="00F11CD7" w:rsidP="00F11CD7">
      <w:r>
        <w:t xml:space="preserve">CIPD (2020) ‘Performance Based Pay’ CIPD [Online] Available at: </w:t>
      </w:r>
      <w:hyperlink r:id="rId46" w:anchor="gref" w:history="1">
        <w:r w:rsidRPr="002F4F83">
          <w:rPr>
            <w:rStyle w:val="Hyperlink"/>
          </w:rPr>
          <w:t>https://www.cipd.co.uk/knowledge/fundamentals/people/pay/performance-factsheet#gref</w:t>
        </w:r>
      </w:hyperlink>
      <w:r>
        <w:t xml:space="preserve"> (Accessed on 24</w:t>
      </w:r>
      <w:r w:rsidRPr="0073368F">
        <w:rPr>
          <w:vertAlign w:val="superscript"/>
        </w:rPr>
        <w:t>th</w:t>
      </w:r>
      <w:r>
        <w:t xml:space="preserve"> September 2021) </w:t>
      </w:r>
    </w:p>
    <w:p w:rsidR="00F11CD7" w:rsidRDefault="00F11CD7" w:rsidP="00F11CD7">
      <w:proofErr w:type="spellStart"/>
      <w:r>
        <w:t>Chunling</w:t>
      </w:r>
      <w:proofErr w:type="spellEnd"/>
      <w:r>
        <w:t xml:space="preserve">, Z, </w:t>
      </w:r>
      <w:proofErr w:type="spellStart"/>
      <w:r>
        <w:t>Anqi</w:t>
      </w:r>
      <w:proofErr w:type="spellEnd"/>
      <w:r>
        <w:t xml:space="preserve">, L and </w:t>
      </w:r>
      <w:proofErr w:type="spellStart"/>
      <w:r>
        <w:t>Guoling</w:t>
      </w:r>
      <w:proofErr w:type="spellEnd"/>
      <w:r>
        <w:t xml:space="preserve">, C (2018) ‘High Performance Work systems and Corporate Performance: The Influence of entrepreneurial Orientation and Organisational Learning’ Frontiers of business Research China, Vol.12, I.4 [Online] Available at: </w:t>
      </w:r>
      <w:hyperlink r:id="rId47" w:history="1">
        <w:r w:rsidRPr="00A90047">
          <w:rPr>
            <w:rStyle w:val="Hyperlink"/>
          </w:rPr>
          <w:t>https://fbr.springeropen.com/articles/10.1186/s11782-018-0025-y</w:t>
        </w:r>
      </w:hyperlink>
      <w:r>
        <w:t xml:space="preserve"> (Accessed on 2nd September 2021) </w:t>
      </w:r>
    </w:p>
    <w:p w:rsidR="00F11CD7" w:rsidRDefault="00F11CD7" w:rsidP="00F11CD7">
      <w:r>
        <w:t xml:space="preserve">CIPD (2020) ‘Performance Reviews’ CIPD [Online] available at: </w:t>
      </w:r>
      <w:hyperlink r:id="rId48" w:history="1">
        <w:r>
          <w:rPr>
            <w:rStyle w:val="Hyperlink"/>
          </w:rPr>
          <w:t>Performance Reviews | Factsheets | CIPD</w:t>
        </w:r>
      </w:hyperlink>
      <w:r>
        <w:t xml:space="preserve"> (Accessed on 23</w:t>
      </w:r>
      <w:r w:rsidRPr="002C72B9">
        <w:rPr>
          <w:vertAlign w:val="superscript"/>
        </w:rPr>
        <w:t>rd</w:t>
      </w:r>
      <w:r>
        <w:t xml:space="preserve"> September 2021) </w:t>
      </w:r>
    </w:p>
    <w:p w:rsidR="00F11CD7" w:rsidRDefault="00F11CD7" w:rsidP="00F11CD7">
      <w:r>
        <w:t xml:space="preserve">CIPD (2021) ‘Coaching and Mentoring’ CIPD [Online] Available at: </w:t>
      </w:r>
      <w:hyperlink r:id="rId49" w:history="1">
        <w:r>
          <w:rPr>
            <w:rStyle w:val="Hyperlink"/>
          </w:rPr>
          <w:t>Coaching and Mentoring | Factsheets | CIPD</w:t>
        </w:r>
      </w:hyperlink>
      <w:r>
        <w:t xml:space="preserve">  (Accessed on 24</w:t>
      </w:r>
      <w:r w:rsidRPr="007E00F4">
        <w:rPr>
          <w:vertAlign w:val="superscript"/>
        </w:rPr>
        <w:t>th</w:t>
      </w:r>
      <w:r>
        <w:t xml:space="preserve"> September 2021) </w:t>
      </w:r>
    </w:p>
    <w:p w:rsidR="00F11CD7" w:rsidRDefault="00F11CD7" w:rsidP="00F11CD7">
      <w:r>
        <w:t xml:space="preserve">Craig, W (2018) ‘Why Communicating Company Goals is Key for Employee Growth’ Forbes [Online] </w:t>
      </w:r>
      <w:hyperlink r:id="rId50" w:history="1">
        <w:r>
          <w:rPr>
            <w:rStyle w:val="Hyperlink"/>
          </w:rPr>
          <w:t>Why Communicating Company Goals Is Key For Employee Growth (forbes.com)</w:t>
        </w:r>
      </w:hyperlink>
      <w:r>
        <w:t xml:space="preserve"> available at: (Accessed on 21</w:t>
      </w:r>
      <w:r w:rsidRPr="003353F2">
        <w:rPr>
          <w:vertAlign w:val="superscript"/>
        </w:rPr>
        <w:t>st</w:t>
      </w:r>
      <w:r>
        <w:t xml:space="preserve"> September 2021) </w:t>
      </w:r>
    </w:p>
    <w:p w:rsidR="00F11CD7" w:rsidRDefault="00F11CD7" w:rsidP="00F11CD7">
      <w:r>
        <w:t xml:space="preserve">Equality Act (2010) ‘The Equality Act 2010, Chapter 1- Protected Characteristics’ UK GOV [Online] available at: </w:t>
      </w:r>
      <w:hyperlink r:id="rId51" w:history="1">
        <w:r>
          <w:rPr>
            <w:rStyle w:val="Hyperlink"/>
          </w:rPr>
          <w:t>Equality Act 2010 (legislation.gov.uk)</w:t>
        </w:r>
      </w:hyperlink>
      <w:r>
        <w:t xml:space="preserve">  (Accessed on 21</w:t>
      </w:r>
      <w:r w:rsidRPr="00C758D9">
        <w:rPr>
          <w:vertAlign w:val="superscript"/>
        </w:rPr>
        <w:t>st</w:t>
      </w:r>
      <w:r>
        <w:t xml:space="preserve"> September 2021) </w:t>
      </w:r>
    </w:p>
    <w:p w:rsidR="00F11CD7" w:rsidRDefault="00F11CD7" w:rsidP="00F11CD7">
      <w:r>
        <w:t xml:space="preserve">Hall, J (219) ‘The Cost of Turnover Can Kill Your Business and Make Things Less Fun’ Forbes [Online] available at: </w:t>
      </w:r>
      <w:hyperlink r:id="rId52" w:history="1">
        <w:r w:rsidRPr="002F4F83">
          <w:rPr>
            <w:rStyle w:val="Hyperlink"/>
          </w:rPr>
          <w:t>https://www.forbes.com/sites/johnhall/2019/05/09/the-cost-of-turnover-can-kill-your-business-and-make-things-less-fun/?sh=270399ea7943</w:t>
        </w:r>
      </w:hyperlink>
      <w:r>
        <w:t xml:space="preserve"> (Accessed on 24</w:t>
      </w:r>
      <w:r w:rsidRPr="002723EA">
        <w:rPr>
          <w:vertAlign w:val="superscript"/>
        </w:rPr>
        <w:t>th</w:t>
      </w:r>
      <w:r>
        <w:t xml:space="preserve"> September 2021)  </w:t>
      </w:r>
    </w:p>
    <w:p w:rsidR="00F11CD7" w:rsidRDefault="00F11CD7" w:rsidP="00F11CD7">
      <w:r>
        <w:t xml:space="preserve">Ibarra, H and Scoular A (2019) ‘The Leader as a Coach’ Harvard Business Review [Online] Available at: </w:t>
      </w:r>
      <w:hyperlink r:id="rId53" w:history="1">
        <w:r>
          <w:rPr>
            <w:rStyle w:val="Hyperlink"/>
          </w:rPr>
          <w:t>The Leader as Coach (hbr.org)</w:t>
        </w:r>
      </w:hyperlink>
      <w:r>
        <w:t xml:space="preserve"> (Accessed on 24</w:t>
      </w:r>
      <w:r w:rsidRPr="00C82361">
        <w:rPr>
          <w:vertAlign w:val="superscript"/>
        </w:rPr>
        <w:t>th</w:t>
      </w:r>
      <w:r>
        <w:t xml:space="preserve"> September 2021) </w:t>
      </w:r>
    </w:p>
    <w:p w:rsidR="00F11CD7" w:rsidRDefault="00F11CD7" w:rsidP="00F11CD7">
      <w:r>
        <w:t xml:space="preserve">Lancaster, A (2018) ‘Unlocking Potential, Performance and Productivity Through Learning’ CIPD {Online] available at: </w:t>
      </w:r>
      <w:hyperlink r:id="rId54" w:anchor="gref" w:history="1">
        <w:r w:rsidRPr="002F4F83">
          <w:rPr>
            <w:rStyle w:val="Hyperlink"/>
          </w:rPr>
          <w:t>https://www.cipd.co.uk/news-views/news-articles/performance-productivity-learning#gref</w:t>
        </w:r>
      </w:hyperlink>
      <w:r>
        <w:t xml:space="preserve"> (Accessed on 24</w:t>
      </w:r>
      <w:r w:rsidRPr="00552B0F">
        <w:rPr>
          <w:vertAlign w:val="superscript"/>
        </w:rPr>
        <w:t>th</w:t>
      </w:r>
      <w:r>
        <w:t xml:space="preserve"> September 2021)</w:t>
      </w:r>
    </w:p>
    <w:p w:rsidR="00F11CD7" w:rsidRDefault="00F11CD7" w:rsidP="00F11CD7">
      <w:pPr>
        <w:spacing w:before="240"/>
      </w:pPr>
      <w:r>
        <w:t xml:space="preserve">Mosley, E (2020) ‘6 Ways to Re-invent Your Company’s Performance Management’ Forbes [Online] Available at: </w:t>
      </w:r>
      <w:hyperlink r:id="rId55" w:history="1">
        <w:r w:rsidRPr="00AE520B">
          <w:rPr>
            <w:rStyle w:val="Hyperlink"/>
          </w:rPr>
          <w:t>https://www.forbes.com/sites/ericmosley/2020/01/30/6-ways-to-reinvent-your-companys-performance-management/?sh=710a7635b865</w:t>
        </w:r>
      </w:hyperlink>
      <w:r>
        <w:t xml:space="preserve"> (Accessed on 24</w:t>
      </w:r>
      <w:r w:rsidRPr="00AE7DF6">
        <w:rPr>
          <w:vertAlign w:val="superscript"/>
        </w:rPr>
        <w:t>th</w:t>
      </w:r>
      <w:r>
        <w:t xml:space="preserve"> September 2021) </w:t>
      </w:r>
    </w:p>
    <w:p w:rsidR="00FE2419" w:rsidRDefault="00FE2419" w:rsidP="00F11CD7">
      <w:pPr>
        <w:spacing w:before="240"/>
      </w:pPr>
      <w:r>
        <w:t xml:space="preserve">Porter, J (2017) 'How to give Feedback People Can Actually Use' Harvard Business Review [Online] available at: </w:t>
      </w:r>
      <w:hyperlink r:id="rId56" w:history="1">
        <w:r w:rsidRPr="00FE2419">
          <w:rPr>
            <w:rStyle w:val="Hyperlink"/>
          </w:rPr>
          <w:t>https://hbr.org/2017/10/how-to-give-feedback-people-can-actually-use</w:t>
        </w:r>
      </w:hyperlink>
      <w:r>
        <w:t xml:space="preserve"> (Accessed on 23rd September 2021) </w:t>
      </w:r>
    </w:p>
    <w:p w:rsidR="00F11CD7" w:rsidRDefault="00F11CD7" w:rsidP="00F11CD7">
      <w:r>
        <w:t xml:space="preserve">Sands, L (2020) ‘The Performance Management Cycle: A Simple Guide’ Breath HR [Online] available at: </w:t>
      </w:r>
      <w:hyperlink r:id="rId57" w:history="1">
        <w:r>
          <w:rPr>
            <w:rStyle w:val="Hyperlink"/>
          </w:rPr>
          <w:t>The performance management cycle: a simple guide (breathehr.com)</w:t>
        </w:r>
      </w:hyperlink>
      <w:r>
        <w:t xml:space="preserve"> (Accessed on 21</w:t>
      </w:r>
      <w:r w:rsidRPr="00284C15">
        <w:rPr>
          <w:vertAlign w:val="superscript"/>
        </w:rPr>
        <w:t>st</w:t>
      </w:r>
      <w:r>
        <w:t xml:space="preserve"> September 2020) </w:t>
      </w:r>
    </w:p>
    <w:p w:rsidR="00F11CD7" w:rsidRDefault="00F11CD7" w:rsidP="00F11CD7">
      <w:r>
        <w:lastRenderedPageBreak/>
        <w:t xml:space="preserve">Sharma, A (2019) ‘How to Empower Employees to Take Ownership of Their Own Performance’ People Matters [Online] Available at: </w:t>
      </w:r>
      <w:hyperlink r:id="rId58" w:history="1">
        <w:r>
          <w:rPr>
            <w:rStyle w:val="Hyperlink"/>
          </w:rPr>
          <w:t>Article: How to empower employees to take ownership of their own performance — People Matters</w:t>
        </w:r>
      </w:hyperlink>
      <w:r>
        <w:t xml:space="preserve">  (Accessed on 23</w:t>
      </w:r>
      <w:r w:rsidRPr="00154D60">
        <w:rPr>
          <w:vertAlign w:val="superscript"/>
        </w:rPr>
        <w:t>rd</w:t>
      </w:r>
      <w:r>
        <w:t xml:space="preserve"> September 2021) </w:t>
      </w:r>
    </w:p>
    <w:p w:rsidR="00F11CD7" w:rsidRDefault="00F11CD7" w:rsidP="00F11CD7">
      <w:r>
        <w:t xml:space="preserve">Solomon, L (2016) ‘Two-Thirds of Managers Are Uncomfortable Communicating with Employees’ Harvard Business Review [Online] available at: </w:t>
      </w:r>
      <w:hyperlink r:id="rId59" w:history="1">
        <w:r>
          <w:rPr>
            <w:rStyle w:val="Hyperlink"/>
          </w:rPr>
          <w:t>Two-Thirds of Managers Are Uncomfortable Communicating with Employees (hbr.org)</w:t>
        </w:r>
      </w:hyperlink>
      <w:r>
        <w:t xml:space="preserve"> (Accessed on 21</w:t>
      </w:r>
      <w:r w:rsidRPr="00316676">
        <w:rPr>
          <w:vertAlign w:val="superscript"/>
        </w:rPr>
        <w:t>st</w:t>
      </w:r>
      <w:r>
        <w:t xml:space="preserve"> September 2021) </w:t>
      </w:r>
    </w:p>
    <w:p w:rsidR="00F11CD7" w:rsidRDefault="00F11CD7" w:rsidP="00F11CD7">
      <w:proofErr w:type="spellStart"/>
      <w:r>
        <w:t>Thornock</w:t>
      </w:r>
      <w:proofErr w:type="spellEnd"/>
      <w:r>
        <w:t xml:space="preserve">, T (2016) ‘How the Timing of Performance Feedback Impacts Individual Performance’ Journal of Accounting, Society and Organisations, Vol.55, Page 1-11 [Online] available at: </w:t>
      </w:r>
      <w:hyperlink r:id="rId60" w:history="1">
        <w:r>
          <w:rPr>
            <w:rStyle w:val="Hyperlink"/>
          </w:rPr>
          <w:t xml:space="preserve">How the timing of performance feedback impacts individual performance - </w:t>
        </w:r>
        <w:proofErr w:type="spellStart"/>
        <w:r>
          <w:rPr>
            <w:rStyle w:val="Hyperlink"/>
          </w:rPr>
          <w:t>ScienceDirect</w:t>
        </w:r>
        <w:proofErr w:type="spellEnd"/>
      </w:hyperlink>
      <w:r>
        <w:t xml:space="preserve">  (Accessed on 21st September 2021) </w:t>
      </w:r>
    </w:p>
    <w:p w:rsidR="00B115E6" w:rsidRDefault="00B115E6" w:rsidP="00F11CD7">
      <w:proofErr w:type="spellStart"/>
      <w:r>
        <w:t>Trullen</w:t>
      </w:r>
      <w:proofErr w:type="spellEnd"/>
      <w:r>
        <w:t xml:space="preserve">, J, </w:t>
      </w:r>
      <w:proofErr w:type="spellStart"/>
      <w:r w:rsidR="00BA17D3">
        <w:t>Stripe,L</w:t>
      </w:r>
      <w:proofErr w:type="spellEnd"/>
      <w:r w:rsidR="00BA17D3">
        <w:t xml:space="preserve">, </w:t>
      </w:r>
      <w:proofErr w:type="spellStart"/>
      <w:r w:rsidR="00BA17D3">
        <w:t>Bonache</w:t>
      </w:r>
      <w:proofErr w:type="spellEnd"/>
      <w:r w:rsidR="00BA17D3">
        <w:t xml:space="preserve">, J and </w:t>
      </w:r>
      <w:proofErr w:type="spellStart"/>
      <w:r w:rsidR="00BA17D3">
        <w:t>Valverde</w:t>
      </w:r>
      <w:proofErr w:type="spellEnd"/>
      <w:r w:rsidR="00BA17D3">
        <w:t xml:space="preserve">, M (2016) 'The Hr Department's Contribution to Line Managers Implementation of HR Practices' Human Resource Management Journal, Vol.26, I.4 Pages 449-470 [Online] Available at: </w:t>
      </w:r>
      <w:hyperlink r:id="rId61" w:history="1">
        <w:r w:rsidR="009C51C0" w:rsidRPr="009C51C0">
          <w:rPr>
            <w:rStyle w:val="Hyperlink"/>
          </w:rPr>
          <w:t>https://moodle.uwtsd.ac.uk/pluginfile.php/252307/mod_resource/content/1/Article%202016%20AMO%20line%20managers%20to%20implement%20HR%20</w:t>
        </w:r>
        <w:r w:rsidR="009C51C0" w:rsidRPr="009C51C0">
          <w:rPr>
            <w:rStyle w:val="Hyperlink"/>
          </w:rPr>
          <w:t>p</w:t>
        </w:r>
        <w:r w:rsidR="009C51C0" w:rsidRPr="009C51C0">
          <w:rPr>
            <w:rStyle w:val="Hyperlink"/>
          </w:rPr>
          <w:t>ractices.pdf</w:t>
        </w:r>
      </w:hyperlink>
      <w:r w:rsidR="009C51C0">
        <w:t xml:space="preserve">  </w:t>
      </w:r>
      <w:r w:rsidR="00BA17D3">
        <w:t xml:space="preserve">(Accessed on 21st September 2021) </w:t>
      </w:r>
    </w:p>
    <w:p w:rsidR="00F11CD7" w:rsidRDefault="00F11CD7" w:rsidP="00F11CD7">
      <w:r>
        <w:t xml:space="preserve">The Training Journal (2014) ‘The Power of Praise and Recognition’ The Training Journal [Online] available at: </w:t>
      </w:r>
      <w:hyperlink r:id="rId62" w:history="1">
        <w:r>
          <w:rPr>
            <w:rStyle w:val="Hyperlink"/>
          </w:rPr>
          <w:t>The power of praise and recognition | Training Journal</w:t>
        </w:r>
      </w:hyperlink>
      <w:r>
        <w:t xml:space="preserve"> (Accessed on 21</w:t>
      </w:r>
      <w:r w:rsidRPr="009E452D">
        <w:rPr>
          <w:vertAlign w:val="superscript"/>
        </w:rPr>
        <w:t>st</w:t>
      </w:r>
      <w:r>
        <w:t xml:space="preserve"> September 2021) </w:t>
      </w:r>
    </w:p>
    <w:p w:rsidR="00F11CD7" w:rsidRDefault="00F11CD7" w:rsidP="00F11CD7">
      <w:r>
        <w:t xml:space="preserve">Wang, D and Evans, J (2019) ‘Research: When Small Teams are Better Than Big Ones’ Harvard Business Review [Online] Available at: </w:t>
      </w:r>
      <w:hyperlink r:id="rId63" w:history="1">
        <w:r w:rsidRPr="002F4F83">
          <w:rPr>
            <w:rStyle w:val="Hyperlink"/>
          </w:rPr>
          <w:t>https://hbr.org/2019/02/research-when-small-teams-are-better-than-big-ones</w:t>
        </w:r>
      </w:hyperlink>
      <w:r>
        <w:t xml:space="preserve"> (Accessed on 25th September 2021)</w:t>
      </w:r>
    </w:p>
    <w:p w:rsidR="00F11CD7" w:rsidRDefault="00F11CD7" w:rsidP="00F11CD7">
      <w:proofErr w:type="spellStart"/>
      <w:r>
        <w:t>Xpert</w:t>
      </w:r>
      <w:proofErr w:type="spellEnd"/>
      <w:r>
        <w:t xml:space="preserve"> HR (2020) ‘Are Line Managers Competent in Managing Underperformance?’ </w:t>
      </w:r>
      <w:proofErr w:type="spellStart"/>
      <w:r>
        <w:t>Xpert</w:t>
      </w:r>
      <w:proofErr w:type="spellEnd"/>
      <w:r>
        <w:t xml:space="preserve"> HR [Online] available at: </w:t>
      </w:r>
      <w:hyperlink r:id="rId64" w:history="1">
        <w:r w:rsidRPr="00AE520B">
          <w:rPr>
            <w:rStyle w:val="Hyperlink"/>
          </w:rPr>
          <w:t>https://www.xperthr.co.uk/editors-choice/are-line-managers-competent-in-managing-underperformance/107425/</w:t>
        </w:r>
      </w:hyperlink>
      <w:r>
        <w:t xml:space="preserve"> (Accessed on 24</w:t>
      </w:r>
      <w:r w:rsidRPr="004765CB">
        <w:rPr>
          <w:vertAlign w:val="superscript"/>
        </w:rPr>
        <w:t>th</w:t>
      </w:r>
      <w:r>
        <w:t xml:space="preserve"> September 2021) </w:t>
      </w:r>
    </w:p>
    <w:p w:rsidR="00F11CD7" w:rsidRPr="00F11CD7" w:rsidRDefault="00F11CD7" w:rsidP="00F11CD7"/>
    <w:sectPr w:rsidR="00F11CD7" w:rsidRPr="00F11CD7" w:rsidSect="000A19B4">
      <w:pgSz w:w="11907" w:h="16840" w:code="9"/>
      <w:pgMar w:top="720" w:right="720" w:bottom="720" w:left="720"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2419" w:rsidRDefault="00FE2419" w:rsidP="000A19B4">
      <w:pPr>
        <w:spacing w:after="0" w:line="240" w:lineRule="auto"/>
      </w:pPr>
      <w:r>
        <w:separator/>
      </w:r>
    </w:p>
  </w:endnote>
  <w:endnote w:type="continuationSeparator" w:id="0">
    <w:p w:rsidR="00FE2419" w:rsidRDefault="00FE2419" w:rsidP="000A19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8525016"/>
      <w:docPartObj>
        <w:docPartGallery w:val="Page Numbers (Bottom of Page)"/>
        <w:docPartUnique/>
      </w:docPartObj>
    </w:sdtPr>
    <w:sdtEndPr>
      <w:rPr>
        <w:noProof/>
      </w:rPr>
    </w:sdtEndPr>
    <w:sdtContent>
      <w:p w:rsidR="00FE2419" w:rsidRDefault="00FE2419">
        <w:pPr>
          <w:pStyle w:val="Footer"/>
          <w:jc w:val="center"/>
        </w:pPr>
        <w:fldSimple w:instr=" PAGE   \* MERGEFORMAT ">
          <w:r w:rsidR="00946FFF">
            <w:rPr>
              <w:noProof/>
            </w:rPr>
            <w:t>1</w:t>
          </w:r>
        </w:fldSimple>
      </w:p>
    </w:sdtContent>
  </w:sdt>
  <w:p w:rsidR="00FE2419" w:rsidRDefault="00FE241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2419" w:rsidRDefault="00FE2419" w:rsidP="000A19B4">
      <w:pPr>
        <w:spacing w:after="0" w:line="240" w:lineRule="auto"/>
      </w:pPr>
      <w:r>
        <w:separator/>
      </w:r>
    </w:p>
  </w:footnote>
  <w:footnote w:type="continuationSeparator" w:id="0">
    <w:p w:rsidR="00FE2419" w:rsidRDefault="00FE2419" w:rsidP="000A19B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6E214F"/>
    <w:multiLevelType w:val="hybridMultilevel"/>
    <w:tmpl w:val="13B2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0A19B4"/>
    <w:rsid w:val="00026A4C"/>
    <w:rsid w:val="000377D2"/>
    <w:rsid w:val="00047BF2"/>
    <w:rsid w:val="000745B0"/>
    <w:rsid w:val="000845E8"/>
    <w:rsid w:val="00090B71"/>
    <w:rsid w:val="000959C7"/>
    <w:rsid w:val="000A19B4"/>
    <w:rsid w:val="000E3DF5"/>
    <w:rsid w:val="000F4E2E"/>
    <w:rsid w:val="00116782"/>
    <w:rsid w:val="00124B54"/>
    <w:rsid w:val="00130C1E"/>
    <w:rsid w:val="00154D60"/>
    <w:rsid w:val="00167B34"/>
    <w:rsid w:val="00174304"/>
    <w:rsid w:val="00177D1B"/>
    <w:rsid w:val="0018084F"/>
    <w:rsid w:val="001D30D5"/>
    <w:rsid w:val="001D4303"/>
    <w:rsid w:val="001D6D84"/>
    <w:rsid w:val="001F7301"/>
    <w:rsid w:val="00215A23"/>
    <w:rsid w:val="002723EA"/>
    <w:rsid w:val="00284C15"/>
    <w:rsid w:val="002938E2"/>
    <w:rsid w:val="002A424A"/>
    <w:rsid w:val="002A490B"/>
    <w:rsid w:val="002C72B9"/>
    <w:rsid w:val="002D2C39"/>
    <w:rsid w:val="002D4A60"/>
    <w:rsid w:val="002F4A9D"/>
    <w:rsid w:val="00316676"/>
    <w:rsid w:val="003251F5"/>
    <w:rsid w:val="003353F2"/>
    <w:rsid w:val="0034051A"/>
    <w:rsid w:val="0035495C"/>
    <w:rsid w:val="00357E28"/>
    <w:rsid w:val="003733DD"/>
    <w:rsid w:val="003757F3"/>
    <w:rsid w:val="003C63BF"/>
    <w:rsid w:val="003E05C9"/>
    <w:rsid w:val="003E4DAB"/>
    <w:rsid w:val="00400974"/>
    <w:rsid w:val="00437AAE"/>
    <w:rsid w:val="00442A23"/>
    <w:rsid w:val="004765CB"/>
    <w:rsid w:val="0048454E"/>
    <w:rsid w:val="004A5CE1"/>
    <w:rsid w:val="004B0DB9"/>
    <w:rsid w:val="004C2CFE"/>
    <w:rsid w:val="004C3753"/>
    <w:rsid w:val="004D5636"/>
    <w:rsid w:val="005052AD"/>
    <w:rsid w:val="0051467C"/>
    <w:rsid w:val="00516F5A"/>
    <w:rsid w:val="00520829"/>
    <w:rsid w:val="00552B0F"/>
    <w:rsid w:val="00577D74"/>
    <w:rsid w:val="0059189E"/>
    <w:rsid w:val="005A0787"/>
    <w:rsid w:val="005A1914"/>
    <w:rsid w:val="005B0242"/>
    <w:rsid w:val="00600204"/>
    <w:rsid w:val="0061153A"/>
    <w:rsid w:val="006115E8"/>
    <w:rsid w:val="00621AF2"/>
    <w:rsid w:val="00626840"/>
    <w:rsid w:val="00626C74"/>
    <w:rsid w:val="00646B5E"/>
    <w:rsid w:val="006575BD"/>
    <w:rsid w:val="006863B2"/>
    <w:rsid w:val="00690C12"/>
    <w:rsid w:val="00695031"/>
    <w:rsid w:val="006E4065"/>
    <w:rsid w:val="0071049F"/>
    <w:rsid w:val="0073368F"/>
    <w:rsid w:val="00792757"/>
    <w:rsid w:val="00793296"/>
    <w:rsid w:val="007E00F4"/>
    <w:rsid w:val="007E5892"/>
    <w:rsid w:val="008073B0"/>
    <w:rsid w:val="008506D5"/>
    <w:rsid w:val="008521BC"/>
    <w:rsid w:val="008A5B53"/>
    <w:rsid w:val="008D185A"/>
    <w:rsid w:val="009101AB"/>
    <w:rsid w:val="00940F2D"/>
    <w:rsid w:val="009434A1"/>
    <w:rsid w:val="00946FFF"/>
    <w:rsid w:val="009A1192"/>
    <w:rsid w:val="009C51C0"/>
    <w:rsid w:val="009E452D"/>
    <w:rsid w:val="009E5283"/>
    <w:rsid w:val="00A04F50"/>
    <w:rsid w:val="00A40A2B"/>
    <w:rsid w:val="00A602C2"/>
    <w:rsid w:val="00A636BA"/>
    <w:rsid w:val="00A642DE"/>
    <w:rsid w:val="00A8198B"/>
    <w:rsid w:val="00AA5F6E"/>
    <w:rsid w:val="00AB578C"/>
    <w:rsid w:val="00AC00FE"/>
    <w:rsid w:val="00AD74CE"/>
    <w:rsid w:val="00AE7DF6"/>
    <w:rsid w:val="00B0349F"/>
    <w:rsid w:val="00B115E6"/>
    <w:rsid w:val="00B16B23"/>
    <w:rsid w:val="00B2722D"/>
    <w:rsid w:val="00B31E28"/>
    <w:rsid w:val="00B4581E"/>
    <w:rsid w:val="00B47FDA"/>
    <w:rsid w:val="00B52DCD"/>
    <w:rsid w:val="00B7067E"/>
    <w:rsid w:val="00B82AC2"/>
    <w:rsid w:val="00BA17D3"/>
    <w:rsid w:val="00C20B4F"/>
    <w:rsid w:val="00C20ED1"/>
    <w:rsid w:val="00C250C4"/>
    <w:rsid w:val="00C400BB"/>
    <w:rsid w:val="00C758D9"/>
    <w:rsid w:val="00C822C6"/>
    <w:rsid w:val="00C82361"/>
    <w:rsid w:val="00C95226"/>
    <w:rsid w:val="00CB2B11"/>
    <w:rsid w:val="00CC29BF"/>
    <w:rsid w:val="00CD1C61"/>
    <w:rsid w:val="00CF511C"/>
    <w:rsid w:val="00D0110E"/>
    <w:rsid w:val="00D27D22"/>
    <w:rsid w:val="00D4673B"/>
    <w:rsid w:val="00D75EBC"/>
    <w:rsid w:val="00D96A35"/>
    <w:rsid w:val="00DE464A"/>
    <w:rsid w:val="00DF7B4B"/>
    <w:rsid w:val="00E0661C"/>
    <w:rsid w:val="00E234C1"/>
    <w:rsid w:val="00E5029E"/>
    <w:rsid w:val="00E621B9"/>
    <w:rsid w:val="00E70809"/>
    <w:rsid w:val="00E91487"/>
    <w:rsid w:val="00EC28B4"/>
    <w:rsid w:val="00EC4AF3"/>
    <w:rsid w:val="00EE67AF"/>
    <w:rsid w:val="00EF0386"/>
    <w:rsid w:val="00EF2D09"/>
    <w:rsid w:val="00F01611"/>
    <w:rsid w:val="00F031D8"/>
    <w:rsid w:val="00F11CD7"/>
    <w:rsid w:val="00F127EA"/>
    <w:rsid w:val="00F35267"/>
    <w:rsid w:val="00F373CB"/>
    <w:rsid w:val="00F47183"/>
    <w:rsid w:val="00F9219F"/>
    <w:rsid w:val="00FB4458"/>
    <w:rsid w:val="00FB7CF5"/>
    <w:rsid w:val="00FC0A9E"/>
    <w:rsid w:val="00FE241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DF5"/>
  </w:style>
  <w:style w:type="paragraph" w:styleId="Heading1">
    <w:name w:val="heading 1"/>
    <w:basedOn w:val="Normal"/>
    <w:next w:val="Normal"/>
    <w:link w:val="Heading1Char"/>
    <w:uiPriority w:val="9"/>
    <w:qFormat/>
    <w:rsid w:val="000A19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19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19B4"/>
    <w:rPr>
      <w:rFonts w:eastAsiaTheme="minorEastAsia"/>
      <w:lang w:val="en-US"/>
    </w:rPr>
  </w:style>
  <w:style w:type="character" w:customStyle="1" w:styleId="Heading1Char">
    <w:name w:val="Heading 1 Char"/>
    <w:basedOn w:val="DefaultParagraphFont"/>
    <w:link w:val="Heading1"/>
    <w:uiPriority w:val="9"/>
    <w:rsid w:val="000A19B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A19B4"/>
    <w:pPr>
      <w:outlineLvl w:val="9"/>
    </w:pPr>
    <w:rPr>
      <w:lang w:val="en-US"/>
    </w:rPr>
  </w:style>
  <w:style w:type="paragraph" w:styleId="ListParagraph">
    <w:name w:val="List Paragraph"/>
    <w:basedOn w:val="Normal"/>
    <w:uiPriority w:val="34"/>
    <w:qFormat/>
    <w:rsid w:val="000A19B4"/>
    <w:pPr>
      <w:suppressAutoHyphens/>
      <w:autoSpaceDN w:val="0"/>
      <w:spacing w:after="0" w:line="240" w:lineRule="auto"/>
      <w:ind w:left="720"/>
      <w:textAlignment w:val="baseline"/>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0A19B4"/>
    <w:pPr>
      <w:spacing w:after="100"/>
    </w:pPr>
  </w:style>
  <w:style w:type="character" w:styleId="Hyperlink">
    <w:name w:val="Hyperlink"/>
    <w:basedOn w:val="DefaultParagraphFont"/>
    <w:uiPriority w:val="99"/>
    <w:unhideWhenUsed/>
    <w:rsid w:val="000A19B4"/>
    <w:rPr>
      <w:color w:val="0563C1" w:themeColor="hyperlink"/>
      <w:u w:val="single"/>
    </w:rPr>
  </w:style>
  <w:style w:type="paragraph" w:styleId="Header">
    <w:name w:val="header"/>
    <w:basedOn w:val="Normal"/>
    <w:link w:val="HeaderChar"/>
    <w:uiPriority w:val="99"/>
    <w:unhideWhenUsed/>
    <w:rsid w:val="000A19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9B4"/>
  </w:style>
  <w:style w:type="paragraph" w:styleId="Footer">
    <w:name w:val="footer"/>
    <w:basedOn w:val="Normal"/>
    <w:link w:val="FooterChar"/>
    <w:uiPriority w:val="99"/>
    <w:unhideWhenUsed/>
    <w:rsid w:val="000A19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9B4"/>
  </w:style>
  <w:style w:type="character" w:customStyle="1" w:styleId="UnresolvedMention">
    <w:name w:val="Unresolved Mention"/>
    <w:basedOn w:val="DefaultParagraphFont"/>
    <w:uiPriority w:val="99"/>
    <w:semiHidden/>
    <w:unhideWhenUsed/>
    <w:rsid w:val="004765CB"/>
    <w:rPr>
      <w:color w:val="605E5C"/>
      <w:shd w:val="clear" w:color="auto" w:fill="E1DFDD"/>
    </w:rPr>
  </w:style>
  <w:style w:type="paragraph" w:styleId="BalloonText">
    <w:name w:val="Balloon Text"/>
    <w:basedOn w:val="Normal"/>
    <w:link w:val="BalloonTextChar"/>
    <w:uiPriority w:val="99"/>
    <w:semiHidden/>
    <w:unhideWhenUsed/>
    <w:rsid w:val="00E621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1B9"/>
    <w:rPr>
      <w:rFonts w:ascii="Tahoma" w:hAnsi="Tahoma" w:cs="Tahoma"/>
      <w:sz w:val="16"/>
      <w:szCs w:val="16"/>
    </w:rPr>
  </w:style>
  <w:style w:type="character" w:styleId="FollowedHyperlink">
    <w:name w:val="FollowedHyperlink"/>
    <w:basedOn w:val="DefaultParagraphFont"/>
    <w:uiPriority w:val="99"/>
    <w:semiHidden/>
    <w:unhideWhenUsed/>
    <w:rsid w:val="009C51C0"/>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emf"/><Relationship Id="rId26" Type="http://schemas.openxmlformats.org/officeDocument/2006/relationships/hyperlink" Target="https://www.acas.org.uk/what-must-be-written-in-an-employment-contract/what-the-written-terms-must-include" TargetMode="External"/><Relationship Id="rId39" Type="http://schemas.openxmlformats.org/officeDocument/2006/relationships/hyperlink" Target="https://hbr.org/2016/03/two-thirds-of-managers-are-uncomfortable-communicating-with-employees" TargetMode="External"/><Relationship Id="rId21" Type="http://schemas.openxmlformats.org/officeDocument/2006/relationships/image" Target="media/image12.png"/><Relationship Id="rId34" Type="http://schemas.openxmlformats.org/officeDocument/2006/relationships/hyperlink" Target="https://hbr.org/2019/11/the-leader-as-coach" TargetMode="External"/><Relationship Id="rId42" Type="http://schemas.openxmlformats.org/officeDocument/2006/relationships/hyperlink" Target="https://hbr.org/2019/02/research-when-small-teams-are-better-than-big-ones" TargetMode="External"/><Relationship Id="rId47" Type="http://schemas.openxmlformats.org/officeDocument/2006/relationships/hyperlink" Target="https://fbr.springeropen.com/articles/10.1186/s11782-018-0025-y" TargetMode="External"/><Relationship Id="rId50" Type="http://schemas.openxmlformats.org/officeDocument/2006/relationships/hyperlink" Target="https://www.forbes.com/sites/williamcraig/2018/08/14/why-communicating-company-goals-is-key-for-employee-growth/?sh=3deabd413b85" TargetMode="External"/><Relationship Id="rId55" Type="http://schemas.openxmlformats.org/officeDocument/2006/relationships/hyperlink" Target="https://www.forbes.com/sites/ericmosley/2020/01/30/6-ways-to-reinvent-your-companys-performance-management/?sh=710a7635b865" TargetMode="External"/><Relationship Id="rId63" Type="http://schemas.openxmlformats.org/officeDocument/2006/relationships/hyperlink" Target="https://hbr.org/2019/02/research-when-small-teams-are-better-than-big-ones"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emf"/><Relationship Id="rId29" Type="http://schemas.openxmlformats.org/officeDocument/2006/relationships/hyperlink" Target="https://www.cipd.co.uk/knowledge/fundamentals/people/performance/appraisals-factsheet" TargetMode="External"/><Relationship Id="rId41" Type="http://schemas.openxmlformats.org/officeDocument/2006/relationships/hyperlink" Target="https://www.trainingjournal.com/articles/feature/power-praise-and-recognition" TargetMode="External"/><Relationship Id="rId54" Type="http://schemas.openxmlformats.org/officeDocument/2006/relationships/hyperlink" Target="https://www.cipd.co.uk/news-views/news-articles/performance-productivity-learning" TargetMode="External"/><Relationship Id="rId62" Type="http://schemas.openxmlformats.org/officeDocument/2006/relationships/hyperlink" Target="https://www.trainingjournal.com/articles/feature/power-praise-and-recogni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emf"/><Relationship Id="rId32" Type="http://schemas.openxmlformats.org/officeDocument/2006/relationships/hyperlink" Target="https://www.legislation.gov.uk/ukpga/2010/15/contents" TargetMode="External"/><Relationship Id="rId37" Type="http://schemas.openxmlformats.org/officeDocument/2006/relationships/hyperlink" Target="https://www.breathehr.com/en-gb/blog/topic/employee-performance/the-performance-management-cycle-a-simple-guide" TargetMode="External"/><Relationship Id="rId40" Type="http://schemas.openxmlformats.org/officeDocument/2006/relationships/hyperlink" Target="https://www.sciencedirect.com/science/article/abs/pii/S0361368216300770" TargetMode="External"/><Relationship Id="rId45" Type="http://schemas.openxmlformats.org/officeDocument/2006/relationships/hyperlink" Target="https://journals.sagepub.com/doi/full/10.1177/0001839217713748?utm_source=Adestra&amp;utm_medium=email&amp;utm_content=Resend+of+8J1275&amp;utm_campaign=not+tracked&amp;utm_term=&amp;%20" TargetMode="External"/><Relationship Id="rId53" Type="http://schemas.openxmlformats.org/officeDocument/2006/relationships/hyperlink" Target="https://hbr.org/2019/11/the-leader-as-coach" TargetMode="External"/><Relationship Id="rId58" Type="http://schemas.openxmlformats.org/officeDocument/2006/relationships/hyperlink" Target="https://www.peoplematters.in/article/performance-management/how-to-empower-employees-to-take-ownership-of-their-own-performance-23247" TargetMode="External"/><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emf"/><Relationship Id="rId28" Type="http://schemas.openxmlformats.org/officeDocument/2006/relationships/hyperlink" Target="https://fbr.springeropen.com/articles/10.1186/s11782-018-0025-y" TargetMode="External"/><Relationship Id="rId36" Type="http://schemas.openxmlformats.org/officeDocument/2006/relationships/hyperlink" Target="https://www.forbes.com/sites/ericmosley/2020/01/30/6-ways-to-reinvent-your-companys-performance-management/?sh=710a7635b865" TargetMode="External"/><Relationship Id="rId49" Type="http://schemas.openxmlformats.org/officeDocument/2006/relationships/hyperlink" Target="https://www.cipd.co.uk/knowledge/fundamentals/people/development/coaching-mentoring-factsheet" TargetMode="External"/><Relationship Id="rId57" Type="http://schemas.openxmlformats.org/officeDocument/2006/relationships/hyperlink" Target="https://www.breathehr.com/en-gb/blog/topic/employee-performance/the-performance-management-cycle-a-simple-guide" TargetMode="External"/><Relationship Id="rId61" Type="http://schemas.openxmlformats.org/officeDocument/2006/relationships/hyperlink" Target="https://moodle.uwtsd.ac.uk/pluginfile.php/252307/mod_resource/content/1/Article%202016%20AMO%20line%20managers%20to%20implement%20HR%20practices.pdf%20" TargetMode="External"/><Relationship Id="rId10" Type="http://schemas.openxmlformats.org/officeDocument/2006/relationships/image" Target="media/image1.png"/><Relationship Id="rId19" Type="http://schemas.openxmlformats.org/officeDocument/2006/relationships/image" Target="media/image10.emf"/><Relationship Id="rId31" Type="http://schemas.openxmlformats.org/officeDocument/2006/relationships/hyperlink" Target="https://www.forbes.com/sites/williamcraig/2018/08/14/why-communicating-company-goals-is-key-for-employee-growth/?sh=3deabd413b85" TargetMode="External"/><Relationship Id="rId44" Type="http://schemas.openxmlformats.org/officeDocument/2006/relationships/hyperlink" Target="https://www.acas.org.uk/what-must-be-written-in-an-employment-contract/what-the-written-terms-must-include" TargetMode="External"/><Relationship Id="rId52" Type="http://schemas.openxmlformats.org/officeDocument/2006/relationships/hyperlink" Target="https://www.forbes.com/sites/johnhall/2019/05/09/the-cost-of-turnover-can-kill-your-business-and-make-things-less-fun/?sh=270399ea7943" TargetMode="External"/><Relationship Id="rId60" Type="http://schemas.openxmlformats.org/officeDocument/2006/relationships/hyperlink" Target="https://www.sciencedirect.com/science/article/abs/pii/S0361368216300770" TargetMode="External"/><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emf"/><Relationship Id="rId27" Type="http://schemas.openxmlformats.org/officeDocument/2006/relationships/hyperlink" Target="https://www.cipd.co.uk/knowledge/fundamentals/people/pay/performance-factsheet" TargetMode="External"/><Relationship Id="rId30" Type="http://schemas.openxmlformats.org/officeDocument/2006/relationships/hyperlink" Target="https://www.cipd.co.uk/knowledge/fundamentals/people/development/coaching-mentoring-factsheet" TargetMode="External"/><Relationship Id="rId35" Type="http://schemas.openxmlformats.org/officeDocument/2006/relationships/hyperlink" Target="https://www.cipd.co.uk/news-views/news-articles/performance-productivity-learning" TargetMode="External"/><Relationship Id="rId43" Type="http://schemas.openxmlformats.org/officeDocument/2006/relationships/hyperlink" Target="https://www.xperthr.co.uk/editors-choice/are-line-managers-competent-in-managing-underperformance/107425/" TargetMode="External"/><Relationship Id="rId48" Type="http://schemas.openxmlformats.org/officeDocument/2006/relationships/hyperlink" Target="https://www.cipd.co.uk/knowledge/fundamentals/people/performance/appraisals-factsheet" TargetMode="External"/><Relationship Id="rId56" Type="http://schemas.openxmlformats.org/officeDocument/2006/relationships/hyperlink" Target="https://hbr.org/2017/10/how-to-give-feedback-people-can-actually-use%20" TargetMode="External"/><Relationship Id="rId64" Type="http://schemas.openxmlformats.org/officeDocument/2006/relationships/hyperlink" Target="https://www.xperthr.co.uk/editors-choice/are-line-managers-competent-in-managing-underperformance/107425/" TargetMode="External"/><Relationship Id="rId8" Type="http://schemas.openxmlformats.org/officeDocument/2006/relationships/endnotes" Target="endnotes.xml"/><Relationship Id="rId51" Type="http://schemas.openxmlformats.org/officeDocument/2006/relationships/hyperlink" Target="https://www.legislation.gov.uk/ukpga/2010/15/contents" TargetMode="Externa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emf"/><Relationship Id="rId25" Type="http://schemas.openxmlformats.org/officeDocument/2006/relationships/image" Target="media/image16.emf"/><Relationship Id="rId33" Type="http://schemas.openxmlformats.org/officeDocument/2006/relationships/hyperlink" Target="https://www.forbes.com/sites/johnhall/2019/05/09/the-cost-of-turnover-can-kill-your-business-and-make-things-less-fun/?sh=270399ea7943" TargetMode="External"/><Relationship Id="rId38" Type="http://schemas.openxmlformats.org/officeDocument/2006/relationships/hyperlink" Target="https://www.peoplematters.in/article/performance-management/how-to-empower-employees-to-take-ownership-of-their-own-performance-23247" TargetMode="External"/><Relationship Id="rId46" Type="http://schemas.openxmlformats.org/officeDocument/2006/relationships/hyperlink" Target="https://www.cipd.co.uk/knowledge/fundamentals/people/pay/performance-factsheet" TargetMode="External"/><Relationship Id="rId59" Type="http://schemas.openxmlformats.org/officeDocument/2006/relationships/hyperlink" Target="https://hbr.org/2016/03/two-thirds-of-managers-are-uncomfortable-communicating-with-employ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0E0058-8198-4C11-9425-43427A205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2290</TotalTime>
  <Pages>23</Pages>
  <Words>5391</Words>
  <Characters>30729</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Contributing to Improvement of Individual and Organizational Performance</vt:lpstr>
    </vt:vector>
  </TitlesOfParts>
  <Company/>
  <LinksUpToDate>false</LinksUpToDate>
  <CharactersWithSpaces>36048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Contributing to Improvement of Individual and Organizational Performance</dc:title>
  <dc:subject/>
  <dc:creator>Kimberley Low</dc:creator>
  <cp:keywords/>
  <dc:description/>
  <cp:lastModifiedBy>Royston</cp:lastModifiedBy>
  <cp:revision>125</cp:revision>
  <dcterms:created xsi:type="dcterms:W3CDTF">2021-09-19T14:13:00Z</dcterms:created>
  <dcterms:modified xsi:type="dcterms:W3CDTF">2021-09-27T15:02:00Z</dcterms:modified>
</cp:coreProperties>
</file>