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1C496" w14:textId="676CB3D4" w:rsidR="0037082F" w:rsidRDefault="00E404F8" w:rsidP="007207B1">
      <w:pPr>
        <w:jc w:val="both"/>
      </w:pPr>
      <w:r>
        <w:t>“It was his nobility that led Oedipus to kill the stranger. He had been offended and physically assaulted by his victims before he killed them […] this act was done in the right way at the right time to the right people and did not result from a defect of character. Rather, it was done by a noble, kingly individual who had been grossly affronted and assaulted. He did not intend to ‘go so wrong’ in doing so and had the stranger not been related to him Oedipus would not have committed hamartia.”</w:t>
      </w:r>
      <w:r>
        <w:rPr>
          <w:rStyle w:val="FootnoteReference"/>
        </w:rPr>
        <w:footnoteReference w:id="1"/>
      </w:r>
    </w:p>
    <w:p w14:paraId="4CEFFC69" w14:textId="22EFA24E" w:rsidR="004B0E8B" w:rsidRPr="004B0E8B" w:rsidRDefault="001B41F8" w:rsidP="007207B1">
      <w:pPr>
        <w:jc w:val="both"/>
      </w:pPr>
      <w:r>
        <w:t xml:space="preserve">The above excerpt from Philip Tonner embodies the </w:t>
      </w:r>
      <w:r w:rsidR="00E67687">
        <w:t xml:space="preserve">typical reading of Oedipus Rex as a tragedy that this essay will </w:t>
      </w:r>
      <w:r w:rsidR="004B0E8B">
        <w:t>scrutinise</w:t>
      </w:r>
      <w:r w:rsidR="00E67687">
        <w:t xml:space="preserve">: that Oedipus’ lot is a tragic one because, through no fault of his own, he erroneously killed his father and married his mother </w:t>
      </w:r>
      <w:proofErr w:type="gramStart"/>
      <w:r w:rsidR="00E67687">
        <w:t>on account of</w:t>
      </w:r>
      <w:proofErr w:type="gramEnd"/>
      <w:r w:rsidR="00E67687">
        <w:t xml:space="preserve"> mistaken identities.</w:t>
      </w:r>
      <w:r w:rsidR="0020337E">
        <w:t xml:space="preserve"> </w:t>
      </w:r>
      <w:r w:rsidR="001A6E5B">
        <w:t xml:space="preserve">These errors </w:t>
      </w:r>
      <w:bookmarkStart w:id="0" w:name="_GoBack"/>
      <w:bookmarkEnd w:id="0"/>
      <w:r w:rsidR="001A6E5B">
        <w:t xml:space="preserve">are collectively referred to by Aristotle as </w:t>
      </w:r>
      <w:r w:rsidR="004B0E8B" w:rsidRPr="004B0E8B">
        <w:rPr>
          <w:i/>
        </w:rPr>
        <w:t>hamartia</w:t>
      </w:r>
      <w:r w:rsidR="004B0E8B">
        <w:t xml:space="preserve"> </w:t>
      </w:r>
      <w:r w:rsidR="001A6E5B">
        <w:t xml:space="preserve">and </w:t>
      </w:r>
      <w:r w:rsidR="00CC5595">
        <w:t>a</w:t>
      </w:r>
      <w:r w:rsidR="001A6E5B">
        <w:t>re</w:t>
      </w:r>
      <w:r w:rsidR="004B0E8B">
        <w:t xml:space="preserve"> </w:t>
      </w:r>
      <w:r w:rsidR="001A6E5B">
        <w:t xml:space="preserve">discussed in his </w:t>
      </w:r>
      <w:r w:rsidR="004B0E8B" w:rsidRPr="004873EC">
        <w:rPr>
          <w:i/>
        </w:rPr>
        <w:t>Poetics</w:t>
      </w:r>
      <w:r w:rsidR="004B0E8B">
        <w:t xml:space="preserve">. </w:t>
      </w:r>
      <w:r w:rsidR="001A6E5B">
        <w:t xml:space="preserve">As such, by examining the orthodox interpretation of Oedipus Rex as a tragedy caused by </w:t>
      </w:r>
      <w:r w:rsidR="001A6E5B" w:rsidRPr="007207B1">
        <w:rPr>
          <w:i/>
        </w:rPr>
        <w:t>hamartia</w:t>
      </w:r>
      <w:r w:rsidR="001A6E5B">
        <w:t xml:space="preserve">, translated loosely as ‘a </w:t>
      </w:r>
      <w:r w:rsidR="00613034">
        <w:t>well-intentioned</w:t>
      </w:r>
      <w:r w:rsidR="001A6E5B">
        <w:t xml:space="preserve"> mistake’, this essay is </w:t>
      </w:r>
      <w:r w:rsidR="00CC5595">
        <w:t xml:space="preserve">by extension </w:t>
      </w:r>
      <w:r w:rsidR="001A6E5B">
        <w:t>also scrutinising Aristotle’s very own application of the term to the text</w:t>
      </w:r>
      <w:r w:rsidR="00CC5595">
        <w:t xml:space="preserve"> which formed the basis of the drama’s critical commentary thereafter</w:t>
      </w:r>
      <w:r w:rsidR="001A6E5B">
        <w:t>.</w:t>
      </w:r>
    </w:p>
    <w:p w14:paraId="34983FDA" w14:textId="77777777" w:rsidR="00613034" w:rsidRDefault="00CC5595" w:rsidP="007207B1">
      <w:pPr>
        <w:jc w:val="both"/>
      </w:pPr>
      <w:r>
        <w:t xml:space="preserve">To </w:t>
      </w:r>
      <w:proofErr w:type="gramStart"/>
      <w:r>
        <w:t>hone in on</w:t>
      </w:r>
      <w:proofErr w:type="gramEnd"/>
      <w:r>
        <w:t xml:space="preserve"> the </w:t>
      </w:r>
      <w:r>
        <w:t>exact meaning Aristotle deployed</w:t>
      </w:r>
      <w:r>
        <w:t xml:space="preserve"> in his use of </w:t>
      </w:r>
      <w:r w:rsidRPr="00CC5595">
        <w:rPr>
          <w:i/>
        </w:rPr>
        <w:t>hamartia</w:t>
      </w:r>
      <w:r>
        <w:t xml:space="preserve">, this inquiry will begin with </w:t>
      </w:r>
      <w:r w:rsidR="001A6E5B">
        <w:t xml:space="preserve">a close philological analysis of the evolution of </w:t>
      </w:r>
      <w:r w:rsidR="001A6E5B" w:rsidRPr="001A6E5B">
        <w:rPr>
          <w:i/>
        </w:rPr>
        <w:t>hamartia</w:t>
      </w:r>
      <w:r>
        <w:t>.</w:t>
      </w:r>
    </w:p>
    <w:p w14:paraId="0EA0D41C" w14:textId="4FD64F15" w:rsidR="001A6E5B" w:rsidRDefault="00CC5595" w:rsidP="007207B1">
      <w:pPr>
        <w:jc w:val="both"/>
      </w:pPr>
      <w:r>
        <w:t>Its earliest and most literal sense of the word as ‘miss, fall short, go astray of a goal or target’, prevalent from 9</w:t>
      </w:r>
      <w:r w:rsidRPr="00CC5595">
        <w:rPr>
          <w:vertAlign w:val="superscript"/>
        </w:rPr>
        <w:t>th</w:t>
      </w:r>
      <w:r>
        <w:t xml:space="preserve"> to 5</w:t>
      </w:r>
      <w:r w:rsidRPr="00CC5595">
        <w:rPr>
          <w:vertAlign w:val="superscript"/>
        </w:rPr>
        <w:t>th</w:t>
      </w:r>
      <w:r>
        <w:t xml:space="preserve"> centuries BCE and common in Homer, will be of little use to this ethical evaluation </w:t>
      </w:r>
      <w:r w:rsidR="00613034">
        <w:t>as to whether</w:t>
      </w:r>
      <w:r>
        <w:t xml:space="preserve"> Oedipus’ behaviour</w:t>
      </w:r>
      <w:r w:rsidR="00613034">
        <w:t xml:space="preserve"> is on the whole blameworthy for his eventual demise</w:t>
      </w:r>
      <w:r>
        <w:t xml:space="preserve">. This initial meaning </w:t>
      </w:r>
      <w:r w:rsidR="00613034">
        <w:t>did not relate to morality in any way nor did it indicate a deviation from an accepted moral standard: instead it related to the misfiring of ballistic weapons.</w:t>
      </w:r>
    </w:p>
    <w:p w14:paraId="085D0EA6" w14:textId="77777777" w:rsidR="007207B1" w:rsidRDefault="00613034" w:rsidP="007207B1">
      <w:pPr>
        <w:jc w:val="both"/>
        <w:rPr>
          <w:rFonts w:ascii="Calibri" w:hAnsi="Calibri" w:cs="Calibri"/>
          <w:color w:val="000000"/>
          <w:shd w:val="clear" w:color="auto" w:fill="FFFFFF"/>
        </w:rPr>
      </w:pPr>
      <w:r>
        <w:t>On the other hand, the 5</w:t>
      </w:r>
      <w:r w:rsidRPr="00613034">
        <w:rPr>
          <w:vertAlign w:val="superscript"/>
        </w:rPr>
        <w:t>th</w:t>
      </w:r>
      <w:r>
        <w:t xml:space="preserve"> century BCE meaning found in Aeschylus, Sophocles, Euripides, Herodotus and Thucydides is more useful. It focuses </w:t>
      </w:r>
      <w:r w:rsidR="00343975">
        <w:t xml:space="preserve">on </w:t>
      </w:r>
      <w:r w:rsidR="00343975">
        <w:rPr>
          <w:rFonts w:ascii="Calibri" w:hAnsi="Calibri" w:cs="Calibri"/>
          <w:color w:val="000000"/>
          <w:shd w:val="clear" w:color="auto" w:fill="FFFFFF"/>
        </w:rPr>
        <w:t>'err' and actions of good intent that fail to meet their intended goals</w:t>
      </w:r>
      <w:r w:rsidR="00343975">
        <w:rPr>
          <w:rFonts w:ascii="Calibri" w:hAnsi="Calibri" w:cs="Calibri"/>
          <w:color w:val="000000"/>
          <w:shd w:val="clear" w:color="auto" w:fill="FFFFFF"/>
        </w:rPr>
        <w:t xml:space="preserve"> and thus adds an important ethical consideration to consider: did Oedipus possess ‘good intent’ when he killed Laius and married Jocasta</w:t>
      </w:r>
      <w:r w:rsidR="007207B1">
        <w:rPr>
          <w:rFonts w:ascii="Calibri" w:hAnsi="Calibri" w:cs="Calibri"/>
          <w:color w:val="000000"/>
          <w:shd w:val="clear" w:color="auto" w:fill="FFFFFF"/>
        </w:rPr>
        <w:t>?</w:t>
      </w:r>
      <w:r w:rsidR="00343975">
        <w:rPr>
          <w:rFonts w:ascii="Calibri" w:hAnsi="Calibri" w:cs="Calibri"/>
          <w:color w:val="000000"/>
          <w:shd w:val="clear" w:color="auto" w:fill="FFFFFF"/>
        </w:rPr>
        <w:t xml:space="preserve"> </w:t>
      </w:r>
      <w:r w:rsidR="007207B1">
        <w:rPr>
          <w:rFonts w:ascii="Calibri" w:hAnsi="Calibri" w:cs="Calibri"/>
          <w:color w:val="000000"/>
          <w:shd w:val="clear" w:color="auto" w:fill="FFFFFF"/>
        </w:rPr>
        <w:t xml:space="preserve">Well, what would ‘good intent’ be? </w:t>
      </w:r>
    </w:p>
    <w:p w14:paraId="4090A045" w14:textId="19465612" w:rsidR="007207B1" w:rsidRDefault="007207B1" w:rsidP="007207B1">
      <w:pPr>
        <w:jc w:val="both"/>
        <w:rPr>
          <w:rFonts w:ascii="Calibri" w:hAnsi="Calibri" w:cs="Calibri"/>
          <w:color w:val="000000"/>
          <w:shd w:val="clear" w:color="auto" w:fill="FFFFFF"/>
        </w:rPr>
      </w:pPr>
      <w:r>
        <w:rPr>
          <w:rFonts w:ascii="Calibri" w:hAnsi="Calibri" w:cs="Calibri"/>
          <w:color w:val="000000"/>
          <w:shd w:val="clear" w:color="auto" w:fill="FFFFFF"/>
        </w:rPr>
        <w:t xml:space="preserve">From a self-preserving perspective, this would mean a desire to avoid fulfilling the self-ruinous foretelling by not killing his father and copulating with his mother. Did Oedipus have enough awareness to avoid fulfilling the oracle: yes. </w:t>
      </w:r>
      <w:r>
        <w:rPr>
          <w:rFonts w:ascii="Calibri" w:hAnsi="Calibri" w:cs="Calibri"/>
          <w:color w:val="000000"/>
          <w:shd w:val="clear" w:color="auto" w:fill="FFFFFF"/>
        </w:rPr>
        <w:t xml:space="preserve">The prophecy </w:t>
      </w:r>
      <w:r>
        <w:rPr>
          <w:rFonts w:ascii="Calibri" w:hAnsi="Calibri" w:cs="Calibri"/>
          <w:color w:val="000000"/>
          <w:shd w:val="clear" w:color="auto" w:fill="FFFFFF"/>
        </w:rPr>
        <w:t>would</w:t>
      </w:r>
      <w:r>
        <w:rPr>
          <w:rFonts w:ascii="Calibri" w:hAnsi="Calibri" w:cs="Calibri"/>
          <w:color w:val="000000"/>
          <w:shd w:val="clear" w:color="auto" w:fill="FFFFFF"/>
        </w:rPr>
        <w:t xml:space="preserve"> have been operative on his mind for two reasons. One, as the journey between Delphi and the three-forked crossroad was within the small region of Phocis, he </w:t>
      </w:r>
      <w:r>
        <w:rPr>
          <w:rFonts w:ascii="Calibri" w:hAnsi="Calibri" w:cs="Calibri"/>
          <w:color w:val="000000"/>
          <w:shd w:val="clear" w:color="auto" w:fill="FFFFFF"/>
        </w:rPr>
        <w:t>could</w:t>
      </w:r>
      <w:r>
        <w:rPr>
          <w:rFonts w:ascii="Calibri" w:hAnsi="Calibri" w:cs="Calibri"/>
          <w:color w:val="000000"/>
          <w:shd w:val="clear" w:color="auto" w:fill="FFFFFF"/>
        </w:rPr>
        <w:t xml:space="preserve"> not have forgotten the doom laded portent during a travel of this </w:t>
      </w:r>
      <w:r>
        <w:rPr>
          <w:rFonts w:ascii="Calibri" w:hAnsi="Calibri" w:cs="Calibri"/>
          <w:color w:val="000000"/>
          <w:shd w:val="clear" w:color="auto" w:fill="FFFFFF"/>
        </w:rPr>
        <w:t xml:space="preserve">small </w:t>
      </w:r>
      <w:r>
        <w:rPr>
          <w:rFonts w:ascii="Calibri" w:hAnsi="Calibri" w:cs="Calibri"/>
          <w:color w:val="000000"/>
          <w:shd w:val="clear" w:color="auto" w:fill="FFFFFF"/>
        </w:rPr>
        <w:t xml:space="preserve">distance. Secondly, due to his much-lauded intellect, he </w:t>
      </w:r>
      <w:r>
        <w:rPr>
          <w:rFonts w:ascii="Calibri" w:hAnsi="Calibri" w:cs="Calibri"/>
          <w:color w:val="000000"/>
          <w:shd w:val="clear" w:color="auto" w:fill="FFFFFF"/>
        </w:rPr>
        <w:t>would</w:t>
      </w:r>
      <w:r>
        <w:rPr>
          <w:rFonts w:ascii="Calibri" w:hAnsi="Calibri" w:cs="Calibri"/>
          <w:color w:val="000000"/>
          <w:shd w:val="clear" w:color="auto" w:fill="FFFFFF"/>
        </w:rPr>
        <w:t xml:space="preserve"> have easily anticipated </w:t>
      </w:r>
      <w:r>
        <w:t xml:space="preserve">the self-ruinous consequences of tangling with a man old enough to be his father and copulating with a woman old enough to his mother. </w:t>
      </w:r>
      <w:r>
        <w:rPr>
          <w:rFonts w:ascii="Calibri" w:hAnsi="Calibri" w:cs="Calibri"/>
          <w:color w:val="000000"/>
          <w:shd w:val="clear" w:color="auto" w:fill="FFFFFF"/>
        </w:rPr>
        <w:t xml:space="preserve">However, Oedipus’ own recollection of how he wrathfully slaughtered Laius (and his travelling party), reveals the recklessness, </w:t>
      </w:r>
      <w:r>
        <w:rPr>
          <w:rFonts w:ascii="Calibri" w:hAnsi="Calibri" w:cs="Calibri"/>
          <w:color w:val="000000"/>
          <w:shd w:val="clear" w:color="auto" w:fill="FFFFFF"/>
        </w:rPr>
        <w:t xml:space="preserve">self-abandon and </w:t>
      </w:r>
      <w:r>
        <w:rPr>
          <w:rFonts w:ascii="Calibri" w:hAnsi="Calibri" w:cs="Calibri"/>
          <w:color w:val="000000"/>
          <w:shd w:val="clear" w:color="auto" w:fill="FFFFFF"/>
        </w:rPr>
        <w:t>thoughtlessness with which he committed manslaughter upon a man old enough to be his father. Not quite ‘good intent’: more like indirect self-harm than self-preservation.</w:t>
      </w:r>
    </w:p>
    <w:p w14:paraId="504C4B6F" w14:textId="3C69322A" w:rsidR="007207B1" w:rsidRDefault="007207B1" w:rsidP="007207B1">
      <w:pPr>
        <w:jc w:val="both"/>
        <w:rPr>
          <w:rFonts w:ascii="Calibri" w:hAnsi="Calibri" w:cs="Calibri"/>
          <w:color w:val="000000"/>
          <w:shd w:val="clear" w:color="auto" w:fill="FFFFFF"/>
        </w:rPr>
      </w:pPr>
      <w:r>
        <w:rPr>
          <w:rFonts w:ascii="Calibri" w:hAnsi="Calibri" w:cs="Calibri"/>
          <w:color w:val="000000"/>
          <w:shd w:val="clear" w:color="auto" w:fill="FFFFFF"/>
        </w:rPr>
        <w:t>From a less self-centred perspective, ‘good intent’ would mean wishing his unknown parents well by not jeopardising their wellbeing. Once again Oedipus cannot be said to have done so as his rage-fuelled, haughty, vengeful and disproportionate retaliation fatally imperilled his father.</w:t>
      </w:r>
    </w:p>
    <w:p w14:paraId="36207066" w14:textId="1D66F90C" w:rsidR="007207B1" w:rsidRDefault="007207B1" w:rsidP="007207B1">
      <w:pPr>
        <w:jc w:val="both"/>
        <w:rPr>
          <w:rFonts w:ascii="Calibri" w:hAnsi="Calibri" w:cs="Calibri"/>
          <w:color w:val="000000"/>
          <w:shd w:val="clear" w:color="auto" w:fill="FFFFFF"/>
        </w:rPr>
      </w:pPr>
      <w:r>
        <w:rPr>
          <w:rFonts w:ascii="Calibri" w:hAnsi="Calibri" w:cs="Calibri"/>
          <w:color w:val="000000"/>
          <w:shd w:val="clear" w:color="auto" w:fill="FFFFFF"/>
        </w:rPr>
        <w:t xml:space="preserve">When we consider Oedipus’ dual failure to act with good intent towards himself and his family </w:t>
      </w:r>
      <w:proofErr w:type="gramStart"/>
      <w:r>
        <w:rPr>
          <w:rFonts w:ascii="Calibri" w:hAnsi="Calibri" w:cs="Calibri"/>
          <w:color w:val="000000"/>
          <w:shd w:val="clear" w:color="auto" w:fill="FFFFFF"/>
        </w:rPr>
        <w:t>in light of</w:t>
      </w:r>
      <w:proofErr w:type="gramEnd"/>
      <w:r>
        <w:rPr>
          <w:rFonts w:ascii="Calibri" w:hAnsi="Calibri" w:cs="Calibri"/>
          <w:color w:val="000000"/>
          <w:shd w:val="clear" w:color="auto" w:fill="FFFFFF"/>
        </w:rPr>
        <w:t xml:space="preserve"> </w:t>
      </w:r>
      <w:r>
        <w:rPr>
          <w:rFonts w:ascii="Calibri" w:hAnsi="Calibri" w:cs="Calibri"/>
          <w:color w:val="000000"/>
          <w:shd w:val="clear" w:color="auto" w:fill="FFFFFF"/>
        </w:rPr>
        <w:t xml:space="preserve">Aristotle’s </w:t>
      </w:r>
      <w:r w:rsidRPr="006C4F65">
        <w:rPr>
          <w:rFonts w:ascii="Calibri" w:hAnsi="Calibri" w:cs="Calibri"/>
          <w:i/>
          <w:color w:val="000000"/>
          <w:shd w:val="clear" w:color="auto" w:fill="FFFFFF"/>
        </w:rPr>
        <w:t>Nicomachean Ethics</w:t>
      </w:r>
      <w:r>
        <w:rPr>
          <w:rFonts w:ascii="Calibri" w:hAnsi="Calibri" w:cs="Calibri"/>
          <w:color w:val="000000"/>
          <w:shd w:val="clear" w:color="auto" w:fill="FFFFFF"/>
        </w:rPr>
        <w:t xml:space="preserve">, it becomes irrevocably clear that Oedipus’ behaviour cannot be excused as merely </w:t>
      </w:r>
      <w:r w:rsidRPr="007207B1">
        <w:rPr>
          <w:rFonts w:ascii="Calibri" w:hAnsi="Calibri" w:cs="Calibri"/>
          <w:i/>
          <w:color w:val="000000"/>
          <w:shd w:val="clear" w:color="auto" w:fill="FFFFFF"/>
        </w:rPr>
        <w:t>hamartia</w:t>
      </w:r>
      <w:r>
        <w:rPr>
          <w:rFonts w:ascii="Calibri" w:hAnsi="Calibri" w:cs="Calibri"/>
          <w:color w:val="000000"/>
          <w:shd w:val="clear" w:color="auto" w:fill="FFFFFF"/>
        </w:rPr>
        <w:t xml:space="preserve">. According to Aristotle, harm performed under the state of </w:t>
      </w:r>
      <w:r w:rsidRPr="007207B1">
        <w:rPr>
          <w:rFonts w:ascii="Calibri" w:hAnsi="Calibri" w:cs="Calibri"/>
          <w:i/>
          <w:color w:val="000000"/>
          <w:shd w:val="clear" w:color="auto" w:fill="FFFFFF"/>
        </w:rPr>
        <w:t>akrasia</w:t>
      </w:r>
      <w:r>
        <w:rPr>
          <w:rFonts w:ascii="Calibri" w:hAnsi="Calibri" w:cs="Calibri"/>
          <w:color w:val="000000"/>
          <w:shd w:val="clear" w:color="auto" w:fill="FFFFFF"/>
        </w:rPr>
        <w:t xml:space="preserve"> is </w:t>
      </w:r>
      <w:proofErr w:type="gramStart"/>
      <w:r>
        <w:rPr>
          <w:rFonts w:ascii="Calibri" w:hAnsi="Calibri" w:cs="Calibri"/>
          <w:color w:val="000000"/>
          <w:shd w:val="clear" w:color="auto" w:fill="FFFFFF"/>
        </w:rPr>
        <w:t>actually an</w:t>
      </w:r>
      <w:proofErr w:type="gramEnd"/>
      <w:r>
        <w:rPr>
          <w:rFonts w:ascii="Calibri" w:hAnsi="Calibri" w:cs="Calibri"/>
          <w:color w:val="000000"/>
          <w:shd w:val="clear" w:color="auto" w:fill="FFFFFF"/>
        </w:rPr>
        <w:t xml:space="preserve"> </w:t>
      </w:r>
      <w:proofErr w:type="spellStart"/>
      <w:r w:rsidRPr="007207B1">
        <w:rPr>
          <w:rFonts w:ascii="Calibri" w:hAnsi="Calibri" w:cs="Calibri"/>
          <w:i/>
          <w:color w:val="000000"/>
          <w:shd w:val="clear" w:color="auto" w:fill="FFFFFF"/>
        </w:rPr>
        <w:t>adikia</w:t>
      </w:r>
      <w:proofErr w:type="spellEnd"/>
      <w:r>
        <w:rPr>
          <w:rFonts w:ascii="Calibri" w:hAnsi="Calibri" w:cs="Calibri"/>
          <w:color w:val="000000"/>
          <w:shd w:val="clear" w:color="auto" w:fill="FFFFFF"/>
        </w:rPr>
        <w:t xml:space="preserve">, which translates as a crime or a wrongdoing. An </w:t>
      </w:r>
      <w:r w:rsidRPr="007207B1">
        <w:rPr>
          <w:rFonts w:ascii="Calibri" w:hAnsi="Calibri" w:cs="Calibri"/>
          <w:i/>
          <w:color w:val="000000"/>
          <w:shd w:val="clear" w:color="auto" w:fill="FFFFFF"/>
        </w:rPr>
        <w:t>akratic</w:t>
      </w:r>
      <w:r>
        <w:rPr>
          <w:rFonts w:ascii="Calibri" w:hAnsi="Calibri" w:cs="Calibri"/>
          <w:color w:val="000000"/>
          <w:shd w:val="clear" w:color="auto" w:fill="FFFFFF"/>
        </w:rPr>
        <w:t xml:space="preserve"> individual defies reason </w:t>
      </w:r>
      <w:r>
        <w:rPr>
          <w:rFonts w:ascii="Calibri" w:hAnsi="Calibri" w:cs="Calibri"/>
          <w:color w:val="000000"/>
          <w:shd w:val="clear" w:color="auto" w:fill="FFFFFF"/>
        </w:rPr>
        <w:lastRenderedPageBreak/>
        <w:t xml:space="preserve">due to some overwhelming </w:t>
      </w:r>
      <w:r w:rsidRPr="007207B1">
        <w:rPr>
          <w:rFonts w:ascii="Calibri" w:hAnsi="Calibri" w:cs="Calibri"/>
          <w:i/>
          <w:color w:val="000000"/>
          <w:shd w:val="clear" w:color="auto" w:fill="FFFFFF"/>
        </w:rPr>
        <w:t>pathos</w:t>
      </w:r>
      <w:r>
        <w:rPr>
          <w:rFonts w:ascii="Calibri" w:hAnsi="Calibri" w:cs="Calibri"/>
          <w:color w:val="000000"/>
          <w:shd w:val="clear" w:color="auto" w:fill="FFFFFF"/>
        </w:rPr>
        <w:t xml:space="preserve">, feeling or emotion. This is comparable to Oedipus who allowed his spite against Laius to cloud his thinking and as a result disregard the veracity of a prophecy which he had every reason to heed. </w:t>
      </w:r>
    </w:p>
    <w:p w14:paraId="21794570" w14:textId="4560B188" w:rsidR="007207B1" w:rsidRDefault="007207B1" w:rsidP="007207B1">
      <w:pPr>
        <w:tabs>
          <w:tab w:val="left" w:pos="2595"/>
        </w:tabs>
        <w:jc w:val="both"/>
        <w:rPr>
          <w:rFonts w:ascii="Calibri" w:hAnsi="Calibri" w:cs="Calibri"/>
          <w:color w:val="000000"/>
          <w:shd w:val="clear" w:color="auto" w:fill="FFFFFF"/>
        </w:rPr>
      </w:pPr>
      <w:r>
        <w:rPr>
          <w:rFonts w:ascii="Calibri" w:hAnsi="Calibri" w:cs="Calibri"/>
          <w:color w:val="000000"/>
          <w:shd w:val="clear" w:color="auto" w:fill="FFFFFF"/>
        </w:rPr>
        <w:t xml:space="preserve">If Oedipus’ </w:t>
      </w:r>
      <w:r w:rsidRPr="007207B1">
        <w:rPr>
          <w:rFonts w:ascii="Calibri" w:hAnsi="Calibri" w:cs="Calibri"/>
          <w:i/>
          <w:color w:val="000000"/>
          <w:shd w:val="clear" w:color="auto" w:fill="FFFFFF"/>
        </w:rPr>
        <w:t>akratic</w:t>
      </w:r>
      <w:r>
        <w:rPr>
          <w:rFonts w:ascii="Calibri" w:hAnsi="Calibri" w:cs="Calibri"/>
          <w:color w:val="000000"/>
          <w:shd w:val="clear" w:color="auto" w:fill="FFFFFF"/>
        </w:rPr>
        <w:t xml:space="preserve"> patricide is more of a wrongdoing than a mistake (which is not a farfetched suggestion at all), have we left the realm of the tragic completely? Possibly not. Oedipus’ cavalier disregard towards the prophecy can be interpreted as an indirect insult at Apollo in line with the original meaning of the word hubris: literally meaning ‘I insult the </w:t>
      </w:r>
      <w:proofErr w:type="gramStart"/>
      <w:r>
        <w:rPr>
          <w:rFonts w:ascii="Calibri" w:hAnsi="Calibri" w:cs="Calibri"/>
          <w:color w:val="000000"/>
          <w:shd w:val="clear" w:color="auto" w:fill="FFFFFF"/>
        </w:rPr>
        <w:t>gods’</w:t>
      </w:r>
      <w:proofErr w:type="gramEnd"/>
      <w:r>
        <w:rPr>
          <w:rFonts w:ascii="Calibri" w:hAnsi="Calibri" w:cs="Calibri"/>
          <w:color w:val="000000"/>
          <w:shd w:val="clear" w:color="auto" w:fill="FFFFFF"/>
        </w:rPr>
        <w:t xml:space="preserve">. In this way, and somewhat perversely, Oedipus is punished for the very same thing he was pre-ordained to do. In this light, Apollo hardly seems worthy of worship and observance. Yet, on the other hand, Oedipus, as we know all too well, is no saint. </w:t>
      </w:r>
    </w:p>
    <w:p w14:paraId="20203438" w14:textId="298798A8" w:rsidR="007207B1" w:rsidRDefault="007207B1" w:rsidP="007207B1">
      <w:pPr>
        <w:tabs>
          <w:tab w:val="left" w:pos="2595"/>
        </w:tabs>
        <w:jc w:val="both"/>
        <w:rPr>
          <w:rFonts w:ascii="Calibri" w:hAnsi="Calibri" w:cs="Calibri"/>
          <w:color w:val="000000"/>
          <w:shd w:val="clear" w:color="auto" w:fill="FFFFFF"/>
        </w:rPr>
      </w:pPr>
      <w:r>
        <w:rPr>
          <w:rFonts w:ascii="Calibri" w:hAnsi="Calibri" w:cs="Calibri"/>
          <w:color w:val="000000"/>
          <w:shd w:val="clear" w:color="auto" w:fill="FFFFFF"/>
        </w:rPr>
        <w:t>So, all in all, we find ourselves in a bleak narrative world devoid of any moral centre, which by its very ethically chaotic nature is as apocalyptic and absurd as it is tragic, all in equal measure. Therefore, if Oedipus Rex is a tragedy, it is not for the reasons Aristotle alleges.</w:t>
      </w:r>
    </w:p>
    <w:p w14:paraId="51F82E3C" w14:textId="39129F65" w:rsidR="007207B1" w:rsidRDefault="007207B1">
      <w:pPr>
        <w:rPr>
          <w:rFonts w:ascii="Calibri" w:hAnsi="Calibri" w:cs="Calibri"/>
          <w:color w:val="000000"/>
          <w:shd w:val="clear" w:color="auto" w:fill="FFFFFF"/>
        </w:rPr>
      </w:pPr>
      <w:r>
        <w:rPr>
          <w:rFonts w:ascii="Calibri" w:hAnsi="Calibri" w:cs="Calibri"/>
          <w:color w:val="000000"/>
          <w:shd w:val="clear" w:color="auto" w:fill="FFFFFF"/>
        </w:rPr>
        <w:br w:type="page"/>
      </w:r>
    </w:p>
    <w:p w14:paraId="1A79B93D" w14:textId="1A2B5766" w:rsidR="007207B1" w:rsidRPr="007207B1" w:rsidRDefault="007207B1" w:rsidP="007207B1">
      <w:pPr>
        <w:tabs>
          <w:tab w:val="left" w:pos="2595"/>
        </w:tabs>
        <w:jc w:val="both"/>
        <w:rPr>
          <w:rFonts w:ascii="Calibri" w:hAnsi="Calibri" w:cs="Calibri"/>
          <w:b/>
          <w:color w:val="000000"/>
          <w:u w:val="single"/>
          <w:shd w:val="clear" w:color="auto" w:fill="FFFFFF"/>
        </w:rPr>
      </w:pPr>
      <w:r w:rsidRPr="007207B1">
        <w:rPr>
          <w:rFonts w:ascii="Calibri" w:hAnsi="Calibri" w:cs="Calibri"/>
          <w:b/>
          <w:color w:val="000000"/>
          <w:u w:val="single"/>
          <w:shd w:val="clear" w:color="auto" w:fill="FFFFFF"/>
        </w:rPr>
        <w:lastRenderedPageBreak/>
        <w:t>Primary Texts</w:t>
      </w:r>
    </w:p>
    <w:p w14:paraId="0BC49968" w14:textId="60050796" w:rsidR="007207B1" w:rsidRPr="007207B1" w:rsidRDefault="007207B1" w:rsidP="007207B1">
      <w:pPr>
        <w:pStyle w:val="ListParagraph"/>
        <w:numPr>
          <w:ilvl w:val="0"/>
          <w:numId w:val="1"/>
        </w:numPr>
        <w:tabs>
          <w:tab w:val="left" w:pos="2595"/>
        </w:tabs>
        <w:jc w:val="both"/>
        <w:rPr>
          <w:rFonts w:ascii="Calibri" w:hAnsi="Calibri" w:cs="Calibri"/>
          <w:color w:val="000000"/>
          <w:shd w:val="clear" w:color="auto" w:fill="FFFFFF"/>
        </w:rPr>
      </w:pPr>
      <w:r>
        <w:rPr>
          <w:rFonts w:ascii="Arial" w:hAnsi="Arial" w:cs="Arial"/>
          <w:color w:val="000000"/>
          <w:sz w:val="20"/>
          <w:szCs w:val="20"/>
          <w:shd w:val="clear" w:color="auto" w:fill="FFFFFF"/>
        </w:rPr>
        <w:t>Aristoteles. and Brown, L. (2009). </w:t>
      </w:r>
      <w:r>
        <w:rPr>
          <w:rFonts w:ascii="Arial" w:hAnsi="Arial" w:cs="Arial"/>
          <w:i/>
          <w:iCs/>
          <w:color w:val="000000"/>
          <w:sz w:val="20"/>
          <w:szCs w:val="20"/>
          <w:shd w:val="clear" w:color="auto" w:fill="FFFFFF"/>
        </w:rPr>
        <w:t>The Nicomachean ethics</w:t>
      </w:r>
      <w:r>
        <w:rPr>
          <w:rFonts w:ascii="Arial" w:hAnsi="Arial" w:cs="Arial"/>
          <w:color w:val="000000"/>
          <w:sz w:val="20"/>
          <w:szCs w:val="20"/>
          <w:shd w:val="clear" w:color="auto" w:fill="FFFFFF"/>
        </w:rPr>
        <w:t>. Oxford: Oxford University Press.</w:t>
      </w:r>
    </w:p>
    <w:p w14:paraId="3C00DEE2" w14:textId="3F407DAA" w:rsidR="007207B1" w:rsidRPr="007207B1" w:rsidRDefault="007207B1" w:rsidP="007207B1">
      <w:pPr>
        <w:pStyle w:val="ListParagraph"/>
        <w:numPr>
          <w:ilvl w:val="0"/>
          <w:numId w:val="1"/>
        </w:numPr>
        <w:tabs>
          <w:tab w:val="left" w:pos="2595"/>
        </w:tabs>
        <w:jc w:val="both"/>
        <w:rPr>
          <w:rFonts w:ascii="Calibri" w:hAnsi="Calibri" w:cs="Calibri"/>
          <w:color w:val="000000"/>
          <w:shd w:val="clear" w:color="auto" w:fill="FFFFFF"/>
        </w:rPr>
      </w:pPr>
      <w:r>
        <w:rPr>
          <w:rFonts w:ascii="Arial" w:hAnsi="Arial" w:cs="Arial"/>
          <w:color w:val="000000"/>
          <w:sz w:val="20"/>
          <w:szCs w:val="20"/>
          <w:shd w:val="clear" w:color="auto" w:fill="FFFFFF"/>
        </w:rPr>
        <w:t>Aristoteles. and Heath, M. (1996). </w:t>
      </w:r>
      <w:r>
        <w:rPr>
          <w:rFonts w:ascii="Arial" w:hAnsi="Arial" w:cs="Arial"/>
          <w:i/>
          <w:iCs/>
          <w:color w:val="000000"/>
          <w:sz w:val="20"/>
          <w:szCs w:val="20"/>
          <w:shd w:val="clear" w:color="auto" w:fill="FFFFFF"/>
        </w:rPr>
        <w:t>Poetics</w:t>
      </w:r>
      <w:r>
        <w:rPr>
          <w:rFonts w:ascii="Arial" w:hAnsi="Arial" w:cs="Arial"/>
          <w:color w:val="000000"/>
          <w:sz w:val="20"/>
          <w:szCs w:val="20"/>
          <w:shd w:val="clear" w:color="auto" w:fill="FFFFFF"/>
        </w:rPr>
        <w:t>. London [etc.]: Penguin Books.</w:t>
      </w:r>
    </w:p>
    <w:p w14:paraId="2821B1BC" w14:textId="302A71C5" w:rsidR="007207B1" w:rsidRPr="007207B1" w:rsidRDefault="007207B1" w:rsidP="007207B1">
      <w:pPr>
        <w:pStyle w:val="ListParagraph"/>
        <w:numPr>
          <w:ilvl w:val="0"/>
          <w:numId w:val="1"/>
        </w:numPr>
        <w:tabs>
          <w:tab w:val="left" w:pos="2595"/>
        </w:tabs>
        <w:jc w:val="both"/>
        <w:rPr>
          <w:rFonts w:ascii="Calibri" w:hAnsi="Calibri" w:cs="Calibri"/>
          <w:color w:val="000000"/>
          <w:shd w:val="clear" w:color="auto" w:fill="FFFFFF"/>
        </w:rPr>
      </w:pPr>
      <w:r>
        <w:rPr>
          <w:rFonts w:ascii="Arial" w:hAnsi="Arial" w:cs="Arial"/>
          <w:color w:val="000000"/>
          <w:sz w:val="20"/>
          <w:szCs w:val="20"/>
          <w:shd w:val="clear" w:color="auto" w:fill="FFFFFF"/>
        </w:rPr>
        <w:t>Knox, B. and Sophocles. (2014). </w:t>
      </w:r>
      <w:r>
        <w:rPr>
          <w:rFonts w:ascii="Arial" w:hAnsi="Arial" w:cs="Arial"/>
          <w:i/>
          <w:iCs/>
          <w:color w:val="000000"/>
          <w:sz w:val="20"/>
          <w:szCs w:val="20"/>
          <w:shd w:val="clear" w:color="auto" w:fill="FFFFFF"/>
        </w:rPr>
        <w:t xml:space="preserve">The </w:t>
      </w:r>
      <w:r>
        <w:rPr>
          <w:rFonts w:ascii="Arial" w:hAnsi="Arial" w:cs="Arial"/>
          <w:i/>
          <w:iCs/>
          <w:color w:val="000000"/>
          <w:sz w:val="20"/>
          <w:szCs w:val="20"/>
          <w:shd w:val="clear" w:color="auto" w:fill="FFFFFF"/>
        </w:rPr>
        <w:t>T</w:t>
      </w:r>
      <w:r>
        <w:rPr>
          <w:rFonts w:ascii="Arial" w:hAnsi="Arial" w:cs="Arial"/>
          <w:i/>
          <w:iCs/>
          <w:color w:val="000000"/>
          <w:sz w:val="20"/>
          <w:szCs w:val="20"/>
          <w:shd w:val="clear" w:color="auto" w:fill="FFFFFF"/>
        </w:rPr>
        <w:t xml:space="preserve">hree </w:t>
      </w:r>
      <w:r>
        <w:rPr>
          <w:rFonts w:ascii="Arial" w:hAnsi="Arial" w:cs="Arial"/>
          <w:i/>
          <w:iCs/>
          <w:color w:val="000000"/>
          <w:sz w:val="20"/>
          <w:szCs w:val="20"/>
          <w:shd w:val="clear" w:color="auto" w:fill="FFFFFF"/>
        </w:rPr>
        <w:t>T</w:t>
      </w:r>
      <w:r>
        <w:rPr>
          <w:rFonts w:ascii="Arial" w:hAnsi="Arial" w:cs="Arial"/>
          <w:i/>
          <w:iCs/>
          <w:color w:val="000000"/>
          <w:sz w:val="20"/>
          <w:szCs w:val="20"/>
          <w:shd w:val="clear" w:color="auto" w:fill="FFFFFF"/>
        </w:rPr>
        <w:t>heban plays</w:t>
      </w:r>
      <w:r>
        <w:rPr>
          <w:rFonts w:ascii="Arial" w:hAnsi="Arial" w:cs="Arial"/>
          <w:color w:val="000000"/>
          <w:sz w:val="20"/>
          <w:szCs w:val="20"/>
          <w:shd w:val="clear" w:color="auto" w:fill="FFFFFF"/>
        </w:rPr>
        <w:t>. New York: Penguin Books.</w:t>
      </w:r>
    </w:p>
    <w:p w14:paraId="6F80C4F4" w14:textId="3A10A693" w:rsidR="007207B1" w:rsidRDefault="007207B1" w:rsidP="007207B1">
      <w:pPr>
        <w:tabs>
          <w:tab w:val="left" w:pos="2595"/>
        </w:tabs>
        <w:jc w:val="both"/>
        <w:rPr>
          <w:rFonts w:ascii="Calibri" w:hAnsi="Calibri" w:cs="Calibri"/>
          <w:color w:val="000000"/>
          <w:shd w:val="clear" w:color="auto" w:fill="FFFFFF"/>
        </w:rPr>
      </w:pPr>
    </w:p>
    <w:p w14:paraId="2BD31877" w14:textId="03DF82FA" w:rsidR="007207B1" w:rsidRPr="007207B1" w:rsidRDefault="007207B1" w:rsidP="007207B1">
      <w:pPr>
        <w:tabs>
          <w:tab w:val="left" w:pos="2595"/>
        </w:tabs>
        <w:jc w:val="both"/>
        <w:rPr>
          <w:rFonts w:ascii="Calibri" w:hAnsi="Calibri" w:cs="Calibri"/>
          <w:b/>
          <w:color w:val="000000"/>
          <w:u w:val="single"/>
          <w:shd w:val="clear" w:color="auto" w:fill="FFFFFF"/>
        </w:rPr>
      </w:pPr>
      <w:r w:rsidRPr="007207B1">
        <w:rPr>
          <w:rFonts w:ascii="Calibri" w:hAnsi="Calibri" w:cs="Calibri"/>
          <w:b/>
          <w:color w:val="000000"/>
          <w:u w:val="single"/>
          <w:shd w:val="clear" w:color="auto" w:fill="FFFFFF"/>
        </w:rPr>
        <w:t>Secondary Texts</w:t>
      </w:r>
    </w:p>
    <w:p w14:paraId="40183479" w14:textId="50E2FB0E" w:rsidR="007207B1" w:rsidRPr="007207B1" w:rsidRDefault="007207B1" w:rsidP="007207B1">
      <w:pPr>
        <w:pStyle w:val="ListParagraph"/>
        <w:numPr>
          <w:ilvl w:val="0"/>
          <w:numId w:val="2"/>
        </w:numPr>
        <w:tabs>
          <w:tab w:val="left" w:pos="2595"/>
        </w:tabs>
        <w:jc w:val="both"/>
        <w:rPr>
          <w:rFonts w:ascii="Calibri" w:hAnsi="Calibri" w:cs="Calibri"/>
          <w:color w:val="000000"/>
          <w:shd w:val="clear" w:color="auto" w:fill="FFFFFF"/>
        </w:rPr>
      </w:pPr>
      <w:r>
        <w:rPr>
          <w:rFonts w:ascii="Arial" w:hAnsi="Arial" w:cs="Arial"/>
          <w:color w:val="000000"/>
          <w:sz w:val="20"/>
          <w:szCs w:val="20"/>
          <w:shd w:val="clear" w:color="auto" w:fill="FFFFFF"/>
        </w:rPr>
        <w:t>Plato.stanford.edu. (2018). </w:t>
      </w:r>
      <w:r>
        <w:rPr>
          <w:rFonts w:ascii="Arial" w:hAnsi="Arial" w:cs="Arial"/>
          <w:i/>
          <w:iCs/>
          <w:color w:val="000000"/>
          <w:sz w:val="20"/>
          <w:szCs w:val="20"/>
          <w:shd w:val="clear" w:color="auto" w:fill="FFFFFF"/>
        </w:rPr>
        <w:t xml:space="preserve">Aristotle's Ethics (Stanford </w:t>
      </w:r>
      <w:proofErr w:type="spellStart"/>
      <w:r>
        <w:rPr>
          <w:rFonts w:ascii="Arial" w:hAnsi="Arial" w:cs="Arial"/>
          <w:i/>
          <w:iCs/>
          <w:color w:val="000000"/>
          <w:sz w:val="20"/>
          <w:szCs w:val="20"/>
          <w:shd w:val="clear" w:color="auto" w:fill="FFFFFF"/>
        </w:rPr>
        <w:t>Encyclopedia</w:t>
      </w:r>
      <w:proofErr w:type="spellEnd"/>
      <w:r>
        <w:rPr>
          <w:rFonts w:ascii="Arial" w:hAnsi="Arial" w:cs="Arial"/>
          <w:i/>
          <w:iCs/>
          <w:color w:val="000000"/>
          <w:sz w:val="20"/>
          <w:szCs w:val="20"/>
          <w:shd w:val="clear" w:color="auto" w:fill="FFFFFF"/>
        </w:rPr>
        <w:t xml:space="preserve"> of Philosophy)</w:t>
      </w:r>
      <w:r>
        <w:rPr>
          <w:rFonts w:ascii="Arial" w:hAnsi="Arial" w:cs="Arial"/>
          <w:color w:val="000000"/>
          <w:sz w:val="20"/>
          <w:szCs w:val="20"/>
          <w:shd w:val="clear" w:color="auto" w:fill="FFFFFF"/>
        </w:rPr>
        <w:t>. [online] Available at: https://plato.stanford.edu/entries/aristotle-ethics/#Akra [Accessed 12 Nov. 2018].</w:t>
      </w:r>
    </w:p>
    <w:p w14:paraId="33513DC9" w14:textId="2E0ACD3E" w:rsidR="007207B1" w:rsidRPr="00BF6CF4" w:rsidRDefault="007207B1" w:rsidP="007207B1">
      <w:pPr>
        <w:pStyle w:val="ListParagraph"/>
        <w:numPr>
          <w:ilvl w:val="0"/>
          <w:numId w:val="2"/>
        </w:numPr>
        <w:tabs>
          <w:tab w:val="left" w:pos="2595"/>
        </w:tabs>
        <w:jc w:val="both"/>
        <w:rPr>
          <w:rFonts w:ascii="Calibri" w:hAnsi="Calibri" w:cs="Calibri"/>
          <w:color w:val="000000"/>
          <w:shd w:val="clear" w:color="auto" w:fill="FFFFFF"/>
        </w:rPr>
      </w:pPr>
      <w:r>
        <w:rPr>
          <w:rFonts w:ascii="Arial" w:hAnsi="Arial" w:cs="Arial"/>
          <w:color w:val="000000"/>
          <w:sz w:val="20"/>
          <w:szCs w:val="20"/>
          <w:shd w:val="clear" w:color="auto" w:fill="FFFFFF"/>
        </w:rPr>
        <w:t>Roberts, E. (2014). Reconsidering Hamartia as “Sin” in 1 Corinthians. </w:t>
      </w:r>
      <w:r>
        <w:rPr>
          <w:rFonts w:ascii="Arial" w:hAnsi="Arial" w:cs="Arial"/>
          <w:i/>
          <w:iCs/>
          <w:color w:val="000000"/>
          <w:sz w:val="20"/>
          <w:szCs w:val="20"/>
          <w:shd w:val="clear" w:color="auto" w:fill="FFFFFF"/>
        </w:rPr>
        <w:t>Method &amp; Theory in the Study of Religion</w:t>
      </w:r>
      <w:r>
        <w:rPr>
          <w:rFonts w:ascii="Arial" w:hAnsi="Arial" w:cs="Arial"/>
          <w:color w:val="000000"/>
          <w:sz w:val="20"/>
          <w:szCs w:val="20"/>
          <w:shd w:val="clear" w:color="auto" w:fill="FFFFFF"/>
        </w:rPr>
        <w:t>, 26(4-5), pp.340-364.</w:t>
      </w:r>
    </w:p>
    <w:p w14:paraId="56E5195C" w14:textId="77777777" w:rsidR="00BF6CF4" w:rsidRPr="00BF6CF4" w:rsidRDefault="00BF6CF4" w:rsidP="00BF6CF4">
      <w:pPr>
        <w:pStyle w:val="ListParagraph"/>
        <w:numPr>
          <w:ilvl w:val="0"/>
          <w:numId w:val="2"/>
        </w:numPr>
        <w:tabs>
          <w:tab w:val="left" w:pos="2595"/>
        </w:tabs>
        <w:jc w:val="both"/>
        <w:rPr>
          <w:rFonts w:ascii="Calibri" w:hAnsi="Calibri" w:cs="Calibri"/>
          <w:color w:val="000000"/>
          <w:shd w:val="clear" w:color="auto" w:fill="FFFFFF"/>
        </w:rPr>
      </w:pPr>
      <w:r w:rsidRPr="00BF6CF4">
        <w:rPr>
          <w:rFonts w:ascii="Arial" w:eastAsia="Times New Roman" w:hAnsi="Arial" w:cs="Arial"/>
          <w:color w:val="222222"/>
          <w:sz w:val="20"/>
          <w:szCs w:val="20"/>
          <w:lang w:eastAsia="en-GB"/>
        </w:rPr>
        <w:t>Tonner, P., 2008. Action and Hamartia in Aristotle’s Poetics. </w:t>
      </w:r>
      <w:r w:rsidRPr="00BF6CF4">
        <w:rPr>
          <w:rFonts w:ascii="Arial" w:eastAsia="Times New Roman" w:hAnsi="Arial" w:cs="Arial"/>
          <w:i/>
          <w:iCs/>
          <w:color w:val="222222"/>
          <w:sz w:val="20"/>
          <w:szCs w:val="20"/>
          <w:lang w:eastAsia="en-GB"/>
        </w:rPr>
        <w:t xml:space="preserve">Electronics Journal </w:t>
      </w:r>
      <w:proofErr w:type="gramStart"/>
      <w:r w:rsidRPr="00BF6CF4">
        <w:rPr>
          <w:rFonts w:ascii="Arial" w:eastAsia="Times New Roman" w:hAnsi="Arial" w:cs="Arial"/>
          <w:i/>
          <w:iCs/>
          <w:color w:val="222222"/>
          <w:sz w:val="20"/>
          <w:szCs w:val="20"/>
          <w:lang w:eastAsia="en-GB"/>
        </w:rPr>
        <w:t>For</w:t>
      </w:r>
      <w:proofErr w:type="gramEnd"/>
      <w:r w:rsidRPr="00BF6CF4">
        <w:rPr>
          <w:rFonts w:ascii="Arial" w:eastAsia="Times New Roman" w:hAnsi="Arial" w:cs="Arial"/>
          <w:i/>
          <w:iCs/>
          <w:color w:val="222222"/>
          <w:sz w:val="20"/>
          <w:szCs w:val="20"/>
          <w:lang w:eastAsia="en-GB"/>
        </w:rPr>
        <w:t xml:space="preserve"> Philosophy</w:t>
      </w:r>
      <w:r w:rsidRPr="00BF6CF4">
        <w:rPr>
          <w:rFonts w:ascii="Arial" w:eastAsia="Times New Roman" w:hAnsi="Arial" w:cs="Arial"/>
          <w:color w:val="222222"/>
          <w:sz w:val="20"/>
          <w:szCs w:val="20"/>
          <w:lang w:eastAsia="en-GB"/>
        </w:rPr>
        <w:t>, </w:t>
      </w:r>
      <w:r w:rsidRPr="00BF6CF4">
        <w:rPr>
          <w:rFonts w:ascii="Arial" w:eastAsia="Times New Roman" w:hAnsi="Arial" w:cs="Arial"/>
          <w:i/>
          <w:iCs/>
          <w:color w:val="222222"/>
          <w:sz w:val="20"/>
          <w:szCs w:val="20"/>
          <w:lang w:eastAsia="en-GB"/>
        </w:rPr>
        <w:t>1</w:t>
      </w:r>
      <w:r w:rsidRPr="00BF6CF4">
        <w:rPr>
          <w:rFonts w:ascii="Arial" w:eastAsia="Times New Roman" w:hAnsi="Arial" w:cs="Arial"/>
          <w:color w:val="222222"/>
          <w:sz w:val="20"/>
          <w:szCs w:val="20"/>
          <w:lang w:eastAsia="en-GB"/>
        </w:rPr>
        <w:t>, pp.1-23.</w:t>
      </w:r>
    </w:p>
    <w:p w14:paraId="10E9489E" w14:textId="77777777" w:rsidR="00BF6CF4" w:rsidRPr="007207B1" w:rsidRDefault="00BF6CF4" w:rsidP="00BF6CF4">
      <w:pPr>
        <w:pStyle w:val="ListParagraph"/>
        <w:tabs>
          <w:tab w:val="left" w:pos="2595"/>
        </w:tabs>
        <w:jc w:val="both"/>
        <w:rPr>
          <w:rFonts w:ascii="Calibri" w:hAnsi="Calibri" w:cs="Calibri"/>
          <w:color w:val="000000"/>
          <w:shd w:val="clear" w:color="auto" w:fill="FFFFFF"/>
        </w:rPr>
      </w:pPr>
    </w:p>
    <w:sectPr w:rsidR="00BF6CF4" w:rsidRPr="007207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85796B" w14:textId="77777777" w:rsidR="00796076" w:rsidRDefault="00796076" w:rsidP="00E404F8">
      <w:pPr>
        <w:spacing w:after="0" w:line="240" w:lineRule="auto"/>
      </w:pPr>
      <w:r>
        <w:separator/>
      </w:r>
    </w:p>
  </w:endnote>
  <w:endnote w:type="continuationSeparator" w:id="0">
    <w:p w14:paraId="4AD22FA1" w14:textId="77777777" w:rsidR="00796076" w:rsidRDefault="00796076" w:rsidP="00E40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E4453" w14:textId="77777777" w:rsidR="00796076" w:rsidRDefault="00796076" w:rsidP="00E404F8">
      <w:pPr>
        <w:spacing w:after="0" w:line="240" w:lineRule="auto"/>
      </w:pPr>
      <w:r>
        <w:separator/>
      </w:r>
    </w:p>
  </w:footnote>
  <w:footnote w:type="continuationSeparator" w:id="0">
    <w:p w14:paraId="255C5E4B" w14:textId="77777777" w:rsidR="00796076" w:rsidRDefault="00796076" w:rsidP="00E404F8">
      <w:pPr>
        <w:spacing w:after="0" w:line="240" w:lineRule="auto"/>
      </w:pPr>
      <w:r>
        <w:continuationSeparator/>
      </w:r>
    </w:p>
  </w:footnote>
  <w:footnote w:id="1">
    <w:p w14:paraId="0E8EC0DF" w14:textId="4DAFAC2A" w:rsidR="00E404F8" w:rsidRDefault="00E404F8">
      <w:pPr>
        <w:pStyle w:val="FootnoteText"/>
      </w:pPr>
      <w:r>
        <w:rPr>
          <w:rStyle w:val="FootnoteReference"/>
        </w:rPr>
        <w:footnoteRef/>
      </w:r>
      <w:r>
        <w:t xml:space="preserve"> Action and Hamartia in Aristotle’s </w:t>
      </w:r>
      <w:r w:rsidRPr="00E404F8">
        <w:rPr>
          <w:i/>
        </w:rPr>
        <w:t>Poetics</w:t>
      </w:r>
      <w:r>
        <w:t xml:space="preserve">, Philip Tonner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AF7837"/>
    <w:multiLevelType w:val="hybridMultilevel"/>
    <w:tmpl w:val="5E208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5A38CA"/>
    <w:multiLevelType w:val="hybridMultilevel"/>
    <w:tmpl w:val="B6F8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4F8"/>
    <w:rsid w:val="00145271"/>
    <w:rsid w:val="001A6E5B"/>
    <w:rsid w:val="001B41F8"/>
    <w:rsid w:val="0020337E"/>
    <w:rsid w:val="00343975"/>
    <w:rsid w:val="0037082F"/>
    <w:rsid w:val="0041292B"/>
    <w:rsid w:val="004873EC"/>
    <w:rsid w:val="004B0E8B"/>
    <w:rsid w:val="0052742D"/>
    <w:rsid w:val="00590164"/>
    <w:rsid w:val="00613034"/>
    <w:rsid w:val="006C4F65"/>
    <w:rsid w:val="007207B1"/>
    <w:rsid w:val="00796076"/>
    <w:rsid w:val="00A600FD"/>
    <w:rsid w:val="00BE5349"/>
    <w:rsid w:val="00BF6CF4"/>
    <w:rsid w:val="00CC5595"/>
    <w:rsid w:val="00CE4556"/>
    <w:rsid w:val="00D5212E"/>
    <w:rsid w:val="00E404F8"/>
    <w:rsid w:val="00E67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66AA7"/>
  <w15:chartTrackingRefBased/>
  <w15:docId w15:val="{70AA2AC9-B153-479B-AF52-F03F38961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404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04F8"/>
    <w:rPr>
      <w:sz w:val="20"/>
      <w:szCs w:val="20"/>
    </w:rPr>
  </w:style>
  <w:style w:type="character" w:styleId="FootnoteReference">
    <w:name w:val="footnote reference"/>
    <w:basedOn w:val="DefaultParagraphFont"/>
    <w:uiPriority w:val="99"/>
    <w:semiHidden/>
    <w:unhideWhenUsed/>
    <w:rsid w:val="00E404F8"/>
    <w:rPr>
      <w:vertAlign w:val="superscript"/>
    </w:rPr>
  </w:style>
  <w:style w:type="paragraph" w:styleId="ListParagraph">
    <w:name w:val="List Paragraph"/>
    <w:basedOn w:val="Normal"/>
    <w:uiPriority w:val="34"/>
    <w:qFormat/>
    <w:rsid w:val="007207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695651">
      <w:bodyDiv w:val="1"/>
      <w:marLeft w:val="0"/>
      <w:marRight w:val="0"/>
      <w:marTop w:val="0"/>
      <w:marBottom w:val="0"/>
      <w:divBdr>
        <w:top w:val="none" w:sz="0" w:space="0" w:color="auto"/>
        <w:left w:val="none" w:sz="0" w:space="0" w:color="auto"/>
        <w:bottom w:val="none" w:sz="0" w:space="0" w:color="auto"/>
        <w:right w:val="none" w:sz="0" w:space="0" w:color="auto"/>
      </w:divBdr>
      <w:divsChild>
        <w:div w:id="80180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3897D-8264-44E2-9272-628E06E60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Pages>3</Pages>
  <Words>868</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Mieres</dc:creator>
  <cp:keywords/>
  <dc:description/>
  <cp:lastModifiedBy>Kieron Mieres</cp:lastModifiedBy>
  <cp:revision>2</cp:revision>
  <dcterms:created xsi:type="dcterms:W3CDTF">2018-11-11T12:28:00Z</dcterms:created>
  <dcterms:modified xsi:type="dcterms:W3CDTF">2018-11-12T22:52:00Z</dcterms:modified>
</cp:coreProperties>
</file>