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8C8DFE8" w14:textId="70F0C047" w:rsidR="00812DE5" w:rsidRDefault="00812DE5">
      <w:pPr>
        <w:spacing w:line="480" w:lineRule="auto"/>
        <w:jc w:val="both"/>
        <w:rPr>
          <w:rFonts w:ascii="Times New Roman" w:eastAsia="Times New Roman" w:hAnsi="Times New Roman" w:cs="Times New Roman"/>
          <w:sz w:val="24"/>
          <w:szCs w:val="24"/>
          <w:lang w:val="bg-BG"/>
        </w:rPr>
      </w:pPr>
    </w:p>
    <w:p w14:paraId="6F198630" w14:textId="77777777" w:rsidR="00E27755" w:rsidRDefault="00E27755" w:rsidP="00E27755">
      <w:pPr>
        <w:jc w:val="center"/>
        <w:rPr>
          <w:rFonts w:ascii="Times New Roman" w:hAnsi="Times New Roman" w:cs="Times New Roman"/>
          <w:b/>
          <w:bCs/>
          <w:sz w:val="28"/>
          <w:szCs w:val="28"/>
          <w:shd w:val="clear" w:color="auto" w:fill="FFFFFF"/>
        </w:rPr>
      </w:pPr>
      <w:r w:rsidRPr="00820801">
        <w:rPr>
          <w:rFonts w:ascii="Times New Roman" w:hAnsi="Times New Roman" w:cs="Times New Roman"/>
          <w:b/>
          <w:bCs/>
          <w:sz w:val="28"/>
          <w:szCs w:val="28"/>
          <w:shd w:val="clear" w:color="auto" w:fill="FFFFFF"/>
        </w:rPr>
        <w:t>International Business Communications</w:t>
      </w:r>
    </w:p>
    <w:p w14:paraId="652C268F" w14:textId="00F65571" w:rsidR="00E27755" w:rsidRPr="00E27755" w:rsidRDefault="00E27755" w:rsidP="00E27755">
      <w:pPr>
        <w:jc w:val="center"/>
        <w:rPr>
          <w:rFonts w:ascii="Times New Roman" w:hAnsi="Times New Roman" w:cs="Times New Roman"/>
          <w:b/>
          <w:bCs/>
          <w:sz w:val="28"/>
          <w:szCs w:val="28"/>
          <w:shd w:val="clear" w:color="auto" w:fill="FFFFFF"/>
        </w:rPr>
      </w:pPr>
      <w:r w:rsidRPr="00820801">
        <w:rPr>
          <w:rFonts w:ascii="Times New Roman" w:hAnsi="Times New Roman" w:cs="Times New Roman"/>
          <w:b/>
          <w:bCs/>
          <w:sz w:val="28"/>
          <w:szCs w:val="28"/>
          <w:shd w:val="clear" w:color="auto" w:fill="FFFFFF"/>
        </w:rPr>
        <w:t xml:space="preserve"> LCBB600</w:t>
      </w:r>
      <w:r>
        <w:rPr>
          <w:rFonts w:ascii="Times New Roman" w:hAnsi="Times New Roman" w:cs="Times New Roman"/>
          <w:b/>
          <w:bCs/>
          <w:sz w:val="28"/>
          <w:szCs w:val="28"/>
          <w:shd w:val="clear" w:color="auto" w:fill="FFFFFF"/>
        </w:rPr>
        <w:t>1</w:t>
      </w:r>
    </w:p>
    <w:p w14:paraId="69D01D47" w14:textId="77777777" w:rsidR="00E27755" w:rsidRDefault="00E27755" w:rsidP="00E27755">
      <w:pPr>
        <w:jc w:val="center"/>
        <w:rPr>
          <w:rFonts w:ascii="Times New Roman" w:hAnsi="Times New Roman" w:cs="Times New Roman"/>
          <w:sz w:val="24"/>
          <w:szCs w:val="24"/>
          <w:shd w:val="clear" w:color="auto" w:fill="FFFFFF"/>
        </w:rPr>
      </w:pPr>
    </w:p>
    <w:p w14:paraId="70002B1F" w14:textId="09ED522D" w:rsidR="00E27755" w:rsidRDefault="00E27755" w:rsidP="00E27755">
      <w:pPr>
        <w:jc w:val="center"/>
        <w:rPr>
          <w:rFonts w:ascii="Times New Roman" w:hAnsi="Times New Roman" w:cs="Times New Roman"/>
          <w:sz w:val="24"/>
          <w:szCs w:val="24"/>
          <w:shd w:val="clear" w:color="auto" w:fill="FFFFFF"/>
          <w:lang w:val="bg-BG"/>
        </w:rPr>
      </w:pPr>
      <w:r>
        <w:rPr>
          <w:rFonts w:ascii="Times New Roman" w:hAnsi="Times New Roman" w:cs="Times New Roman"/>
          <w:sz w:val="24"/>
          <w:szCs w:val="24"/>
          <w:shd w:val="clear" w:color="auto" w:fill="FFFFFF"/>
          <w:lang w:val="en-US"/>
        </w:rPr>
        <w:t xml:space="preserve">By: </w:t>
      </w:r>
      <w:r>
        <w:rPr>
          <w:rFonts w:ascii="Times New Roman" w:hAnsi="Times New Roman" w:cs="Times New Roman"/>
          <w:sz w:val="24"/>
          <w:szCs w:val="24"/>
          <w:shd w:val="clear" w:color="auto" w:fill="FFFFFF"/>
        </w:rPr>
        <w:t>Desislav Dyankov</w:t>
      </w:r>
    </w:p>
    <w:p w14:paraId="2A3EDC06" w14:textId="2604C522" w:rsidR="009D6B3D" w:rsidRPr="009D6B3D" w:rsidRDefault="009D6B3D" w:rsidP="008C2F7C">
      <w:pPr>
        <w:spacing w:line="480" w:lineRule="auto"/>
        <w:jc w:val="center"/>
        <w:rPr>
          <w:rFonts w:ascii="Times New Roman" w:eastAsia="Times New Roman" w:hAnsi="Times New Roman" w:cs="Times New Roman"/>
          <w:sz w:val="24"/>
          <w:szCs w:val="24"/>
          <w:lang w:val="bg-BG"/>
        </w:rPr>
      </w:pPr>
      <w:r>
        <w:rPr>
          <w:rFonts w:ascii="Times New Roman" w:eastAsia="Times New Roman" w:hAnsi="Times New Roman" w:cs="Times New Roman"/>
          <w:sz w:val="24"/>
          <w:szCs w:val="24"/>
        </w:rPr>
        <w:t>Course:</w:t>
      </w:r>
      <w:r w:rsidRPr="0051404F">
        <w:rPr>
          <w:rFonts w:ascii="Times New Roman" w:eastAsia="Times New Roman" w:hAnsi="Times New Roman" w:cs="Times New Roman"/>
          <w:sz w:val="24"/>
          <w:szCs w:val="24"/>
        </w:rPr>
        <w:t xml:space="preserve"> International </w:t>
      </w:r>
      <w:r w:rsidR="00E56EF3">
        <w:rPr>
          <w:rFonts w:ascii="Times New Roman" w:eastAsia="Times New Roman" w:hAnsi="Times New Roman" w:cs="Times New Roman"/>
          <w:sz w:val="24"/>
          <w:szCs w:val="24"/>
        </w:rPr>
        <w:t xml:space="preserve">Business </w:t>
      </w:r>
      <w:r w:rsidR="003A11A3">
        <w:rPr>
          <w:rFonts w:ascii="Times New Roman" w:eastAsia="Times New Roman" w:hAnsi="Times New Roman" w:cs="Times New Roman"/>
          <w:sz w:val="24"/>
          <w:szCs w:val="24"/>
        </w:rPr>
        <w:t xml:space="preserve">Communications </w:t>
      </w:r>
      <w:r>
        <w:rPr>
          <w:rFonts w:ascii="Times New Roman" w:eastAsia="Times New Roman" w:hAnsi="Times New Roman" w:cs="Times New Roman"/>
          <w:sz w:val="24"/>
          <w:szCs w:val="24"/>
        </w:rPr>
        <w:t>LCBB600</w:t>
      </w:r>
      <w:r>
        <w:rPr>
          <w:rFonts w:ascii="Times New Roman" w:eastAsia="Times New Roman" w:hAnsi="Times New Roman" w:cs="Times New Roman"/>
          <w:sz w:val="24"/>
          <w:szCs w:val="24"/>
          <w:lang w:val="bg-BG"/>
        </w:rPr>
        <w:t>1</w:t>
      </w:r>
    </w:p>
    <w:p w14:paraId="488B9B9C" w14:textId="46F5934C" w:rsidR="009D6B3D" w:rsidRPr="00DA3320" w:rsidRDefault="009D6B3D" w:rsidP="008C2F7C">
      <w:pPr>
        <w:spacing w:line="480" w:lineRule="auto"/>
        <w:jc w:val="center"/>
        <w:rPr>
          <w:rFonts w:ascii="Times New Roman" w:eastAsia="Times New Roman" w:hAnsi="Times New Roman" w:cs="Times New Roman"/>
          <w:sz w:val="24"/>
          <w:szCs w:val="24"/>
          <w:lang w:val="bg-BG"/>
        </w:rPr>
      </w:pPr>
      <w:r>
        <w:rPr>
          <w:rFonts w:ascii="Times New Roman" w:eastAsia="Times New Roman" w:hAnsi="Times New Roman" w:cs="Times New Roman"/>
          <w:sz w:val="24"/>
          <w:szCs w:val="24"/>
        </w:rPr>
        <w:t>Professor:</w:t>
      </w:r>
      <w:r w:rsidRPr="00B30A10">
        <w:rPr>
          <w:rFonts w:ascii="Times New Roman" w:eastAsia="Times New Roman" w:hAnsi="Times New Roman" w:cs="Times New Roman"/>
          <w:sz w:val="24"/>
          <w:szCs w:val="24"/>
        </w:rPr>
        <w:t xml:space="preserve"> </w:t>
      </w:r>
      <w:r w:rsidR="00DA3320" w:rsidRPr="00DA3320">
        <w:rPr>
          <w:rFonts w:ascii="Times New Roman" w:eastAsia="Times New Roman" w:hAnsi="Times New Roman" w:cs="Times New Roman"/>
          <w:sz w:val="24"/>
          <w:szCs w:val="24"/>
        </w:rPr>
        <w:t xml:space="preserve">Dr Charles </w:t>
      </w:r>
      <w:proofErr w:type="spellStart"/>
      <w:r w:rsidR="00DA3320" w:rsidRPr="00DA3320">
        <w:rPr>
          <w:rFonts w:ascii="Times New Roman" w:eastAsia="Times New Roman" w:hAnsi="Times New Roman" w:cs="Times New Roman"/>
          <w:sz w:val="24"/>
          <w:szCs w:val="24"/>
        </w:rPr>
        <w:t>Nwaogwugwu</w:t>
      </w:r>
      <w:proofErr w:type="spellEnd"/>
    </w:p>
    <w:p w14:paraId="00573BA9" w14:textId="77777777" w:rsidR="00E27755" w:rsidRDefault="00E27755" w:rsidP="00E27755">
      <w:pPr>
        <w:rPr>
          <w:rFonts w:ascii="Times New Roman" w:hAnsi="Times New Roman" w:cs="Times New Roman"/>
          <w:sz w:val="24"/>
          <w:szCs w:val="24"/>
          <w:shd w:val="clear" w:color="auto" w:fill="FFFFFF"/>
        </w:rPr>
      </w:pPr>
    </w:p>
    <w:p w14:paraId="2D42BAE6" w14:textId="77777777" w:rsidR="00812DE5" w:rsidRDefault="003A11A3">
      <w:pPr>
        <w:spacing w:line="480" w:lineRule="auto"/>
        <w:jc w:val="both"/>
        <w:rPr>
          <w:rFonts w:ascii="Times New Roman" w:eastAsia="Times New Roman" w:hAnsi="Times New Roman" w:cs="Times New Roman"/>
          <w:sz w:val="24"/>
          <w:szCs w:val="24"/>
        </w:rPr>
      </w:pPr>
      <w:r>
        <w:br w:type="page"/>
      </w:r>
    </w:p>
    <w:p w14:paraId="7408C771" w14:textId="77777777" w:rsidR="00812DE5" w:rsidRDefault="003A11A3">
      <w:pPr>
        <w:spacing w:line="480" w:lineRule="auto"/>
        <w:ind w:firstLine="720"/>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lastRenderedPageBreak/>
        <w:t xml:space="preserve">Nowadays, taking into consideration the overall worldwide business environment, effective business communication is considered a crucial determinant of great </w:t>
      </w:r>
      <w:r>
        <w:rPr>
          <w:rFonts w:ascii="Times New Roman" w:eastAsia="Times New Roman" w:hAnsi="Times New Roman" w:cs="Times New Roman"/>
          <w:sz w:val="24"/>
          <w:szCs w:val="24"/>
          <w:highlight w:val="white"/>
        </w:rPr>
        <w:t>achievement. Most companies that are considering expansion into new markets need to take into account several factors, such as cultural differences, diverse communication styles, and business etiquette. (</w:t>
      </w:r>
      <w:proofErr w:type="spellStart"/>
      <w:r>
        <w:rPr>
          <w:rFonts w:ascii="Times New Roman" w:eastAsia="Times New Roman" w:hAnsi="Times New Roman" w:cs="Times New Roman"/>
          <w:sz w:val="24"/>
          <w:szCs w:val="24"/>
          <w:highlight w:val="white"/>
        </w:rPr>
        <w:t>Wibowo</w:t>
      </w:r>
      <w:proofErr w:type="spellEnd"/>
      <w:r>
        <w:rPr>
          <w:rFonts w:ascii="Times New Roman" w:eastAsia="Times New Roman" w:hAnsi="Times New Roman" w:cs="Times New Roman"/>
          <w:sz w:val="24"/>
          <w:szCs w:val="24"/>
          <w:highlight w:val="white"/>
        </w:rPr>
        <w:t>, 2022) Such setbacks or challenges are mostly common within the manufacturing field, where perceiving and adjusting to a certain local structure is vital for better workflow. (David, 2019)</w:t>
      </w:r>
    </w:p>
    <w:p w14:paraId="0FD83B9B" w14:textId="77777777" w:rsidR="00812DE5" w:rsidRDefault="003A11A3">
      <w:pPr>
        <w:spacing w:line="48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This essay will investigate the expansion of the brand Imperial Brands, one of the leading British conglomerates and producers of tobacco. Throughout the years, the company has been emphasising strong formality, clarity, and international business communication in order to be among the first worldwide within the tobacco industry. (</w:t>
      </w:r>
      <w:proofErr w:type="spellStart"/>
      <w:r>
        <w:rPr>
          <w:rFonts w:ascii="Times New Roman" w:eastAsia="Times New Roman" w:hAnsi="Times New Roman" w:cs="Times New Roman"/>
          <w:sz w:val="24"/>
          <w:szCs w:val="24"/>
          <w:highlight w:val="white"/>
        </w:rPr>
        <w:t>Branston</w:t>
      </w:r>
      <w:proofErr w:type="spellEnd"/>
      <w:r>
        <w:rPr>
          <w:rFonts w:ascii="Times New Roman" w:eastAsia="Times New Roman" w:hAnsi="Times New Roman" w:cs="Times New Roman"/>
          <w:sz w:val="24"/>
          <w:szCs w:val="24"/>
          <w:highlight w:val="white"/>
        </w:rPr>
        <w:t>, 2020) The aim of this essay is to present all the communication channels of Imperial Brands’ expansion to France and Poland, as France is the main market for the extension of the brand. (</w:t>
      </w:r>
      <w:proofErr w:type="spellStart"/>
      <w:r>
        <w:rPr>
          <w:rFonts w:ascii="Times New Roman" w:eastAsia="Times New Roman" w:hAnsi="Times New Roman" w:cs="Times New Roman"/>
          <w:sz w:val="24"/>
          <w:szCs w:val="24"/>
          <w:highlight w:val="white"/>
        </w:rPr>
        <w:t>Yalkin</w:t>
      </w:r>
      <w:proofErr w:type="spellEnd"/>
      <w:r>
        <w:rPr>
          <w:rFonts w:ascii="Times New Roman" w:eastAsia="Times New Roman" w:hAnsi="Times New Roman" w:cs="Times New Roman"/>
          <w:sz w:val="24"/>
          <w:szCs w:val="24"/>
          <w:highlight w:val="white"/>
        </w:rPr>
        <w:t>, 2018)</w:t>
      </w:r>
    </w:p>
    <w:p w14:paraId="75735F07" w14:textId="77777777" w:rsidR="00812DE5" w:rsidRDefault="003A11A3">
      <w:pPr>
        <w:spacing w:line="480" w:lineRule="auto"/>
        <w:ind w:firstLine="720"/>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Imperial Brands was founded in early 1901 in Bristol, UK. The company has established its headquarters in the primary place of foundation and, for more than 120 years, has increased its product line by creating a massive portfolio of cigarettes, cigars, and e-cigarettes. (Evans, 2022) Moreover, the tobacco giant has a substantial global footprint, as it already operates in more than 160 countries. Despite the rough and strict regulations worldwide due to the product's effect on the health of the population,</w:t>
      </w:r>
      <w:r>
        <w:rPr>
          <w:rFonts w:ascii="Times New Roman" w:eastAsia="Times New Roman" w:hAnsi="Times New Roman" w:cs="Times New Roman"/>
          <w:sz w:val="24"/>
          <w:szCs w:val="24"/>
          <w:highlight w:val="white"/>
        </w:rPr>
        <w:t xml:space="preserve"> Imperial Brands has succeeded in preserving its strategic position and continues with innovation. (Hird, 2022)</w:t>
      </w:r>
    </w:p>
    <w:p w14:paraId="661198CF" w14:textId="77777777" w:rsidR="00812DE5" w:rsidRDefault="003A11A3">
      <w:pPr>
        <w:spacing w:line="480" w:lineRule="auto"/>
        <w:ind w:firstLine="720"/>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France is the primary market for Imperial Brands’ expansion. The country has quite a severe environment in terms of the regulation of tobacco products. (</w:t>
      </w:r>
      <w:proofErr w:type="spellStart"/>
      <w:r>
        <w:rPr>
          <w:rFonts w:ascii="Times New Roman" w:eastAsia="Times New Roman" w:hAnsi="Times New Roman" w:cs="Times New Roman"/>
          <w:sz w:val="24"/>
          <w:szCs w:val="24"/>
          <w:highlight w:val="white"/>
        </w:rPr>
        <w:t>Rochoy</w:t>
      </w:r>
      <w:proofErr w:type="spellEnd"/>
      <w:r>
        <w:rPr>
          <w:rFonts w:ascii="Times New Roman" w:eastAsia="Times New Roman" w:hAnsi="Times New Roman" w:cs="Times New Roman"/>
          <w:sz w:val="24"/>
          <w:szCs w:val="24"/>
          <w:highlight w:val="white"/>
        </w:rPr>
        <w:t xml:space="preserve">, 2022) Thus, the company needs to carefully investigate these challenges. In addition to that, the diverse culture within business communication should be specifically recognised in order to establish a strong bond with the local </w:t>
      </w:r>
      <w:r>
        <w:rPr>
          <w:rFonts w:ascii="Times New Roman" w:eastAsia="Times New Roman" w:hAnsi="Times New Roman" w:cs="Times New Roman"/>
          <w:sz w:val="24"/>
          <w:szCs w:val="24"/>
          <w:highlight w:val="white"/>
        </w:rPr>
        <w:lastRenderedPageBreak/>
        <w:t>managers and stakeholders. The correct ways of communication should be considered to overcome possible language barriers with French values and norms. (</w:t>
      </w:r>
      <w:proofErr w:type="spellStart"/>
      <w:r>
        <w:rPr>
          <w:rFonts w:ascii="Times New Roman" w:eastAsia="Times New Roman" w:hAnsi="Times New Roman" w:cs="Times New Roman"/>
          <w:sz w:val="24"/>
          <w:szCs w:val="24"/>
          <w:highlight w:val="white"/>
        </w:rPr>
        <w:t>Fetzer</w:t>
      </w:r>
      <w:proofErr w:type="spellEnd"/>
      <w:r>
        <w:rPr>
          <w:rFonts w:ascii="Times New Roman" w:eastAsia="Times New Roman" w:hAnsi="Times New Roman" w:cs="Times New Roman"/>
          <w:sz w:val="24"/>
          <w:szCs w:val="24"/>
          <w:highlight w:val="white"/>
        </w:rPr>
        <w:t>, 2023)</w:t>
      </w:r>
    </w:p>
    <w:p w14:paraId="4C203469" w14:textId="77777777" w:rsidR="00812DE5" w:rsidRDefault="003A11A3">
      <w:pPr>
        <w:spacing w:line="48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Another possible market for Imperial Brands is Poland. The country could also present various challenges for establishing foreign tobacco products. The local regulations and diverse consumer behaviour need to be considered carefully in order for Imperial Brands to adapt. This will require a specific approach to business communication and manufacturing strategies. (</w:t>
      </w:r>
      <w:proofErr w:type="spellStart"/>
      <w:r>
        <w:rPr>
          <w:rFonts w:ascii="Times New Roman" w:eastAsia="Times New Roman" w:hAnsi="Times New Roman" w:cs="Times New Roman"/>
          <w:sz w:val="24"/>
          <w:szCs w:val="24"/>
          <w:highlight w:val="white"/>
        </w:rPr>
        <w:t>Jankowski</w:t>
      </w:r>
      <w:proofErr w:type="spellEnd"/>
      <w:r>
        <w:rPr>
          <w:rFonts w:ascii="Times New Roman" w:eastAsia="Times New Roman" w:hAnsi="Times New Roman" w:cs="Times New Roman"/>
          <w:sz w:val="24"/>
          <w:szCs w:val="24"/>
          <w:highlight w:val="white"/>
        </w:rPr>
        <w:t>, 2022)</w:t>
      </w:r>
    </w:p>
    <w:p w14:paraId="0A87799D" w14:textId="77777777" w:rsidR="00812DE5" w:rsidRDefault="003A11A3">
      <w:pPr>
        <w:spacing w:line="480" w:lineRule="auto"/>
        <w:ind w:firstLine="720"/>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France, also known as the French Republic, is considered to be among the world’s leading economies in different aspects. Some of the crucial issues include culture, economics, healthcare, technological innovations, and manufacturing. (</w:t>
      </w:r>
      <w:proofErr w:type="spellStart"/>
      <w:r>
        <w:rPr>
          <w:rFonts w:ascii="Times New Roman" w:eastAsia="Times New Roman" w:hAnsi="Times New Roman" w:cs="Times New Roman"/>
          <w:sz w:val="24"/>
          <w:szCs w:val="24"/>
          <w:highlight w:val="white"/>
        </w:rPr>
        <w:t>Rathbone</w:t>
      </w:r>
      <w:proofErr w:type="spellEnd"/>
      <w:r>
        <w:rPr>
          <w:rFonts w:ascii="Times New Roman" w:eastAsia="Times New Roman" w:hAnsi="Times New Roman" w:cs="Times New Roman"/>
          <w:sz w:val="24"/>
          <w:szCs w:val="24"/>
          <w:highlight w:val="white"/>
        </w:rPr>
        <w:t>, 2022) Located in Western Europe, the country shares borders with five of the world’s economies, such as Belgium, Luxembourg, Germany, Switzerland, and Spain. It also shares borders with Monaco and Andorra. The Republic of France also shares coastlines with the Mediterranean Sea, the English Channel, and the Atlantic Ocean. It is also the second most populous European country, with 67 million inhabitants. (</w:t>
      </w:r>
      <w:proofErr w:type="spellStart"/>
      <w:r>
        <w:rPr>
          <w:rFonts w:ascii="Times New Roman" w:eastAsia="Times New Roman" w:hAnsi="Times New Roman" w:cs="Times New Roman"/>
          <w:sz w:val="24"/>
          <w:szCs w:val="24"/>
          <w:highlight w:val="white"/>
        </w:rPr>
        <w:t>Santucci</w:t>
      </w:r>
      <w:proofErr w:type="spellEnd"/>
      <w:r>
        <w:rPr>
          <w:rFonts w:ascii="Times New Roman" w:eastAsia="Times New Roman" w:hAnsi="Times New Roman" w:cs="Times New Roman"/>
          <w:sz w:val="24"/>
          <w:szCs w:val="24"/>
          <w:highlight w:val="white"/>
        </w:rPr>
        <w:t>, 2024)</w:t>
      </w:r>
    </w:p>
    <w:p w14:paraId="0A512ADE" w14:textId="77777777" w:rsidR="00812DE5" w:rsidRDefault="003A11A3">
      <w:pPr>
        <w:pBdr>
          <w:top w:val="nil"/>
          <w:left w:val="nil"/>
          <w:bottom w:val="nil"/>
          <w:right w:val="nil"/>
          <w:between w:val="nil"/>
        </w:pBdr>
        <w:spacing w:before="280" w:after="280" w:line="48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France is quite recognised for its numerous cultural diversity and the vast number of immigrants from all over the world. The main urban cities are Paris, known as the capital and the main cultural hub; Lyon, recognised for its culinary innovations; and Marseille, known as the historic part of the country. (Liu, 2022)</w:t>
      </w:r>
    </w:p>
    <w:p w14:paraId="66E64E47" w14:textId="77777777" w:rsidR="00812DE5" w:rsidRDefault="003A11A3">
      <w:pPr>
        <w:pBdr>
          <w:top w:val="nil"/>
          <w:left w:val="nil"/>
          <w:bottom w:val="nil"/>
          <w:right w:val="nil"/>
          <w:between w:val="nil"/>
        </w:pBdr>
        <w:spacing w:before="280" w:after="280" w:line="48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population of France is considered extremely young, with an average age of 42 years, compared to its European neighbours. Despite this fact, the country encounters problems with an aging population. Moreover, this issue requires an improved healthcare system, stricter social services, and more innovative solutions. (</w:t>
      </w:r>
      <w:proofErr w:type="spellStart"/>
      <w:r>
        <w:rPr>
          <w:rFonts w:ascii="Times New Roman" w:eastAsia="Times New Roman" w:hAnsi="Times New Roman" w:cs="Times New Roman"/>
          <w:sz w:val="24"/>
          <w:szCs w:val="24"/>
        </w:rPr>
        <w:t>Irmen</w:t>
      </w:r>
      <w:proofErr w:type="spellEnd"/>
      <w:r>
        <w:rPr>
          <w:rFonts w:ascii="Times New Roman" w:eastAsia="Times New Roman" w:hAnsi="Times New Roman" w:cs="Times New Roman"/>
          <w:sz w:val="24"/>
          <w:szCs w:val="24"/>
        </w:rPr>
        <w:t xml:space="preserve">, 2022) As for the world, France has made significant and substantial contributions in many fields, such as literature, music, philosophy, and sports. Some famous names like Voltaire, Sartre, Rousseau, and de Beauvoir have contributed in the fields of philosophy and literature. From a historical point of view, Monet, Renoir, and Picasso have set a revolutionary treasure </w:t>
      </w:r>
      <w:r>
        <w:rPr>
          <w:rFonts w:ascii="Times New Roman" w:eastAsia="Times New Roman" w:hAnsi="Times New Roman" w:cs="Times New Roman"/>
          <w:sz w:val="24"/>
          <w:szCs w:val="24"/>
        </w:rPr>
        <w:lastRenderedPageBreak/>
        <w:t>in art. The language of the country is Latin-based and is called French, but English is widely used, especially in business and academ</w:t>
      </w:r>
      <w:r>
        <w:rPr>
          <w:rFonts w:ascii="Times New Roman" w:eastAsia="Times New Roman" w:hAnsi="Times New Roman" w:cs="Times New Roman"/>
          <w:sz w:val="24"/>
          <w:szCs w:val="24"/>
        </w:rPr>
        <w:t>ic fields. (Li, 2022)</w:t>
      </w:r>
    </w:p>
    <w:p w14:paraId="2C55EC82" w14:textId="77777777" w:rsidR="00812DE5" w:rsidRDefault="003A11A3">
      <w:pPr>
        <w:pBdr>
          <w:top w:val="nil"/>
          <w:left w:val="nil"/>
          <w:bottom w:val="nil"/>
          <w:right w:val="nil"/>
          <w:between w:val="nil"/>
        </w:pBdr>
        <w:spacing w:before="280" w:after="280" w:line="480" w:lineRule="auto"/>
        <w:ind w:firstLine="720"/>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From an economic perspective, France possesses several important key factors. In terms of nominal GDP, the country takes sixth place worldwide and third on the old continent of Europe. (Ma, 2022) Thus, it speaks for its economic power and stability. The country is also famous as the leading exporter of luxury goods, pharmaceuticals, and agricultural products. Worldwide, famous brands such as L’Oréal, LVMH, and Airbus are located in France and play a significant role in the prosperity of the world economy. A</w:t>
      </w:r>
      <w:r>
        <w:rPr>
          <w:rFonts w:ascii="Times New Roman" w:eastAsia="Times New Roman" w:hAnsi="Times New Roman" w:cs="Times New Roman"/>
          <w:sz w:val="24"/>
          <w:szCs w:val="24"/>
          <w:highlight w:val="white"/>
        </w:rPr>
        <w:t xml:space="preserve"> crucial success of the French economy is dedicated to its regular organisational values, the essence of innovation technology, and lastly, the important investment in new high-tech gadgets.</w:t>
      </w:r>
    </w:p>
    <w:p w14:paraId="775F1496" w14:textId="77777777" w:rsidR="00812DE5" w:rsidRDefault="003A11A3">
      <w:pPr>
        <w:pBdr>
          <w:top w:val="nil"/>
          <w:left w:val="nil"/>
          <w:bottom w:val="nil"/>
          <w:right w:val="nil"/>
          <w:between w:val="nil"/>
        </w:pBdr>
        <w:spacing w:before="280" w:after="280" w:line="48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technology industry in France is enormous in terms of stability. The country surpasses other multinational economies in many fields like nuclear energy, aerospace, and digital technologies. The country also invests in research institutions and universities to evolve globally and maintain stability. The French National Centre for Scientific Research (CNRS) and </w:t>
      </w:r>
      <w:proofErr w:type="spellStart"/>
      <w:r>
        <w:rPr>
          <w:rFonts w:ascii="Times New Roman" w:eastAsia="Times New Roman" w:hAnsi="Times New Roman" w:cs="Times New Roman"/>
          <w:sz w:val="24"/>
          <w:szCs w:val="24"/>
        </w:rPr>
        <w:t>Ecole</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Polytechnique</w:t>
      </w:r>
      <w:proofErr w:type="spellEnd"/>
      <w:r>
        <w:rPr>
          <w:rFonts w:ascii="Times New Roman" w:eastAsia="Times New Roman" w:hAnsi="Times New Roman" w:cs="Times New Roman"/>
          <w:sz w:val="24"/>
          <w:szCs w:val="24"/>
        </w:rPr>
        <w:t xml:space="preserve"> are world famous institutions that have contributed to many fields of science worldwide. Investments in technology, such as Industry 4.0, help ensure sustainable development and the digital empowerment of the country. (</w:t>
      </w:r>
      <w:proofErr w:type="spellStart"/>
      <w:r>
        <w:rPr>
          <w:rFonts w:ascii="Times New Roman" w:eastAsia="Times New Roman" w:hAnsi="Times New Roman" w:cs="Times New Roman"/>
          <w:sz w:val="24"/>
          <w:szCs w:val="24"/>
        </w:rPr>
        <w:t>Teixeira</w:t>
      </w:r>
      <w:proofErr w:type="spellEnd"/>
      <w:r>
        <w:rPr>
          <w:rFonts w:ascii="Times New Roman" w:eastAsia="Times New Roman" w:hAnsi="Times New Roman" w:cs="Times New Roman"/>
          <w:sz w:val="24"/>
          <w:szCs w:val="24"/>
        </w:rPr>
        <w:t>, 2022) The population consists of a highly skilled workforce, and with the support of an advanced education system, the country maintains a top-level economy. The unemployment rate in France does not surpass the 8th percent, regarding the country’s determination o</w:t>
      </w:r>
      <w:r>
        <w:rPr>
          <w:rFonts w:ascii="Times New Roman" w:eastAsia="Times New Roman" w:hAnsi="Times New Roman" w:cs="Times New Roman"/>
          <w:sz w:val="24"/>
          <w:szCs w:val="24"/>
        </w:rPr>
        <w:t>f economic growth and job opportunities. (Ahmad, 2023)</w:t>
      </w:r>
    </w:p>
    <w:p w14:paraId="15A5A4C6" w14:textId="77777777" w:rsidR="00812DE5" w:rsidRDefault="003A11A3">
      <w:pPr>
        <w:spacing w:after="0" w:line="48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Overall the Republic of France leads in many economic and cultural fields worldwide. Its excellence in educational, healthcare, and production </w:t>
      </w:r>
      <w:r>
        <w:rPr>
          <w:rFonts w:ascii="Times New Roman" w:eastAsia="Times New Roman" w:hAnsi="Times New Roman" w:cs="Times New Roman"/>
          <w:sz w:val="24"/>
          <w:szCs w:val="24"/>
        </w:rPr>
        <w:t>aspects supports the country’s success internationally. France faces problems such as an aging population, but still strives to achieve success in technology, education and manufacturing. (Moodie, 2022)</w:t>
      </w:r>
    </w:p>
    <w:p w14:paraId="0EAEF129" w14:textId="77777777" w:rsidR="00812DE5" w:rsidRDefault="003A11A3">
      <w:pPr>
        <w:spacing w:after="0" w:line="480" w:lineRule="auto"/>
        <w:ind w:firstLine="720"/>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rPr>
        <w:lastRenderedPageBreak/>
        <w:t>The culture's fullness, the emphasis on atheism, and the social system are very recognisable aspects of France. The nation takes into consideration the arts, intellectualism, and cuisine regarding its ancient culture and achievements. The French people retain respect for hierarchy and formality.</w:t>
      </w:r>
      <w:r>
        <w:rPr>
          <w:rFonts w:ascii="Times New Roman" w:eastAsia="Times New Roman" w:hAnsi="Times New Roman" w:cs="Times New Roman"/>
          <w:sz w:val="24"/>
          <w:szCs w:val="24"/>
          <w:highlight w:val="white"/>
        </w:rPr>
        <w:t xml:space="preserve"> The usage of French is mandatory, although English is widely spoken proficiently almost everywhere. In terms of tobacco products, in this case, Imperial Brands, the country has strict bureaucracy and regulatory levels that need to be followed. The French nation possesses a well-educated workforce, grateful for the opportunities that the country provides for many foreigners. The flexibility of the labour market could impact Imperial Brands in terms of working resources. (Aldrich, 2024)</w:t>
      </w:r>
    </w:p>
    <w:p w14:paraId="68667255" w14:textId="77777777" w:rsidR="00812DE5" w:rsidRDefault="003A11A3">
      <w:pPr>
        <w:spacing w:after="0" w:line="48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On the other hand, Poland is considered another land of expansion for Imperial Brands. In terms of religious aspects, the country has Catholic influence and bonds with its community. The national culture takes into account norms, values, beliefs, and traditions. (</w:t>
      </w:r>
      <w:proofErr w:type="spellStart"/>
      <w:r>
        <w:rPr>
          <w:rFonts w:ascii="Times New Roman" w:eastAsia="Times New Roman" w:hAnsi="Times New Roman" w:cs="Times New Roman"/>
          <w:sz w:val="24"/>
          <w:szCs w:val="24"/>
          <w:highlight w:val="white"/>
        </w:rPr>
        <w:t>Koralewska</w:t>
      </w:r>
      <w:proofErr w:type="spellEnd"/>
      <w:r>
        <w:rPr>
          <w:rFonts w:ascii="Times New Roman" w:eastAsia="Times New Roman" w:hAnsi="Times New Roman" w:cs="Times New Roman"/>
          <w:sz w:val="24"/>
          <w:szCs w:val="24"/>
          <w:highlight w:val="white"/>
        </w:rPr>
        <w:t>, 2022) The language barrier may be inspected in terms of the usage of English. It has been widely spoken only within the youth generation and urban cities in the past decade. The economic instability and bureaucracy could impose setbacks for Imperial Brands within the expansion process. The regulation of tobacco as a whole is still developing and may provide other difficulties. The workforce in Poland is also multicultural, but most of the expatriates come from the Balkan Peninsula and the surrou</w:t>
      </w:r>
      <w:r>
        <w:rPr>
          <w:rFonts w:ascii="Times New Roman" w:eastAsia="Times New Roman" w:hAnsi="Times New Roman" w:cs="Times New Roman"/>
          <w:sz w:val="24"/>
          <w:szCs w:val="24"/>
          <w:highlight w:val="white"/>
        </w:rPr>
        <w:t>nding neighbours like the Czech Republic, Slovakia, and Ukraine. Due to the low labour costs, the market is way more flexible and easy than the one in Western Europe, in this case France. (</w:t>
      </w:r>
      <w:proofErr w:type="spellStart"/>
      <w:r>
        <w:rPr>
          <w:rFonts w:ascii="Times New Roman" w:eastAsia="Times New Roman" w:hAnsi="Times New Roman" w:cs="Times New Roman"/>
          <w:sz w:val="24"/>
          <w:szCs w:val="24"/>
          <w:highlight w:val="white"/>
        </w:rPr>
        <w:t>Jezierska-Thole</w:t>
      </w:r>
      <w:proofErr w:type="spellEnd"/>
      <w:r>
        <w:rPr>
          <w:rFonts w:ascii="Times New Roman" w:eastAsia="Times New Roman" w:hAnsi="Times New Roman" w:cs="Times New Roman"/>
          <w:sz w:val="24"/>
          <w:szCs w:val="24"/>
          <w:highlight w:val="white"/>
        </w:rPr>
        <w:t>, 2022).</w:t>
      </w:r>
    </w:p>
    <w:p w14:paraId="3D3D08D0" w14:textId="77777777" w:rsidR="00812DE5" w:rsidRDefault="003A11A3">
      <w:pPr>
        <w:spacing w:after="0" w:line="480" w:lineRule="auto"/>
        <w:ind w:firstLine="720"/>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According to </w:t>
      </w:r>
      <w:proofErr w:type="spellStart"/>
      <w:r>
        <w:rPr>
          <w:rFonts w:ascii="Times New Roman" w:eastAsia="Times New Roman" w:hAnsi="Times New Roman" w:cs="Times New Roman"/>
          <w:sz w:val="24"/>
          <w:szCs w:val="24"/>
          <w:highlight w:val="white"/>
        </w:rPr>
        <w:t>Hofstede’s</w:t>
      </w:r>
      <w:proofErr w:type="spellEnd"/>
      <w:r>
        <w:rPr>
          <w:rFonts w:ascii="Times New Roman" w:eastAsia="Times New Roman" w:hAnsi="Times New Roman" w:cs="Times New Roman"/>
          <w:sz w:val="24"/>
          <w:szCs w:val="24"/>
          <w:highlight w:val="white"/>
        </w:rPr>
        <w:t xml:space="preserve"> dimensions, the index results of France compared to the UK are as follows:</w:t>
      </w:r>
    </w:p>
    <w:p w14:paraId="6987D68C" w14:textId="77777777" w:rsidR="00812DE5" w:rsidRDefault="003A11A3">
      <w:pPr>
        <w:numPr>
          <w:ilvl w:val="0"/>
          <w:numId w:val="1"/>
        </w:numPr>
        <w:pBdr>
          <w:top w:val="nil"/>
          <w:left w:val="nil"/>
          <w:bottom w:val="nil"/>
          <w:right w:val="nil"/>
          <w:between w:val="nil"/>
        </w:pBdr>
        <w:spacing w:after="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Power distance – the UK (35) is meant to place more value on equality, while France (68) is more of a hierarchical culture and distribution of powers.</w:t>
      </w:r>
    </w:p>
    <w:p w14:paraId="1B3EA189" w14:textId="77777777" w:rsidR="00812DE5" w:rsidRDefault="003A11A3">
      <w:pPr>
        <w:numPr>
          <w:ilvl w:val="0"/>
          <w:numId w:val="1"/>
        </w:numPr>
        <w:pBdr>
          <w:top w:val="nil"/>
          <w:left w:val="nil"/>
          <w:bottom w:val="nil"/>
          <w:right w:val="nil"/>
          <w:between w:val="nil"/>
        </w:pBdr>
        <w:spacing w:after="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lastRenderedPageBreak/>
        <w:t>Individualism – both the UK (89) and France (71) indicate a high number, thus being considered individualistic nations that appreciate personal achievements and professional relationships.</w:t>
      </w:r>
    </w:p>
    <w:p w14:paraId="4CC7D518" w14:textId="77777777" w:rsidR="00812DE5" w:rsidRDefault="003A11A3">
      <w:pPr>
        <w:numPr>
          <w:ilvl w:val="0"/>
          <w:numId w:val="1"/>
        </w:numPr>
        <w:pBdr>
          <w:top w:val="nil"/>
          <w:left w:val="nil"/>
          <w:bottom w:val="nil"/>
          <w:right w:val="nil"/>
          <w:between w:val="nil"/>
        </w:pBdr>
        <w:spacing w:after="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Masculinity – France (43) takes less consideration of competitiveness, while the UK (66) is more success-oriented, which may reflect on the expansion of Imperial Brands.</w:t>
      </w:r>
    </w:p>
    <w:p w14:paraId="2946C8C5" w14:textId="77777777" w:rsidR="00812DE5" w:rsidRDefault="003A11A3">
      <w:pPr>
        <w:numPr>
          <w:ilvl w:val="0"/>
          <w:numId w:val="1"/>
        </w:numPr>
        <w:pBdr>
          <w:top w:val="nil"/>
          <w:left w:val="nil"/>
          <w:bottom w:val="nil"/>
          <w:right w:val="nil"/>
          <w:between w:val="nil"/>
        </w:pBdr>
        <w:spacing w:after="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Uncertainty Avoidance – France (86) is more preferable for laws and regulations, while the UK (35) prefers more flexibility and acceptance of rapid change and innovation at any cost.</w:t>
      </w:r>
    </w:p>
    <w:p w14:paraId="1B90F93F" w14:textId="77777777" w:rsidR="00812DE5" w:rsidRDefault="003A11A3">
      <w:pPr>
        <w:numPr>
          <w:ilvl w:val="0"/>
          <w:numId w:val="1"/>
        </w:numPr>
        <w:pBdr>
          <w:top w:val="nil"/>
          <w:left w:val="nil"/>
          <w:bottom w:val="nil"/>
          <w:right w:val="nil"/>
          <w:between w:val="nil"/>
        </w:pBdr>
        <w:spacing w:after="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Long-term Orientation – both the UK (51) and France (63) seem to be more oriented in long-term operations in the business aspect, which may contribute to the expansion.</w:t>
      </w:r>
    </w:p>
    <w:p w14:paraId="23B6AAE6" w14:textId="77777777" w:rsidR="00812DE5" w:rsidRDefault="003A11A3">
      <w:pPr>
        <w:numPr>
          <w:ilvl w:val="0"/>
          <w:numId w:val="1"/>
        </w:numPr>
        <w:pBdr>
          <w:top w:val="nil"/>
          <w:left w:val="nil"/>
          <w:bottom w:val="nil"/>
          <w:right w:val="nil"/>
          <w:between w:val="nil"/>
        </w:pBdr>
        <w:spacing w:after="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Indulgence – France (48) is more restricted in terms of natural joy and acceptance of happiness, while the UK (69) are more grateful of life, in terms of optimistic view.</w:t>
      </w:r>
    </w:p>
    <w:p w14:paraId="31C6F832" w14:textId="77777777" w:rsidR="00812DE5" w:rsidRDefault="00812DE5">
      <w:pPr>
        <w:spacing w:after="0" w:line="480" w:lineRule="auto"/>
        <w:jc w:val="both"/>
        <w:rPr>
          <w:rFonts w:ascii="Times New Roman" w:eastAsia="Times New Roman" w:hAnsi="Times New Roman" w:cs="Times New Roman"/>
          <w:sz w:val="24"/>
          <w:szCs w:val="24"/>
        </w:rPr>
      </w:pPr>
    </w:p>
    <w:p w14:paraId="392C6A4F" w14:textId="77777777" w:rsidR="00812DE5" w:rsidRDefault="003A11A3">
      <w:pPr>
        <w:spacing w:after="0" w:line="48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Conversely, the other country for possible expansion of the Imperial Brand is Poland. Localised in Central Europe, the country has a population of approximately 38 million people. (</w:t>
      </w:r>
      <w:proofErr w:type="spellStart"/>
      <w:r>
        <w:rPr>
          <w:rFonts w:ascii="Times New Roman" w:eastAsia="Times New Roman" w:hAnsi="Times New Roman" w:cs="Times New Roman"/>
          <w:sz w:val="24"/>
          <w:szCs w:val="24"/>
        </w:rPr>
        <w:t>Calka</w:t>
      </w:r>
      <w:proofErr w:type="spellEnd"/>
      <w:r>
        <w:rPr>
          <w:rFonts w:ascii="Times New Roman" w:eastAsia="Times New Roman" w:hAnsi="Times New Roman" w:cs="Times New Roman"/>
          <w:sz w:val="24"/>
          <w:szCs w:val="24"/>
        </w:rPr>
        <w:t>, 2022) The country shares borders with 7 other countries, including the Russian region Kaliningrad. Throughout the years, Poland has established strong cultural and historical background and this can contribute to its diverse economy. The main areas that Poland is improving are manufacturing, services, and agriculture. Polish is the national language, while English is evolving within the urban population and the youth. The country was affected by the economic crisis in 2008, but still has succeeded to</w:t>
      </w:r>
      <w:r>
        <w:rPr>
          <w:rFonts w:ascii="Times New Roman" w:eastAsia="Times New Roman" w:hAnsi="Times New Roman" w:cs="Times New Roman"/>
          <w:sz w:val="24"/>
          <w:szCs w:val="24"/>
        </w:rPr>
        <w:t xml:space="preserve"> note an economic growth in the electronic and automotive industry. From the cultural perspective, Poland has tradition in honouring family, traditions, and community. The vertical structure is quite expressed within a business perspective. The labour market is healthy in terms of unemployment rate 5.5 per cent, although there is still a demand for highly-educated specialists. (</w:t>
      </w:r>
      <w:proofErr w:type="spellStart"/>
      <w:r>
        <w:rPr>
          <w:rFonts w:ascii="Times New Roman" w:eastAsia="Times New Roman" w:hAnsi="Times New Roman" w:cs="Times New Roman"/>
          <w:sz w:val="24"/>
          <w:szCs w:val="24"/>
        </w:rPr>
        <w:t>Ladonko</w:t>
      </w:r>
      <w:proofErr w:type="spellEnd"/>
      <w:r>
        <w:rPr>
          <w:rFonts w:ascii="Times New Roman" w:eastAsia="Times New Roman" w:hAnsi="Times New Roman" w:cs="Times New Roman"/>
          <w:sz w:val="24"/>
          <w:szCs w:val="24"/>
        </w:rPr>
        <w:t>, 2022)</w:t>
      </w:r>
    </w:p>
    <w:p w14:paraId="77F731DC" w14:textId="77777777" w:rsidR="00812DE5" w:rsidRDefault="00812DE5">
      <w:pPr>
        <w:spacing w:after="0" w:line="480" w:lineRule="auto"/>
        <w:jc w:val="both"/>
        <w:rPr>
          <w:rFonts w:ascii="Times New Roman" w:eastAsia="Times New Roman" w:hAnsi="Times New Roman" w:cs="Times New Roman"/>
          <w:sz w:val="24"/>
          <w:szCs w:val="24"/>
        </w:rPr>
      </w:pPr>
    </w:p>
    <w:p w14:paraId="6140CAF8" w14:textId="77777777" w:rsidR="00812DE5" w:rsidRDefault="003A11A3">
      <w:pPr>
        <w:spacing w:after="0" w:line="480" w:lineRule="auto"/>
        <w:ind w:firstLine="720"/>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Here is a comparison between the UK and Poland, according to </w:t>
      </w:r>
      <w:proofErr w:type="spellStart"/>
      <w:r>
        <w:rPr>
          <w:rFonts w:ascii="Times New Roman" w:eastAsia="Times New Roman" w:hAnsi="Times New Roman" w:cs="Times New Roman"/>
          <w:sz w:val="24"/>
          <w:szCs w:val="24"/>
          <w:highlight w:val="white"/>
        </w:rPr>
        <w:t>Hofstede’s</w:t>
      </w:r>
      <w:proofErr w:type="spellEnd"/>
      <w:r>
        <w:rPr>
          <w:rFonts w:ascii="Times New Roman" w:eastAsia="Times New Roman" w:hAnsi="Times New Roman" w:cs="Times New Roman"/>
          <w:sz w:val="24"/>
          <w:szCs w:val="24"/>
          <w:highlight w:val="white"/>
        </w:rPr>
        <w:t xml:space="preserve"> dimensions:</w:t>
      </w:r>
    </w:p>
    <w:p w14:paraId="0DB7644A" w14:textId="77777777" w:rsidR="00812DE5" w:rsidRDefault="003A11A3">
      <w:pPr>
        <w:numPr>
          <w:ilvl w:val="0"/>
          <w:numId w:val="2"/>
        </w:numPr>
        <w:pBdr>
          <w:top w:val="nil"/>
          <w:left w:val="nil"/>
          <w:bottom w:val="nil"/>
          <w:right w:val="nil"/>
          <w:between w:val="nil"/>
        </w:pBdr>
        <w:spacing w:after="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lastRenderedPageBreak/>
        <w:t xml:space="preserve">Power Distance – the UK (35) shows less reflection on power and </w:t>
      </w:r>
      <w:r>
        <w:rPr>
          <w:rFonts w:ascii="Times New Roman" w:eastAsia="Times New Roman" w:hAnsi="Times New Roman" w:cs="Times New Roman"/>
          <w:sz w:val="24"/>
          <w:szCs w:val="24"/>
          <w:highlight w:val="white"/>
        </w:rPr>
        <w:t>more democracy, while Poland (68) indicates a higher power distance in terms of vertical organisational structure.</w:t>
      </w:r>
    </w:p>
    <w:p w14:paraId="4F8F1657" w14:textId="77777777" w:rsidR="00812DE5" w:rsidRDefault="003A11A3">
      <w:pPr>
        <w:numPr>
          <w:ilvl w:val="0"/>
          <w:numId w:val="2"/>
        </w:numPr>
        <w:pBdr>
          <w:top w:val="nil"/>
          <w:left w:val="nil"/>
          <w:bottom w:val="nil"/>
          <w:right w:val="nil"/>
          <w:between w:val="nil"/>
        </w:pBdr>
        <w:spacing w:after="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Individualism – the personal achievements of the UK (89) are extremely important, even within business. On the other hand, Poland (60) takes into consideration the values within the family and from a national perspective.</w:t>
      </w:r>
    </w:p>
    <w:p w14:paraId="3F58EEEF" w14:textId="77777777" w:rsidR="00812DE5" w:rsidRDefault="003A11A3">
      <w:pPr>
        <w:numPr>
          <w:ilvl w:val="0"/>
          <w:numId w:val="2"/>
        </w:numPr>
        <w:pBdr>
          <w:top w:val="nil"/>
          <w:left w:val="nil"/>
          <w:bottom w:val="nil"/>
          <w:right w:val="nil"/>
          <w:between w:val="nil"/>
        </w:pBdr>
        <w:spacing w:after="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Masculinity – the scores of the UK (66) and Poland (64) indicate that the emotional roles that are distributed between genders are based on achievement and competitiveness.</w:t>
      </w:r>
    </w:p>
    <w:p w14:paraId="51D30CCE" w14:textId="77777777" w:rsidR="00812DE5" w:rsidRDefault="003A11A3">
      <w:pPr>
        <w:numPr>
          <w:ilvl w:val="0"/>
          <w:numId w:val="2"/>
        </w:numPr>
        <w:pBdr>
          <w:top w:val="nil"/>
          <w:left w:val="nil"/>
          <w:bottom w:val="nil"/>
          <w:right w:val="nil"/>
          <w:between w:val="nil"/>
        </w:pBdr>
        <w:spacing w:after="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Uncertainty Avoidance – we note a substantial difference between the UK (35) and Poland (93), which indicates the level of tolerance for risky decisions. Thus, Imperial Brands should consider the expansion carefully, as the company will need specific and detailed reports about their product, tobacco.</w:t>
      </w:r>
    </w:p>
    <w:p w14:paraId="289F2DB4" w14:textId="77777777" w:rsidR="00812DE5" w:rsidRDefault="003A11A3">
      <w:pPr>
        <w:numPr>
          <w:ilvl w:val="0"/>
          <w:numId w:val="2"/>
        </w:numPr>
        <w:pBdr>
          <w:top w:val="nil"/>
          <w:left w:val="nil"/>
          <w:bottom w:val="nil"/>
          <w:right w:val="nil"/>
          <w:between w:val="nil"/>
        </w:pBdr>
        <w:spacing w:after="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Long-term Orientation – the UK (51) is considered a nation that prefers planning and organising, while Poland (38) prefers to preserve its traditional structure and beliefs.</w:t>
      </w:r>
    </w:p>
    <w:p w14:paraId="7DA91752" w14:textId="77777777" w:rsidR="00812DE5" w:rsidRDefault="003A11A3">
      <w:pPr>
        <w:numPr>
          <w:ilvl w:val="0"/>
          <w:numId w:val="2"/>
        </w:numPr>
        <w:pBdr>
          <w:top w:val="nil"/>
          <w:left w:val="nil"/>
          <w:bottom w:val="nil"/>
          <w:right w:val="nil"/>
          <w:between w:val="nil"/>
        </w:pBdr>
        <w:spacing w:after="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Indulgence – desires, and personal satisfaction in Poland (29) are not quite as preferable as in the UK (69). Thus, Imperial Brands needs to consider totally different marketing approaches, when it comes to a product such as tobacco. </w:t>
      </w:r>
    </w:p>
    <w:p w14:paraId="5AF0A930" w14:textId="77777777" w:rsidR="00812DE5" w:rsidRDefault="00812DE5">
      <w:pPr>
        <w:spacing w:after="0" w:line="480" w:lineRule="auto"/>
        <w:jc w:val="both"/>
        <w:rPr>
          <w:rFonts w:ascii="Times New Roman" w:eastAsia="Times New Roman" w:hAnsi="Times New Roman" w:cs="Times New Roman"/>
          <w:sz w:val="24"/>
          <w:szCs w:val="24"/>
          <w:highlight w:val="white"/>
        </w:rPr>
      </w:pPr>
    </w:p>
    <w:p w14:paraId="5D976EC7" w14:textId="77777777" w:rsidR="00812DE5" w:rsidRDefault="003A11A3">
      <w:pPr>
        <w:spacing w:after="0" w:line="480" w:lineRule="auto"/>
        <w:ind w:firstLine="720"/>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There are obvious differences between the UK and Poland. However, the expansion of Imperial Brands to Poland would demand a lot of effort and strong persecution on the part of the company. The vertical structures and the tolerance of uncertainty are other aspects that would restrain the company from placing their product easily. Strategically, Poland is an economy that seeks fast and short results, while the UK company Imperial Brands focuses more on long-term partnerships and worldwide influence. (Lee, 202</w:t>
      </w:r>
      <w:r>
        <w:rPr>
          <w:rFonts w:ascii="Times New Roman" w:eastAsia="Times New Roman" w:hAnsi="Times New Roman" w:cs="Times New Roman"/>
          <w:sz w:val="24"/>
          <w:szCs w:val="24"/>
          <w:highlight w:val="white"/>
        </w:rPr>
        <w:t>3)</w:t>
      </w:r>
    </w:p>
    <w:p w14:paraId="1581A80E" w14:textId="77777777" w:rsidR="00812DE5" w:rsidRDefault="003A11A3">
      <w:pPr>
        <w:spacing w:after="0" w:line="480" w:lineRule="auto"/>
        <w:ind w:firstLine="720"/>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Both Poland and France could be suitable for the expansion of the conglomerate Imperial Brands. However, based on </w:t>
      </w:r>
      <w:proofErr w:type="spellStart"/>
      <w:r>
        <w:rPr>
          <w:rFonts w:ascii="Times New Roman" w:eastAsia="Times New Roman" w:hAnsi="Times New Roman" w:cs="Times New Roman"/>
          <w:sz w:val="24"/>
          <w:szCs w:val="24"/>
          <w:highlight w:val="white"/>
        </w:rPr>
        <w:t>Hofstede’s</w:t>
      </w:r>
      <w:proofErr w:type="spellEnd"/>
      <w:r>
        <w:rPr>
          <w:rFonts w:ascii="Times New Roman" w:eastAsia="Times New Roman" w:hAnsi="Times New Roman" w:cs="Times New Roman"/>
          <w:sz w:val="24"/>
          <w:szCs w:val="24"/>
          <w:highlight w:val="white"/>
        </w:rPr>
        <w:t xml:space="preserve"> dimensions, France seems more applicable in terms of long-</w:t>
      </w:r>
      <w:r>
        <w:rPr>
          <w:rFonts w:ascii="Times New Roman" w:eastAsia="Times New Roman" w:hAnsi="Times New Roman" w:cs="Times New Roman"/>
          <w:sz w:val="24"/>
          <w:szCs w:val="24"/>
          <w:highlight w:val="white"/>
        </w:rPr>
        <w:lastRenderedPageBreak/>
        <w:t xml:space="preserve">term orientation and individualism. When expanding to a totally new market, even within the same continent, a long-lasting partnership is crucial for businesses, especially in the tobacco industry. This is a product that is commonly used all over the world on a daily basis. A well-educated workforce is extremely important due to the manufacturing process being cost-effective and efficient. The risk orientation is also crucial, despite the </w:t>
      </w:r>
      <w:r>
        <w:rPr>
          <w:rFonts w:ascii="Times New Roman" w:eastAsia="Times New Roman" w:hAnsi="Times New Roman" w:cs="Times New Roman"/>
          <w:sz w:val="24"/>
          <w:szCs w:val="24"/>
          <w:highlight w:val="white"/>
        </w:rPr>
        <w:t>fact that Poland emerged from the crisis in 2008. On the other hand, France is way more stable and still amongst the world’s economic conglomerates.</w:t>
      </w:r>
    </w:p>
    <w:p w14:paraId="2A18D9CF" w14:textId="77777777" w:rsidR="00812DE5" w:rsidRDefault="003A11A3">
      <w:pPr>
        <w:spacing w:before="280" w:after="280" w:line="480" w:lineRule="auto"/>
        <w:ind w:firstLine="720"/>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Networking is a crucial aspect that Imperial Brands should consider when expanding into new markets, such as France. It is a method of communication that is essential in terms of manufacturing, arranging a certain deal, and even knowing the laws of the country. Compared to Poland, France has a higher level of proficiency in English, so it is way easier to establish a regular business relationship. However, in closing a deal with a local retailer, Imperial Brands should use French to be more specific in diff</w:t>
      </w:r>
      <w:r>
        <w:rPr>
          <w:rFonts w:ascii="Times New Roman" w:eastAsia="Times New Roman" w:hAnsi="Times New Roman" w:cs="Times New Roman"/>
          <w:sz w:val="24"/>
          <w:szCs w:val="24"/>
          <w:highlight w:val="white"/>
        </w:rPr>
        <w:t>erent accurate and precise approaches about the product. Mastering French is a good alternative in terms of networking because Imperial Brands will create a long-lasting presence within the French market.</w:t>
      </w:r>
      <w:r>
        <w:rPr>
          <w:rFonts w:ascii="Times New Roman" w:eastAsia="Times New Roman" w:hAnsi="Times New Roman" w:cs="Times New Roman"/>
          <w:sz w:val="24"/>
          <w:szCs w:val="24"/>
          <w:highlight w:val="white"/>
        </w:rPr>
        <w:br/>
      </w:r>
      <w:r>
        <w:rPr>
          <w:rFonts w:ascii="Times New Roman" w:eastAsia="Times New Roman" w:hAnsi="Times New Roman" w:cs="Times New Roman"/>
          <w:sz w:val="24"/>
          <w:szCs w:val="24"/>
          <w:highlight w:val="white"/>
        </w:rPr>
        <w:tab/>
        <w:t>Other aspects of communications are considered formality and interpretation issues. However, the correct understanding of a specific rule, especially regarding tobacco, is extremely important. Thus, an inadequate interpretation of a poorly translated document may lead to fines for Imperial Brands. Thus, t</w:t>
      </w:r>
      <w:r>
        <w:rPr>
          <w:rFonts w:ascii="Times New Roman" w:eastAsia="Times New Roman" w:hAnsi="Times New Roman" w:cs="Times New Roman"/>
          <w:sz w:val="24"/>
          <w:szCs w:val="24"/>
          <w:highlight w:val="white"/>
        </w:rPr>
        <w:t>he company might consider hiring local specialists who are highly proficient in English and French. (Humphreys, 2023)</w:t>
      </w:r>
    </w:p>
    <w:p w14:paraId="1668A0EF" w14:textId="77777777" w:rsidR="00812DE5" w:rsidRDefault="003A11A3">
      <w:pPr>
        <w:spacing w:before="280" w:after="280" w:line="480" w:lineRule="auto"/>
        <w:ind w:firstLine="720"/>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The cultural issue always appears to be crucial for international businesses. The expressions and perceptions of different signals may be misguided at certain points. Thus, another recommendation for Imperial Brands could be enhancing local seminars and conferences about France. Face-to-face meetings are also advisable for the company because, by doing so, they will get to know a better business society within this industry. In other words, Imperial brands should focus very precisely on </w:t>
      </w:r>
      <w:r>
        <w:rPr>
          <w:rFonts w:ascii="Times New Roman" w:eastAsia="Times New Roman" w:hAnsi="Times New Roman" w:cs="Times New Roman"/>
          <w:sz w:val="24"/>
          <w:szCs w:val="24"/>
          <w:highlight w:val="white"/>
        </w:rPr>
        <w:lastRenderedPageBreak/>
        <w:t>acknowledging all the communication channels, cultural behaviour, and situational moments that may happen in France. Lastly, but not least, are the local values and norms. The requirements for placing foreign tobacco products in France are many and quite strict. (</w:t>
      </w:r>
      <w:proofErr w:type="spellStart"/>
      <w:r>
        <w:rPr>
          <w:rFonts w:ascii="Times New Roman" w:eastAsia="Times New Roman" w:hAnsi="Times New Roman" w:cs="Times New Roman"/>
          <w:sz w:val="24"/>
          <w:szCs w:val="24"/>
          <w:highlight w:val="white"/>
        </w:rPr>
        <w:t>Benaglia</w:t>
      </w:r>
      <w:proofErr w:type="spellEnd"/>
      <w:r>
        <w:rPr>
          <w:rFonts w:ascii="Times New Roman" w:eastAsia="Times New Roman" w:hAnsi="Times New Roman" w:cs="Times New Roman"/>
          <w:sz w:val="24"/>
          <w:szCs w:val="24"/>
          <w:highlight w:val="white"/>
        </w:rPr>
        <w:t>, 2022)</w:t>
      </w:r>
    </w:p>
    <w:p w14:paraId="46F2B648" w14:textId="77777777" w:rsidR="00812DE5" w:rsidRDefault="003A11A3">
      <w:pPr>
        <w:spacing w:before="280" w:after="280" w:line="480" w:lineRule="auto"/>
        <w:ind w:firstLine="720"/>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Lastly, the barriers to communication across France necessitate a well-structured method, which has to be implied very carefully. The investments in local managers and local professionals are considered a good option for Imperial Brands to become steady and perpetual in their intentions within this expansion. (Ye, 2024)</w:t>
      </w:r>
    </w:p>
    <w:p w14:paraId="6847D09B" w14:textId="77777777" w:rsidR="00812DE5" w:rsidRDefault="003A11A3">
      <w:pPr>
        <w:spacing w:before="280" w:after="280" w:line="48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communication strategies that should be applied by Imperial Brands are as follows:</w:t>
      </w:r>
    </w:p>
    <w:p w14:paraId="261AAC18" w14:textId="77777777" w:rsidR="00812DE5" w:rsidRDefault="003A11A3">
      <w:pPr>
        <w:numPr>
          <w:ilvl w:val="0"/>
          <w:numId w:val="3"/>
        </w:numPr>
        <w:spacing w:before="280" w:after="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Cultural Training – Imperial Brands should acquire courses for French etiquette and behaviour.</w:t>
      </w:r>
    </w:p>
    <w:p w14:paraId="6848C9C4" w14:textId="77777777" w:rsidR="00812DE5" w:rsidRDefault="003A11A3">
      <w:pPr>
        <w:numPr>
          <w:ilvl w:val="0"/>
          <w:numId w:val="3"/>
        </w:numPr>
        <w:spacing w:after="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Language support – France is considered a nation that highly respects its achievements and its culture; thus, by taking language courses, Imperial Brands could establish a better bond with the local managers and authorities.</w:t>
      </w:r>
    </w:p>
    <w:p w14:paraId="4B71551F" w14:textId="77777777" w:rsidR="00812DE5" w:rsidRDefault="003A11A3">
      <w:pPr>
        <w:numPr>
          <w:ilvl w:val="0"/>
          <w:numId w:val="3"/>
        </w:numPr>
        <w:spacing w:after="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Formal Networking – participate in local events and conferences regarding tobacco products and innovations within the industry.</w:t>
      </w:r>
    </w:p>
    <w:p w14:paraId="55DB55D6" w14:textId="77777777" w:rsidR="00812DE5" w:rsidRDefault="003A11A3">
      <w:pPr>
        <w:numPr>
          <w:ilvl w:val="0"/>
          <w:numId w:val="3"/>
        </w:numPr>
        <w:spacing w:after="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Localised Business Approach – Imperial brands should establish strategies that respect the </w:t>
      </w:r>
      <w:r>
        <w:rPr>
          <w:rFonts w:ascii="Times New Roman" w:eastAsia="Times New Roman" w:hAnsi="Times New Roman" w:cs="Times New Roman"/>
          <w:sz w:val="24"/>
          <w:szCs w:val="24"/>
        </w:rPr>
        <w:t>national values and norms of France.</w:t>
      </w:r>
    </w:p>
    <w:p w14:paraId="5A78C8D5" w14:textId="77777777" w:rsidR="00812DE5" w:rsidRDefault="003A11A3">
      <w:pPr>
        <w:numPr>
          <w:ilvl w:val="0"/>
          <w:numId w:val="3"/>
        </w:numPr>
        <w:spacing w:after="280" w:line="48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rPr>
        <w:t>Utilise technology – Imperial Brands should approve the local technology, used in the manufacturing process and, in the future, provide, offer, and create much better ones. (</w:t>
      </w:r>
      <w:proofErr w:type="spellStart"/>
      <w:r>
        <w:rPr>
          <w:rFonts w:ascii="Times New Roman" w:eastAsia="Times New Roman" w:hAnsi="Times New Roman" w:cs="Times New Roman"/>
          <w:sz w:val="24"/>
          <w:szCs w:val="24"/>
        </w:rPr>
        <w:t>Souri</w:t>
      </w:r>
      <w:proofErr w:type="spellEnd"/>
      <w:r>
        <w:rPr>
          <w:rFonts w:ascii="Times New Roman" w:eastAsia="Times New Roman" w:hAnsi="Times New Roman" w:cs="Times New Roman"/>
          <w:sz w:val="24"/>
          <w:szCs w:val="24"/>
        </w:rPr>
        <w:t>, 2022).</w:t>
      </w:r>
    </w:p>
    <w:p w14:paraId="66BD8844" w14:textId="77777777" w:rsidR="00812DE5" w:rsidRDefault="003A11A3">
      <w:pPr>
        <w:spacing w:before="280" w:after="280" w:line="48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To conclude, expansion into new markets is always a challenge, even for a multinational company like Imperial Brands. France is a suitable market for the company due to its strategic location and the great opportunities that it provides. Nevertheless, Imperial Brands should monitor cultural differences and approaches to French culture. The company should take into consideration adjusting to the local </w:t>
      </w:r>
      <w:r>
        <w:rPr>
          <w:rFonts w:ascii="Times New Roman" w:eastAsia="Times New Roman" w:hAnsi="Times New Roman" w:cs="Times New Roman"/>
          <w:sz w:val="24"/>
          <w:szCs w:val="24"/>
          <w:highlight w:val="white"/>
        </w:rPr>
        <w:lastRenderedPageBreak/>
        <w:t>environment, language training, and establishing an adaptable business environment. Manufacturing tobacco requires knowing the specifics of regulations and laws in a certain country, in our case France, so Imperial Brands should acknowledge all the needed issues on that. By applying the suitable strategies, Imperial Brands will assure its presence and persistence within the French market.</w:t>
      </w:r>
    </w:p>
    <w:p w14:paraId="10218055" w14:textId="77777777" w:rsidR="00812DE5" w:rsidRDefault="00812DE5">
      <w:pPr>
        <w:spacing w:before="280" w:after="280" w:line="480" w:lineRule="auto"/>
        <w:jc w:val="both"/>
        <w:rPr>
          <w:rFonts w:ascii="Times New Roman" w:eastAsia="Times New Roman" w:hAnsi="Times New Roman" w:cs="Times New Roman"/>
          <w:sz w:val="24"/>
          <w:szCs w:val="24"/>
          <w:highlight w:val="white"/>
        </w:rPr>
      </w:pPr>
    </w:p>
    <w:p w14:paraId="7044F85F" w14:textId="77777777" w:rsidR="00812DE5" w:rsidRDefault="00812DE5">
      <w:pPr>
        <w:spacing w:before="280" w:after="280" w:line="480" w:lineRule="auto"/>
        <w:jc w:val="both"/>
        <w:rPr>
          <w:rFonts w:ascii="Times New Roman" w:eastAsia="Times New Roman" w:hAnsi="Times New Roman" w:cs="Times New Roman"/>
          <w:sz w:val="24"/>
          <w:szCs w:val="24"/>
          <w:highlight w:val="white"/>
        </w:rPr>
      </w:pPr>
    </w:p>
    <w:p w14:paraId="20F936E5" w14:textId="77777777" w:rsidR="00812DE5" w:rsidRDefault="00812DE5">
      <w:pPr>
        <w:spacing w:before="280" w:after="280" w:line="480" w:lineRule="auto"/>
        <w:jc w:val="both"/>
        <w:rPr>
          <w:rFonts w:ascii="Times New Roman" w:eastAsia="Times New Roman" w:hAnsi="Times New Roman" w:cs="Times New Roman"/>
          <w:sz w:val="24"/>
          <w:szCs w:val="24"/>
          <w:highlight w:val="white"/>
        </w:rPr>
      </w:pPr>
    </w:p>
    <w:p w14:paraId="13BBB5B4" w14:textId="77777777" w:rsidR="00812DE5" w:rsidRDefault="00812DE5">
      <w:pPr>
        <w:spacing w:before="280" w:after="280" w:line="480" w:lineRule="auto"/>
        <w:jc w:val="both"/>
        <w:rPr>
          <w:rFonts w:ascii="Times New Roman" w:eastAsia="Times New Roman" w:hAnsi="Times New Roman" w:cs="Times New Roman"/>
          <w:sz w:val="24"/>
          <w:szCs w:val="24"/>
          <w:highlight w:val="white"/>
        </w:rPr>
      </w:pPr>
    </w:p>
    <w:p w14:paraId="23366AF2" w14:textId="77777777" w:rsidR="00812DE5" w:rsidRDefault="00812DE5">
      <w:pPr>
        <w:spacing w:before="280" w:after="280" w:line="480" w:lineRule="auto"/>
        <w:jc w:val="both"/>
        <w:rPr>
          <w:rFonts w:ascii="Times New Roman" w:eastAsia="Times New Roman" w:hAnsi="Times New Roman" w:cs="Times New Roman"/>
          <w:sz w:val="24"/>
          <w:szCs w:val="24"/>
          <w:highlight w:val="white"/>
        </w:rPr>
      </w:pPr>
    </w:p>
    <w:p w14:paraId="79B1945C" w14:textId="77777777" w:rsidR="00812DE5" w:rsidRDefault="00812DE5">
      <w:pPr>
        <w:spacing w:before="280" w:after="280" w:line="480" w:lineRule="auto"/>
        <w:jc w:val="both"/>
        <w:rPr>
          <w:rFonts w:ascii="Times New Roman" w:eastAsia="Times New Roman" w:hAnsi="Times New Roman" w:cs="Times New Roman"/>
          <w:sz w:val="24"/>
          <w:szCs w:val="24"/>
          <w:highlight w:val="white"/>
        </w:rPr>
      </w:pPr>
    </w:p>
    <w:p w14:paraId="2C959472" w14:textId="77777777" w:rsidR="00812DE5" w:rsidRDefault="00812DE5">
      <w:pPr>
        <w:spacing w:before="280" w:after="280" w:line="480" w:lineRule="auto"/>
        <w:jc w:val="both"/>
        <w:rPr>
          <w:rFonts w:ascii="Times New Roman" w:eastAsia="Times New Roman" w:hAnsi="Times New Roman" w:cs="Times New Roman"/>
          <w:sz w:val="24"/>
          <w:szCs w:val="24"/>
          <w:highlight w:val="white"/>
        </w:rPr>
      </w:pPr>
    </w:p>
    <w:p w14:paraId="016C992F" w14:textId="77777777" w:rsidR="00812DE5" w:rsidRDefault="00812DE5">
      <w:pPr>
        <w:spacing w:before="280" w:after="280" w:line="480" w:lineRule="auto"/>
        <w:jc w:val="both"/>
        <w:rPr>
          <w:rFonts w:ascii="Times New Roman" w:eastAsia="Times New Roman" w:hAnsi="Times New Roman" w:cs="Times New Roman"/>
          <w:sz w:val="24"/>
          <w:szCs w:val="24"/>
          <w:highlight w:val="white"/>
        </w:rPr>
      </w:pPr>
    </w:p>
    <w:p w14:paraId="3E3D434A" w14:textId="77777777" w:rsidR="00812DE5" w:rsidRDefault="00812DE5">
      <w:pPr>
        <w:spacing w:before="280" w:after="280" w:line="480" w:lineRule="auto"/>
        <w:jc w:val="both"/>
        <w:rPr>
          <w:rFonts w:ascii="Times New Roman" w:eastAsia="Times New Roman" w:hAnsi="Times New Roman" w:cs="Times New Roman"/>
          <w:sz w:val="24"/>
          <w:szCs w:val="24"/>
          <w:highlight w:val="white"/>
        </w:rPr>
      </w:pPr>
    </w:p>
    <w:p w14:paraId="4F4B55F5" w14:textId="77777777" w:rsidR="00812DE5" w:rsidRDefault="00812DE5">
      <w:pPr>
        <w:spacing w:before="280" w:after="280" w:line="480" w:lineRule="auto"/>
        <w:jc w:val="both"/>
        <w:rPr>
          <w:rFonts w:ascii="Times New Roman" w:eastAsia="Times New Roman" w:hAnsi="Times New Roman" w:cs="Times New Roman"/>
          <w:sz w:val="24"/>
          <w:szCs w:val="24"/>
          <w:highlight w:val="white"/>
        </w:rPr>
      </w:pPr>
    </w:p>
    <w:p w14:paraId="182D88C6" w14:textId="77777777" w:rsidR="00812DE5" w:rsidRDefault="00812DE5">
      <w:pPr>
        <w:spacing w:before="280" w:line="480" w:lineRule="auto"/>
        <w:jc w:val="both"/>
        <w:rPr>
          <w:rFonts w:ascii="Times New Roman" w:eastAsia="Times New Roman" w:hAnsi="Times New Roman" w:cs="Times New Roman"/>
          <w:sz w:val="24"/>
          <w:szCs w:val="24"/>
          <w:highlight w:val="white"/>
        </w:rPr>
      </w:pPr>
    </w:p>
    <w:p w14:paraId="25E4D592" w14:textId="77777777" w:rsidR="00812DE5" w:rsidRDefault="003A11A3">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t>References</w:t>
      </w:r>
    </w:p>
    <w:p w14:paraId="56E1FA02" w14:textId="77777777" w:rsidR="00812DE5" w:rsidRDefault="003A11A3">
      <w:pPr>
        <w:pBdr>
          <w:top w:val="nil"/>
          <w:left w:val="nil"/>
          <w:bottom w:val="nil"/>
          <w:right w:val="nil"/>
          <w:between w:val="nil"/>
        </w:pBdr>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Ahmad, M. a. (2023). The impact of COVID-19 on unemployment rate: An intelligent based unemployment rate prediction in selected countries of Europe. </w:t>
      </w:r>
      <w:r>
        <w:rPr>
          <w:rFonts w:ascii="Times New Roman" w:eastAsia="Times New Roman" w:hAnsi="Times New Roman" w:cs="Times New Roman"/>
          <w:i/>
          <w:sz w:val="24"/>
          <w:szCs w:val="24"/>
        </w:rPr>
        <w:t>International Journal of Finance \&amp; Economics</w:t>
      </w:r>
      <w:r>
        <w:rPr>
          <w:rFonts w:ascii="Times New Roman" w:eastAsia="Times New Roman" w:hAnsi="Times New Roman" w:cs="Times New Roman"/>
          <w:sz w:val="24"/>
          <w:szCs w:val="24"/>
        </w:rPr>
        <w:t>, 528-543.</w:t>
      </w:r>
    </w:p>
    <w:p w14:paraId="364112DE" w14:textId="77777777" w:rsidR="00812DE5" w:rsidRDefault="003A11A3">
      <w:pPr>
        <w:pBdr>
          <w:top w:val="nil"/>
          <w:left w:val="nil"/>
          <w:bottom w:val="nil"/>
          <w:right w:val="nil"/>
          <w:between w:val="nil"/>
        </w:pBdr>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t>Aldrich, R. a. (2024). France in world politics.</w:t>
      </w:r>
    </w:p>
    <w:p w14:paraId="797D96F3" w14:textId="77777777" w:rsidR="00812DE5" w:rsidRDefault="003A11A3">
      <w:pPr>
        <w:pBdr>
          <w:top w:val="nil"/>
          <w:left w:val="nil"/>
          <w:bottom w:val="nil"/>
          <w:right w:val="nil"/>
          <w:between w:val="nil"/>
        </w:pBdr>
        <w:ind w:left="720" w:hanging="720"/>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lastRenderedPageBreak/>
        <w:t>Benaglia</w:t>
      </w:r>
      <w:proofErr w:type="spellEnd"/>
      <w:r>
        <w:rPr>
          <w:rFonts w:ascii="Times New Roman" w:eastAsia="Times New Roman" w:hAnsi="Times New Roman" w:cs="Times New Roman"/>
          <w:sz w:val="24"/>
          <w:szCs w:val="24"/>
        </w:rPr>
        <w:t xml:space="preserve">, C. a. (2022). Multilingual texts and contexts: Inclusive pedagogies in the French foreign language classroom. In </w:t>
      </w:r>
      <w:r>
        <w:rPr>
          <w:rFonts w:ascii="Times New Roman" w:eastAsia="Times New Roman" w:hAnsi="Times New Roman" w:cs="Times New Roman"/>
          <w:i/>
          <w:sz w:val="24"/>
          <w:szCs w:val="24"/>
        </w:rPr>
        <w:t xml:space="preserve">Diversity and </w:t>
      </w:r>
      <w:proofErr w:type="spellStart"/>
      <w:r>
        <w:rPr>
          <w:rFonts w:ascii="Times New Roman" w:eastAsia="Times New Roman" w:hAnsi="Times New Roman" w:cs="Times New Roman"/>
          <w:i/>
          <w:sz w:val="24"/>
          <w:szCs w:val="24"/>
        </w:rPr>
        <w:t>decolonization</w:t>
      </w:r>
      <w:proofErr w:type="spellEnd"/>
      <w:r>
        <w:rPr>
          <w:rFonts w:ascii="Times New Roman" w:eastAsia="Times New Roman" w:hAnsi="Times New Roman" w:cs="Times New Roman"/>
          <w:i/>
          <w:sz w:val="24"/>
          <w:szCs w:val="24"/>
        </w:rPr>
        <w:t xml:space="preserve"> in French studies: New approaches to teaching</w:t>
      </w:r>
      <w:r>
        <w:rPr>
          <w:rFonts w:ascii="Times New Roman" w:eastAsia="Times New Roman" w:hAnsi="Times New Roman" w:cs="Times New Roman"/>
          <w:sz w:val="24"/>
          <w:szCs w:val="24"/>
        </w:rPr>
        <w:t xml:space="preserve"> (pp. 17-32). Springer.</w:t>
      </w:r>
    </w:p>
    <w:p w14:paraId="6214F358" w14:textId="77777777" w:rsidR="00812DE5" w:rsidRDefault="003A11A3">
      <w:pPr>
        <w:pBdr>
          <w:top w:val="nil"/>
          <w:left w:val="nil"/>
          <w:bottom w:val="nil"/>
          <w:right w:val="nil"/>
          <w:between w:val="nil"/>
        </w:pBdr>
        <w:ind w:left="720" w:hanging="720"/>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Branston</w:t>
      </w:r>
      <w:proofErr w:type="spellEnd"/>
      <w:r>
        <w:rPr>
          <w:rFonts w:ascii="Times New Roman" w:eastAsia="Times New Roman" w:hAnsi="Times New Roman" w:cs="Times New Roman"/>
          <w:sz w:val="24"/>
          <w:szCs w:val="24"/>
        </w:rPr>
        <w:t xml:space="preserve">, J. R. (2020). The failure of the UK to tax adequately tobacco company profits. </w:t>
      </w:r>
      <w:r>
        <w:rPr>
          <w:rFonts w:ascii="Times New Roman" w:eastAsia="Times New Roman" w:hAnsi="Times New Roman" w:cs="Times New Roman"/>
          <w:i/>
          <w:sz w:val="24"/>
          <w:szCs w:val="24"/>
        </w:rPr>
        <w:t>Journal of public health</w:t>
      </w:r>
      <w:r>
        <w:rPr>
          <w:rFonts w:ascii="Times New Roman" w:eastAsia="Times New Roman" w:hAnsi="Times New Roman" w:cs="Times New Roman"/>
          <w:sz w:val="24"/>
          <w:szCs w:val="24"/>
        </w:rPr>
        <w:t>, 69-76.</w:t>
      </w:r>
    </w:p>
    <w:p w14:paraId="58C8559A" w14:textId="77777777" w:rsidR="00812DE5" w:rsidRDefault="003A11A3">
      <w:pPr>
        <w:pBdr>
          <w:top w:val="nil"/>
          <w:left w:val="nil"/>
          <w:bottom w:val="nil"/>
          <w:right w:val="nil"/>
          <w:between w:val="nil"/>
        </w:pBdr>
        <w:ind w:left="720" w:hanging="720"/>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Calka</w:t>
      </w:r>
      <w:proofErr w:type="spellEnd"/>
      <w:r>
        <w:rPr>
          <w:rFonts w:ascii="Times New Roman" w:eastAsia="Times New Roman" w:hAnsi="Times New Roman" w:cs="Times New Roman"/>
          <w:sz w:val="24"/>
          <w:szCs w:val="24"/>
        </w:rPr>
        <w:t xml:space="preserve">, B. a. (2022). The ratio of the land consumption rate to the population growth rate: A framework for the achievement of the spatiotemporal pattern in Poland and Lithuania. </w:t>
      </w:r>
      <w:r>
        <w:rPr>
          <w:rFonts w:ascii="Times New Roman" w:eastAsia="Times New Roman" w:hAnsi="Times New Roman" w:cs="Times New Roman"/>
          <w:i/>
          <w:sz w:val="24"/>
          <w:szCs w:val="24"/>
        </w:rPr>
        <w:t>Remote sensing</w:t>
      </w:r>
      <w:r>
        <w:rPr>
          <w:rFonts w:ascii="Times New Roman" w:eastAsia="Times New Roman" w:hAnsi="Times New Roman" w:cs="Times New Roman"/>
          <w:sz w:val="24"/>
          <w:szCs w:val="24"/>
        </w:rPr>
        <w:t>, 1074.</w:t>
      </w:r>
    </w:p>
    <w:p w14:paraId="1888DE99" w14:textId="77777777" w:rsidR="00812DE5" w:rsidRDefault="003A11A3">
      <w:pPr>
        <w:pBdr>
          <w:top w:val="nil"/>
          <w:left w:val="nil"/>
          <w:bottom w:val="nil"/>
          <w:right w:val="nil"/>
          <w:between w:val="nil"/>
        </w:pBdr>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David, N. a. (2019). Business in Context: An Introduction to Business an its Environment. </w:t>
      </w:r>
      <w:proofErr w:type="spellStart"/>
      <w:r>
        <w:rPr>
          <w:rFonts w:ascii="Times New Roman" w:eastAsia="Times New Roman" w:hAnsi="Times New Roman" w:cs="Times New Roman"/>
          <w:i/>
          <w:sz w:val="24"/>
          <w:szCs w:val="24"/>
        </w:rPr>
        <w:t>Cengage</w:t>
      </w:r>
      <w:proofErr w:type="spellEnd"/>
      <w:r>
        <w:rPr>
          <w:rFonts w:ascii="Times New Roman" w:eastAsia="Times New Roman" w:hAnsi="Times New Roman" w:cs="Times New Roman"/>
          <w:i/>
          <w:sz w:val="24"/>
          <w:szCs w:val="24"/>
        </w:rPr>
        <w:t xml:space="preserve"> Learning, Inc</w:t>
      </w:r>
      <w:r>
        <w:rPr>
          <w:rFonts w:ascii="Times New Roman" w:eastAsia="Times New Roman" w:hAnsi="Times New Roman" w:cs="Times New Roman"/>
          <w:sz w:val="24"/>
          <w:szCs w:val="24"/>
        </w:rPr>
        <w:t>.</w:t>
      </w:r>
    </w:p>
    <w:p w14:paraId="55D04B67" w14:textId="77777777" w:rsidR="00812DE5" w:rsidRDefault="003A11A3">
      <w:pPr>
        <w:pBdr>
          <w:top w:val="nil"/>
          <w:left w:val="nil"/>
          <w:bottom w:val="nil"/>
          <w:right w:val="nil"/>
          <w:between w:val="nil"/>
        </w:pBdr>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t>Evans, T. (2022). Up in Smoke? Assessing the Economic Case for Investing In, or Divesting From, Tobacco Companies.</w:t>
      </w:r>
    </w:p>
    <w:p w14:paraId="32E9949F" w14:textId="77777777" w:rsidR="00812DE5" w:rsidRDefault="003A11A3">
      <w:pPr>
        <w:pBdr>
          <w:top w:val="nil"/>
          <w:left w:val="nil"/>
          <w:bottom w:val="nil"/>
          <w:right w:val="nil"/>
          <w:between w:val="nil"/>
        </w:pBdr>
        <w:ind w:left="720" w:hanging="720"/>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Fetzer</w:t>
      </w:r>
      <w:proofErr w:type="spellEnd"/>
      <w:r>
        <w:rPr>
          <w:rFonts w:ascii="Times New Roman" w:eastAsia="Times New Roman" w:hAnsi="Times New Roman" w:cs="Times New Roman"/>
          <w:sz w:val="24"/>
          <w:szCs w:val="24"/>
        </w:rPr>
        <w:t xml:space="preserve">, J. S. (2023). </w:t>
      </w:r>
      <w:r>
        <w:rPr>
          <w:rFonts w:ascii="Times New Roman" w:eastAsia="Times New Roman" w:hAnsi="Times New Roman" w:cs="Times New Roman"/>
          <w:i/>
          <w:sz w:val="24"/>
          <w:szCs w:val="24"/>
        </w:rPr>
        <w:t>The roots of public attitudes toward state accommodation of European Muslims' religious practices before and after September 11 1.</w:t>
      </w:r>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Routledge</w:t>
      </w:r>
      <w:proofErr w:type="spellEnd"/>
      <w:r>
        <w:rPr>
          <w:rFonts w:ascii="Times New Roman" w:eastAsia="Times New Roman" w:hAnsi="Times New Roman" w:cs="Times New Roman"/>
          <w:sz w:val="24"/>
          <w:szCs w:val="24"/>
        </w:rPr>
        <w:t>.</w:t>
      </w:r>
    </w:p>
    <w:p w14:paraId="45F7684F" w14:textId="77777777" w:rsidR="00812DE5" w:rsidRDefault="003A11A3">
      <w:pPr>
        <w:pBdr>
          <w:top w:val="nil"/>
          <w:left w:val="nil"/>
          <w:bottom w:val="nil"/>
          <w:right w:val="nil"/>
          <w:between w:val="nil"/>
        </w:pBdr>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Hird, T. R.-R. (2022). Understanding the long-term policy influence strategies of the tobacco industry: two contemporary case studies. </w:t>
      </w:r>
      <w:r>
        <w:rPr>
          <w:rFonts w:ascii="Times New Roman" w:eastAsia="Times New Roman" w:hAnsi="Times New Roman" w:cs="Times New Roman"/>
          <w:i/>
          <w:sz w:val="24"/>
          <w:szCs w:val="24"/>
        </w:rPr>
        <w:t>Tobacco Control</w:t>
      </w:r>
      <w:r>
        <w:rPr>
          <w:rFonts w:ascii="Times New Roman" w:eastAsia="Times New Roman" w:hAnsi="Times New Roman" w:cs="Times New Roman"/>
          <w:sz w:val="24"/>
          <w:szCs w:val="24"/>
        </w:rPr>
        <w:t>, 297-307.</w:t>
      </w:r>
    </w:p>
    <w:p w14:paraId="3F6982A7" w14:textId="77777777" w:rsidR="00812DE5" w:rsidRDefault="003A11A3">
      <w:pPr>
        <w:pBdr>
          <w:top w:val="nil"/>
          <w:left w:val="nil"/>
          <w:bottom w:val="nil"/>
          <w:right w:val="nil"/>
          <w:between w:val="nil"/>
        </w:pBdr>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Humphreys, P. (2023). The political economy of telecommunications in France: a case study of ‘telematics’. In P. Humphreys, </w:t>
      </w:r>
      <w:r>
        <w:rPr>
          <w:rFonts w:ascii="Times New Roman" w:eastAsia="Times New Roman" w:hAnsi="Times New Roman" w:cs="Times New Roman"/>
          <w:i/>
          <w:sz w:val="24"/>
          <w:szCs w:val="24"/>
        </w:rPr>
        <w:t>The Political Economy of Communications</w:t>
      </w:r>
      <w:r>
        <w:rPr>
          <w:rFonts w:ascii="Times New Roman" w:eastAsia="Times New Roman" w:hAnsi="Times New Roman" w:cs="Times New Roman"/>
          <w:sz w:val="24"/>
          <w:szCs w:val="24"/>
        </w:rPr>
        <w:t xml:space="preserve"> (pp. 198-228). </w:t>
      </w:r>
      <w:proofErr w:type="spellStart"/>
      <w:r>
        <w:rPr>
          <w:rFonts w:ascii="Times New Roman" w:eastAsia="Times New Roman" w:hAnsi="Times New Roman" w:cs="Times New Roman"/>
          <w:sz w:val="24"/>
          <w:szCs w:val="24"/>
        </w:rPr>
        <w:t>Routledge</w:t>
      </w:r>
      <w:proofErr w:type="spellEnd"/>
      <w:r>
        <w:rPr>
          <w:rFonts w:ascii="Times New Roman" w:eastAsia="Times New Roman" w:hAnsi="Times New Roman" w:cs="Times New Roman"/>
          <w:sz w:val="24"/>
          <w:szCs w:val="24"/>
        </w:rPr>
        <w:t>.</w:t>
      </w:r>
    </w:p>
    <w:p w14:paraId="4DC62658" w14:textId="77777777" w:rsidR="00812DE5" w:rsidRDefault="003A11A3">
      <w:pPr>
        <w:pBdr>
          <w:top w:val="nil"/>
          <w:left w:val="nil"/>
          <w:bottom w:val="nil"/>
          <w:right w:val="nil"/>
          <w:between w:val="nil"/>
        </w:pBdr>
        <w:ind w:left="720" w:hanging="720"/>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Irmen</w:t>
      </w:r>
      <w:proofErr w:type="spellEnd"/>
      <w:r>
        <w:rPr>
          <w:rFonts w:ascii="Times New Roman" w:eastAsia="Times New Roman" w:hAnsi="Times New Roman" w:cs="Times New Roman"/>
          <w:sz w:val="24"/>
          <w:szCs w:val="24"/>
        </w:rPr>
        <w:t xml:space="preserve">, A. a. (2022). Population aging and inventive activity. </w:t>
      </w:r>
      <w:r>
        <w:rPr>
          <w:rFonts w:ascii="Times New Roman" w:eastAsia="Times New Roman" w:hAnsi="Times New Roman" w:cs="Times New Roman"/>
          <w:i/>
          <w:sz w:val="24"/>
          <w:szCs w:val="24"/>
        </w:rPr>
        <w:t>Macroeconomic Dynamics</w:t>
      </w:r>
      <w:r>
        <w:rPr>
          <w:rFonts w:ascii="Times New Roman" w:eastAsia="Times New Roman" w:hAnsi="Times New Roman" w:cs="Times New Roman"/>
          <w:sz w:val="24"/>
          <w:szCs w:val="24"/>
        </w:rPr>
        <w:t>, 1127-1161.</w:t>
      </w:r>
    </w:p>
    <w:p w14:paraId="45B9EA77" w14:textId="77777777" w:rsidR="00812DE5" w:rsidRDefault="003A11A3">
      <w:pPr>
        <w:pBdr>
          <w:top w:val="nil"/>
          <w:left w:val="nil"/>
          <w:bottom w:val="nil"/>
          <w:right w:val="nil"/>
          <w:between w:val="nil"/>
        </w:pBdr>
        <w:ind w:left="720" w:hanging="720"/>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Jankowski</w:t>
      </w:r>
      <w:proofErr w:type="spellEnd"/>
      <w:r>
        <w:rPr>
          <w:rFonts w:ascii="Times New Roman" w:eastAsia="Times New Roman" w:hAnsi="Times New Roman" w:cs="Times New Roman"/>
          <w:sz w:val="24"/>
          <w:szCs w:val="24"/>
        </w:rPr>
        <w:t xml:space="preserve">, M. a.-C. (2022). The prevalence of tobacco, heated tobacco, and e-cigarette use in Poland: A 2022 web-based cross-sectional survey. </w:t>
      </w:r>
      <w:r>
        <w:rPr>
          <w:rFonts w:ascii="Times New Roman" w:eastAsia="Times New Roman" w:hAnsi="Times New Roman" w:cs="Times New Roman"/>
          <w:i/>
          <w:sz w:val="24"/>
          <w:szCs w:val="24"/>
        </w:rPr>
        <w:t>International journal of environmental research and public health</w:t>
      </w:r>
      <w:r>
        <w:rPr>
          <w:rFonts w:ascii="Times New Roman" w:eastAsia="Times New Roman" w:hAnsi="Times New Roman" w:cs="Times New Roman"/>
          <w:sz w:val="24"/>
          <w:szCs w:val="24"/>
        </w:rPr>
        <w:t>, 4904.</w:t>
      </w:r>
    </w:p>
    <w:p w14:paraId="0864B1AC" w14:textId="77777777" w:rsidR="00812DE5" w:rsidRDefault="003A11A3">
      <w:pPr>
        <w:pBdr>
          <w:top w:val="nil"/>
          <w:left w:val="nil"/>
          <w:bottom w:val="nil"/>
          <w:right w:val="nil"/>
          <w:between w:val="nil"/>
        </w:pBdr>
        <w:ind w:left="720" w:hanging="720"/>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Jezierska-Th</w:t>
      </w:r>
      <w:proofErr w:type="spellEnd"/>
      <w:r>
        <w:rPr>
          <w:rFonts w:ascii="Times New Roman" w:eastAsia="Times New Roman" w:hAnsi="Times New Roman" w:cs="Times New Roman"/>
          <w:sz w:val="24"/>
          <w:szCs w:val="24"/>
        </w:rPr>
        <w:t>{\"o}</w:t>
      </w:r>
      <w:proofErr w:type="spellStart"/>
      <w:r>
        <w:rPr>
          <w:rFonts w:ascii="Times New Roman" w:eastAsia="Times New Roman" w:hAnsi="Times New Roman" w:cs="Times New Roman"/>
          <w:sz w:val="24"/>
          <w:szCs w:val="24"/>
        </w:rPr>
        <w:t>le</w:t>
      </w:r>
      <w:proofErr w:type="spellEnd"/>
      <w:r>
        <w:rPr>
          <w:rFonts w:ascii="Times New Roman" w:eastAsia="Times New Roman" w:hAnsi="Times New Roman" w:cs="Times New Roman"/>
          <w:sz w:val="24"/>
          <w:szCs w:val="24"/>
        </w:rPr>
        <w:t xml:space="preserve">, A. a.-G. (2022). Environmental, social, and economic aspects of the green economy in polish rural areas—a spatial analysis. </w:t>
      </w:r>
      <w:r>
        <w:rPr>
          <w:rFonts w:ascii="Times New Roman" w:eastAsia="Times New Roman" w:hAnsi="Times New Roman" w:cs="Times New Roman"/>
          <w:i/>
          <w:sz w:val="24"/>
          <w:szCs w:val="24"/>
        </w:rPr>
        <w:t>Energies</w:t>
      </w:r>
      <w:r>
        <w:rPr>
          <w:rFonts w:ascii="Times New Roman" w:eastAsia="Times New Roman" w:hAnsi="Times New Roman" w:cs="Times New Roman"/>
          <w:sz w:val="24"/>
          <w:szCs w:val="24"/>
        </w:rPr>
        <w:t>, 3332.</w:t>
      </w:r>
    </w:p>
    <w:p w14:paraId="1A00D02E" w14:textId="77777777" w:rsidR="00812DE5" w:rsidRDefault="003A11A3">
      <w:pPr>
        <w:pBdr>
          <w:top w:val="nil"/>
          <w:left w:val="nil"/>
          <w:bottom w:val="nil"/>
          <w:right w:val="nil"/>
          <w:between w:val="nil"/>
        </w:pBdr>
        <w:ind w:left="720" w:hanging="720"/>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Koralewska</w:t>
      </w:r>
      <w:proofErr w:type="spellEnd"/>
      <w:r>
        <w:rPr>
          <w:rFonts w:ascii="Times New Roman" w:eastAsia="Times New Roman" w:hAnsi="Times New Roman" w:cs="Times New Roman"/>
          <w:sz w:val="24"/>
          <w:szCs w:val="24"/>
        </w:rPr>
        <w:t xml:space="preserve">, I. a. (2022). ‘Defending the unborn’,‘protecting </w:t>
      </w:r>
      <w:proofErr w:type="spellStart"/>
      <w:r>
        <w:rPr>
          <w:rFonts w:ascii="Times New Roman" w:eastAsia="Times New Roman" w:hAnsi="Times New Roman" w:cs="Times New Roman"/>
          <w:sz w:val="24"/>
          <w:szCs w:val="24"/>
        </w:rPr>
        <w:t>women’and</w:t>
      </w:r>
      <w:proofErr w:type="spellEnd"/>
      <w:r>
        <w:rPr>
          <w:rFonts w:ascii="Times New Roman" w:eastAsia="Times New Roman" w:hAnsi="Times New Roman" w:cs="Times New Roman"/>
          <w:sz w:val="24"/>
          <w:szCs w:val="24"/>
        </w:rPr>
        <w:t xml:space="preserve"> ‘preserving culture and nation’: anti-abortion discourse in the Polish right-wing press. </w:t>
      </w:r>
      <w:r>
        <w:rPr>
          <w:rFonts w:ascii="Times New Roman" w:eastAsia="Times New Roman" w:hAnsi="Times New Roman" w:cs="Times New Roman"/>
          <w:i/>
          <w:sz w:val="24"/>
          <w:szCs w:val="24"/>
        </w:rPr>
        <w:t>Culture, health \&amp; sexuality</w:t>
      </w:r>
      <w:r>
        <w:rPr>
          <w:rFonts w:ascii="Times New Roman" w:eastAsia="Times New Roman" w:hAnsi="Times New Roman" w:cs="Times New Roman"/>
          <w:sz w:val="24"/>
          <w:szCs w:val="24"/>
        </w:rPr>
        <w:t>, 673-687.</w:t>
      </w:r>
    </w:p>
    <w:p w14:paraId="2C3F2D22" w14:textId="77777777" w:rsidR="00812DE5" w:rsidRDefault="003A11A3">
      <w:pPr>
        <w:pBdr>
          <w:top w:val="nil"/>
          <w:left w:val="nil"/>
          <w:bottom w:val="nil"/>
          <w:right w:val="nil"/>
          <w:between w:val="nil"/>
        </w:pBdr>
        <w:ind w:left="720" w:hanging="720"/>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Ladonko</w:t>
      </w:r>
      <w:proofErr w:type="spellEnd"/>
      <w:r>
        <w:rPr>
          <w:rFonts w:ascii="Times New Roman" w:eastAsia="Times New Roman" w:hAnsi="Times New Roman" w:cs="Times New Roman"/>
          <w:sz w:val="24"/>
          <w:szCs w:val="24"/>
        </w:rPr>
        <w:t xml:space="preserve">, L. a. (2022). Regional aspects of the economy </w:t>
      </w:r>
      <w:proofErr w:type="spellStart"/>
      <w:r>
        <w:rPr>
          <w:rFonts w:ascii="Times New Roman" w:eastAsia="Times New Roman" w:hAnsi="Times New Roman" w:cs="Times New Roman"/>
          <w:sz w:val="24"/>
          <w:szCs w:val="24"/>
        </w:rPr>
        <w:t>modernization</w:t>
      </w:r>
      <w:proofErr w:type="spellEnd"/>
      <w:r>
        <w:rPr>
          <w:rFonts w:ascii="Times New Roman" w:eastAsia="Times New Roman" w:hAnsi="Times New Roman" w:cs="Times New Roman"/>
          <w:sz w:val="24"/>
          <w:szCs w:val="24"/>
        </w:rPr>
        <w:t xml:space="preserve">: the </w:t>
      </w:r>
      <w:r>
        <w:rPr>
          <w:rFonts w:ascii="Times New Roman" w:eastAsia="Times New Roman" w:hAnsi="Times New Roman" w:cs="Times New Roman"/>
          <w:sz w:val="24"/>
          <w:szCs w:val="24"/>
        </w:rPr>
        <w:t>qualitative evidence from EU countries.</w:t>
      </w:r>
    </w:p>
    <w:p w14:paraId="0EB34294" w14:textId="77777777" w:rsidR="00812DE5" w:rsidRDefault="003A11A3">
      <w:pPr>
        <w:pBdr>
          <w:top w:val="nil"/>
          <w:left w:val="nil"/>
          <w:bottom w:val="nil"/>
          <w:right w:val="nil"/>
          <w:between w:val="nil"/>
        </w:pBdr>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Lee, C.-W. a. (2023). </w:t>
      </w:r>
      <w:proofErr w:type="spellStart"/>
      <w:r>
        <w:rPr>
          <w:rFonts w:ascii="Times New Roman" w:eastAsia="Times New Roman" w:hAnsi="Times New Roman" w:cs="Times New Roman"/>
          <w:sz w:val="24"/>
          <w:szCs w:val="24"/>
        </w:rPr>
        <w:t>Organizational</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Behavior</w:t>
      </w:r>
      <w:proofErr w:type="spellEnd"/>
      <w:r>
        <w:rPr>
          <w:rFonts w:ascii="Times New Roman" w:eastAsia="Times New Roman" w:hAnsi="Times New Roman" w:cs="Times New Roman"/>
          <w:sz w:val="24"/>
          <w:szCs w:val="24"/>
        </w:rPr>
        <w:t xml:space="preserve"> Implication: </w:t>
      </w:r>
      <w:proofErr w:type="spellStart"/>
      <w:r>
        <w:rPr>
          <w:rFonts w:ascii="Times New Roman" w:eastAsia="Times New Roman" w:hAnsi="Times New Roman" w:cs="Times New Roman"/>
          <w:sz w:val="24"/>
          <w:szCs w:val="24"/>
        </w:rPr>
        <w:t>HOFSTEDE'S</w:t>
      </w:r>
      <w:proofErr w:type="spellEnd"/>
      <w:r>
        <w:rPr>
          <w:rFonts w:ascii="Times New Roman" w:eastAsia="Times New Roman" w:hAnsi="Times New Roman" w:cs="Times New Roman"/>
          <w:sz w:val="24"/>
          <w:szCs w:val="24"/>
        </w:rPr>
        <w:t xml:space="preserve"> Perspectives in Comparison Indonesia, Vietnam, China, Taiwan, and France. </w:t>
      </w:r>
      <w:r>
        <w:rPr>
          <w:rFonts w:ascii="Times New Roman" w:eastAsia="Times New Roman" w:hAnsi="Times New Roman" w:cs="Times New Roman"/>
          <w:i/>
          <w:sz w:val="24"/>
          <w:szCs w:val="24"/>
        </w:rPr>
        <w:t>Advances in Management and Applied Economics</w:t>
      </w:r>
      <w:r>
        <w:rPr>
          <w:rFonts w:ascii="Times New Roman" w:eastAsia="Times New Roman" w:hAnsi="Times New Roman" w:cs="Times New Roman"/>
          <w:sz w:val="24"/>
          <w:szCs w:val="24"/>
        </w:rPr>
        <w:t>, 1-6.</w:t>
      </w:r>
    </w:p>
    <w:p w14:paraId="0E0DD759" w14:textId="77777777" w:rsidR="00812DE5" w:rsidRDefault="003A11A3">
      <w:pPr>
        <w:pBdr>
          <w:top w:val="nil"/>
          <w:left w:val="nil"/>
          <w:bottom w:val="nil"/>
          <w:right w:val="nil"/>
          <w:between w:val="nil"/>
        </w:pBdr>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t>Li, Y. a. (2022). Inheritance and development of traditional culture: a new path for design education reform in China.</w:t>
      </w:r>
    </w:p>
    <w:p w14:paraId="440B31EC" w14:textId="77777777" w:rsidR="00812DE5" w:rsidRDefault="003A11A3">
      <w:pPr>
        <w:pBdr>
          <w:top w:val="nil"/>
          <w:left w:val="nil"/>
          <w:bottom w:val="nil"/>
          <w:right w:val="nil"/>
          <w:between w:val="nil"/>
        </w:pBdr>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Liu, H. a. (2022). A geospatial model of nature-based recreation for urban planning: Case study of Paris, France. </w:t>
      </w:r>
      <w:r>
        <w:rPr>
          <w:rFonts w:ascii="Times New Roman" w:eastAsia="Times New Roman" w:hAnsi="Times New Roman" w:cs="Times New Roman"/>
          <w:i/>
          <w:sz w:val="24"/>
          <w:szCs w:val="24"/>
        </w:rPr>
        <w:t>Land Use Policy</w:t>
      </w:r>
      <w:r>
        <w:rPr>
          <w:rFonts w:ascii="Times New Roman" w:eastAsia="Times New Roman" w:hAnsi="Times New Roman" w:cs="Times New Roman"/>
          <w:sz w:val="24"/>
          <w:szCs w:val="24"/>
        </w:rPr>
        <w:t>, 106107.</w:t>
      </w:r>
    </w:p>
    <w:p w14:paraId="7C86F43C" w14:textId="77777777" w:rsidR="00812DE5" w:rsidRDefault="003A11A3">
      <w:pPr>
        <w:pBdr>
          <w:top w:val="nil"/>
          <w:left w:val="nil"/>
          <w:bottom w:val="nil"/>
          <w:right w:val="nil"/>
          <w:between w:val="nil"/>
        </w:pBdr>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Ma, Y. a. (2022). Covid-19, Tourism and the Economy-Evidence from Pandemic </w:t>
      </w:r>
      <w:proofErr w:type="spellStart"/>
      <w:r>
        <w:rPr>
          <w:rFonts w:ascii="Times New Roman" w:eastAsia="Times New Roman" w:hAnsi="Times New Roman" w:cs="Times New Roman"/>
          <w:sz w:val="24"/>
          <w:szCs w:val="24"/>
        </w:rPr>
        <w:t>Epicenters</w:t>
      </w:r>
      <w:proofErr w:type="spellEnd"/>
      <w:r>
        <w:rPr>
          <w:rFonts w:ascii="Times New Roman" w:eastAsia="Times New Roman" w:hAnsi="Times New Roman" w:cs="Times New Roman"/>
          <w:sz w:val="24"/>
          <w:szCs w:val="24"/>
        </w:rPr>
        <w:t xml:space="preserve"> of Europe. </w:t>
      </w:r>
      <w:r>
        <w:rPr>
          <w:rFonts w:ascii="Times New Roman" w:eastAsia="Times New Roman" w:hAnsi="Times New Roman" w:cs="Times New Roman"/>
          <w:i/>
          <w:sz w:val="24"/>
          <w:szCs w:val="24"/>
        </w:rPr>
        <w:t>Rom. J. Econ. Forecast</w:t>
      </w:r>
      <w:r>
        <w:rPr>
          <w:rFonts w:ascii="Times New Roman" w:eastAsia="Times New Roman" w:hAnsi="Times New Roman" w:cs="Times New Roman"/>
          <w:sz w:val="24"/>
          <w:szCs w:val="24"/>
        </w:rPr>
        <w:t>, 65.</w:t>
      </w:r>
    </w:p>
    <w:p w14:paraId="6054A944" w14:textId="77777777" w:rsidR="00812DE5" w:rsidRDefault="003A11A3">
      <w:pPr>
        <w:pBdr>
          <w:top w:val="nil"/>
          <w:left w:val="nil"/>
          <w:bottom w:val="nil"/>
          <w:right w:val="nil"/>
          <w:between w:val="nil"/>
        </w:pBdr>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Moodie, C. a.-M. (2022). Plain tobacco packaging: progress, challenges, learning and opportunities. </w:t>
      </w:r>
      <w:r>
        <w:rPr>
          <w:rFonts w:ascii="Times New Roman" w:eastAsia="Times New Roman" w:hAnsi="Times New Roman" w:cs="Times New Roman"/>
          <w:i/>
          <w:sz w:val="24"/>
          <w:szCs w:val="24"/>
        </w:rPr>
        <w:t>Tobacco Control</w:t>
      </w:r>
      <w:r>
        <w:rPr>
          <w:rFonts w:ascii="Times New Roman" w:eastAsia="Times New Roman" w:hAnsi="Times New Roman" w:cs="Times New Roman"/>
          <w:sz w:val="24"/>
          <w:szCs w:val="24"/>
        </w:rPr>
        <w:t>, 263-271.</w:t>
      </w:r>
    </w:p>
    <w:p w14:paraId="2AEE7F21" w14:textId="77777777" w:rsidR="00812DE5" w:rsidRDefault="003A11A3">
      <w:pPr>
        <w:pBdr>
          <w:top w:val="nil"/>
          <w:left w:val="nil"/>
          <w:bottom w:val="nil"/>
          <w:right w:val="nil"/>
          <w:between w:val="nil"/>
        </w:pBdr>
        <w:ind w:left="720" w:hanging="720"/>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Rathbone</w:t>
      </w:r>
      <w:proofErr w:type="spellEnd"/>
      <w:r>
        <w:rPr>
          <w:rFonts w:ascii="Times New Roman" w:eastAsia="Times New Roman" w:hAnsi="Times New Roman" w:cs="Times New Roman"/>
          <w:sz w:val="24"/>
          <w:szCs w:val="24"/>
        </w:rPr>
        <w:t xml:space="preserve">, K. (2022). Sport and physical culture in Occupied France: Authoritarianism, agency, and everyday life. </w:t>
      </w:r>
      <w:r>
        <w:rPr>
          <w:rFonts w:ascii="Times New Roman" w:eastAsia="Times New Roman" w:hAnsi="Times New Roman" w:cs="Times New Roman"/>
          <w:i/>
          <w:sz w:val="24"/>
          <w:szCs w:val="24"/>
        </w:rPr>
        <w:t>Manchester University Press</w:t>
      </w:r>
      <w:r>
        <w:rPr>
          <w:rFonts w:ascii="Times New Roman" w:eastAsia="Times New Roman" w:hAnsi="Times New Roman" w:cs="Times New Roman"/>
          <w:sz w:val="24"/>
          <w:szCs w:val="24"/>
        </w:rPr>
        <w:t>.</w:t>
      </w:r>
    </w:p>
    <w:p w14:paraId="1A8FDE45" w14:textId="77777777" w:rsidR="00812DE5" w:rsidRDefault="003A11A3">
      <w:pPr>
        <w:pBdr>
          <w:top w:val="nil"/>
          <w:left w:val="nil"/>
          <w:bottom w:val="nil"/>
          <w:right w:val="nil"/>
          <w:between w:val="nil"/>
        </w:pBdr>
        <w:ind w:left="720" w:hanging="720"/>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Rochoy</w:t>
      </w:r>
      <w:proofErr w:type="spellEnd"/>
      <w:r>
        <w:rPr>
          <w:rFonts w:ascii="Times New Roman" w:eastAsia="Times New Roman" w:hAnsi="Times New Roman" w:cs="Times New Roman"/>
          <w:sz w:val="24"/>
          <w:szCs w:val="24"/>
        </w:rPr>
        <w:t xml:space="preserve">, M. a. (2022). Trends in the delivery of reimbursed nicotine replacement therapies between 2016 and 2019 in France. </w:t>
      </w:r>
      <w:r>
        <w:rPr>
          <w:rFonts w:ascii="Times New Roman" w:eastAsia="Times New Roman" w:hAnsi="Times New Roman" w:cs="Times New Roman"/>
          <w:i/>
          <w:sz w:val="24"/>
          <w:szCs w:val="24"/>
        </w:rPr>
        <w:t>Therapies</w:t>
      </w:r>
      <w:r>
        <w:rPr>
          <w:rFonts w:ascii="Times New Roman" w:eastAsia="Times New Roman" w:hAnsi="Times New Roman" w:cs="Times New Roman"/>
          <w:sz w:val="24"/>
          <w:szCs w:val="24"/>
        </w:rPr>
        <w:t>, 561-570.</w:t>
      </w:r>
    </w:p>
    <w:p w14:paraId="1C4EC945" w14:textId="77777777" w:rsidR="00812DE5" w:rsidRDefault="003A11A3">
      <w:pPr>
        <w:pBdr>
          <w:top w:val="nil"/>
          <w:left w:val="nil"/>
          <w:bottom w:val="nil"/>
          <w:right w:val="nil"/>
          <w:between w:val="nil"/>
        </w:pBdr>
        <w:ind w:left="720" w:hanging="720"/>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Santucci</w:t>
      </w:r>
      <w:proofErr w:type="spellEnd"/>
      <w:r>
        <w:rPr>
          <w:rFonts w:ascii="Times New Roman" w:eastAsia="Times New Roman" w:hAnsi="Times New Roman" w:cs="Times New Roman"/>
          <w:sz w:val="24"/>
          <w:szCs w:val="24"/>
        </w:rPr>
        <w:t xml:space="preserve">, C. a. (2024). European cancer mortality predictions for the year 2024 with focus on colorectal cancer. </w:t>
      </w:r>
      <w:r>
        <w:rPr>
          <w:rFonts w:ascii="Times New Roman" w:eastAsia="Times New Roman" w:hAnsi="Times New Roman" w:cs="Times New Roman"/>
          <w:i/>
          <w:sz w:val="24"/>
          <w:szCs w:val="24"/>
        </w:rPr>
        <w:t>Annals of Oncology</w:t>
      </w:r>
      <w:r>
        <w:rPr>
          <w:rFonts w:ascii="Times New Roman" w:eastAsia="Times New Roman" w:hAnsi="Times New Roman" w:cs="Times New Roman"/>
          <w:sz w:val="24"/>
          <w:szCs w:val="24"/>
        </w:rPr>
        <w:t>, 308-316.</w:t>
      </w:r>
    </w:p>
    <w:p w14:paraId="158C2B7E" w14:textId="77777777" w:rsidR="00812DE5" w:rsidRDefault="003A11A3">
      <w:pPr>
        <w:pBdr>
          <w:top w:val="nil"/>
          <w:left w:val="nil"/>
          <w:bottom w:val="nil"/>
          <w:right w:val="nil"/>
          <w:between w:val="nil"/>
        </w:pBdr>
        <w:ind w:left="720" w:hanging="720"/>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Souri</w:t>
      </w:r>
      <w:proofErr w:type="spellEnd"/>
      <w:r>
        <w:rPr>
          <w:rFonts w:ascii="Times New Roman" w:eastAsia="Times New Roman" w:hAnsi="Times New Roman" w:cs="Times New Roman"/>
          <w:sz w:val="24"/>
          <w:szCs w:val="24"/>
        </w:rPr>
        <w:t xml:space="preserve">, A. a. (2022). A systematic review of IoT communication strategies for an efficient smart environment. </w:t>
      </w:r>
      <w:r>
        <w:rPr>
          <w:rFonts w:ascii="Times New Roman" w:eastAsia="Times New Roman" w:hAnsi="Times New Roman" w:cs="Times New Roman"/>
          <w:i/>
          <w:sz w:val="24"/>
          <w:szCs w:val="24"/>
        </w:rPr>
        <w:t>Transactions on Emerging Telecommunications Technologies</w:t>
      </w:r>
      <w:r>
        <w:rPr>
          <w:rFonts w:ascii="Times New Roman" w:eastAsia="Times New Roman" w:hAnsi="Times New Roman" w:cs="Times New Roman"/>
          <w:sz w:val="24"/>
          <w:szCs w:val="24"/>
        </w:rPr>
        <w:t>.</w:t>
      </w:r>
    </w:p>
    <w:p w14:paraId="3D6D48EE" w14:textId="77777777" w:rsidR="00812DE5" w:rsidRDefault="003A11A3">
      <w:pPr>
        <w:pBdr>
          <w:top w:val="nil"/>
          <w:left w:val="nil"/>
          <w:bottom w:val="nil"/>
          <w:right w:val="nil"/>
          <w:between w:val="nil"/>
        </w:pBdr>
        <w:ind w:left="720" w:hanging="720"/>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Teixeira</w:t>
      </w:r>
      <w:proofErr w:type="spellEnd"/>
      <w:r>
        <w:rPr>
          <w:rFonts w:ascii="Times New Roman" w:eastAsia="Times New Roman" w:hAnsi="Times New Roman" w:cs="Times New Roman"/>
          <w:sz w:val="24"/>
          <w:szCs w:val="24"/>
        </w:rPr>
        <w:t xml:space="preserve">, J. E.-L. (2022). Industry 4.0 in the European union: Policies and national strategies. </w:t>
      </w:r>
      <w:r>
        <w:rPr>
          <w:rFonts w:ascii="Times New Roman" w:eastAsia="Times New Roman" w:hAnsi="Times New Roman" w:cs="Times New Roman"/>
          <w:i/>
          <w:sz w:val="24"/>
          <w:szCs w:val="24"/>
        </w:rPr>
        <w:t>Technological Forecasting and Social Change</w:t>
      </w:r>
      <w:r>
        <w:rPr>
          <w:rFonts w:ascii="Times New Roman" w:eastAsia="Times New Roman" w:hAnsi="Times New Roman" w:cs="Times New Roman"/>
          <w:sz w:val="24"/>
          <w:szCs w:val="24"/>
        </w:rPr>
        <w:t>, 121664.</w:t>
      </w:r>
    </w:p>
    <w:p w14:paraId="2493A93B" w14:textId="77777777" w:rsidR="00812DE5" w:rsidRDefault="003A11A3">
      <w:pPr>
        <w:pBdr>
          <w:top w:val="nil"/>
          <w:left w:val="nil"/>
          <w:bottom w:val="nil"/>
          <w:right w:val="nil"/>
          <w:between w:val="nil"/>
        </w:pBdr>
        <w:ind w:left="720" w:hanging="720"/>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Wibowo</w:t>
      </w:r>
      <w:proofErr w:type="spellEnd"/>
      <w:r>
        <w:rPr>
          <w:rFonts w:ascii="Times New Roman" w:eastAsia="Times New Roman" w:hAnsi="Times New Roman" w:cs="Times New Roman"/>
          <w:sz w:val="24"/>
          <w:szCs w:val="24"/>
        </w:rPr>
        <w:t xml:space="preserve">, B. S. (2022). Etiquette in an </w:t>
      </w:r>
      <w:proofErr w:type="spellStart"/>
      <w:r>
        <w:rPr>
          <w:rFonts w:ascii="Times New Roman" w:eastAsia="Times New Roman" w:hAnsi="Times New Roman" w:cs="Times New Roman"/>
          <w:sz w:val="24"/>
          <w:szCs w:val="24"/>
        </w:rPr>
        <w:t>organization</w:t>
      </w:r>
      <w:proofErr w:type="spellEnd"/>
      <w:r>
        <w:rPr>
          <w:rFonts w:ascii="Times New Roman" w:eastAsia="Times New Roman" w:hAnsi="Times New Roman" w:cs="Times New Roman"/>
          <w:sz w:val="24"/>
          <w:szCs w:val="24"/>
        </w:rPr>
        <w:t xml:space="preserve"> life, the most one but not really done yet. </w:t>
      </w:r>
      <w:r>
        <w:rPr>
          <w:rFonts w:ascii="Times New Roman" w:eastAsia="Times New Roman" w:hAnsi="Times New Roman" w:cs="Times New Roman"/>
          <w:i/>
          <w:sz w:val="24"/>
          <w:szCs w:val="24"/>
        </w:rPr>
        <w:t>Journal of Islamic Economics Perspectives</w:t>
      </w:r>
      <w:r>
        <w:rPr>
          <w:rFonts w:ascii="Times New Roman" w:eastAsia="Times New Roman" w:hAnsi="Times New Roman" w:cs="Times New Roman"/>
          <w:sz w:val="24"/>
          <w:szCs w:val="24"/>
        </w:rPr>
        <w:t>, 9-19.</w:t>
      </w:r>
    </w:p>
    <w:p w14:paraId="4FCFFCF2" w14:textId="77777777" w:rsidR="00812DE5" w:rsidRDefault="003A11A3">
      <w:pPr>
        <w:pBdr>
          <w:top w:val="nil"/>
          <w:left w:val="nil"/>
          <w:bottom w:val="nil"/>
          <w:right w:val="nil"/>
          <w:between w:val="nil"/>
        </w:pBdr>
        <w:ind w:left="720" w:hanging="720"/>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Yalkin</w:t>
      </w:r>
      <w:proofErr w:type="spellEnd"/>
      <w:r>
        <w:rPr>
          <w:rFonts w:ascii="Times New Roman" w:eastAsia="Times New Roman" w:hAnsi="Times New Roman" w:cs="Times New Roman"/>
          <w:sz w:val="24"/>
          <w:szCs w:val="24"/>
        </w:rPr>
        <w:t xml:space="preserve">, C. (2018). A brand culture approach to managing nation-brands. </w:t>
      </w:r>
      <w:r>
        <w:rPr>
          <w:rFonts w:ascii="Times New Roman" w:eastAsia="Times New Roman" w:hAnsi="Times New Roman" w:cs="Times New Roman"/>
          <w:i/>
          <w:sz w:val="24"/>
          <w:szCs w:val="24"/>
        </w:rPr>
        <w:t>European Management Review</w:t>
      </w:r>
      <w:r>
        <w:rPr>
          <w:rFonts w:ascii="Times New Roman" w:eastAsia="Times New Roman" w:hAnsi="Times New Roman" w:cs="Times New Roman"/>
          <w:sz w:val="24"/>
          <w:szCs w:val="24"/>
        </w:rPr>
        <w:t>, 137-149.</w:t>
      </w:r>
    </w:p>
    <w:p w14:paraId="7927B8CF" w14:textId="77777777" w:rsidR="00812DE5" w:rsidRDefault="003A11A3">
      <w:pPr>
        <w:pBdr>
          <w:top w:val="nil"/>
          <w:left w:val="nil"/>
          <w:bottom w:val="nil"/>
          <w:right w:val="nil"/>
          <w:between w:val="nil"/>
        </w:pBdr>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Ye, Z. (2024). </w:t>
      </w:r>
      <w:r>
        <w:rPr>
          <w:rFonts w:ascii="Times New Roman" w:eastAsia="Times New Roman" w:hAnsi="Times New Roman" w:cs="Times New Roman"/>
          <w:i/>
          <w:sz w:val="24"/>
          <w:szCs w:val="24"/>
        </w:rPr>
        <w:t>International Conference on Finance and Economics/Language Barriers in Intercultural Communication and Their Translation Strategies.</w:t>
      </w:r>
      <w:r>
        <w:rPr>
          <w:rFonts w:ascii="Times New Roman" w:eastAsia="Times New Roman" w:hAnsi="Times New Roman" w:cs="Times New Roman"/>
          <w:sz w:val="24"/>
          <w:szCs w:val="24"/>
        </w:rPr>
        <w:t xml:space="preserve"> </w:t>
      </w:r>
    </w:p>
    <w:p w14:paraId="03E9E8CB" w14:textId="77777777" w:rsidR="00812DE5" w:rsidRDefault="00812DE5">
      <w:pPr>
        <w:rPr>
          <w:rFonts w:ascii="Times New Roman" w:eastAsia="Times New Roman" w:hAnsi="Times New Roman" w:cs="Times New Roman"/>
          <w:sz w:val="24"/>
          <w:szCs w:val="24"/>
        </w:rPr>
      </w:pPr>
    </w:p>
    <w:p w14:paraId="3F947682" w14:textId="77777777" w:rsidR="00812DE5" w:rsidRDefault="00812DE5">
      <w:pPr>
        <w:spacing w:line="480" w:lineRule="auto"/>
        <w:jc w:val="both"/>
        <w:rPr>
          <w:rFonts w:ascii="Times New Roman" w:eastAsia="Times New Roman" w:hAnsi="Times New Roman" w:cs="Times New Roman"/>
          <w:sz w:val="24"/>
          <w:szCs w:val="24"/>
          <w:highlight w:val="white"/>
        </w:rPr>
      </w:pPr>
    </w:p>
    <w:sectPr w:rsidR="00812DE5">
      <w:pgSz w:w="11906" w:h="16838"/>
      <w:pgMar w:top="1440" w:right="1080" w:bottom="1440" w:left="1080" w:header="708" w:footer="708" w:gutter="0"/>
      <w:pgNumType w:start="0"/>
      <w:cols w:space="708"/>
      <w:titlePg/>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Noto Sans Symbols">
    <w:charset w:val="00"/>
    <w:family w:val="auto"/>
    <w:pitch w:val="default"/>
    <w:embedRegular r:id="rId1" w:fontKey="{E431D0E2-DA5F-A248-AE6A-A845499995B4}"/>
  </w:font>
  <w:font w:name="Courier New">
    <w:panose1 w:val="02070309020205020404"/>
    <w:charset w:val="CC"/>
    <w:family w:val="modern"/>
    <w:pitch w:val="fixed"/>
    <w:sig w:usb0="E0002EFF" w:usb1="C0007843" w:usb2="00000009" w:usb3="00000000" w:csb0="000001FF" w:csb1="00000000"/>
  </w:font>
  <w:font w:name="Calibri">
    <w:panose1 w:val="020F0502020204030204"/>
    <w:charset w:val="CC"/>
    <w:family w:val="swiss"/>
    <w:pitch w:val="variable"/>
    <w:sig w:usb0="E4002EFF" w:usb1="C000ACFF" w:usb2="00000009" w:usb3="00000000" w:csb0="000001FF" w:csb1="00000000"/>
    <w:embedRegular r:id="rId2" w:fontKey="{5A51D807-B873-42EB-8814-A31105E73572}"/>
    <w:embedBold r:id="rId3" w:fontKey="{162DDBCD-F459-4413-AF13-0D9E07219BAC}"/>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CC"/>
    <w:family w:val="roman"/>
    <w:pitch w:val="variable"/>
    <w:sig w:usb0="00000287" w:usb1="00000000" w:usb2="00000000" w:usb3="00000000" w:csb0="0000009F" w:csb1="00000000"/>
    <w:embedRegular r:id="rId4" w:fontKey="{612E69E2-46D8-4177-ADFA-89D36E200C76}"/>
    <w:embedItalic r:id="rId5" w:fontKey="{5B95E01A-BC0B-4500-8AF1-55C9788D7CBD}"/>
  </w:font>
  <w:font w:name="Cambria">
    <w:panose1 w:val="02040503050406030204"/>
    <w:charset w:val="CC"/>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2380F29"/>
    <w:multiLevelType w:val="multilevel"/>
    <w:tmpl w:val="7C5A0E76"/>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 w15:restartNumberingAfterBreak="0">
    <w:nsid w:val="454F19F2"/>
    <w:multiLevelType w:val="multilevel"/>
    <w:tmpl w:val="FA8EAE5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15:restartNumberingAfterBreak="0">
    <w:nsid w:val="72CC3D00"/>
    <w:multiLevelType w:val="multilevel"/>
    <w:tmpl w:val="BDF2878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1604456830">
    <w:abstractNumId w:val="1"/>
  </w:num>
  <w:num w:numId="2" w16cid:durableId="970092245">
    <w:abstractNumId w:val="2"/>
  </w:num>
  <w:num w:numId="3" w16cid:durableId="10770891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2"/>
  <w:embedTrueTypeFonts/>
  <w:proofState w:spelling="clean"/>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12DE5"/>
    <w:rsid w:val="003A11A3"/>
    <w:rsid w:val="00812DE5"/>
    <w:rsid w:val="009D6B3D"/>
    <w:rsid w:val="00AF11A8"/>
    <w:rsid w:val="00DA3320"/>
    <w:rsid w:val="00E27755"/>
    <w:rsid w:val="00E56EF3"/>
    <w:rsid w:val="00F64278"/>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93D5EA"/>
  <w15:docId w15:val="{AD2519D2-BC47-47F4-8247-A13688C977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Calibri"/>
        <w:sz w:val="22"/>
        <w:szCs w:val="22"/>
        <w:lang w:val="en-GB" w:eastAsia="bg-BG"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spacing w:line="240" w:lineRule="auto"/>
      <w:outlineLvl w:val="2"/>
    </w:pPr>
    <w:rPr>
      <w:rFonts w:ascii="Times New Roman" w:eastAsia="Times New Roman" w:hAnsi="Times New Roman" w:cs="Times New Roman"/>
      <w:b/>
      <w:sz w:val="27"/>
      <w:szCs w:val="27"/>
    </w:rPr>
  </w:style>
  <w:style w:type="paragraph" w:styleId="Heading4">
    <w:name w:val="heading 4"/>
    <w:basedOn w:val="Normal"/>
    <w:next w:val="Normal"/>
    <w:uiPriority w:val="9"/>
    <w:semiHidden/>
    <w:unhideWhenUsed/>
    <w:qFormat/>
    <w:pPr>
      <w:spacing w:line="240" w:lineRule="auto"/>
      <w:outlineLvl w:val="3"/>
    </w:pPr>
    <w:rPr>
      <w:rFonts w:ascii="Times New Roman" w:eastAsia="Times New Roman" w:hAnsi="Times New Roman" w:cs="Times New Roman"/>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1">
    <w:name w:val="Table Normal1"/>
    <w:tblPr>
      <w:tblCellMar>
        <w:top w:w="0" w:type="dxa"/>
        <w:left w:w="0" w:type="dxa"/>
        <w:bottom w:w="0" w:type="dxa"/>
        <w:right w:w="0" w:type="dxa"/>
      </w:tblCellMar>
    </w:tblPr>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TotalTime>
  <Pages>12</Pages>
  <Words>3193</Words>
  <Characters>18205</Characters>
  <Application>Microsoft Office Word</Application>
  <DocSecurity>0</DocSecurity>
  <Lines>151</Lines>
  <Paragraphs>42</Paragraphs>
  <ScaleCrop>false</ScaleCrop>
  <Company/>
  <LinksUpToDate>false</LinksUpToDate>
  <CharactersWithSpaces>21356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Desislav Dyankov (2132880)</cp:lastModifiedBy>
  <cp:revision>6</cp:revision>
  <dcterms:created xsi:type="dcterms:W3CDTF">2024-08-02T12:13:00Z</dcterms:created>
  <dcterms:modified xsi:type="dcterms:W3CDTF">2024-08-27T11:44:00Z</dcterms:modified>
</cp:coreProperties>
</file>