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4CA3" w:rsidRDefault="003D4CA3" w:rsidP="00D83E68">
      <w:pPr>
        <w:rPr>
          <w:rFonts w:ascii="Arial" w:hAnsi="Arial" w:cs="Arial"/>
          <w:sz w:val="24"/>
          <w:szCs w:val="24"/>
        </w:rPr>
      </w:pPr>
      <w:r>
        <w:rPr>
          <w:rFonts w:ascii="Arial" w:hAnsi="Arial" w:cs="Arial"/>
          <w:sz w:val="24"/>
          <w:szCs w:val="24"/>
        </w:rPr>
        <w:t xml:space="preserve">                                               Common and Civil law</w:t>
      </w:r>
    </w:p>
    <w:p w:rsidR="003D4CA3" w:rsidRDefault="003D4CA3" w:rsidP="00D83E68">
      <w:pPr>
        <w:rPr>
          <w:rFonts w:ascii="Arial" w:hAnsi="Arial" w:cs="Arial"/>
          <w:sz w:val="24"/>
          <w:szCs w:val="24"/>
        </w:rPr>
      </w:pPr>
    </w:p>
    <w:p w:rsidR="00D83E68" w:rsidRPr="000220A0" w:rsidRDefault="00F8527F" w:rsidP="00D83E68">
      <w:pPr>
        <w:rPr>
          <w:rFonts w:ascii="Arial" w:hAnsi="Arial" w:cs="Arial"/>
          <w:sz w:val="24"/>
          <w:szCs w:val="24"/>
        </w:rPr>
      </w:pPr>
      <w:r>
        <w:rPr>
          <w:rFonts w:ascii="Arial" w:hAnsi="Arial" w:cs="Arial"/>
          <w:sz w:val="24"/>
          <w:szCs w:val="24"/>
        </w:rPr>
        <w:t>T</w:t>
      </w:r>
      <w:r w:rsidR="00D83E68" w:rsidRPr="000220A0">
        <w:rPr>
          <w:rFonts w:ascii="Arial" w:hAnsi="Arial" w:cs="Arial"/>
          <w:sz w:val="24"/>
          <w:szCs w:val="24"/>
        </w:rPr>
        <w:t>here are two primary groups of legal systems found in most nations: common law systems and civil law systems. There are about 80 countries with common law, compared to about 150 with what might be called largely civil law systems.</w:t>
      </w:r>
      <w:r w:rsidR="00182E80" w:rsidRPr="00182E80">
        <w:t xml:space="preserve"> </w:t>
      </w:r>
      <w:r w:rsidR="00182E80" w:rsidRPr="00182E80">
        <w:rPr>
          <w:rFonts w:ascii="Arial" w:hAnsi="Arial" w:cs="Arial"/>
          <w:sz w:val="24"/>
          <w:szCs w:val="24"/>
        </w:rPr>
        <w:t>The majority of the United Kingdom (England, Wales, and Northern Ireland), South Africa, Ireland, India (excluding Goa), Pakistan, Hong Kong, the United States (on state and territorial levels excluding Louisiana and Puerto Rico), Bangladesh, Australia, New Zealand, and many other places follow common law. Others have transformed the common law system into a mixed system. For instance, Nigeria mostly employs the common law system in its federal structure and southern states, while also incorporating religious law in its northern states.</w:t>
      </w:r>
    </w:p>
    <w:p w:rsidR="00591005" w:rsidRPr="000220A0" w:rsidRDefault="00D83E68" w:rsidP="00D83E68">
      <w:pPr>
        <w:rPr>
          <w:rFonts w:ascii="Arial" w:hAnsi="Arial" w:cs="Arial"/>
          <w:sz w:val="24"/>
          <w:szCs w:val="24"/>
        </w:rPr>
      </w:pPr>
      <w:r w:rsidRPr="000220A0">
        <w:rPr>
          <w:rFonts w:ascii="Arial" w:hAnsi="Arial" w:cs="Arial"/>
          <w:sz w:val="24"/>
          <w:szCs w:val="24"/>
        </w:rPr>
        <w:t xml:space="preserve">The basic distinction between the two legal systems is that common law nations </w:t>
      </w:r>
      <w:r w:rsidR="00F8527F">
        <w:rPr>
          <w:rFonts w:ascii="Arial" w:hAnsi="Arial" w:cs="Arial"/>
          <w:sz w:val="24"/>
          <w:szCs w:val="24"/>
        </w:rPr>
        <w:t>prioritize</w:t>
      </w:r>
      <w:r w:rsidRPr="000220A0">
        <w:rPr>
          <w:rFonts w:ascii="Arial" w:hAnsi="Arial" w:cs="Arial"/>
          <w:sz w:val="24"/>
          <w:szCs w:val="24"/>
        </w:rPr>
        <w:t xml:space="preserve"> published judicial decisions as case law, whereas civil law systems </w:t>
      </w:r>
      <w:r w:rsidR="00F8527F">
        <w:rPr>
          <w:rFonts w:ascii="Arial" w:hAnsi="Arial" w:cs="Arial"/>
          <w:sz w:val="24"/>
          <w:szCs w:val="24"/>
        </w:rPr>
        <w:t>prioritize</w:t>
      </w:r>
      <w:r w:rsidRPr="000220A0">
        <w:rPr>
          <w:rFonts w:ascii="Arial" w:hAnsi="Arial" w:cs="Arial"/>
          <w:sz w:val="24"/>
          <w:szCs w:val="24"/>
        </w:rPr>
        <w:t xml:space="preserve"> codified statutes. These distinctions, however, are not as sharp as they may appear. In actuality, many nations combine elements of their common law and civil law systems. It is first necessary to comprehend the historical foundations of these systems in order to understand how they differ from one another.</w:t>
      </w:r>
    </w:p>
    <w:p w:rsidR="00D83E68" w:rsidRPr="000220A0" w:rsidRDefault="00A31467" w:rsidP="00D83E68">
      <w:pPr>
        <w:rPr>
          <w:rFonts w:ascii="Arial" w:hAnsi="Arial" w:cs="Arial"/>
          <w:sz w:val="24"/>
          <w:szCs w:val="24"/>
        </w:rPr>
      </w:pPr>
      <w:r w:rsidRPr="000220A0">
        <w:rPr>
          <w:rFonts w:ascii="Arial" w:hAnsi="Arial" w:cs="Arial"/>
          <w:sz w:val="24"/>
          <w:szCs w:val="24"/>
        </w:rPr>
        <w:t xml:space="preserve">The system's major antecedent was the English monarchy, which used to issue "writs," or written orders when justice needed to be served. Because writs were insufficient to resolve every situation, courts of equity were subsequently established to hear complaints and determine the most appropriate remedies based on equitable principles drawn from many sources of authority (such as Roman law and "natural" law"). After they were collated and made public, courts could search for older decisions and consider them in light of more current ones. As a result, the common law was developed, and areas of </w:t>
      </w:r>
      <w:r w:rsidR="00F8527F">
        <w:rPr>
          <w:rFonts w:ascii="Arial" w:hAnsi="Arial" w:cs="Arial"/>
          <w:sz w:val="24"/>
          <w:szCs w:val="24"/>
        </w:rPr>
        <w:t>practice</w:t>
      </w:r>
      <w:r w:rsidRPr="000220A0">
        <w:rPr>
          <w:rFonts w:ascii="Arial" w:hAnsi="Arial" w:cs="Arial"/>
          <w:sz w:val="24"/>
          <w:szCs w:val="24"/>
        </w:rPr>
        <w:t xml:space="preserve"> now include complaints against the police, workplace conflicts, discrimination law, landlord-tenant issues, personal injuries, medical malpractice, family law, and criminal law.</w:t>
      </w:r>
    </w:p>
    <w:p w:rsidR="00A31467" w:rsidRPr="000220A0" w:rsidRDefault="00A31467" w:rsidP="00D83E68">
      <w:pPr>
        <w:rPr>
          <w:rFonts w:ascii="Arial" w:hAnsi="Arial" w:cs="Arial"/>
          <w:sz w:val="24"/>
          <w:szCs w:val="24"/>
        </w:rPr>
      </w:pPr>
    </w:p>
    <w:p w:rsidR="00A31467" w:rsidRPr="000220A0" w:rsidRDefault="000220A0" w:rsidP="00D83E68">
      <w:pPr>
        <w:rPr>
          <w:rFonts w:ascii="Arial" w:hAnsi="Arial" w:cs="Arial"/>
          <w:sz w:val="24"/>
          <w:szCs w:val="24"/>
        </w:rPr>
      </w:pPr>
      <w:r w:rsidRPr="000220A0">
        <w:rPr>
          <w:rFonts w:ascii="Arial" w:hAnsi="Arial" w:cs="Arial"/>
          <w:sz w:val="24"/>
          <w:szCs w:val="24"/>
        </w:rPr>
        <w:t>Common</w:t>
      </w:r>
      <w:r w:rsidR="00A31467" w:rsidRPr="000220A0">
        <w:rPr>
          <w:rFonts w:ascii="Arial" w:hAnsi="Arial" w:cs="Arial"/>
          <w:sz w:val="24"/>
          <w:szCs w:val="24"/>
        </w:rPr>
        <w:t xml:space="preserve"> law features:</w:t>
      </w:r>
    </w:p>
    <w:p w:rsidR="00A31467" w:rsidRPr="003D4CA3" w:rsidRDefault="00A31467" w:rsidP="003D4CA3">
      <w:pPr>
        <w:pStyle w:val="ListParagraph"/>
        <w:numPr>
          <w:ilvl w:val="0"/>
          <w:numId w:val="2"/>
        </w:numPr>
        <w:rPr>
          <w:rFonts w:ascii="Arial" w:hAnsi="Arial" w:cs="Arial"/>
          <w:sz w:val="24"/>
          <w:szCs w:val="24"/>
        </w:rPr>
      </w:pPr>
      <w:r w:rsidRPr="003D4CA3">
        <w:rPr>
          <w:rFonts w:ascii="Arial" w:hAnsi="Arial" w:cs="Arial"/>
          <w:sz w:val="24"/>
          <w:szCs w:val="24"/>
        </w:rPr>
        <w:t>It's not always the case that the c</w:t>
      </w:r>
      <w:r w:rsidR="000220A0" w:rsidRPr="003D4CA3">
        <w:rPr>
          <w:rFonts w:ascii="Arial" w:hAnsi="Arial" w:cs="Arial"/>
          <w:sz w:val="24"/>
          <w:szCs w:val="24"/>
        </w:rPr>
        <w:t>onstitution or laws be codified.</w:t>
      </w:r>
    </w:p>
    <w:p w:rsidR="00A31467" w:rsidRPr="003D4CA3" w:rsidRDefault="00A31467" w:rsidP="003D4CA3">
      <w:pPr>
        <w:pStyle w:val="ListParagraph"/>
        <w:numPr>
          <w:ilvl w:val="0"/>
          <w:numId w:val="2"/>
        </w:numPr>
        <w:rPr>
          <w:rFonts w:ascii="Arial" w:hAnsi="Arial" w:cs="Arial"/>
          <w:sz w:val="24"/>
          <w:szCs w:val="24"/>
        </w:rPr>
      </w:pPr>
      <w:r w:rsidRPr="003D4CA3">
        <w:rPr>
          <w:rFonts w:ascii="Arial" w:hAnsi="Arial" w:cs="Arial"/>
          <w:sz w:val="24"/>
          <w:szCs w:val="24"/>
        </w:rPr>
        <w:t xml:space="preserve">Legal </w:t>
      </w:r>
      <w:r w:rsidR="000220A0" w:rsidRPr="003D4CA3">
        <w:rPr>
          <w:rFonts w:ascii="Arial" w:hAnsi="Arial" w:cs="Arial"/>
          <w:sz w:val="24"/>
          <w:szCs w:val="24"/>
        </w:rPr>
        <w:t>judgments</w:t>
      </w:r>
      <w:r w:rsidRPr="003D4CA3">
        <w:rPr>
          <w:rFonts w:ascii="Arial" w:hAnsi="Arial" w:cs="Arial"/>
          <w:sz w:val="24"/>
          <w:szCs w:val="24"/>
        </w:rPr>
        <w:t xml:space="preserve"> are conclusive; the highest court's rulings are typically only appealed by that</w:t>
      </w:r>
      <w:r w:rsidR="000220A0" w:rsidRPr="003D4CA3">
        <w:rPr>
          <w:rFonts w:ascii="Arial" w:hAnsi="Arial" w:cs="Arial"/>
          <w:sz w:val="24"/>
          <w:szCs w:val="24"/>
        </w:rPr>
        <w:t xml:space="preserve"> </w:t>
      </w:r>
      <w:r w:rsidR="00182E80" w:rsidRPr="003D4CA3">
        <w:rPr>
          <w:rFonts w:ascii="Arial" w:hAnsi="Arial" w:cs="Arial"/>
          <w:sz w:val="24"/>
          <w:szCs w:val="24"/>
        </w:rPr>
        <w:t>court or by passing legislation.</w:t>
      </w:r>
    </w:p>
    <w:p w:rsidR="00A31467" w:rsidRPr="003D4CA3" w:rsidRDefault="00A31467" w:rsidP="003D4CA3">
      <w:pPr>
        <w:pStyle w:val="ListParagraph"/>
        <w:numPr>
          <w:ilvl w:val="0"/>
          <w:numId w:val="2"/>
        </w:numPr>
        <w:rPr>
          <w:rFonts w:ascii="Arial" w:hAnsi="Arial" w:cs="Arial"/>
          <w:sz w:val="24"/>
          <w:szCs w:val="24"/>
        </w:rPr>
      </w:pPr>
      <w:r w:rsidRPr="003D4CA3">
        <w:rPr>
          <w:rFonts w:ascii="Arial" w:hAnsi="Arial" w:cs="Arial"/>
          <w:sz w:val="24"/>
          <w:szCs w:val="24"/>
        </w:rPr>
        <w:t>extensive freedom of contract - few clauses are legally implied into a contract (however clauses intended to protect individual cus</w:t>
      </w:r>
      <w:r w:rsidR="00182E80" w:rsidRPr="003D4CA3">
        <w:rPr>
          <w:rFonts w:ascii="Arial" w:hAnsi="Arial" w:cs="Arial"/>
          <w:sz w:val="24"/>
          <w:szCs w:val="24"/>
        </w:rPr>
        <w:t>tomers may be implied).</w:t>
      </w:r>
    </w:p>
    <w:p w:rsidR="00A31467" w:rsidRPr="003D4CA3" w:rsidRDefault="00A31467" w:rsidP="003D4CA3">
      <w:pPr>
        <w:pStyle w:val="ListParagraph"/>
        <w:numPr>
          <w:ilvl w:val="0"/>
          <w:numId w:val="2"/>
        </w:numPr>
        <w:rPr>
          <w:rFonts w:ascii="Arial" w:hAnsi="Arial" w:cs="Arial"/>
          <w:sz w:val="24"/>
          <w:szCs w:val="24"/>
        </w:rPr>
      </w:pPr>
      <w:r w:rsidRPr="003D4CA3">
        <w:rPr>
          <w:rFonts w:ascii="Arial" w:hAnsi="Arial" w:cs="Arial"/>
          <w:sz w:val="24"/>
          <w:szCs w:val="24"/>
        </w:rPr>
        <w:t>Broadly speaking, anything that is not expressly prohibited by law is allowed.</w:t>
      </w:r>
    </w:p>
    <w:p w:rsidR="000220A0" w:rsidRPr="000220A0" w:rsidRDefault="000220A0" w:rsidP="00D83E68">
      <w:pPr>
        <w:rPr>
          <w:rFonts w:ascii="Arial" w:hAnsi="Arial" w:cs="Arial"/>
          <w:sz w:val="24"/>
          <w:szCs w:val="24"/>
        </w:rPr>
      </w:pPr>
      <w:r w:rsidRPr="000220A0">
        <w:rPr>
          <w:rFonts w:ascii="Arial" w:hAnsi="Arial" w:cs="Arial"/>
          <w:sz w:val="24"/>
          <w:szCs w:val="24"/>
        </w:rPr>
        <w:t>Civil law features:</w:t>
      </w:r>
    </w:p>
    <w:p w:rsidR="003D4CA3" w:rsidRDefault="000220A0" w:rsidP="003D4CA3">
      <w:pPr>
        <w:rPr>
          <w:rFonts w:ascii="Arial" w:hAnsi="Arial" w:cs="Arial"/>
          <w:sz w:val="24"/>
          <w:szCs w:val="24"/>
        </w:rPr>
      </w:pPr>
      <w:r w:rsidRPr="000220A0">
        <w:rPr>
          <w:rFonts w:ascii="Arial" w:hAnsi="Arial" w:cs="Arial"/>
          <w:sz w:val="24"/>
          <w:szCs w:val="24"/>
        </w:rPr>
        <w:t>The civil law system is a body of codified law. Roman law serves as its foundation. An example</w:t>
      </w:r>
      <w:r w:rsidR="00182E80">
        <w:rPr>
          <w:rFonts w:ascii="Arial" w:hAnsi="Arial" w:cs="Arial"/>
          <w:sz w:val="24"/>
          <w:szCs w:val="24"/>
        </w:rPr>
        <w:t xml:space="preserve"> of a civil law system might be.</w:t>
      </w:r>
    </w:p>
    <w:p w:rsidR="000220A0" w:rsidRPr="003D4CA3" w:rsidRDefault="000220A0" w:rsidP="003D4CA3">
      <w:pPr>
        <w:pStyle w:val="ListParagraph"/>
        <w:numPr>
          <w:ilvl w:val="0"/>
          <w:numId w:val="6"/>
        </w:numPr>
        <w:rPr>
          <w:rFonts w:ascii="Arial" w:hAnsi="Arial" w:cs="Arial"/>
          <w:sz w:val="24"/>
          <w:szCs w:val="24"/>
        </w:rPr>
      </w:pPr>
      <w:r w:rsidRPr="003D4CA3">
        <w:rPr>
          <w:rFonts w:ascii="Arial" w:hAnsi="Arial" w:cs="Arial"/>
          <w:sz w:val="24"/>
          <w:szCs w:val="24"/>
        </w:rPr>
        <w:t xml:space="preserve">Usually, a written constitution based on certain codes (such as the civil code, rules governing corporation law, administrative law, tax law, and constitutional </w:t>
      </w:r>
      <w:r w:rsidRPr="003D4CA3">
        <w:rPr>
          <w:rFonts w:ascii="Arial" w:hAnsi="Arial" w:cs="Arial"/>
          <w:sz w:val="24"/>
          <w:szCs w:val="24"/>
        </w:rPr>
        <w:lastRenderedPageBreak/>
        <w:t>law) is in place, enshrining fundamental rights and obligations; Nonetheless, administrative law is typically less codified, and administrative court judges typically act</w:t>
      </w:r>
      <w:r w:rsidR="00182E80" w:rsidRPr="003D4CA3">
        <w:rPr>
          <w:rFonts w:ascii="Arial" w:hAnsi="Arial" w:cs="Arial"/>
          <w:sz w:val="24"/>
          <w:szCs w:val="24"/>
        </w:rPr>
        <w:t xml:space="preserve"> more like judges of common law.</w:t>
      </w:r>
    </w:p>
    <w:p w:rsidR="003D4CA3" w:rsidRDefault="003D4CA3" w:rsidP="003D4CA3">
      <w:pPr>
        <w:rPr>
          <w:rFonts w:ascii="Arial" w:hAnsi="Arial" w:cs="Arial"/>
          <w:sz w:val="24"/>
          <w:szCs w:val="24"/>
        </w:rPr>
      </w:pPr>
    </w:p>
    <w:p w:rsidR="000220A0" w:rsidRPr="003D4CA3" w:rsidRDefault="000220A0" w:rsidP="003D4CA3">
      <w:pPr>
        <w:pStyle w:val="ListParagraph"/>
        <w:numPr>
          <w:ilvl w:val="0"/>
          <w:numId w:val="6"/>
        </w:numPr>
        <w:rPr>
          <w:rFonts w:ascii="Arial" w:hAnsi="Arial" w:cs="Arial"/>
          <w:sz w:val="24"/>
          <w:szCs w:val="24"/>
        </w:rPr>
      </w:pPr>
      <w:r w:rsidRPr="003D4CA3">
        <w:rPr>
          <w:rFonts w:ascii="Arial" w:hAnsi="Arial" w:cs="Arial"/>
          <w:sz w:val="24"/>
          <w:szCs w:val="24"/>
        </w:rPr>
        <w:t>Writings by legal experts have a substantial impact on the courts in several civ</w:t>
      </w:r>
      <w:r w:rsidR="00182E80" w:rsidRPr="003D4CA3">
        <w:rPr>
          <w:rFonts w:ascii="Arial" w:hAnsi="Arial" w:cs="Arial"/>
          <w:sz w:val="24"/>
          <w:szCs w:val="24"/>
        </w:rPr>
        <w:t>il law systems, such as Germany.</w:t>
      </w:r>
    </w:p>
    <w:p w:rsidR="000220A0" w:rsidRPr="003D4CA3" w:rsidRDefault="000220A0" w:rsidP="003D4CA3">
      <w:pPr>
        <w:pStyle w:val="ListParagraph"/>
        <w:numPr>
          <w:ilvl w:val="0"/>
          <w:numId w:val="6"/>
        </w:numPr>
        <w:rPr>
          <w:rFonts w:ascii="Arial" w:hAnsi="Arial" w:cs="Arial"/>
          <w:sz w:val="24"/>
          <w:szCs w:val="24"/>
        </w:rPr>
      </w:pPr>
      <w:r w:rsidRPr="003D4CA3">
        <w:rPr>
          <w:rFonts w:ascii="Arial" w:hAnsi="Arial" w:cs="Arial"/>
          <w:sz w:val="24"/>
          <w:szCs w:val="24"/>
        </w:rPr>
        <w:t>courts particular to the underlying codes</w:t>
      </w:r>
      <w:r w:rsidR="003D4CA3" w:rsidRPr="003D4CA3">
        <w:rPr>
          <w:rFonts w:ascii="Arial" w:hAnsi="Arial" w:cs="Arial"/>
          <w:sz w:val="24"/>
          <w:szCs w:val="24"/>
        </w:rPr>
        <w:t xml:space="preserve"> — there are typically separate </w:t>
      </w:r>
      <w:r w:rsidRPr="003D4CA3">
        <w:rPr>
          <w:rFonts w:ascii="Arial" w:hAnsi="Arial" w:cs="Arial"/>
          <w:sz w:val="24"/>
          <w:szCs w:val="24"/>
        </w:rPr>
        <w:t xml:space="preserve">constitutional </w:t>
      </w:r>
      <w:r w:rsidR="00182E80" w:rsidRPr="003D4CA3">
        <w:rPr>
          <w:rFonts w:ascii="Arial" w:hAnsi="Arial" w:cs="Arial"/>
          <w:sz w:val="24"/>
          <w:szCs w:val="24"/>
        </w:rPr>
        <w:t>courts</w:t>
      </w:r>
      <w:r w:rsidRPr="003D4CA3">
        <w:rPr>
          <w:rFonts w:ascii="Arial" w:hAnsi="Arial" w:cs="Arial"/>
          <w:sz w:val="24"/>
          <w:szCs w:val="24"/>
        </w:rPr>
        <w:t xml:space="preserve">, </w:t>
      </w:r>
      <w:r w:rsidR="00182E80" w:rsidRPr="003D4CA3">
        <w:rPr>
          <w:rFonts w:ascii="Arial" w:hAnsi="Arial" w:cs="Arial"/>
          <w:sz w:val="24"/>
          <w:szCs w:val="24"/>
        </w:rPr>
        <w:t xml:space="preserve">an </w:t>
      </w:r>
      <w:r w:rsidRPr="003D4CA3">
        <w:rPr>
          <w:rFonts w:ascii="Arial" w:hAnsi="Arial" w:cs="Arial"/>
          <w:sz w:val="24"/>
          <w:szCs w:val="24"/>
        </w:rPr>
        <w:t>administrative court, and civil court systems that comment on and interpret that particular code;</w:t>
      </w:r>
      <w:r w:rsidRPr="003D4CA3">
        <w:rPr>
          <w:rFonts w:ascii="Arial" w:hAnsi="Arial" w:cs="Arial"/>
          <w:sz w:val="24"/>
          <w:szCs w:val="24"/>
        </w:rPr>
        <w:t xml:space="preserve"> </w:t>
      </w:r>
      <w:r w:rsidRPr="003D4CA3">
        <w:rPr>
          <w:rFonts w:ascii="Arial" w:hAnsi="Arial" w:cs="Arial"/>
          <w:sz w:val="24"/>
          <w:szCs w:val="24"/>
        </w:rPr>
        <w:t>Limited contract freedom because many clauses are legally imposed and cannot be negotiated out of by the parties.</w:t>
      </w:r>
    </w:p>
    <w:p w:rsidR="00FA2FD0" w:rsidRPr="003D4CA3" w:rsidRDefault="000220A0" w:rsidP="003D4CA3">
      <w:pPr>
        <w:pStyle w:val="ListParagraph"/>
        <w:numPr>
          <w:ilvl w:val="0"/>
          <w:numId w:val="6"/>
        </w:numPr>
        <w:rPr>
          <w:rFonts w:ascii="Arial" w:hAnsi="Arial" w:cs="Arial"/>
          <w:sz w:val="24"/>
          <w:szCs w:val="24"/>
        </w:rPr>
      </w:pPr>
      <w:r w:rsidRPr="003D4CA3">
        <w:rPr>
          <w:rFonts w:ascii="Arial" w:hAnsi="Arial" w:cs="Arial"/>
          <w:sz w:val="24"/>
          <w:szCs w:val="24"/>
        </w:rPr>
        <w:t>Only legislative actions are regarded as legally binding for everyone. In civil, criminal, and commercial courts, there is little room for judge-made law, even though judges typically uphold earlier rulings. However, administrative and constitutional courts have the power to overturn laws and regulations, and their decisions in these situations are binding</w:t>
      </w:r>
      <w:r w:rsidR="00FA2FD0" w:rsidRPr="003D4CA3">
        <w:rPr>
          <w:rFonts w:ascii="Arial" w:hAnsi="Arial" w:cs="Arial"/>
          <w:sz w:val="24"/>
          <w:szCs w:val="24"/>
        </w:rPr>
        <w:t>.</w:t>
      </w:r>
      <w:r w:rsidRPr="003D4CA3">
        <w:rPr>
          <w:rFonts w:ascii="Arial" w:hAnsi="Arial" w:cs="Arial"/>
          <w:sz w:val="24"/>
          <w:szCs w:val="24"/>
        </w:rPr>
        <w:t xml:space="preserve"> </w:t>
      </w:r>
    </w:p>
    <w:p w:rsidR="00FA2FD0" w:rsidRDefault="00FA2FD0" w:rsidP="000220A0">
      <w:pPr>
        <w:rPr>
          <w:rFonts w:ascii="Arial" w:hAnsi="Arial" w:cs="Arial"/>
          <w:sz w:val="24"/>
          <w:szCs w:val="24"/>
        </w:rPr>
      </w:pPr>
    </w:p>
    <w:p w:rsidR="00FA2FD0" w:rsidRDefault="00FA2FD0" w:rsidP="000220A0">
      <w:pPr>
        <w:rPr>
          <w:rFonts w:ascii="Arial" w:hAnsi="Arial" w:cs="Arial"/>
          <w:sz w:val="24"/>
          <w:szCs w:val="24"/>
        </w:rPr>
      </w:pPr>
    </w:p>
    <w:p w:rsidR="000220A0" w:rsidRDefault="00FA2FD0" w:rsidP="000220A0">
      <w:pPr>
        <w:rPr>
          <w:rFonts w:ascii="Arial" w:hAnsi="Arial" w:cs="Arial"/>
          <w:sz w:val="24"/>
          <w:szCs w:val="24"/>
        </w:rPr>
      </w:pPr>
      <w:r w:rsidRPr="00FA2FD0">
        <w:rPr>
          <w:rFonts w:ascii="Arial" w:hAnsi="Arial" w:cs="Arial"/>
          <w:sz w:val="24"/>
          <w:szCs w:val="24"/>
        </w:rPr>
        <w:t xml:space="preserve">The key differences between civil law and common law are shown in the table below, along with certain instances when they are comparable. </w:t>
      </w:r>
      <w:r w:rsidR="000220A0" w:rsidRPr="000220A0">
        <w:rPr>
          <w:rFonts w:ascii="Arial" w:hAnsi="Arial" w:cs="Arial"/>
          <w:sz w:val="24"/>
          <w:szCs w:val="24"/>
        </w:rPr>
        <w:t>on all parties.</w:t>
      </w:r>
    </w:p>
    <w:p w:rsidR="00A86256" w:rsidRDefault="00A86256" w:rsidP="000220A0">
      <w:pPr>
        <w:rPr>
          <w:rFonts w:ascii="Arial" w:hAnsi="Arial" w:cs="Arial"/>
          <w:sz w:val="24"/>
          <w:szCs w:val="24"/>
        </w:rPr>
      </w:pPr>
    </w:p>
    <w:tbl>
      <w:tblPr>
        <w:tblStyle w:val="TableGrid"/>
        <w:tblpPr w:leftFromText="180" w:rightFromText="180" w:vertAnchor="text" w:horzAnchor="margin" w:tblpXSpec="center" w:tblpY="336"/>
        <w:tblW w:w="0" w:type="auto"/>
        <w:tblLook w:val="04A0" w:firstRow="1" w:lastRow="0" w:firstColumn="1" w:lastColumn="0" w:noHBand="0" w:noVBand="1"/>
      </w:tblPr>
      <w:tblGrid>
        <w:gridCol w:w="355"/>
        <w:gridCol w:w="2123"/>
        <w:gridCol w:w="2606"/>
        <w:gridCol w:w="2308"/>
      </w:tblGrid>
      <w:tr w:rsidR="004A49A7" w:rsidTr="003D4CA3">
        <w:tc>
          <w:tcPr>
            <w:tcW w:w="355" w:type="dxa"/>
          </w:tcPr>
          <w:p w:rsidR="004A49A7" w:rsidRDefault="004A49A7" w:rsidP="004A49A7">
            <w:pPr>
              <w:rPr>
                <w:rFonts w:ascii="Arial" w:hAnsi="Arial" w:cs="Arial"/>
                <w:sz w:val="24"/>
                <w:szCs w:val="24"/>
              </w:rPr>
            </w:pPr>
          </w:p>
        </w:tc>
        <w:tc>
          <w:tcPr>
            <w:tcW w:w="2123" w:type="dxa"/>
          </w:tcPr>
          <w:p w:rsidR="004A49A7" w:rsidRDefault="004A49A7" w:rsidP="004A49A7">
            <w:pPr>
              <w:rPr>
                <w:rFonts w:ascii="Arial" w:hAnsi="Arial" w:cs="Arial"/>
                <w:sz w:val="24"/>
                <w:szCs w:val="24"/>
              </w:rPr>
            </w:pPr>
          </w:p>
        </w:tc>
        <w:tc>
          <w:tcPr>
            <w:tcW w:w="2606" w:type="dxa"/>
          </w:tcPr>
          <w:p w:rsidR="004A49A7" w:rsidRDefault="004A49A7" w:rsidP="004A49A7">
            <w:pPr>
              <w:rPr>
                <w:rFonts w:ascii="Arial" w:hAnsi="Arial" w:cs="Arial"/>
                <w:sz w:val="24"/>
                <w:szCs w:val="24"/>
              </w:rPr>
            </w:pPr>
            <w:r>
              <w:rPr>
                <w:rFonts w:ascii="Arial" w:hAnsi="Arial" w:cs="Arial"/>
                <w:sz w:val="24"/>
                <w:szCs w:val="24"/>
              </w:rPr>
              <w:t xml:space="preserve">Common law </w:t>
            </w:r>
          </w:p>
        </w:tc>
        <w:tc>
          <w:tcPr>
            <w:tcW w:w="2308" w:type="dxa"/>
          </w:tcPr>
          <w:p w:rsidR="004A49A7" w:rsidRDefault="004A49A7" w:rsidP="004A49A7">
            <w:pPr>
              <w:rPr>
                <w:rFonts w:ascii="Arial" w:hAnsi="Arial" w:cs="Arial"/>
                <w:sz w:val="24"/>
                <w:szCs w:val="24"/>
              </w:rPr>
            </w:pPr>
            <w:r>
              <w:rPr>
                <w:rFonts w:ascii="Arial" w:hAnsi="Arial" w:cs="Arial"/>
                <w:sz w:val="24"/>
                <w:szCs w:val="24"/>
              </w:rPr>
              <w:t>Civil</w:t>
            </w:r>
          </w:p>
        </w:tc>
      </w:tr>
      <w:tr w:rsidR="004A49A7" w:rsidTr="003D4CA3">
        <w:tc>
          <w:tcPr>
            <w:tcW w:w="355" w:type="dxa"/>
          </w:tcPr>
          <w:p w:rsidR="004A49A7" w:rsidRDefault="004A49A7" w:rsidP="004A49A7">
            <w:pPr>
              <w:rPr>
                <w:rFonts w:ascii="Arial" w:hAnsi="Arial" w:cs="Arial"/>
                <w:sz w:val="24"/>
                <w:szCs w:val="24"/>
              </w:rPr>
            </w:pPr>
          </w:p>
        </w:tc>
        <w:tc>
          <w:tcPr>
            <w:tcW w:w="2123" w:type="dxa"/>
          </w:tcPr>
          <w:p w:rsidR="004A49A7" w:rsidRDefault="004A49A7" w:rsidP="004A49A7">
            <w:pPr>
              <w:rPr>
                <w:rFonts w:ascii="Arial" w:hAnsi="Arial" w:cs="Arial"/>
                <w:sz w:val="24"/>
                <w:szCs w:val="24"/>
              </w:rPr>
            </w:pPr>
          </w:p>
        </w:tc>
        <w:tc>
          <w:tcPr>
            <w:tcW w:w="2606" w:type="dxa"/>
          </w:tcPr>
          <w:p w:rsidR="004A49A7" w:rsidRDefault="004A49A7" w:rsidP="004A49A7">
            <w:pPr>
              <w:rPr>
                <w:rFonts w:ascii="Arial" w:hAnsi="Arial" w:cs="Arial"/>
                <w:sz w:val="24"/>
                <w:szCs w:val="24"/>
              </w:rPr>
            </w:pPr>
          </w:p>
        </w:tc>
        <w:tc>
          <w:tcPr>
            <w:tcW w:w="2308" w:type="dxa"/>
          </w:tcPr>
          <w:p w:rsidR="004A49A7" w:rsidRDefault="004A49A7" w:rsidP="004A49A7">
            <w:pPr>
              <w:rPr>
                <w:rFonts w:ascii="Arial" w:hAnsi="Arial" w:cs="Arial"/>
                <w:sz w:val="24"/>
                <w:szCs w:val="24"/>
              </w:rPr>
            </w:pPr>
          </w:p>
        </w:tc>
      </w:tr>
      <w:tr w:rsidR="004A49A7" w:rsidTr="003D4CA3">
        <w:tc>
          <w:tcPr>
            <w:tcW w:w="355" w:type="dxa"/>
          </w:tcPr>
          <w:p w:rsidR="004A49A7" w:rsidRDefault="004A49A7" w:rsidP="004A49A7">
            <w:pPr>
              <w:rPr>
                <w:rFonts w:ascii="Arial" w:hAnsi="Arial" w:cs="Arial"/>
                <w:sz w:val="24"/>
                <w:szCs w:val="24"/>
              </w:rPr>
            </w:pPr>
          </w:p>
        </w:tc>
        <w:tc>
          <w:tcPr>
            <w:tcW w:w="2123" w:type="dxa"/>
          </w:tcPr>
          <w:p w:rsidR="004A49A7" w:rsidRDefault="004A49A7" w:rsidP="004A49A7">
            <w:pPr>
              <w:rPr>
                <w:rFonts w:ascii="Arial" w:hAnsi="Arial" w:cs="Arial"/>
                <w:sz w:val="24"/>
                <w:szCs w:val="24"/>
              </w:rPr>
            </w:pPr>
            <w:r>
              <w:rPr>
                <w:rFonts w:ascii="Arial" w:hAnsi="Arial" w:cs="Arial"/>
                <w:sz w:val="24"/>
                <w:szCs w:val="24"/>
              </w:rPr>
              <w:t>SOURCE OF LAW</w:t>
            </w:r>
          </w:p>
        </w:tc>
        <w:tc>
          <w:tcPr>
            <w:tcW w:w="2606" w:type="dxa"/>
          </w:tcPr>
          <w:p w:rsidR="004A49A7" w:rsidRDefault="004A49A7" w:rsidP="004A49A7">
            <w:pPr>
              <w:rPr>
                <w:rFonts w:ascii="Arial" w:hAnsi="Arial" w:cs="Arial"/>
                <w:sz w:val="24"/>
                <w:szCs w:val="24"/>
              </w:rPr>
            </w:pPr>
            <w:r>
              <w:rPr>
                <w:rFonts w:ascii="Arial" w:hAnsi="Arial" w:cs="Arial"/>
                <w:sz w:val="24"/>
                <w:szCs w:val="24"/>
              </w:rPr>
              <w:t>Legislation, case law</w:t>
            </w:r>
          </w:p>
          <w:p w:rsidR="004A49A7" w:rsidRDefault="004A49A7" w:rsidP="004A49A7">
            <w:pPr>
              <w:rPr>
                <w:rFonts w:ascii="Arial" w:hAnsi="Arial" w:cs="Arial"/>
                <w:sz w:val="24"/>
                <w:szCs w:val="24"/>
              </w:rPr>
            </w:pPr>
          </w:p>
        </w:tc>
        <w:tc>
          <w:tcPr>
            <w:tcW w:w="2308" w:type="dxa"/>
          </w:tcPr>
          <w:p w:rsidR="004A49A7" w:rsidRDefault="004A49A7" w:rsidP="004A49A7">
            <w:pPr>
              <w:rPr>
                <w:rFonts w:ascii="Arial" w:hAnsi="Arial" w:cs="Arial"/>
                <w:sz w:val="24"/>
                <w:szCs w:val="24"/>
              </w:rPr>
            </w:pPr>
            <w:r>
              <w:rPr>
                <w:rFonts w:ascii="Arial" w:hAnsi="Arial" w:cs="Arial"/>
                <w:sz w:val="24"/>
                <w:szCs w:val="24"/>
              </w:rPr>
              <w:t>Legislation</w:t>
            </w:r>
          </w:p>
        </w:tc>
      </w:tr>
      <w:tr w:rsidR="004A49A7" w:rsidTr="003D4CA3">
        <w:tc>
          <w:tcPr>
            <w:tcW w:w="355" w:type="dxa"/>
          </w:tcPr>
          <w:p w:rsidR="004A49A7" w:rsidRDefault="004A49A7" w:rsidP="004A49A7">
            <w:pPr>
              <w:rPr>
                <w:rFonts w:ascii="Arial" w:hAnsi="Arial" w:cs="Arial"/>
                <w:sz w:val="24"/>
                <w:szCs w:val="24"/>
              </w:rPr>
            </w:pPr>
          </w:p>
        </w:tc>
        <w:tc>
          <w:tcPr>
            <w:tcW w:w="2123" w:type="dxa"/>
          </w:tcPr>
          <w:p w:rsidR="004A49A7" w:rsidRDefault="004A49A7" w:rsidP="004A49A7">
            <w:pPr>
              <w:rPr>
                <w:rFonts w:ascii="Arial" w:hAnsi="Arial" w:cs="Arial"/>
                <w:sz w:val="24"/>
                <w:szCs w:val="24"/>
              </w:rPr>
            </w:pPr>
            <w:r>
              <w:rPr>
                <w:rFonts w:ascii="Arial" w:hAnsi="Arial" w:cs="Arial"/>
                <w:sz w:val="24"/>
                <w:szCs w:val="24"/>
              </w:rPr>
              <w:t>JURIES</w:t>
            </w:r>
          </w:p>
        </w:tc>
        <w:tc>
          <w:tcPr>
            <w:tcW w:w="2606" w:type="dxa"/>
          </w:tcPr>
          <w:p w:rsidR="004A49A7" w:rsidRDefault="004A49A7" w:rsidP="004A49A7">
            <w:pPr>
              <w:rPr>
                <w:rFonts w:ascii="Arial" w:hAnsi="Arial" w:cs="Arial"/>
                <w:sz w:val="24"/>
                <w:szCs w:val="24"/>
              </w:rPr>
            </w:pPr>
            <w:r w:rsidRPr="00BF3EAF">
              <w:rPr>
                <w:rFonts w:ascii="Arial" w:hAnsi="Arial" w:cs="Arial"/>
                <w:sz w:val="24"/>
                <w:szCs w:val="24"/>
              </w:rPr>
              <w:t>In certain jurisdictions, provided at the trial level</w:t>
            </w:r>
          </w:p>
        </w:tc>
        <w:tc>
          <w:tcPr>
            <w:tcW w:w="2308" w:type="dxa"/>
          </w:tcPr>
          <w:p w:rsidR="004A49A7" w:rsidRDefault="004A49A7" w:rsidP="004A49A7">
            <w:pPr>
              <w:rPr>
                <w:rFonts w:ascii="Arial" w:hAnsi="Arial" w:cs="Arial"/>
                <w:sz w:val="24"/>
                <w:szCs w:val="24"/>
              </w:rPr>
            </w:pPr>
            <w:r w:rsidRPr="00BF3EAF">
              <w:rPr>
                <w:rFonts w:ascii="Arial" w:hAnsi="Arial" w:cs="Arial"/>
                <w:sz w:val="24"/>
                <w:szCs w:val="24"/>
              </w:rPr>
              <w:t>may make decisions in important criminal cases alongside judges.</w:t>
            </w:r>
          </w:p>
        </w:tc>
      </w:tr>
      <w:tr w:rsidR="004A49A7" w:rsidTr="003D4CA3">
        <w:tc>
          <w:tcPr>
            <w:tcW w:w="355" w:type="dxa"/>
          </w:tcPr>
          <w:p w:rsidR="004A49A7" w:rsidRDefault="004A49A7" w:rsidP="004A49A7">
            <w:pPr>
              <w:rPr>
                <w:rFonts w:ascii="Arial" w:hAnsi="Arial" w:cs="Arial"/>
                <w:sz w:val="24"/>
                <w:szCs w:val="24"/>
              </w:rPr>
            </w:pPr>
          </w:p>
        </w:tc>
        <w:tc>
          <w:tcPr>
            <w:tcW w:w="2123" w:type="dxa"/>
          </w:tcPr>
          <w:p w:rsidR="004A49A7" w:rsidRDefault="004A49A7" w:rsidP="004A49A7">
            <w:pPr>
              <w:rPr>
                <w:rFonts w:ascii="Arial" w:hAnsi="Arial" w:cs="Arial"/>
                <w:sz w:val="24"/>
                <w:szCs w:val="24"/>
              </w:rPr>
            </w:pPr>
            <w:r>
              <w:rPr>
                <w:rFonts w:ascii="Arial" w:hAnsi="Arial" w:cs="Arial"/>
                <w:sz w:val="24"/>
                <w:szCs w:val="24"/>
              </w:rPr>
              <w:t>LAWYERS</w:t>
            </w:r>
          </w:p>
        </w:tc>
        <w:tc>
          <w:tcPr>
            <w:tcW w:w="2606" w:type="dxa"/>
          </w:tcPr>
          <w:p w:rsidR="004A49A7" w:rsidRDefault="004A49A7" w:rsidP="004A49A7">
            <w:pPr>
              <w:rPr>
                <w:rFonts w:ascii="Arial" w:hAnsi="Arial" w:cs="Arial"/>
                <w:sz w:val="24"/>
                <w:szCs w:val="24"/>
              </w:rPr>
            </w:pPr>
            <w:r w:rsidRPr="004A49A7">
              <w:rPr>
                <w:rFonts w:ascii="Arial" w:hAnsi="Arial" w:cs="Arial"/>
                <w:sz w:val="24"/>
                <w:szCs w:val="24"/>
              </w:rPr>
              <w:t>Lawyers are in charge of making the case while judges serve as objective referees.</w:t>
            </w:r>
          </w:p>
        </w:tc>
        <w:tc>
          <w:tcPr>
            <w:tcW w:w="2308" w:type="dxa"/>
          </w:tcPr>
          <w:p w:rsidR="004A49A7" w:rsidRDefault="004A49A7" w:rsidP="004A49A7">
            <w:pPr>
              <w:rPr>
                <w:rFonts w:ascii="Arial" w:hAnsi="Arial" w:cs="Arial"/>
                <w:sz w:val="24"/>
                <w:szCs w:val="24"/>
              </w:rPr>
            </w:pPr>
            <w:r w:rsidRPr="004A49A7">
              <w:rPr>
                <w:rFonts w:ascii="Arial" w:hAnsi="Arial" w:cs="Arial"/>
                <w:sz w:val="24"/>
                <w:szCs w:val="24"/>
              </w:rPr>
              <w:t>Trials are dominated by judges.</w:t>
            </w:r>
          </w:p>
        </w:tc>
      </w:tr>
      <w:tr w:rsidR="004A49A7" w:rsidTr="003D4CA3">
        <w:tc>
          <w:tcPr>
            <w:tcW w:w="355" w:type="dxa"/>
          </w:tcPr>
          <w:p w:rsidR="004A49A7" w:rsidRDefault="004A49A7" w:rsidP="004A49A7">
            <w:pPr>
              <w:rPr>
                <w:rFonts w:ascii="Arial" w:hAnsi="Arial" w:cs="Arial"/>
                <w:sz w:val="24"/>
                <w:szCs w:val="24"/>
              </w:rPr>
            </w:pPr>
          </w:p>
        </w:tc>
        <w:tc>
          <w:tcPr>
            <w:tcW w:w="2123" w:type="dxa"/>
          </w:tcPr>
          <w:p w:rsidR="004A49A7" w:rsidRPr="004A49A7" w:rsidRDefault="004A49A7" w:rsidP="00F343D1">
            <w:pPr>
              <w:rPr>
                <w:rFonts w:ascii="Arial" w:hAnsi="Arial" w:cs="Arial"/>
                <w:sz w:val="24"/>
                <w:szCs w:val="24"/>
              </w:rPr>
            </w:pPr>
            <w:r>
              <w:rPr>
                <w:rFonts w:ascii="Arial" w:hAnsi="Arial" w:cs="Arial"/>
                <w:sz w:val="24"/>
                <w:szCs w:val="24"/>
              </w:rPr>
              <w:t xml:space="preserve">JUDICIARY LEVEL OF </w:t>
            </w:r>
            <w:r w:rsidR="00F343D1">
              <w:rPr>
                <w:rFonts w:ascii="Arial" w:hAnsi="Arial" w:cs="Arial"/>
                <w:sz w:val="24"/>
                <w:szCs w:val="24"/>
              </w:rPr>
              <w:t>INDEPENDENCE</w:t>
            </w:r>
          </w:p>
        </w:tc>
        <w:tc>
          <w:tcPr>
            <w:tcW w:w="2606" w:type="dxa"/>
          </w:tcPr>
          <w:p w:rsidR="004A49A7" w:rsidRDefault="004A49A7" w:rsidP="004A49A7">
            <w:pPr>
              <w:rPr>
                <w:rFonts w:ascii="Arial" w:hAnsi="Arial" w:cs="Arial"/>
                <w:sz w:val="24"/>
                <w:szCs w:val="24"/>
              </w:rPr>
            </w:pPr>
            <w:r w:rsidRPr="004A49A7">
              <w:rPr>
                <w:rFonts w:ascii="Arial" w:hAnsi="Arial" w:cs="Arial"/>
                <w:sz w:val="24"/>
                <w:szCs w:val="24"/>
              </w:rPr>
              <w:t>high; distinct from the judicial and legislative spheres of government.</w:t>
            </w:r>
          </w:p>
        </w:tc>
        <w:tc>
          <w:tcPr>
            <w:tcW w:w="2308" w:type="dxa"/>
          </w:tcPr>
          <w:p w:rsidR="004A49A7" w:rsidRDefault="004A49A7" w:rsidP="004A49A7">
            <w:pPr>
              <w:rPr>
                <w:rFonts w:ascii="Arial" w:hAnsi="Arial" w:cs="Arial"/>
                <w:sz w:val="24"/>
                <w:szCs w:val="24"/>
              </w:rPr>
            </w:pPr>
            <w:r w:rsidRPr="004A49A7">
              <w:rPr>
                <w:rFonts w:ascii="Arial" w:hAnsi="Arial" w:cs="Arial"/>
                <w:sz w:val="24"/>
                <w:szCs w:val="24"/>
              </w:rPr>
              <w:t>high; distinct from the judicial and legislative spheres of government.</w:t>
            </w:r>
          </w:p>
        </w:tc>
      </w:tr>
      <w:tr w:rsidR="004A49A7" w:rsidTr="003D4CA3">
        <w:tc>
          <w:tcPr>
            <w:tcW w:w="355" w:type="dxa"/>
          </w:tcPr>
          <w:p w:rsidR="004A49A7" w:rsidRDefault="004A49A7" w:rsidP="004A49A7">
            <w:pPr>
              <w:rPr>
                <w:rFonts w:ascii="Arial" w:hAnsi="Arial" w:cs="Arial"/>
                <w:sz w:val="24"/>
                <w:szCs w:val="24"/>
              </w:rPr>
            </w:pPr>
          </w:p>
        </w:tc>
        <w:tc>
          <w:tcPr>
            <w:tcW w:w="2123" w:type="dxa"/>
          </w:tcPr>
          <w:p w:rsidR="004A49A7" w:rsidRDefault="004A49A7" w:rsidP="004A49A7">
            <w:pPr>
              <w:rPr>
                <w:rFonts w:ascii="Arial" w:hAnsi="Arial" w:cs="Arial"/>
                <w:sz w:val="24"/>
                <w:szCs w:val="24"/>
              </w:rPr>
            </w:pPr>
            <w:r>
              <w:rPr>
                <w:rFonts w:ascii="Arial" w:hAnsi="Arial" w:cs="Arial"/>
                <w:sz w:val="24"/>
                <w:szCs w:val="24"/>
              </w:rPr>
              <w:t>POLICY MAKING ROLE</w:t>
            </w:r>
          </w:p>
        </w:tc>
        <w:tc>
          <w:tcPr>
            <w:tcW w:w="2606" w:type="dxa"/>
          </w:tcPr>
          <w:p w:rsidR="004A49A7" w:rsidRDefault="004A49A7" w:rsidP="00F343D1">
            <w:pPr>
              <w:rPr>
                <w:rFonts w:ascii="Arial" w:hAnsi="Arial" w:cs="Arial"/>
                <w:sz w:val="24"/>
                <w:szCs w:val="24"/>
              </w:rPr>
            </w:pPr>
            <w:r w:rsidRPr="004A49A7">
              <w:rPr>
                <w:rFonts w:ascii="Arial" w:hAnsi="Arial" w:cs="Arial"/>
                <w:sz w:val="24"/>
                <w:szCs w:val="24"/>
              </w:rPr>
              <w:t xml:space="preserve">Courts </w:t>
            </w:r>
            <w:r>
              <w:rPr>
                <w:rFonts w:ascii="Arial" w:hAnsi="Arial" w:cs="Arial"/>
                <w:sz w:val="24"/>
                <w:szCs w:val="24"/>
              </w:rPr>
              <w:t xml:space="preserve">play power </w:t>
            </w:r>
            <w:r w:rsidR="00F343D1">
              <w:rPr>
                <w:rFonts w:ascii="Arial" w:hAnsi="Arial" w:cs="Arial"/>
                <w:sz w:val="24"/>
                <w:szCs w:val="24"/>
              </w:rPr>
              <w:t>balancing</w:t>
            </w:r>
            <w:r>
              <w:rPr>
                <w:rFonts w:ascii="Arial" w:hAnsi="Arial" w:cs="Arial"/>
                <w:sz w:val="24"/>
                <w:szCs w:val="24"/>
              </w:rPr>
              <w:t>.</w:t>
            </w:r>
          </w:p>
        </w:tc>
        <w:tc>
          <w:tcPr>
            <w:tcW w:w="2308" w:type="dxa"/>
          </w:tcPr>
          <w:p w:rsidR="004A49A7" w:rsidRDefault="004A49A7" w:rsidP="004A49A7">
            <w:pPr>
              <w:rPr>
                <w:rFonts w:ascii="Arial" w:hAnsi="Arial" w:cs="Arial"/>
                <w:sz w:val="24"/>
                <w:szCs w:val="24"/>
              </w:rPr>
            </w:pPr>
            <w:r w:rsidRPr="004A49A7">
              <w:rPr>
                <w:rFonts w:ascii="Arial" w:hAnsi="Arial" w:cs="Arial"/>
                <w:sz w:val="24"/>
                <w:szCs w:val="24"/>
              </w:rPr>
              <w:t>Courts have separate but equal authority.</w:t>
            </w:r>
          </w:p>
        </w:tc>
      </w:tr>
    </w:tbl>
    <w:p w:rsidR="00182E80" w:rsidRDefault="00FA2FD0" w:rsidP="00FA2FD0">
      <w:pPr>
        <w:tabs>
          <w:tab w:val="left" w:pos="1830"/>
        </w:tabs>
      </w:pPr>
      <w:r>
        <w:tab/>
      </w:r>
    </w:p>
    <w:p w:rsidR="00A86256" w:rsidRDefault="00A86256" w:rsidP="000220A0">
      <w:pPr>
        <w:rPr>
          <w:rFonts w:ascii="Arial" w:hAnsi="Arial" w:cs="Arial"/>
          <w:sz w:val="24"/>
          <w:szCs w:val="24"/>
        </w:rPr>
      </w:pPr>
    </w:p>
    <w:p w:rsidR="00A86256" w:rsidRDefault="00FA2FD0" w:rsidP="000220A0">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3D4CA3" w:rsidRDefault="003D4CA3" w:rsidP="000220A0">
      <w:pPr>
        <w:rPr>
          <w:rFonts w:ascii="Arial" w:hAnsi="Arial" w:cs="Arial"/>
          <w:sz w:val="24"/>
          <w:szCs w:val="24"/>
        </w:rPr>
      </w:pPr>
    </w:p>
    <w:p w:rsidR="003D4CA3" w:rsidRDefault="003D4CA3" w:rsidP="000220A0">
      <w:pPr>
        <w:rPr>
          <w:rFonts w:ascii="Arial" w:hAnsi="Arial" w:cs="Arial"/>
          <w:sz w:val="24"/>
          <w:szCs w:val="24"/>
        </w:rPr>
      </w:pPr>
    </w:p>
    <w:p w:rsidR="003D4CA3" w:rsidRDefault="003D4CA3" w:rsidP="000220A0">
      <w:pPr>
        <w:rPr>
          <w:rFonts w:ascii="Arial" w:hAnsi="Arial" w:cs="Arial"/>
          <w:sz w:val="24"/>
          <w:szCs w:val="24"/>
        </w:rPr>
      </w:pPr>
    </w:p>
    <w:p w:rsidR="00A86256" w:rsidRPr="00A86256" w:rsidRDefault="00A86256" w:rsidP="000220A0">
      <w:pPr>
        <w:rPr>
          <w:rFonts w:ascii="Arial" w:hAnsi="Arial" w:cs="Arial"/>
          <w:sz w:val="24"/>
          <w:szCs w:val="24"/>
        </w:rPr>
      </w:pPr>
      <w:bookmarkStart w:id="0" w:name="_GoBack"/>
      <w:bookmarkEnd w:id="0"/>
      <w:r w:rsidRPr="00A86256">
        <w:rPr>
          <w:rFonts w:ascii="Arial" w:hAnsi="Arial" w:cs="Arial"/>
          <w:sz w:val="24"/>
          <w:szCs w:val="24"/>
        </w:rPr>
        <w:lastRenderedPageBreak/>
        <w:t>References:</w:t>
      </w:r>
    </w:p>
    <w:p w:rsidR="00A86256" w:rsidRPr="00A86256" w:rsidRDefault="00A86256" w:rsidP="000220A0">
      <w:pPr>
        <w:rPr>
          <w:rFonts w:ascii="Arial" w:hAnsi="Arial" w:cs="Arial"/>
          <w:sz w:val="24"/>
          <w:szCs w:val="24"/>
        </w:rPr>
      </w:pPr>
      <w:r w:rsidRPr="00A86256">
        <w:rPr>
          <w:rFonts w:ascii="Arial" w:hAnsi="Arial" w:cs="Arial"/>
          <w:sz w:val="24"/>
          <w:szCs w:val="24"/>
        </w:rPr>
        <w:t xml:space="preserve">Civil law (legal system). (2023, March 13). In </w:t>
      </w:r>
      <w:r w:rsidRPr="00A86256">
        <w:rPr>
          <w:rFonts w:ascii="Arial" w:hAnsi="Arial" w:cs="Arial"/>
          <w:i/>
          <w:iCs/>
          <w:sz w:val="24"/>
          <w:szCs w:val="24"/>
        </w:rPr>
        <w:t>Wikipedia</w:t>
      </w:r>
      <w:r w:rsidRPr="00A86256">
        <w:rPr>
          <w:rFonts w:ascii="Arial" w:hAnsi="Arial" w:cs="Arial"/>
          <w:sz w:val="24"/>
          <w:szCs w:val="24"/>
        </w:rPr>
        <w:t xml:space="preserve">. </w:t>
      </w:r>
      <w:hyperlink r:id="rId5" w:history="1">
        <w:r w:rsidRPr="00A86256">
          <w:rPr>
            <w:rStyle w:val="Hyperlink"/>
            <w:rFonts w:ascii="Arial" w:hAnsi="Arial" w:cs="Arial"/>
            <w:sz w:val="24"/>
            <w:szCs w:val="24"/>
          </w:rPr>
          <w:t>https://en.wikipedia.org/wiki/Civil_law_(legal_system)</w:t>
        </w:r>
      </w:hyperlink>
    </w:p>
    <w:p w:rsidR="00A86256" w:rsidRPr="00A86256" w:rsidRDefault="00A86256" w:rsidP="000220A0">
      <w:pPr>
        <w:rPr>
          <w:rFonts w:ascii="Arial" w:hAnsi="Arial" w:cs="Arial"/>
          <w:sz w:val="24"/>
          <w:szCs w:val="24"/>
        </w:rPr>
      </w:pPr>
      <w:r w:rsidRPr="00A86256">
        <w:rPr>
          <w:rFonts w:ascii="Arial" w:hAnsi="Arial" w:cs="Arial"/>
          <w:sz w:val="24"/>
          <w:szCs w:val="24"/>
        </w:rPr>
        <w:t xml:space="preserve">Common law. (2023, March 13). In </w:t>
      </w:r>
      <w:r w:rsidRPr="00A86256">
        <w:rPr>
          <w:rFonts w:ascii="Arial" w:hAnsi="Arial" w:cs="Arial"/>
          <w:i/>
          <w:iCs/>
          <w:sz w:val="24"/>
          <w:szCs w:val="24"/>
        </w:rPr>
        <w:t>Wikipedia</w:t>
      </w:r>
      <w:r w:rsidRPr="00A86256">
        <w:rPr>
          <w:rFonts w:ascii="Arial" w:hAnsi="Arial" w:cs="Arial"/>
          <w:sz w:val="24"/>
          <w:szCs w:val="24"/>
        </w:rPr>
        <w:t>. https://en.wikipedia.org/wiki/Common_law</w:t>
      </w:r>
    </w:p>
    <w:p w:rsidR="00A86256" w:rsidRDefault="00A86256" w:rsidP="000220A0">
      <w:pPr>
        <w:rPr>
          <w:rFonts w:ascii="Arial" w:hAnsi="Arial" w:cs="Arial"/>
          <w:sz w:val="24"/>
          <w:szCs w:val="24"/>
        </w:rPr>
      </w:pPr>
      <w:r w:rsidRPr="00A86256">
        <w:rPr>
          <w:rFonts w:ascii="Arial" w:hAnsi="Arial" w:cs="Arial"/>
          <w:sz w:val="24"/>
          <w:szCs w:val="24"/>
        </w:rPr>
        <w:t xml:space="preserve">List of national legal systems. (2023, March 8). In </w:t>
      </w:r>
      <w:r w:rsidRPr="00A86256">
        <w:rPr>
          <w:rFonts w:ascii="Arial" w:hAnsi="Arial" w:cs="Arial"/>
          <w:i/>
          <w:iCs/>
          <w:sz w:val="24"/>
          <w:szCs w:val="24"/>
        </w:rPr>
        <w:t>Wikipedia</w:t>
      </w:r>
      <w:r w:rsidRPr="00A86256">
        <w:rPr>
          <w:rFonts w:ascii="Arial" w:hAnsi="Arial" w:cs="Arial"/>
          <w:sz w:val="24"/>
          <w:szCs w:val="24"/>
        </w:rPr>
        <w:t xml:space="preserve">. </w:t>
      </w:r>
      <w:hyperlink r:id="rId6" w:history="1">
        <w:r w:rsidR="00F343D1" w:rsidRPr="004E5961">
          <w:rPr>
            <w:rStyle w:val="Hyperlink"/>
            <w:rFonts w:ascii="Arial" w:hAnsi="Arial" w:cs="Arial"/>
            <w:sz w:val="24"/>
            <w:szCs w:val="24"/>
          </w:rPr>
          <w:t>https://en.wikipedia.org/wiki/List_of_national_legal_systems</w:t>
        </w:r>
      </w:hyperlink>
    </w:p>
    <w:p w:rsidR="00F343D1" w:rsidRPr="00F343D1" w:rsidRDefault="00F343D1" w:rsidP="00F343D1">
      <w:pPr>
        <w:pStyle w:val="NormalWeb"/>
        <w:spacing w:before="0" w:beforeAutospacing="0" w:after="0" w:afterAutospacing="0" w:line="360" w:lineRule="atLeast"/>
        <w:rPr>
          <w:rFonts w:ascii="Arial" w:hAnsi="Arial" w:cs="Arial"/>
          <w:color w:val="000000"/>
        </w:rPr>
      </w:pPr>
      <w:r w:rsidRPr="00F343D1">
        <w:rPr>
          <w:rFonts w:ascii="Arial" w:hAnsi="Arial" w:cs="Arial"/>
          <w:color w:val="000000"/>
        </w:rPr>
        <w:t>Hale, M. and Sir Matthew Hale (1820). </w:t>
      </w:r>
      <w:r w:rsidRPr="00F343D1">
        <w:rPr>
          <w:rFonts w:ascii="Arial" w:hAnsi="Arial" w:cs="Arial"/>
          <w:i/>
          <w:iCs/>
          <w:color w:val="000000"/>
        </w:rPr>
        <w:t>The History of the Common Law of England</w:t>
      </w:r>
      <w:r w:rsidRPr="00F343D1">
        <w:rPr>
          <w:rFonts w:ascii="Arial" w:hAnsi="Arial" w:cs="Arial"/>
          <w:color w:val="000000"/>
        </w:rPr>
        <w:t>.</w:t>
      </w:r>
    </w:p>
    <w:p w:rsidR="00F343D1" w:rsidRPr="00F343D1" w:rsidRDefault="00F343D1" w:rsidP="00F343D1">
      <w:pPr>
        <w:pStyle w:val="NormalWeb"/>
        <w:rPr>
          <w:rFonts w:ascii="Arial" w:hAnsi="Arial" w:cs="Arial"/>
          <w:color w:val="000000"/>
        </w:rPr>
      </w:pPr>
      <w:r w:rsidRPr="00F343D1">
        <w:rPr>
          <w:rFonts w:ascii="Arial" w:hAnsi="Arial" w:cs="Arial"/>
          <w:color w:val="000000"/>
        </w:rPr>
        <w:t>‌</w:t>
      </w:r>
    </w:p>
    <w:p w:rsidR="00F343D1" w:rsidRPr="00A86256" w:rsidRDefault="00F343D1" w:rsidP="000220A0">
      <w:pPr>
        <w:rPr>
          <w:rFonts w:ascii="Arial" w:hAnsi="Arial" w:cs="Arial"/>
          <w:sz w:val="24"/>
          <w:szCs w:val="24"/>
        </w:rPr>
      </w:pPr>
    </w:p>
    <w:sectPr w:rsidR="00F343D1" w:rsidRPr="00A86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387D08"/>
    <w:multiLevelType w:val="hybridMultilevel"/>
    <w:tmpl w:val="FDBA8C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313F09"/>
    <w:multiLevelType w:val="hybridMultilevel"/>
    <w:tmpl w:val="59AEC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5B2794"/>
    <w:multiLevelType w:val="hybridMultilevel"/>
    <w:tmpl w:val="A0A096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A672FEE"/>
    <w:multiLevelType w:val="hybridMultilevel"/>
    <w:tmpl w:val="5746A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4E36A1"/>
    <w:multiLevelType w:val="hybridMultilevel"/>
    <w:tmpl w:val="7E40E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B17ABC"/>
    <w:multiLevelType w:val="hybridMultilevel"/>
    <w:tmpl w:val="BC22D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E68"/>
    <w:rsid w:val="000220A0"/>
    <w:rsid w:val="000B486A"/>
    <w:rsid w:val="00182E80"/>
    <w:rsid w:val="003D4CA3"/>
    <w:rsid w:val="004A49A7"/>
    <w:rsid w:val="004F2FBF"/>
    <w:rsid w:val="00591005"/>
    <w:rsid w:val="00A31467"/>
    <w:rsid w:val="00A86256"/>
    <w:rsid w:val="00BF3EAF"/>
    <w:rsid w:val="00D83E68"/>
    <w:rsid w:val="00F343D1"/>
    <w:rsid w:val="00F8527F"/>
    <w:rsid w:val="00FA2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62D04"/>
  <w15:chartTrackingRefBased/>
  <w15:docId w15:val="{8FD782DF-52E9-4F11-84FB-2D64EC16C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margin-bottom-2">
    <w:name w:val="u--margin-bottom-2"/>
    <w:basedOn w:val="Normal"/>
    <w:rsid w:val="00D83E6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862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6256"/>
    <w:rPr>
      <w:color w:val="0563C1" w:themeColor="hyperlink"/>
      <w:u w:val="single"/>
    </w:rPr>
  </w:style>
  <w:style w:type="paragraph" w:styleId="ListParagraph">
    <w:name w:val="List Paragraph"/>
    <w:basedOn w:val="Normal"/>
    <w:uiPriority w:val="34"/>
    <w:qFormat/>
    <w:rsid w:val="00182E80"/>
    <w:pPr>
      <w:ind w:left="720"/>
      <w:contextualSpacing/>
    </w:pPr>
  </w:style>
  <w:style w:type="paragraph" w:customStyle="1" w:styleId="DecimalAligned">
    <w:name w:val="Decimal Aligned"/>
    <w:basedOn w:val="Normal"/>
    <w:uiPriority w:val="40"/>
    <w:qFormat/>
    <w:rsid w:val="00182E80"/>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182E80"/>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182E80"/>
    <w:rPr>
      <w:rFonts w:eastAsiaTheme="minorEastAsia" w:cs="Times New Roman"/>
      <w:sz w:val="20"/>
      <w:szCs w:val="20"/>
      <w:lang w:val="en-US"/>
    </w:rPr>
  </w:style>
  <w:style w:type="character" w:styleId="SubtleEmphasis">
    <w:name w:val="Subtle Emphasis"/>
    <w:basedOn w:val="DefaultParagraphFont"/>
    <w:uiPriority w:val="19"/>
    <w:qFormat/>
    <w:rsid w:val="00182E80"/>
    <w:rPr>
      <w:i/>
      <w:iCs/>
    </w:rPr>
  </w:style>
  <w:style w:type="table" w:styleId="LightShading-Accent1">
    <w:name w:val="Light Shading Accent 1"/>
    <w:basedOn w:val="TableNormal"/>
    <w:uiPriority w:val="60"/>
    <w:rsid w:val="00182E80"/>
    <w:pPr>
      <w:spacing w:after="0" w:line="240" w:lineRule="auto"/>
    </w:pPr>
    <w:rPr>
      <w:rFonts w:eastAsiaTheme="minorEastAsia"/>
      <w:color w:val="2E74B5" w:themeColor="accent1" w:themeShade="BF"/>
      <w:lang w:val="en-US"/>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styleId="NormalWeb">
    <w:name w:val="Normal (Web)"/>
    <w:basedOn w:val="Normal"/>
    <w:uiPriority w:val="99"/>
    <w:semiHidden/>
    <w:unhideWhenUsed/>
    <w:rsid w:val="00F343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98217">
      <w:bodyDiv w:val="1"/>
      <w:marLeft w:val="0"/>
      <w:marRight w:val="0"/>
      <w:marTop w:val="0"/>
      <w:marBottom w:val="0"/>
      <w:divBdr>
        <w:top w:val="none" w:sz="0" w:space="0" w:color="auto"/>
        <w:left w:val="none" w:sz="0" w:space="0" w:color="auto"/>
        <w:bottom w:val="none" w:sz="0" w:space="0" w:color="auto"/>
        <w:right w:val="none" w:sz="0" w:space="0" w:color="auto"/>
      </w:divBdr>
    </w:div>
    <w:div w:id="1062828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wikipedia.org/wiki/List_of_national_legal_systems" TargetMode="External"/><Relationship Id="rId5" Type="http://schemas.openxmlformats.org/officeDocument/2006/relationships/hyperlink" Target="https://en.wikipedia.org/wiki/Civil_law_(legal_syste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776</Words>
  <Characters>4427</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Woodgreen Academy</Company>
  <LinksUpToDate>false</LinksUpToDate>
  <CharactersWithSpaces>5193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2023-03-16T01:47:00Z</dcterms:created>
  <dcterms:modified xsi:type="dcterms:W3CDTF">2023-03-16T01:47:00Z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f73d4007-01cd-41cd-9ebf-4943e0b717c5</vt:lpwstr>
  </property>
</Properties>
</file>