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CDC2B" w14:textId="6151819A" w:rsidR="00912A92" w:rsidRDefault="00912A92" w:rsidP="008E13F7">
      <w:pPr>
        <w:spacing w:line="360" w:lineRule="auto"/>
        <w:jc w:val="center"/>
        <w:rPr>
          <w:rFonts w:ascii="Arial" w:hAnsi="Arial" w:cs="Arial"/>
          <w:b/>
          <w:bCs/>
          <w:sz w:val="28"/>
          <w:szCs w:val="28"/>
        </w:rPr>
      </w:pPr>
      <w:r>
        <w:rPr>
          <w:rFonts w:ascii="Arial" w:hAnsi="Arial" w:cs="Arial"/>
          <w:b/>
          <w:bCs/>
          <w:noProof/>
          <w:sz w:val="22"/>
          <w:szCs w:val="22"/>
        </w:rPr>
        <w:drawing>
          <wp:anchor distT="0" distB="0" distL="114300" distR="114300" simplePos="0" relativeHeight="251659264" behindDoc="1" locked="0" layoutInCell="1" allowOverlap="1" wp14:anchorId="2294FA77" wp14:editId="68C69226">
            <wp:simplePos x="0" y="0"/>
            <wp:positionH relativeFrom="column">
              <wp:posOffset>1066800</wp:posOffset>
            </wp:positionH>
            <wp:positionV relativeFrom="paragraph">
              <wp:posOffset>-313690</wp:posOffset>
            </wp:positionV>
            <wp:extent cx="3928745" cy="1749425"/>
            <wp:effectExtent l="0" t="0" r="0" b="3175"/>
            <wp:wrapNone/>
            <wp:docPr id="64092812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2812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8745" cy="1749425"/>
                    </a:xfrm>
                    <a:prstGeom prst="rect">
                      <a:avLst/>
                    </a:prstGeom>
                    <a:noFill/>
                  </pic:spPr>
                </pic:pic>
              </a:graphicData>
            </a:graphic>
          </wp:anchor>
        </w:drawing>
      </w:r>
    </w:p>
    <w:p w14:paraId="1BED45AF" w14:textId="11659C1F" w:rsidR="00912A92" w:rsidRDefault="00912A92" w:rsidP="008E13F7">
      <w:pPr>
        <w:spacing w:line="360" w:lineRule="auto"/>
        <w:jc w:val="center"/>
        <w:rPr>
          <w:rFonts w:ascii="Arial" w:hAnsi="Arial" w:cs="Arial"/>
          <w:b/>
          <w:bCs/>
          <w:sz w:val="28"/>
          <w:szCs w:val="28"/>
        </w:rPr>
      </w:pPr>
    </w:p>
    <w:p w14:paraId="5868732C" w14:textId="28138B39" w:rsidR="00912A92" w:rsidRDefault="00912A92" w:rsidP="008E13F7">
      <w:pPr>
        <w:spacing w:line="360" w:lineRule="auto"/>
        <w:jc w:val="center"/>
        <w:rPr>
          <w:rFonts w:ascii="Arial" w:hAnsi="Arial" w:cs="Arial"/>
          <w:b/>
          <w:bCs/>
          <w:sz w:val="28"/>
          <w:szCs w:val="28"/>
        </w:rPr>
      </w:pPr>
    </w:p>
    <w:p w14:paraId="289E004F" w14:textId="1DAFBA65" w:rsidR="00912A92" w:rsidRDefault="00912A92" w:rsidP="008E13F7">
      <w:pPr>
        <w:spacing w:line="360" w:lineRule="auto"/>
        <w:jc w:val="center"/>
        <w:rPr>
          <w:rFonts w:ascii="Arial" w:hAnsi="Arial" w:cs="Arial"/>
          <w:b/>
          <w:bCs/>
          <w:sz w:val="28"/>
          <w:szCs w:val="28"/>
        </w:rPr>
      </w:pPr>
    </w:p>
    <w:p w14:paraId="236A9C4B" w14:textId="49D2BFE8" w:rsidR="00912A92" w:rsidRDefault="00912A92" w:rsidP="008E13F7">
      <w:pPr>
        <w:spacing w:line="360" w:lineRule="auto"/>
        <w:jc w:val="center"/>
        <w:rPr>
          <w:rFonts w:ascii="Arial" w:hAnsi="Arial" w:cs="Arial"/>
          <w:b/>
          <w:bCs/>
          <w:sz w:val="28"/>
          <w:szCs w:val="28"/>
        </w:rPr>
      </w:pPr>
    </w:p>
    <w:p w14:paraId="6DC4B88B" w14:textId="77777777" w:rsidR="00912A92" w:rsidRDefault="00912A92" w:rsidP="008E13F7">
      <w:pPr>
        <w:spacing w:line="360" w:lineRule="auto"/>
        <w:jc w:val="center"/>
        <w:rPr>
          <w:rFonts w:ascii="Arial" w:hAnsi="Arial" w:cs="Arial"/>
          <w:b/>
          <w:bCs/>
          <w:sz w:val="28"/>
          <w:szCs w:val="28"/>
        </w:rPr>
      </w:pPr>
    </w:p>
    <w:p w14:paraId="2AACD506" w14:textId="016366DD" w:rsidR="00912A92" w:rsidRDefault="00912A92" w:rsidP="008E13F7">
      <w:pPr>
        <w:spacing w:line="360" w:lineRule="auto"/>
        <w:jc w:val="center"/>
        <w:rPr>
          <w:rFonts w:ascii="Arial" w:hAnsi="Arial" w:cs="Arial"/>
          <w:b/>
          <w:bCs/>
          <w:sz w:val="28"/>
          <w:szCs w:val="28"/>
        </w:rPr>
      </w:pPr>
    </w:p>
    <w:p w14:paraId="0605FCAA" w14:textId="77777777" w:rsidR="0027269B" w:rsidRDefault="0027269B" w:rsidP="008E13F7">
      <w:pPr>
        <w:spacing w:line="360" w:lineRule="auto"/>
        <w:jc w:val="center"/>
        <w:rPr>
          <w:rFonts w:ascii="Arial" w:hAnsi="Arial" w:cs="Arial"/>
          <w:b/>
          <w:bCs/>
          <w:sz w:val="48"/>
          <w:szCs w:val="48"/>
        </w:rPr>
      </w:pPr>
    </w:p>
    <w:p w14:paraId="4D7D97AA" w14:textId="77777777" w:rsidR="0027269B" w:rsidRDefault="0027269B" w:rsidP="008E13F7">
      <w:pPr>
        <w:spacing w:line="360" w:lineRule="auto"/>
        <w:jc w:val="center"/>
        <w:rPr>
          <w:rFonts w:ascii="Arial" w:hAnsi="Arial" w:cs="Arial"/>
          <w:b/>
          <w:bCs/>
          <w:sz w:val="48"/>
          <w:szCs w:val="48"/>
        </w:rPr>
      </w:pPr>
    </w:p>
    <w:p w14:paraId="17BADC22" w14:textId="2EBAC0A7" w:rsidR="000F7D59" w:rsidRPr="00912A92" w:rsidRDefault="008E13F7" w:rsidP="008E13F7">
      <w:pPr>
        <w:spacing w:line="360" w:lineRule="auto"/>
        <w:jc w:val="center"/>
        <w:rPr>
          <w:rFonts w:ascii="Arial" w:hAnsi="Arial" w:cs="Arial"/>
          <w:b/>
          <w:bCs/>
          <w:sz w:val="48"/>
          <w:szCs w:val="48"/>
        </w:rPr>
      </w:pPr>
      <w:proofErr w:type="spellStart"/>
      <w:r w:rsidRPr="00912A92">
        <w:rPr>
          <w:rFonts w:ascii="Arial" w:hAnsi="Arial" w:cs="Arial"/>
          <w:b/>
          <w:bCs/>
          <w:sz w:val="48"/>
          <w:szCs w:val="48"/>
        </w:rPr>
        <w:t>Generalised</w:t>
      </w:r>
      <w:proofErr w:type="spellEnd"/>
      <w:r w:rsidRPr="00912A92">
        <w:rPr>
          <w:rFonts w:ascii="Arial" w:hAnsi="Arial" w:cs="Arial"/>
          <w:b/>
          <w:bCs/>
          <w:sz w:val="48"/>
          <w:szCs w:val="48"/>
        </w:rPr>
        <w:t xml:space="preserve"> Anxiety Disorder (GAD)</w:t>
      </w:r>
    </w:p>
    <w:p w14:paraId="526BE036" w14:textId="37F5873A" w:rsidR="000F7D59" w:rsidRDefault="000F7D59" w:rsidP="00620130">
      <w:pPr>
        <w:spacing w:line="360" w:lineRule="auto"/>
        <w:jc w:val="both"/>
        <w:rPr>
          <w:rFonts w:ascii="Arial" w:hAnsi="Arial" w:cs="Arial"/>
          <w:b/>
          <w:bCs/>
          <w:sz w:val="22"/>
          <w:szCs w:val="22"/>
        </w:rPr>
      </w:pPr>
    </w:p>
    <w:p w14:paraId="09563E63" w14:textId="77777777" w:rsidR="000F7D59" w:rsidRDefault="000F7D59" w:rsidP="00620130">
      <w:pPr>
        <w:spacing w:line="360" w:lineRule="auto"/>
        <w:jc w:val="both"/>
        <w:rPr>
          <w:rFonts w:ascii="Arial" w:hAnsi="Arial" w:cs="Arial"/>
          <w:b/>
          <w:bCs/>
          <w:sz w:val="22"/>
          <w:szCs w:val="22"/>
        </w:rPr>
      </w:pPr>
    </w:p>
    <w:p w14:paraId="4B1F88AC" w14:textId="77777777" w:rsidR="000F7D59" w:rsidRDefault="000F7D59" w:rsidP="00620130">
      <w:pPr>
        <w:spacing w:line="360" w:lineRule="auto"/>
        <w:jc w:val="both"/>
        <w:rPr>
          <w:rFonts w:ascii="Arial" w:hAnsi="Arial" w:cs="Arial"/>
          <w:b/>
          <w:bCs/>
          <w:sz w:val="22"/>
          <w:szCs w:val="22"/>
        </w:rPr>
      </w:pPr>
    </w:p>
    <w:p w14:paraId="714A0FF5" w14:textId="77777777" w:rsidR="000F7D59" w:rsidRDefault="000F7D59" w:rsidP="00620130">
      <w:pPr>
        <w:spacing w:line="360" w:lineRule="auto"/>
        <w:jc w:val="both"/>
        <w:rPr>
          <w:rFonts w:ascii="Arial" w:hAnsi="Arial" w:cs="Arial"/>
          <w:b/>
          <w:bCs/>
          <w:sz w:val="22"/>
          <w:szCs w:val="22"/>
        </w:rPr>
      </w:pPr>
    </w:p>
    <w:p w14:paraId="15DF150F" w14:textId="77777777" w:rsidR="00912A92" w:rsidRDefault="00912A92" w:rsidP="00912A92">
      <w:pPr>
        <w:jc w:val="center"/>
        <w:rPr>
          <w:rFonts w:eastAsia="Arial Nova" w:cs="Arial"/>
          <w:b/>
          <w:bCs/>
          <w:szCs w:val="28"/>
        </w:rPr>
      </w:pPr>
    </w:p>
    <w:p w14:paraId="329FCC59" w14:textId="77777777" w:rsidR="00912A92" w:rsidRDefault="00912A92" w:rsidP="00912A92">
      <w:pPr>
        <w:jc w:val="center"/>
        <w:rPr>
          <w:rFonts w:eastAsia="Arial Nova" w:cs="Arial"/>
          <w:b/>
          <w:bCs/>
          <w:szCs w:val="28"/>
        </w:rPr>
      </w:pPr>
    </w:p>
    <w:p w14:paraId="400710FB" w14:textId="77777777" w:rsidR="00912A92" w:rsidRDefault="00912A92" w:rsidP="00912A92">
      <w:pPr>
        <w:jc w:val="center"/>
        <w:rPr>
          <w:rFonts w:eastAsia="Arial Nova" w:cs="Arial"/>
          <w:b/>
          <w:bCs/>
          <w:szCs w:val="28"/>
        </w:rPr>
      </w:pPr>
    </w:p>
    <w:p w14:paraId="66432488" w14:textId="77777777" w:rsidR="00912A92" w:rsidRDefault="00912A92" w:rsidP="00912A92">
      <w:pPr>
        <w:jc w:val="center"/>
        <w:rPr>
          <w:rFonts w:eastAsia="Arial Nova" w:cs="Arial"/>
          <w:b/>
          <w:bCs/>
          <w:szCs w:val="28"/>
        </w:rPr>
      </w:pPr>
    </w:p>
    <w:p w14:paraId="5EC85DA3" w14:textId="38DD5E02" w:rsidR="00912A92" w:rsidRDefault="00912A92" w:rsidP="00912A92">
      <w:pPr>
        <w:jc w:val="center"/>
        <w:rPr>
          <w:rFonts w:eastAsia="Arial Nova" w:cs="Arial"/>
          <w:szCs w:val="28"/>
        </w:rPr>
      </w:pPr>
      <w:r w:rsidRPr="0035537E">
        <w:rPr>
          <w:rFonts w:eastAsia="Arial Nova" w:cs="Arial"/>
          <w:b/>
          <w:bCs/>
          <w:szCs w:val="28"/>
        </w:rPr>
        <w:t>Student Name:</w:t>
      </w:r>
      <w:r>
        <w:rPr>
          <w:rFonts w:eastAsia="Arial Nova" w:cs="Arial"/>
          <w:szCs w:val="28"/>
        </w:rPr>
        <w:t xml:space="preserve"> Kulvir Tank </w:t>
      </w:r>
    </w:p>
    <w:p w14:paraId="47BD2EED" w14:textId="77777777" w:rsidR="00912A92" w:rsidRDefault="00912A92" w:rsidP="00912A92">
      <w:pPr>
        <w:jc w:val="center"/>
        <w:rPr>
          <w:rFonts w:eastAsia="Arial Nova" w:cs="Arial"/>
          <w:szCs w:val="28"/>
        </w:rPr>
      </w:pPr>
      <w:r w:rsidRPr="0035537E">
        <w:rPr>
          <w:rFonts w:eastAsia="Arial Nova" w:cs="Arial"/>
          <w:b/>
          <w:bCs/>
          <w:szCs w:val="28"/>
        </w:rPr>
        <w:t>Student No:</w:t>
      </w:r>
      <w:r>
        <w:rPr>
          <w:rFonts w:eastAsia="Arial Nova" w:cs="Arial"/>
          <w:szCs w:val="28"/>
        </w:rPr>
        <w:t xml:space="preserve"> </w:t>
      </w:r>
      <w:r w:rsidRPr="0035537E">
        <w:rPr>
          <w:rFonts w:eastAsia="Arial Nova" w:cs="Arial"/>
          <w:szCs w:val="28"/>
        </w:rPr>
        <w:t>2314898</w:t>
      </w:r>
    </w:p>
    <w:p w14:paraId="3FBE057A" w14:textId="7C2DEC54" w:rsidR="00912A92" w:rsidRDefault="00912A92" w:rsidP="00912A92">
      <w:pPr>
        <w:jc w:val="center"/>
        <w:rPr>
          <w:rFonts w:eastAsia="Arial Nova" w:cs="Arial"/>
          <w:szCs w:val="28"/>
        </w:rPr>
      </w:pPr>
      <w:r w:rsidRPr="00E465E3">
        <w:rPr>
          <w:rFonts w:eastAsia="Arial Nova" w:cs="Arial"/>
          <w:b/>
          <w:bCs/>
          <w:szCs w:val="28"/>
        </w:rPr>
        <w:t>Lecture Name:</w:t>
      </w:r>
      <w:r>
        <w:rPr>
          <w:rFonts w:eastAsia="Arial Nova" w:cs="Arial"/>
          <w:szCs w:val="28"/>
        </w:rPr>
        <w:t xml:space="preserve"> </w:t>
      </w:r>
      <w:r w:rsidR="00365139" w:rsidRPr="00365139">
        <w:rPr>
          <w:rFonts w:eastAsia="Arial Nova" w:cs="Arial"/>
          <w:szCs w:val="28"/>
        </w:rPr>
        <w:t>Mr. Kennedy Obohwemu</w:t>
      </w:r>
    </w:p>
    <w:p w14:paraId="77E4E8D1" w14:textId="7F39CDA4" w:rsidR="00912A92" w:rsidRDefault="00912A92" w:rsidP="00912A92">
      <w:pPr>
        <w:jc w:val="center"/>
        <w:rPr>
          <w:rFonts w:eastAsia="Arial Nova" w:cs="Arial"/>
          <w:szCs w:val="28"/>
        </w:rPr>
      </w:pPr>
      <w:r w:rsidRPr="0035537E">
        <w:rPr>
          <w:rFonts w:eastAsia="Arial Nova" w:cs="Arial"/>
          <w:b/>
          <w:bCs/>
          <w:szCs w:val="28"/>
        </w:rPr>
        <w:t>Module Code:</w:t>
      </w:r>
      <w:r>
        <w:rPr>
          <w:rFonts w:eastAsia="Arial Nova" w:cs="Arial"/>
          <w:szCs w:val="28"/>
        </w:rPr>
        <w:t xml:space="preserve"> </w:t>
      </w:r>
      <w:r w:rsidRPr="00912A92">
        <w:rPr>
          <w:rFonts w:eastAsia="Arial Nova" w:cs="Arial"/>
          <w:szCs w:val="28"/>
        </w:rPr>
        <w:t>BMHP6029</w:t>
      </w:r>
      <w:r>
        <w:rPr>
          <w:rFonts w:eastAsia="Arial Nova" w:cs="Arial"/>
          <w:szCs w:val="28"/>
        </w:rPr>
        <w:t xml:space="preserve"> -</w:t>
      </w:r>
      <w:r>
        <w:rPr>
          <w:rFonts w:eastAsia="Arial Nova" w:cs="Arial"/>
          <w:szCs w:val="28"/>
        </w:rPr>
        <w:t xml:space="preserve"> Component </w:t>
      </w:r>
      <w:r>
        <w:rPr>
          <w:rFonts w:eastAsia="Arial Nova" w:cs="Arial"/>
          <w:szCs w:val="28"/>
        </w:rPr>
        <w:t>2</w:t>
      </w:r>
    </w:p>
    <w:p w14:paraId="23C48F6A" w14:textId="6380BDD8" w:rsidR="00912A92" w:rsidRPr="00DA0FE3" w:rsidRDefault="00912A92" w:rsidP="00912A92">
      <w:pPr>
        <w:jc w:val="center"/>
        <w:rPr>
          <w:rFonts w:eastAsia="Arial Nova" w:cs="Arial"/>
          <w:szCs w:val="28"/>
        </w:rPr>
      </w:pPr>
      <w:r w:rsidRPr="0035537E">
        <w:rPr>
          <w:rFonts w:eastAsia="Arial Nova" w:cs="Arial"/>
          <w:b/>
          <w:bCs/>
          <w:szCs w:val="28"/>
        </w:rPr>
        <w:t>Module Name:</w:t>
      </w:r>
      <w:r>
        <w:rPr>
          <w:rFonts w:eastAsia="Arial Nova" w:cs="Arial"/>
          <w:szCs w:val="28"/>
        </w:rPr>
        <w:t xml:space="preserve"> </w:t>
      </w:r>
      <w:r w:rsidR="00365139">
        <w:rPr>
          <w:rFonts w:eastAsia="Arial Nova" w:cs="Arial"/>
          <w:szCs w:val="28"/>
        </w:rPr>
        <w:t xml:space="preserve">Psychological Classifications </w:t>
      </w:r>
      <w:r w:rsidR="0027269B">
        <w:rPr>
          <w:rFonts w:eastAsia="Arial Nova" w:cs="Arial"/>
          <w:szCs w:val="28"/>
        </w:rPr>
        <w:t>and</w:t>
      </w:r>
      <w:r w:rsidR="00365139">
        <w:rPr>
          <w:rFonts w:eastAsia="Arial Nova" w:cs="Arial"/>
          <w:szCs w:val="28"/>
        </w:rPr>
        <w:t xml:space="preserve"> Provisions</w:t>
      </w:r>
    </w:p>
    <w:p w14:paraId="6FD89EE7" w14:textId="1649C4CD" w:rsidR="000F7D59" w:rsidRPr="000634AD" w:rsidRDefault="000F7D59" w:rsidP="00912A92">
      <w:pPr>
        <w:pStyle w:val="Heading1"/>
        <w:numPr>
          <w:ilvl w:val="0"/>
          <w:numId w:val="0"/>
        </w:numPr>
      </w:pPr>
      <w:bookmarkStart w:id="0" w:name="_Toc212717396"/>
      <w:r w:rsidRPr="000634AD">
        <w:rPr>
          <w:sz w:val="22"/>
          <w:szCs w:val="22"/>
        </w:rPr>
        <w:lastRenderedPageBreak/>
        <w:t>Table of Contents</w:t>
      </w:r>
      <w:bookmarkEnd w:id="0"/>
      <w:r w:rsidRPr="000634AD">
        <w:rPr>
          <w:sz w:val="22"/>
          <w:szCs w:val="22"/>
        </w:rPr>
        <w:t xml:space="preserve"> </w:t>
      </w:r>
    </w:p>
    <w:sdt>
      <w:sdtPr>
        <w:rPr>
          <w:rFonts w:asciiTheme="minorHAnsi" w:eastAsiaTheme="minorHAnsi" w:hAnsiTheme="minorHAnsi" w:cstheme="minorBidi"/>
          <w:color w:val="auto"/>
          <w:kern w:val="2"/>
          <w:sz w:val="24"/>
          <w:szCs w:val="24"/>
          <w:lang w:bidi="si-LK"/>
          <w14:ligatures w14:val="standardContextual"/>
        </w:rPr>
        <w:id w:val="-811324506"/>
        <w:docPartObj>
          <w:docPartGallery w:val="Table of Contents"/>
          <w:docPartUnique/>
        </w:docPartObj>
      </w:sdtPr>
      <w:sdtEndPr>
        <w:rPr>
          <w:b/>
          <w:bCs/>
          <w:noProof/>
        </w:rPr>
      </w:sdtEndPr>
      <w:sdtContent>
        <w:p w14:paraId="08899736" w14:textId="6B984B49" w:rsidR="007221AC" w:rsidRDefault="007221AC">
          <w:pPr>
            <w:pStyle w:val="TOCHeading"/>
          </w:pPr>
        </w:p>
        <w:p w14:paraId="0B89AAEA" w14:textId="2273A469" w:rsidR="000F0B31" w:rsidRDefault="007221AC">
          <w:pPr>
            <w:pStyle w:val="TOC1"/>
            <w:tabs>
              <w:tab w:val="right" w:leader="dot" w:pos="9016"/>
            </w:tabs>
            <w:rPr>
              <w:rFonts w:eastAsiaTheme="minorEastAsia"/>
              <w:noProof/>
              <w:lang w:val="en-GB" w:eastAsia="en-GB" w:bidi="ar-SA"/>
            </w:rPr>
          </w:pPr>
          <w:r>
            <w:fldChar w:fldCharType="begin"/>
          </w:r>
          <w:r>
            <w:instrText xml:space="preserve"> TOC \o "1-3" \h \z \u </w:instrText>
          </w:r>
          <w:r>
            <w:fldChar w:fldCharType="separate"/>
          </w:r>
          <w:hyperlink w:anchor="_Toc212717396" w:history="1">
            <w:r w:rsidR="000F0B31" w:rsidRPr="00256125">
              <w:rPr>
                <w:rStyle w:val="Hyperlink"/>
                <w:noProof/>
              </w:rPr>
              <w:t>Table of Contents</w:t>
            </w:r>
            <w:r w:rsidR="000F0B31">
              <w:rPr>
                <w:noProof/>
                <w:webHidden/>
              </w:rPr>
              <w:tab/>
            </w:r>
            <w:r w:rsidR="000F0B31">
              <w:rPr>
                <w:noProof/>
                <w:webHidden/>
              </w:rPr>
              <w:fldChar w:fldCharType="begin"/>
            </w:r>
            <w:r w:rsidR="000F0B31">
              <w:rPr>
                <w:noProof/>
                <w:webHidden/>
              </w:rPr>
              <w:instrText xml:space="preserve"> PAGEREF _Toc212717396 \h </w:instrText>
            </w:r>
            <w:r w:rsidR="000F0B31">
              <w:rPr>
                <w:noProof/>
                <w:webHidden/>
              </w:rPr>
            </w:r>
            <w:r w:rsidR="000F0B31">
              <w:rPr>
                <w:noProof/>
                <w:webHidden/>
              </w:rPr>
              <w:fldChar w:fldCharType="separate"/>
            </w:r>
            <w:r w:rsidR="000F0B31">
              <w:rPr>
                <w:noProof/>
                <w:webHidden/>
              </w:rPr>
              <w:t>ii</w:t>
            </w:r>
            <w:r w:rsidR="000F0B31">
              <w:rPr>
                <w:noProof/>
                <w:webHidden/>
              </w:rPr>
              <w:fldChar w:fldCharType="end"/>
            </w:r>
          </w:hyperlink>
        </w:p>
        <w:p w14:paraId="3B6E8117" w14:textId="7AB8040B" w:rsidR="000F0B31" w:rsidRDefault="000F0B31">
          <w:pPr>
            <w:pStyle w:val="TOC1"/>
            <w:tabs>
              <w:tab w:val="left" w:pos="480"/>
              <w:tab w:val="right" w:leader="dot" w:pos="9016"/>
            </w:tabs>
            <w:rPr>
              <w:rFonts w:eastAsiaTheme="minorEastAsia"/>
              <w:noProof/>
              <w:lang w:val="en-GB" w:eastAsia="en-GB" w:bidi="ar-SA"/>
            </w:rPr>
          </w:pPr>
          <w:hyperlink w:anchor="_Toc212717397" w:history="1">
            <w:r w:rsidRPr="00256125">
              <w:rPr>
                <w:rStyle w:val="Hyperlink"/>
                <w:noProof/>
              </w:rPr>
              <w:t>1</w:t>
            </w:r>
            <w:r>
              <w:rPr>
                <w:rFonts w:eastAsiaTheme="minorEastAsia"/>
                <w:noProof/>
                <w:lang w:val="en-GB" w:eastAsia="en-GB" w:bidi="ar-SA"/>
              </w:rPr>
              <w:tab/>
            </w:r>
            <w:r w:rsidRPr="00256125">
              <w:rPr>
                <w:rStyle w:val="Hyperlink"/>
                <w:noProof/>
              </w:rPr>
              <w:t>Introduction</w:t>
            </w:r>
            <w:r>
              <w:rPr>
                <w:noProof/>
                <w:webHidden/>
              </w:rPr>
              <w:tab/>
            </w:r>
            <w:r>
              <w:rPr>
                <w:noProof/>
                <w:webHidden/>
              </w:rPr>
              <w:fldChar w:fldCharType="begin"/>
            </w:r>
            <w:r>
              <w:rPr>
                <w:noProof/>
                <w:webHidden/>
              </w:rPr>
              <w:instrText xml:space="preserve"> PAGEREF _Toc212717397 \h </w:instrText>
            </w:r>
            <w:r>
              <w:rPr>
                <w:noProof/>
                <w:webHidden/>
              </w:rPr>
            </w:r>
            <w:r>
              <w:rPr>
                <w:noProof/>
                <w:webHidden/>
              </w:rPr>
              <w:fldChar w:fldCharType="separate"/>
            </w:r>
            <w:r>
              <w:rPr>
                <w:noProof/>
                <w:webHidden/>
              </w:rPr>
              <w:t>1</w:t>
            </w:r>
            <w:r>
              <w:rPr>
                <w:noProof/>
                <w:webHidden/>
              </w:rPr>
              <w:fldChar w:fldCharType="end"/>
            </w:r>
          </w:hyperlink>
        </w:p>
        <w:p w14:paraId="195B1E08" w14:textId="4E5A1E30" w:rsidR="000F0B31" w:rsidRDefault="000F0B31">
          <w:pPr>
            <w:pStyle w:val="TOC1"/>
            <w:tabs>
              <w:tab w:val="left" w:pos="480"/>
              <w:tab w:val="right" w:leader="dot" w:pos="9016"/>
            </w:tabs>
            <w:rPr>
              <w:rFonts w:eastAsiaTheme="minorEastAsia"/>
              <w:noProof/>
              <w:lang w:val="en-GB" w:eastAsia="en-GB" w:bidi="ar-SA"/>
            </w:rPr>
          </w:pPr>
          <w:hyperlink w:anchor="_Toc212717398" w:history="1">
            <w:r w:rsidRPr="00256125">
              <w:rPr>
                <w:rStyle w:val="Hyperlink"/>
                <w:noProof/>
              </w:rPr>
              <w:t>2</w:t>
            </w:r>
            <w:r>
              <w:rPr>
                <w:rFonts w:eastAsiaTheme="minorEastAsia"/>
                <w:noProof/>
                <w:lang w:val="en-GB" w:eastAsia="en-GB" w:bidi="ar-SA"/>
              </w:rPr>
              <w:tab/>
            </w:r>
            <w:r w:rsidRPr="00256125">
              <w:rPr>
                <w:rStyle w:val="Hyperlink"/>
                <w:noProof/>
              </w:rPr>
              <w:t>Classification and Diagnosis</w:t>
            </w:r>
            <w:r>
              <w:rPr>
                <w:noProof/>
                <w:webHidden/>
              </w:rPr>
              <w:tab/>
            </w:r>
            <w:r>
              <w:rPr>
                <w:noProof/>
                <w:webHidden/>
              </w:rPr>
              <w:fldChar w:fldCharType="begin"/>
            </w:r>
            <w:r>
              <w:rPr>
                <w:noProof/>
                <w:webHidden/>
              </w:rPr>
              <w:instrText xml:space="preserve"> PAGEREF _Toc212717398 \h </w:instrText>
            </w:r>
            <w:r>
              <w:rPr>
                <w:noProof/>
                <w:webHidden/>
              </w:rPr>
            </w:r>
            <w:r>
              <w:rPr>
                <w:noProof/>
                <w:webHidden/>
              </w:rPr>
              <w:fldChar w:fldCharType="separate"/>
            </w:r>
            <w:r>
              <w:rPr>
                <w:noProof/>
                <w:webHidden/>
              </w:rPr>
              <w:t>2</w:t>
            </w:r>
            <w:r>
              <w:rPr>
                <w:noProof/>
                <w:webHidden/>
              </w:rPr>
              <w:fldChar w:fldCharType="end"/>
            </w:r>
          </w:hyperlink>
        </w:p>
        <w:p w14:paraId="579BE81B" w14:textId="58B57BC4" w:rsidR="000F0B31" w:rsidRDefault="000F0B31">
          <w:pPr>
            <w:pStyle w:val="TOC2"/>
            <w:tabs>
              <w:tab w:val="left" w:pos="960"/>
              <w:tab w:val="right" w:leader="dot" w:pos="9016"/>
            </w:tabs>
            <w:rPr>
              <w:rFonts w:eastAsiaTheme="minorEastAsia"/>
              <w:noProof/>
              <w:lang w:val="en-GB" w:eastAsia="en-GB" w:bidi="ar-SA"/>
            </w:rPr>
          </w:pPr>
          <w:hyperlink w:anchor="_Toc212717399" w:history="1">
            <w:r w:rsidRPr="00256125">
              <w:rPr>
                <w:rStyle w:val="Hyperlink"/>
                <w:noProof/>
              </w:rPr>
              <w:t>2.1</w:t>
            </w:r>
            <w:r>
              <w:rPr>
                <w:rFonts w:eastAsiaTheme="minorEastAsia"/>
                <w:noProof/>
                <w:lang w:val="en-GB" w:eastAsia="en-GB" w:bidi="ar-SA"/>
              </w:rPr>
              <w:tab/>
            </w:r>
            <w:r w:rsidRPr="00256125">
              <w:rPr>
                <w:rStyle w:val="Hyperlink"/>
                <w:noProof/>
              </w:rPr>
              <w:t>Classification in ICD-11</w:t>
            </w:r>
            <w:r>
              <w:rPr>
                <w:noProof/>
                <w:webHidden/>
              </w:rPr>
              <w:tab/>
            </w:r>
            <w:r>
              <w:rPr>
                <w:noProof/>
                <w:webHidden/>
              </w:rPr>
              <w:fldChar w:fldCharType="begin"/>
            </w:r>
            <w:r>
              <w:rPr>
                <w:noProof/>
                <w:webHidden/>
              </w:rPr>
              <w:instrText xml:space="preserve"> PAGEREF _Toc212717399 \h </w:instrText>
            </w:r>
            <w:r>
              <w:rPr>
                <w:noProof/>
                <w:webHidden/>
              </w:rPr>
            </w:r>
            <w:r>
              <w:rPr>
                <w:noProof/>
                <w:webHidden/>
              </w:rPr>
              <w:fldChar w:fldCharType="separate"/>
            </w:r>
            <w:r>
              <w:rPr>
                <w:noProof/>
                <w:webHidden/>
              </w:rPr>
              <w:t>2</w:t>
            </w:r>
            <w:r>
              <w:rPr>
                <w:noProof/>
                <w:webHidden/>
              </w:rPr>
              <w:fldChar w:fldCharType="end"/>
            </w:r>
          </w:hyperlink>
        </w:p>
        <w:p w14:paraId="13242D6D" w14:textId="26BA2D90" w:rsidR="000F0B31" w:rsidRDefault="000F0B31">
          <w:pPr>
            <w:pStyle w:val="TOC2"/>
            <w:tabs>
              <w:tab w:val="left" w:pos="960"/>
              <w:tab w:val="right" w:leader="dot" w:pos="9016"/>
            </w:tabs>
            <w:rPr>
              <w:rFonts w:eastAsiaTheme="minorEastAsia"/>
              <w:noProof/>
              <w:lang w:val="en-GB" w:eastAsia="en-GB" w:bidi="ar-SA"/>
            </w:rPr>
          </w:pPr>
          <w:hyperlink w:anchor="_Toc212717400" w:history="1">
            <w:r w:rsidRPr="00256125">
              <w:rPr>
                <w:rStyle w:val="Hyperlink"/>
                <w:noProof/>
              </w:rPr>
              <w:t>2.2</w:t>
            </w:r>
            <w:r>
              <w:rPr>
                <w:rFonts w:eastAsiaTheme="minorEastAsia"/>
                <w:noProof/>
                <w:lang w:val="en-GB" w:eastAsia="en-GB" w:bidi="ar-SA"/>
              </w:rPr>
              <w:tab/>
            </w:r>
            <w:r w:rsidRPr="00256125">
              <w:rPr>
                <w:rStyle w:val="Hyperlink"/>
                <w:noProof/>
              </w:rPr>
              <w:t>Diagnostic Criteria and Processes</w:t>
            </w:r>
            <w:r>
              <w:rPr>
                <w:noProof/>
                <w:webHidden/>
              </w:rPr>
              <w:tab/>
            </w:r>
            <w:r>
              <w:rPr>
                <w:noProof/>
                <w:webHidden/>
              </w:rPr>
              <w:fldChar w:fldCharType="begin"/>
            </w:r>
            <w:r>
              <w:rPr>
                <w:noProof/>
                <w:webHidden/>
              </w:rPr>
              <w:instrText xml:space="preserve"> PAGEREF _Toc212717400 \h </w:instrText>
            </w:r>
            <w:r>
              <w:rPr>
                <w:noProof/>
                <w:webHidden/>
              </w:rPr>
            </w:r>
            <w:r>
              <w:rPr>
                <w:noProof/>
                <w:webHidden/>
              </w:rPr>
              <w:fldChar w:fldCharType="separate"/>
            </w:r>
            <w:r>
              <w:rPr>
                <w:noProof/>
                <w:webHidden/>
              </w:rPr>
              <w:t>2</w:t>
            </w:r>
            <w:r>
              <w:rPr>
                <w:noProof/>
                <w:webHidden/>
              </w:rPr>
              <w:fldChar w:fldCharType="end"/>
            </w:r>
          </w:hyperlink>
        </w:p>
        <w:p w14:paraId="6DEF6B5D" w14:textId="01043835" w:rsidR="000F0B31" w:rsidRDefault="000F0B31">
          <w:pPr>
            <w:pStyle w:val="TOC2"/>
            <w:tabs>
              <w:tab w:val="left" w:pos="960"/>
              <w:tab w:val="right" w:leader="dot" w:pos="9016"/>
            </w:tabs>
            <w:rPr>
              <w:rFonts w:eastAsiaTheme="minorEastAsia"/>
              <w:noProof/>
              <w:lang w:val="en-GB" w:eastAsia="en-GB" w:bidi="ar-SA"/>
            </w:rPr>
          </w:pPr>
          <w:hyperlink w:anchor="_Toc212717401" w:history="1">
            <w:r w:rsidRPr="00256125">
              <w:rPr>
                <w:rStyle w:val="Hyperlink"/>
                <w:noProof/>
              </w:rPr>
              <w:t>2.3</w:t>
            </w:r>
            <w:r>
              <w:rPr>
                <w:rFonts w:eastAsiaTheme="minorEastAsia"/>
                <w:noProof/>
                <w:lang w:val="en-GB" w:eastAsia="en-GB" w:bidi="ar-SA"/>
              </w:rPr>
              <w:tab/>
            </w:r>
            <w:r w:rsidRPr="00256125">
              <w:rPr>
                <w:rStyle w:val="Hyperlink"/>
                <w:noProof/>
              </w:rPr>
              <w:t>Language Used in Classification</w:t>
            </w:r>
            <w:r>
              <w:rPr>
                <w:noProof/>
                <w:webHidden/>
              </w:rPr>
              <w:tab/>
            </w:r>
            <w:r>
              <w:rPr>
                <w:noProof/>
                <w:webHidden/>
              </w:rPr>
              <w:fldChar w:fldCharType="begin"/>
            </w:r>
            <w:r>
              <w:rPr>
                <w:noProof/>
                <w:webHidden/>
              </w:rPr>
              <w:instrText xml:space="preserve"> PAGEREF _Toc212717401 \h </w:instrText>
            </w:r>
            <w:r>
              <w:rPr>
                <w:noProof/>
                <w:webHidden/>
              </w:rPr>
            </w:r>
            <w:r>
              <w:rPr>
                <w:noProof/>
                <w:webHidden/>
              </w:rPr>
              <w:fldChar w:fldCharType="separate"/>
            </w:r>
            <w:r>
              <w:rPr>
                <w:noProof/>
                <w:webHidden/>
              </w:rPr>
              <w:t>3</w:t>
            </w:r>
            <w:r>
              <w:rPr>
                <w:noProof/>
                <w:webHidden/>
              </w:rPr>
              <w:fldChar w:fldCharType="end"/>
            </w:r>
          </w:hyperlink>
        </w:p>
        <w:p w14:paraId="14F6B48A" w14:textId="32667218" w:rsidR="000F0B31" w:rsidRDefault="000F0B31">
          <w:pPr>
            <w:pStyle w:val="TOC1"/>
            <w:tabs>
              <w:tab w:val="left" w:pos="480"/>
              <w:tab w:val="right" w:leader="dot" w:pos="9016"/>
            </w:tabs>
            <w:rPr>
              <w:rFonts w:eastAsiaTheme="minorEastAsia"/>
              <w:noProof/>
              <w:lang w:val="en-GB" w:eastAsia="en-GB" w:bidi="ar-SA"/>
            </w:rPr>
          </w:pPr>
          <w:hyperlink w:anchor="_Toc212717402" w:history="1">
            <w:r w:rsidRPr="00256125">
              <w:rPr>
                <w:rStyle w:val="Hyperlink"/>
                <w:noProof/>
              </w:rPr>
              <w:t>3</w:t>
            </w:r>
            <w:r>
              <w:rPr>
                <w:rFonts w:eastAsiaTheme="minorEastAsia"/>
                <w:noProof/>
                <w:lang w:val="en-GB" w:eastAsia="en-GB" w:bidi="ar-SA"/>
              </w:rPr>
              <w:tab/>
            </w:r>
            <w:r w:rsidRPr="00256125">
              <w:rPr>
                <w:rStyle w:val="Hyperlink"/>
                <w:noProof/>
              </w:rPr>
              <w:t>Treatment and Rehabilitation</w:t>
            </w:r>
            <w:r>
              <w:rPr>
                <w:noProof/>
                <w:webHidden/>
              </w:rPr>
              <w:tab/>
            </w:r>
            <w:r>
              <w:rPr>
                <w:noProof/>
                <w:webHidden/>
              </w:rPr>
              <w:fldChar w:fldCharType="begin"/>
            </w:r>
            <w:r>
              <w:rPr>
                <w:noProof/>
                <w:webHidden/>
              </w:rPr>
              <w:instrText xml:space="preserve"> PAGEREF _Toc212717402 \h </w:instrText>
            </w:r>
            <w:r>
              <w:rPr>
                <w:noProof/>
                <w:webHidden/>
              </w:rPr>
            </w:r>
            <w:r>
              <w:rPr>
                <w:noProof/>
                <w:webHidden/>
              </w:rPr>
              <w:fldChar w:fldCharType="separate"/>
            </w:r>
            <w:r>
              <w:rPr>
                <w:noProof/>
                <w:webHidden/>
              </w:rPr>
              <w:t>4</w:t>
            </w:r>
            <w:r>
              <w:rPr>
                <w:noProof/>
                <w:webHidden/>
              </w:rPr>
              <w:fldChar w:fldCharType="end"/>
            </w:r>
          </w:hyperlink>
        </w:p>
        <w:p w14:paraId="5778DF62" w14:textId="1FB768B2" w:rsidR="000F0B31" w:rsidRDefault="000F0B31">
          <w:pPr>
            <w:pStyle w:val="TOC2"/>
            <w:tabs>
              <w:tab w:val="left" w:pos="960"/>
              <w:tab w:val="right" w:leader="dot" w:pos="9016"/>
            </w:tabs>
            <w:rPr>
              <w:rFonts w:eastAsiaTheme="minorEastAsia"/>
              <w:noProof/>
              <w:lang w:val="en-GB" w:eastAsia="en-GB" w:bidi="ar-SA"/>
            </w:rPr>
          </w:pPr>
          <w:hyperlink w:anchor="_Toc212717403" w:history="1">
            <w:r w:rsidRPr="00256125">
              <w:rPr>
                <w:rStyle w:val="Hyperlink"/>
                <w:noProof/>
              </w:rPr>
              <w:t>3.1</w:t>
            </w:r>
            <w:r>
              <w:rPr>
                <w:rFonts w:eastAsiaTheme="minorEastAsia"/>
                <w:noProof/>
                <w:lang w:val="en-GB" w:eastAsia="en-GB" w:bidi="ar-SA"/>
              </w:rPr>
              <w:tab/>
            </w:r>
            <w:r w:rsidRPr="00256125">
              <w:rPr>
                <w:rStyle w:val="Hyperlink"/>
                <w:noProof/>
              </w:rPr>
              <w:t>Standard Treatment Approaches</w:t>
            </w:r>
            <w:r>
              <w:rPr>
                <w:noProof/>
                <w:webHidden/>
              </w:rPr>
              <w:tab/>
            </w:r>
            <w:r>
              <w:rPr>
                <w:noProof/>
                <w:webHidden/>
              </w:rPr>
              <w:fldChar w:fldCharType="begin"/>
            </w:r>
            <w:r>
              <w:rPr>
                <w:noProof/>
                <w:webHidden/>
              </w:rPr>
              <w:instrText xml:space="preserve"> PAGEREF _Toc212717403 \h </w:instrText>
            </w:r>
            <w:r>
              <w:rPr>
                <w:noProof/>
                <w:webHidden/>
              </w:rPr>
            </w:r>
            <w:r>
              <w:rPr>
                <w:noProof/>
                <w:webHidden/>
              </w:rPr>
              <w:fldChar w:fldCharType="separate"/>
            </w:r>
            <w:r>
              <w:rPr>
                <w:noProof/>
                <w:webHidden/>
              </w:rPr>
              <w:t>4</w:t>
            </w:r>
            <w:r>
              <w:rPr>
                <w:noProof/>
                <w:webHidden/>
              </w:rPr>
              <w:fldChar w:fldCharType="end"/>
            </w:r>
          </w:hyperlink>
        </w:p>
        <w:p w14:paraId="531E96DB" w14:textId="36FA13BB" w:rsidR="000F0B31" w:rsidRDefault="000F0B31">
          <w:pPr>
            <w:pStyle w:val="TOC2"/>
            <w:tabs>
              <w:tab w:val="left" w:pos="960"/>
              <w:tab w:val="right" w:leader="dot" w:pos="9016"/>
            </w:tabs>
            <w:rPr>
              <w:rFonts w:eastAsiaTheme="minorEastAsia"/>
              <w:noProof/>
              <w:lang w:val="en-GB" w:eastAsia="en-GB" w:bidi="ar-SA"/>
            </w:rPr>
          </w:pPr>
          <w:hyperlink w:anchor="_Toc212717404" w:history="1">
            <w:r w:rsidRPr="00256125">
              <w:rPr>
                <w:rStyle w:val="Hyperlink"/>
                <w:noProof/>
              </w:rPr>
              <w:t>3.2</w:t>
            </w:r>
            <w:r>
              <w:rPr>
                <w:rFonts w:eastAsiaTheme="minorEastAsia"/>
                <w:noProof/>
                <w:lang w:val="en-GB" w:eastAsia="en-GB" w:bidi="ar-SA"/>
              </w:rPr>
              <w:tab/>
            </w:r>
            <w:r w:rsidRPr="00256125">
              <w:rPr>
                <w:rStyle w:val="Hyperlink"/>
                <w:noProof/>
              </w:rPr>
              <w:t>Rehabilitation Measures</w:t>
            </w:r>
            <w:r>
              <w:rPr>
                <w:noProof/>
                <w:webHidden/>
              </w:rPr>
              <w:tab/>
            </w:r>
            <w:r>
              <w:rPr>
                <w:noProof/>
                <w:webHidden/>
              </w:rPr>
              <w:fldChar w:fldCharType="begin"/>
            </w:r>
            <w:r>
              <w:rPr>
                <w:noProof/>
                <w:webHidden/>
              </w:rPr>
              <w:instrText xml:space="preserve"> PAGEREF _Toc212717404 \h </w:instrText>
            </w:r>
            <w:r>
              <w:rPr>
                <w:noProof/>
                <w:webHidden/>
              </w:rPr>
            </w:r>
            <w:r>
              <w:rPr>
                <w:noProof/>
                <w:webHidden/>
              </w:rPr>
              <w:fldChar w:fldCharType="separate"/>
            </w:r>
            <w:r>
              <w:rPr>
                <w:noProof/>
                <w:webHidden/>
              </w:rPr>
              <w:t>4</w:t>
            </w:r>
            <w:r>
              <w:rPr>
                <w:noProof/>
                <w:webHidden/>
              </w:rPr>
              <w:fldChar w:fldCharType="end"/>
            </w:r>
          </w:hyperlink>
        </w:p>
        <w:p w14:paraId="578E2ABF" w14:textId="7F52A48F" w:rsidR="000F0B31" w:rsidRDefault="000F0B31">
          <w:pPr>
            <w:pStyle w:val="TOC2"/>
            <w:tabs>
              <w:tab w:val="left" w:pos="960"/>
              <w:tab w:val="right" w:leader="dot" w:pos="9016"/>
            </w:tabs>
            <w:rPr>
              <w:rFonts w:eastAsiaTheme="minorEastAsia"/>
              <w:noProof/>
              <w:lang w:val="en-GB" w:eastAsia="en-GB" w:bidi="ar-SA"/>
            </w:rPr>
          </w:pPr>
          <w:hyperlink w:anchor="_Toc212717405" w:history="1">
            <w:r w:rsidRPr="00256125">
              <w:rPr>
                <w:rStyle w:val="Hyperlink"/>
                <w:noProof/>
              </w:rPr>
              <w:t>3.3</w:t>
            </w:r>
            <w:r>
              <w:rPr>
                <w:rFonts w:eastAsiaTheme="minorEastAsia"/>
                <w:noProof/>
                <w:lang w:val="en-GB" w:eastAsia="en-GB" w:bidi="ar-SA"/>
              </w:rPr>
              <w:tab/>
            </w:r>
            <w:r w:rsidRPr="00256125">
              <w:rPr>
                <w:rStyle w:val="Hyperlink"/>
                <w:noProof/>
              </w:rPr>
              <w:t>Effectiveness and Limitations</w:t>
            </w:r>
            <w:r>
              <w:rPr>
                <w:noProof/>
                <w:webHidden/>
              </w:rPr>
              <w:tab/>
            </w:r>
            <w:r>
              <w:rPr>
                <w:noProof/>
                <w:webHidden/>
              </w:rPr>
              <w:fldChar w:fldCharType="begin"/>
            </w:r>
            <w:r>
              <w:rPr>
                <w:noProof/>
                <w:webHidden/>
              </w:rPr>
              <w:instrText xml:space="preserve"> PAGEREF _Toc212717405 \h </w:instrText>
            </w:r>
            <w:r>
              <w:rPr>
                <w:noProof/>
                <w:webHidden/>
              </w:rPr>
            </w:r>
            <w:r>
              <w:rPr>
                <w:noProof/>
                <w:webHidden/>
              </w:rPr>
              <w:fldChar w:fldCharType="separate"/>
            </w:r>
            <w:r>
              <w:rPr>
                <w:noProof/>
                <w:webHidden/>
              </w:rPr>
              <w:t>5</w:t>
            </w:r>
            <w:r>
              <w:rPr>
                <w:noProof/>
                <w:webHidden/>
              </w:rPr>
              <w:fldChar w:fldCharType="end"/>
            </w:r>
          </w:hyperlink>
        </w:p>
        <w:p w14:paraId="040ABD67" w14:textId="68445655" w:rsidR="000F0B31" w:rsidRDefault="000F0B31">
          <w:pPr>
            <w:pStyle w:val="TOC1"/>
            <w:tabs>
              <w:tab w:val="left" w:pos="480"/>
              <w:tab w:val="right" w:leader="dot" w:pos="9016"/>
            </w:tabs>
            <w:rPr>
              <w:rFonts w:eastAsiaTheme="minorEastAsia"/>
              <w:noProof/>
              <w:lang w:val="en-GB" w:eastAsia="en-GB" w:bidi="ar-SA"/>
            </w:rPr>
          </w:pPr>
          <w:hyperlink w:anchor="_Toc212717406" w:history="1">
            <w:r w:rsidRPr="00256125">
              <w:rPr>
                <w:rStyle w:val="Hyperlink"/>
                <w:noProof/>
              </w:rPr>
              <w:t>4</w:t>
            </w:r>
            <w:r>
              <w:rPr>
                <w:rFonts w:eastAsiaTheme="minorEastAsia"/>
                <w:noProof/>
                <w:lang w:val="en-GB" w:eastAsia="en-GB" w:bidi="ar-SA"/>
              </w:rPr>
              <w:tab/>
            </w:r>
            <w:r w:rsidRPr="00256125">
              <w:rPr>
                <w:rStyle w:val="Hyperlink"/>
                <w:noProof/>
              </w:rPr>
              <w:t>Current Debates and Emerging Issues</w:t>
            </w:r>
            <w:r>
              <w:rPr>
                <w:noProof/>
                <w:webHidden/>
              </w:rPr>
              <w:tab/>
            </w:r>
            <w:r>
              <w:rPr>
                <w:noProof/>
                <w:webHidden/>
              </w:rPr>
              <w:fldChar w:fldCharType="begin"/>
            </w:r>
            <w:r>
              <w:rPr>
                <w:noProof/>
                <w:webHidden/>
              </w:rPr>
              <w:instrText xml:space="preserve"> PAGEREF _Toc212717406 \h </w:instrText>
            </w:r>
            <w:r>
              <w:rPr>
                <w:noProof/>
                <w:webHidden/>
              </w:rPr>
            </w:r>
            <w:r>
              <w:rPr>
                <w:noProof/>
                <w:webHidden/>
              </w:rPr>
              <w:fldChar w:fldCharType="separate"/>
            </w:r>
            <w:r>
              <w:rPr>
                <w:noProof/>
                <w:webHidden/>
              </w:rPr>
              <w:t>6</w:t>
            </w:r>
            <w:r>
              <w:rPr>
                <w:noProof/>
                <w:webHidden/>
              </w:rPr>
              <w:fldChar w:fldCharType="end"/>
            </w:r>
          </w:hyperlink>
        </w:p>
        <w:p w14:paraId="2B10CDFE" w14:textId="3CDFF15E" w:rsidR="000F0B31" w:rsidRDefault="000F0B31">
          <w:pPr>
            <w:pStyle w:val="TOC2"/>
            <w:tabs>
              <w:tab w:val="left" w:pos="960"/>
              <w:tab w:val="right" w:leader="dot" w:pos="9016"/>
            </w:tabs>
            <w:rPr>
              <w:rFonts w:eastAsiaTheme="minorEastAsia"/>
              <w:noProof/>
              <w:lang w:val="en-GB" w:eastAsia="en-GB" w:bidi="ar-SA"/>
            </w:rPr>
          </w:pPr>
          <w:hyperlink w:anchor="_Toc212717407" w:history="1">
            <w:r w:rsidRPr="00256125">
              <w:rPr>
                <w:rStyle w:val="Hyperlink"/>
                <w:noProof/>
              </w:rPr>
              <w:t>4.1</w:t>
            </w:r>
            <w:r>
              <w:rPr>
                <w:rFonts w:eastAsiaTheme="minorEastAsia"/>
                <w:noProof/>
                <w:lang w:val="en-GB" w:eastAsia="en-GB" w:bidi="ar-SA"/>
              </w:rPr>
              <w:tab/>
            </w:r>
            <w:r w:rsidRPr="00256125">
              <w:rPr>
                <w:rStyle w:val="Hyperlink"/>
                <w:noProof/>
              </w:rPr>
              <w:t>Ongoing Debates in Classification and Diagnosis</w:t>
            </w:r>
            <w:r>
              <w:rPr>
                <w:noProof/>
                <w:webHidden/>
              </w:rPr>
              <w:tab/>
            </w:r>
            <w:r>
              <w:rPr>
                <w:noProof/>
                <w:webHidden/>
              </w:rPr>
              <w:fldChar w:fldCharType="begin"/>
            </w:r>
            <w:r>
              <w:rPr>
                <w:noProof/>
                <w:webHidden/>
              </w:rPr>
              <w:instrText xml:space="preserve"> PAGEREF _Toc212717407 \h </w:instrText>
            </w:r>
            <w:r>
              <w:rPr>
                <w:noProof/>
                <w:webHidden/>
              </w:rPr>
            </w:r>
            <w:r>
              <w:rPr>
                <w:noProof/>
                <w:webHidden/>
              </w:rPr>
              <w:fldChar w:fldCharType="separate"/>
            </w:r>
            <w:r>
              <w:rPr>
                <w:noProof/>
                <w:webHidden/>
              </w:rPr>
              <w:t>6</w:t>
            </w:r>
            <w:r>
              <w:rPr>
                <w:noProof/>
                <w:webHidden/>
              </w:rPr>
              <w:fldChar w:fldCharType="end"/>
            </w:r>
          </w:hyperlink>
        </w:p>
        <w:p w14:paraId="3EBB5E3E" w14:textId="61D5377D" w:rsidR="000F0B31" w:rsidRDefault="000F0B31">
          <w:pPr>
            <w:pStyle w:val="TOC2"/>
            <w:tabs>
              <w:tab w:val="left" w:pos="960"/>
              <w:tab w:val="right" w:leader="dot" w:pos="9016"/>
            </w:tabs>
            <w:rPr>
              <w:rFonts w:eastAsiaTheme="minorEastAsia"/>
              <w:noProof/>
              <w:lang w:val="en-GB" w:eastAsia="en-GB" w:bidi="ar-SA"/>
            </w:rPr>
          </w:pPr>
          <w:hyperlink w:anchor="_Toc212717408" w:history="1">
            <w:r w:rsidRPr="00256125">
              <w:rPr>
                <w:rStyle w:val="Hyperlink"/>
                <w:noProof/>
              </w:rPr>
              <w:t>4.2</w:t>
            </w:r>
            <w:r>
              <w:rPr>
                <w:rFonts w:eastAsiaTheme="minorEastAsia"/>
                <w:noProof/>
                <w:lang w:val="en-GB" w:eastAsia="en-GB" w:bidi="ar-SA"/>
              </w:rPr>
              <w:tab/>
            </w:r>
            <w:r w:rsidRPr="00256125">
              <w:rPr>
                <w:rStyle w:val="Hyperlink"/>
                <w:noProof/>
              </w:rPr>
              <w:t>Emerging Research and Innovations</w:t>
            </w:r>
            <w:r>
              <w:rPr>
                <w:noProof/>
                <w:webHidden/>
              </w:rPr>
              <w:tab/>
            </w:r>
            <w:r>
              <w:rPr>
                <w:noProof/>
                <w:webHidden/>
              </w:rPr>
              <w:fldChar w:fldCharType="begin"/>
            </w:r>
            <w:r>
              <w:rPr>
                <w:noProof/>
                <w:webHidden/>
              </w:rPr>
              <w:instrText xml:space="preserve"> PAGEREF _Toc212717408 \h </w:instrText>
            </w:r>
            <w:r>
              <w:rPr>
                <w:noProof/>
                <w:webHidden/>
              </w:rPr>
            </w:r>
            <w:r>
              <w:rPr>
                <w:noProof/>
                <w:webHidden/>
              </w:rPr>
              <w:fldChar w:fldCharType="separate"/>
            </w:r>
            <w:r>
              <w:rPr>
                <w:noProof/>
                <w:webHidden/>
              </w:rPr>
              <w:t>6</w:t>
            </w:r>
            <w:r>
              <w:rPr>
                <w:noProof/>
                <w:webHidden/>
              </w:rPr>
              <w:fldChar w:fldCharType="end"/>
            </w:r>
          </w:hyperlink>
        </w:p>
        <w:p w14:paraId="351B499D" w14:textId="69DBAB78" w:rsidR="000F0B31" w:rsidRDefault="000F0B31">
          <w:pPr>
            <w:pStyle w:val="TOC2"/>
            <w:tabs>
              <w:tab w:val="left" w:pos="960"/>
              <w:tab w:val="right" w:leader="dot" w:pos="9016"/>
            </w:tabs>
            <w:rPr>
              <w:rFonts w:eastAsiaTheme="minorEastAsia"/>
              <w:noProof/>
              <w:lang w:val="en-GB" w:eastAsia="en-GB" w:bidi="ar-SA"/>
            </w:rPr>
          </w:pPr>
          <w:hyperlink w:anchor="_Toc212717409" w:history="1">
            <w:r w:rsidRPr="00256125">
              <w:rPr>
                <w:rStyle w:val="Hyperlink"/>
                <w:noProof/>
              </w:rPr>
              <w:t>4.3</w:t>
            </w:r>
            <w:r>
              <w:rPr>
                <w:rFonts w:eastAsiaTheme="minorEastAsia"/>
                <w:noProof/>
                <w:lang w:val="en-GB" w:eastAsia="en-GB" w:bidi="ar-SA"/>
              </w:rPr>
              <w:tab/>
            </w:r>
            <w:r w:rsidRPr="00256125">
              <w:rPr>
                <w:rStyle w:val="Hyperlink"/>
                <w:noProof/>
              </w:rPr>
              <w:t>Societal and Policy Implications</w:t>
            </w:r>
            <w:r>
              <w:rPr>
                <w:noProof/>
                <w:webHidden/>
              </w:rPr>
              <w:tab/>
            </w:r>
            <w:r>
              <w:rPr>
                <w:noProof/>
                <w:webHidden/>
              </w:rPr>
              <w:fldChar w:fldCharType="begin"/>
            </w:r>
            <w:r>
              <w:rPr>
                <w:noProof/>
                <w:webHidden/>
              </w:rPr>
              <w:instrText xml:space="preserve"> PAGEREF _Toc212717409 \h </w:instrText>
            </w:r>
            <w:r>
              <w:rPr>
                <w:noProof/>
                <w:webHidden/>
              </w:rPr>
            </w:r>
            <w:r>
              <w:rPr>
                <w:noProof/>
                <w:webHidden/>
              </w:rPr>
              <w:fldChar w:fldCharType="separate"/>
            </w:r>
            <w:r>
              <w:rPr>
                <w:noProof/>
                <w:webHidden/>
              </w:rPr>
              <w:t>7</w:t>
            </w:r>
            <w:r>
              <w:rPr>
                <w:noProof/>
                <w:webHidden/>
              </w:rPr>
              <w:fldChar w:fldCharType="end"/>
            </w:r>
          </w:hyperlink>
        </w:p>
        <w:p w14:paraId="72E3E4BF" w14:textId="6D58A1EF" w:rsidR="000F0B31" w:rsidRDefault="000F0B31">
          <w:pPr>
            <w:pStyle w:val="TOC1"/>
            <w:tabs>
              <w:tab w:val="left" w:pos="480"/>
              <w:tab w:val="right" w:leader="dot" w:pos="9016"/>
            </w:tabs>
            <w:rPr>
              <w:rFonts w:eastAsiaTheme="minorEastAsia"/>
              <w:noProof/>
              <w:lang w:val="en-GB" w:eastAsia="en-GB" w:bidi="ar-SA"/>
            </w:rPr>
          </w:pPr>
          <w:hyperlink w:anchor="_Toc212717410" w:history="1">
            <w:r w:rsidRPr="00256125">
              <w:rPr>
                <w:rStyle w:val="Hyperlink"/>
                <w:noProof/>
              </w:rPr>
              <w:t>5</w:t>
            </w:r>
            <w:r>
              <w:rPr>
                <w:rFonts w:eastAsiaTheme="minorEastAsia"/>
                <w:noProof/>
                <w:lang w:val="en-GB" w:eastAsia="en-GB" w:bidi="ar-SA"/>
              </w:rPr>
              <w:tab/>
            </w:r>
            <w:r w:rsidRPr="00256125">
              <w:rPr>
                <w:rStyle w:val="Hyperlink"/>
                <w:noProof/>
              </w:rPr>
              <w:t>Recommendations</w:t>
            </w:r>
            <w:r>
              <w:rPr>
                <w:noProof/>
                <w:webHidden/>
              </w:rPr>
              <w:tab/>
            </w:r>
            <w:r>
              <w:rPr>
                <w:noProof/>
                <w:webHidden/>
              </w:rPr>
              <w:fldChar w:fldCharType="begin"/>
            </w:r>
            <w:r>
              <w:rPr>
                <w:noProof/>
                <w:webHidden/>
              </w:rPr>
              <w:instrText xml:space="preserve"> PAGEREF _Toc212717410 \h </w:instrText>
            </w:r>
            <w:r>
              <w:rPr>
                <w:noProof/>
                <w:webHidden/>
              </w:rPr>
            </w:r>
            <w:r>
              <w:rPr>
                <w:noProof/>
                <w:webHidden/>
              </w:rPr>
              <w:fldChar w:fldCharType="separate"/>
            </w:r>
            <w:r>
              <w:rPr>
                <w:noProof/>
                <w:webHidden/>
              </w:rPr>
              <w:t>8</w:t>
            </w:r>
            <w:r>
              <w:rPr>
                <w:noProof/>
                <w:webHidden/>
              </w:rPr>
              <w:fldChar w:fldCharType="end"/>
            </w:r>
          </w:hyperlink>
        </w:p>
        <w:p w14:paraId="2BCB75FD" w14:textId="23C1AE9A" w:rsidR="000F0B31" w:rsidRDefault="000F0B31">
          <w:pPr>
            <w:pStyle w:val="TOC1"/>
            <w:tabs>
              <w:tab w:val="left" w:pos="480"/>
              <w:tab w:val="right" w:leader="dot" w:pos="9016"/>
            </w:tabs>
            <w:rPr>
              <w:rFonts w:eastAsiaTheme="minorEastAsia"/>
              <w:noProof/>
              <w:lang w:val="en-GB" w:eastAsia="en-GB" w:bidi="ar-SA"/>
            </w:rPr>
          </w:pPr>
          <w:hyperlink w:anchor="_Toc212717411" w:history="1">
            <w:r w:rsidRPr="00256125">
              <w:rPr>
                <w:rStyle w:val="Hyperlink"/>
                <w:noProof/>
              </w:rPr>
              <w:t>6</w:t>
            </w:r>
            <w:r>
              <w:rPr>
                <w:rFonts w:eastAsiaTheme="minorEastAsia"/>
                <w:noProof/>
                <w:lang w:val="en-GB" w:eastAsia="en-GB" w:bidi="ar-SA"/>
              </w:rPr>
              <w:tab/>
            </w:r>
            <w:r w:rsidRPr="00256125">
              <w:rPr>
                <w:rStyle w:val="Hyperlink"/>
                <w:noProof/>
              </w:rPr>
              <w:t>References</w:t>
            </w:r>
            <w:r>
              <w:rPr>
                <w:noProof/>
                <w:webHidden/>
              </w:rPr>
              <w:tab/>
            </w:r>
            <w:r>
              <w:rPr>
                <w:noProof/>
                <w:webHidden/>
              </w:rPr>
              <w:fldChar w:fldCharType="begin"/>
            </w:r>
            <w:r>
              <w:rPr>
                <w:noProof/>
                <w:webHidden/>
              </w:rPr>
              <w:instrText xml:space="preserve"> PAGEREF _Toc212717411 \h </w:instrText>
            </w:r>
            <w:r>
              <w:rPr>
                <w:noProof/>
                <w:webHidden/>
              </w:rPr>
            </w:r>
            <w:r>
              <w:rPr>
                <w:noProof/>
                <w:webHidden/>
              </w:rPr>
              <w:fldChar w:fldCharType="separate"/>
            </w:r>
            <w:r>
              <w:rPr>
                <w:noProof/>
                <w:webHidden/>
              </w:rPr>
              <w:t>9</w:t>
            </w:r>
            <w:r>
              <w:rPr>
                <w:noProof/>
                <w:webHidden/>
              </w:rPr>
              <w:fldChar w:fldCharType="end"/>
            </w:r>
          </w:hyperlink>
        </w:p>
        <w:p w14:paraId="217AA9B1" w14:textId="377A3577" w:rsidR="007221AC" w:rsidRDefault="007221AC">
          <w:r>
            <w:rPr>
              <w:b/>
              <w:bCs/>
              <w:noProof/>
            </w:rPr>
            <w:fldChar w:fldCharType="end"/>
          </w:r>
        </w:p>
      </w:sdtContent>
    </w:sdt>
    <w:p w14:paraId="0134B430" w14:textId="77777777" w:rsidR="000F7D59" w:rsidRDefault="000F7D59" w:rsidP="00620130">
      <w:pPr>
        <w:spacing w:line="360" w:lineRule="auto"/>
        <w:jc w:val="both"/>
        <w:rPr>
          <w:rFonts w:ascii="Arial" w:hAnsi="Arial" w:cs="Arial"/>
          <w:b/>
          <w:bCs/>
          <w:sz w:val="22"/>
          <w:szCs w:val="22"/>
        </w:rPr>
      </w:pPr>
    </w:p>
    <w:p w14:paraId="29AEEBEA" w14:textId="77777777" w:rsidR="000F7D59" w:rsidRDefault="000F7D59" w:rsidP="00620130">
      <w:pPr>
        <w:spacing w:line="360" w:lineRule="auto"/>
        <w:jc w:val="both"/>
        <w:rPr>
          <w:rFonts w:ascii="Arial" w:hAnsi="Arial" w:cs="Arial"/>
          <w:b/>
          <w:bCs/>
          <w:sz w:val="22"/>
          <w:szCs w:val="22"/>
        </w:rPr>
      </w:pPr>
    </w:p>
    <w:p w14:paraId="4797A480" w14:textId="77777777" w:rsidR="000F7D59" w:rsidRDefault="000F7D59" w:rsidP="00620130">
      <w:pPr>
        <w:spacing w:line="360" w:lineRule="auto"/>
        <w:jc w:val="both"/>
        <w:rPr>
          <w:rFonts w:ascii="Arial" w:hAnsi="Arial" w:cs="Arial"/>
          <w:b/>
          <w:bCs/>
          <w:sz w:val="22"/>
          <w:szCs w:val="22"/>
        </w:rPr>
      </w:pPr>
    </w:p>
    <w:p w14:paraId="3D4CE490" w14:textId="77777777" w:rsidR="000F7D59" w:rsidRDefault="000F7D59" w:rsidP="00620130">
      <w:pPr>
        <w:spacing w:line="360" w:lineRule="auto"/>
        <w:jc w:val="both"/>
        <w:rPr>
          <w:rFonts w:ascii="Arial" w:hAnsi="Arial" w:cs="Arial"/>
          <w:b/>
          <w:bCs/>
          <w:sz w:val="22"/>
          <w:szCs w:val="22"/>
        </w:rPr>
      </w:pPr>
    </w:p>
    <w:p w14:paraId="1311D58F" w14:textId="77777777" w:rsidR="000F7D59" w:rsidRDefault="000F7D59" w:rsidP="00620130">
      <w:pPr>
        <w:spacing w:line="360" w:lineRule="auto"/>
        <w:jc w:val="both"/>
        <w:rPr>
          <w:rFonts w:ascii="Arial" w:hAnsi="Arial" w:cs="Arial"/>
          <w:b/>
          <w:bCs/>
          <w:sz w:val="22"/>
          <w:szCs w:val="22"/>
        </w:rPr>
      </w:pPr>
    </w:p>
    <w:p w14:paraId="19B81296" w14:textId="77777777" w:rsidR="000F7D59" w:rsidRDefault="000F7D59" w:rsidP="00620130">
      <w:pPr>
        <w:spacing w:line="360" w:lineRule="auto"/>
        <w:jc w:val="both"/>
        <w:rPr>
          <w:rFonts w:ascii="Arial" w:hAnsi="Arial" w:cs="Arial"/>
          <w:b/>
          <w:bCs/>
          <w:sz w:val="22"/>
          <w:szCs w:val="22"/>
        </w:rPr>
      </w:pPr>
    </w:p>
    <w:p w14:paraId="35AB08EE" w14:textId="77777777" w:rsidR="000F7D59" w:rsidRDefault="000F7D59" w:rsidP="00620130">
      <w:pPr>
        <w:spacing w:line="360" w:lineRule="auto"/>
        <w:jc w:val="both"/>
        <w:rPr>
          <w:rFonts w:ascii="Arial" w:hAnsi="Arial" w:cs="Arial"/>
          <w:b/>
          <w:bCs/>
          <w:sz w:val="22"/>
          <w:szCs w:val="22"/>
        </w:rPr>
      </w:pPr>
    </w:p>
    <w:p w14:paraId="0980F30D" w14:textId="77777777" w:rsidR="000F7D59" w:rsidRDefault="000F7D59" w:rsidP="00620130">
      <w:pPr>
        <w:spacing w:line="360" w:lineRule="auto"/>
        <w:jc w:val="both"/>
        <w:rPr>
          <w:rFonts w:ascii="Arial" w:hAnsi="Arial" w:cs="Arial"/>
          <w:b/>
          <w:bCs/>
          <w:sz w:val="22"/>
          <w:szCs w:val="22"/>
        </w:rPr>
      </w:pPr>
    </w:p>
    <w:p w14:paraId="10942784" w14:textId="77777777" w:rsidR="000F7D59" w:rsidRDefault="000F7D59" w:rsidP="00620130">
      <w:pPr>
        <w:spacing w:line="360" w:lineRule="auto"/>
        <w:jc w:val="both"/>
        <w:rPr>
          <w:rFonts w:ascii="Arial" w:hAnsi="Arial" w:cs="Arial"/>
          <w:b/>
          <w:bCs/>
          <w:sz w:val="22"/>
          <w:szCs w:val="22"/>
        </w:rPr>
      </w:pPr>
    </w:p>
    <w:p w14:paraId="61EA5442" w14:textId="77777777" w:rsidR="000F7D59" w:rsidRDefault="000F7D59" w:rsidP="00620130">
      <w:pPr>
        <w:spacing w:line="360" w:lineRule="auto"/>
        <w:jc w:val="both"/>
        <w:rPr>
          <w:rFonts w:ascii="Arial" w:hAnsi="Arial" w:cs="Arial"/>
          <w:b/>
          <w:bCs/>
          <w:sz w:val="22"/>
          <w:szCs w:val="22"/>
        </w:rPr>
        <w:sectPr w:rsidR="000F7D59" w:rsidSect="000634AD">
          <w:footerReference w:type="default" r:id="rId9"/>
          <w:footerReference w:type="first" r:id="rId10"/>
          <w:pgSz w:w="11906" w:h="16838" w:code="9"/>
          <w:pgMar w:top="1440" w:right="1440" w:bottom="1440" w:left="1440" w:header="720" w:footer="720" w:gutter="0"/>
          <w:pgNumType w:fmt="lowerRoman" w:start="1"/>
          <w:cols w:space="720"/>
          <w:docGrid w:linePitch="360"/>
        </w:sectPr>
      </w:pPr>
    </w:p>
    <w:p w14:paraId="4F6964C3" w14:textId="631D8530" w:rsidR="00D06C6D" w:rsidRPr="000F7D59" w:rsidRDefault="00D06C6D" w:rsidP="00620130">
      <w:pPr>
        <w:pStyle w:val="Heading1"/>
        <w:spacing w:line="360" w:lineRule="auto"/>
        <w:jc w:val="both"/>
      </w:pPr>
      <w:bookmarkStart w:id="1" w:name="_Toc212717397"/>
      <w:r w:rsidRPr="000F7D59">
        <w:lastRenderedPageBreak/>
        <w:t>Introduction</w:t>
      </w:r>
      <w:bookmarkEnd w:id="1"/>
    </w:p>
    <w:p w14:paraId="4F7DA5F5" w14:textId="5D3F2061" w:rsidR="00E82161" w:rsidRPr="00710EE2" w:rsidRDefault="00D06C6D" w:rsidP="00620130">
      <w:pPr>
        <w:spacing w:line="360" w:lineRule="auto"/>
        <w:jc w:val="both"/>
        <w:rPr>
          <w:rFonts w:ascii="Arial" w:hAnsi="Arial" w:cs="Arial"/>
          <w:sz w:val="22"/>
          <w:szCs w:val="22"/>
        </w:rPr>
      </w:pPr>
      <w:r w:rsidRPr="00710EE2">
        <w:rPr>
          <w:rFonts w:ascii="Arial" w:hAnsi="Arial" w:cs="Arial"/>
          <w:sz w:val="22"/>
          <w:szCs w:val="22"/>
        </w:rPr>
        <w:t xml:space="preserve">Generalised Anxiety Disorder (GAD) </w:t>
      </w:r>
      <w:r w:rsidR="00870722" w:rsidRPr="00710EE2">
        <w:rPr>
          <w:rFonts w:ascii="Arial" w:hAnsi="Arial" w:cs="Arial"/>
          <w:sz w:val="22"/>
          <w:szCs w:val="22"/>
        </w:rPr>
        <w:t>can be defined as a</w:t>
      </w:r>
      <w:r w:rsidRPr="00710EE2">
        <w:rPr>
          <w:rFonts w:ascii="Arial" w:hAnsi="Arial" w:cs="Arial"/>
          <w:sz w:val="22"/>
          <w:szCs w:val="22"/>
        </w:rPr>
        <w:t xml:space="preserve"> common and chronic mental health problem</w:t>
      </w:r>
      <w:r w:rsidR="00870722" w:rsidRPr="00710EE2">
        <w:rPr>
          <w:rFonts w:ascii="Arial" w:hAnsi="Arial" w:cs="Arial"/>
          <w:sz w:val="22"/>
          <w:szCs w:val="22"/>
        </w:rPr>
        <w:t xml:space="preserve">. It </w:t>
      </w:r>
      <w:r w:rsidRPr="00710EE2">
        <w:rPr>
          <w:rFonts w:ascii="Arial" w:hAnsi="Arial" w:cs="Arial"/>
          <w:sz w:val="22"/>
          <w:szCs w:val="22"/>
        </w:rPr>
        <w:t>impacts</w:t>
      </w:r>
      <w:r w:rsidR="00870722" w:rsidRPr="00710EE2">
        <w:rPr>
          <w:rFonts w:ascii="Arial" w:hAnsi="Arial" w:cs="Arial"/>
          <w:sz w:val="22"/>
          <w:szCs w:val="22"/>
        </w:rPr>
        <w:t xml:space="preserve"> on</w:t>
      </w:r>
      <w:r w:rsidRPr="00710EE2">
        <w:rPr>
          <w:rFonts w:ascii="Arial" w:hAnsi="Arial" w:cs="Arial"/>
          <w:sz w:val="22"/>
          <w:szCs w:val="22"/>
        </w:rPr>
        <w:t xml:space="preserve"> an individual's cognitive-emotional and bodily functions. </w:t>
      </w:r>
      <w:r w:rsidR="00870722" w:rsidRPr="00710EE2">
        <w:rPr>
          <w:rFonts w:ascii="Arial" w:hAnsi="Arial" w:cs="Arial"/>
          <w:sz w:val="22"/>
          <w:szCs w:val="22"/>
        </w:rPr>
        <w:t xml:space="preserve">This disorder </w:t>
      </w:r>
      <w:r w:rsidRPr="00710EE2">
        <w:rPr>
          <w:rFonts w:ascii="Arial" w:hAnsi="Arial" w:cs="Arial"/>
          <w:sz w:val="22"/>
          <w:szCs w:val="22"/>
        </w:rPr>
        <w:t>comes under the category of "Anxiety and Fear-Related Disorders" within the International Classification of Diseases 11</w:t>
      </w:r>
      <w:r w:rsidRPr="00710EE2">
        <w:rPr>
          <w:rFonts w:ascii="Arial" w:hAnsi="Arial" w:cs="Arial"/>
          <w:sz w:val="22"/>
          <w:szCs w:val="22"/>
          <w:vertAlign w:val="superscript"/>
        </w:rPr>
        <w:t>th</w:t>
      </w:r>
      <w:r w:rsidRPr="00710EE2">
        <w:rPr>
          <w:rFonts w:ascii="Arial" w:hAnsi="Arial" w:cs="Arial"/>
          <w:sz w:val="22"/>
          <w:szCs w:val="22"/>
        </w:rPr>
        <w:t xml:space="preserve"> Revision. The code for GAD within the ICD-11 Classification System is 6B00. </w:t>
      </w:r>
      <w:r w:rsidR="00E82161" w:rsidRPr="00710EE2">
        <w:rPr>
          <w:rFonts w:ascii="Arial" w:hAnsi="Arial" w:cs="Arial"/>
          <w:sz w:val="22"/>
          <w:szCs w:val="22"/>
        </w:rPr>
        <w:t xml:space="preserve">Apart from that, </w:t>
      </w:r>
      <w:r w:rsidRPr="00710EE2">
        <w:rPr>
          <w:rFonts w:ascii="Arial" w:hAnsi="Arial" w:cs="Arial"/>
          <w:sz w:val="22"/>
          <w:szCs w:val="22"/>
        </w:rPr>
        <w:t xml:space="preserve">Generalised Anxiety Disorder can be </w:t>
      </w:r>
      <w:r w:rsidR="00E82161" w:rsidRPr="00710EE2">
        <w:rPr>
          <w:rFonts w:ascii="Arial" w:hAnsi="Arial" w:cs="Arial"/>
          <w:sz w:val="22"/>
          <w:szCs w:val="22"/>
        </w:rPr>
        <w:t xml:space="preserve">mentioned </w:t>
      </w:r>
      <w:r w:rsidRPr="00710EE2">
        <w:rPr>
          <w:rFonts w:ascii="Arial" w:hAnsi="Arial" w:cs="Arial"/>
          <w:sz w:val="22"/>
          <w:szCs w:val="22"/>
        </w:rPr>
        <w:t xml:space="preserve">as </w:t>
      </w:r>
      <w:r w:rsidR="00E82161" w:rsidRPr="00710EE2">
        <w:rPr>
          <w:rFonts w:ascii="Arial" w:hAnsi="Arial" w:cs="Arial"/>
          <w:sz w:val="22"/>
          <w:szCs w:val="22"/>
        </w:rPr>
        <w:t>excessive</w:t>
      </w:r>
      <w:r w:rsidRPr="00710EE2">
        <w:rPr>
          <w:rFonts w:ascii="Arial" w:hAnsi="Arial" w:cs="Arial"/>
          <w:sz w:val="22"/>
          <w:szCs w:val="22"/>
        </w:rPr>
        <w:t xml:space="preserve"> worrying that may be </w:t>
      </w:r>
      <w:r w:rsidR="00E82161" w:rsidRPr="00710EE2">
        <w:rPr>
          <w:rFonts w:ascii="Arial" w:hAnsi="Arial" w:cs="Arial"/>
          <w:sz w:val="22"/>
          <w:szCs w:val="22"/>
        </w:rPr>
        <w:t>identified</w:t>
      </w:r>
      <w:r w:rsidRPr="00710EE2">
        <w:rPr>
          <w:rFonts w:ascii="Arial" w:hAnsi="Arial" w:cs="Arial"/>
          <w:sz w:val="22"/>
          <w:szCs w:val="22"/>
        </w:rPr>
        <w:t xml:space="preserve"> as "free-floating anxiety." </w:t>
      </w:r>
      <w:r w:rsidR="00E82161" w:rsidRPr="00710EE2">
        <w:rPr>
          <w:rFonts w:ascii="Arial" w:hAnsi="Arial" w:cs="Arial"/>
          <w:sz w:val="22"/>
          <w:szCs w:val="22"/>
        </w:rPr>
        <w:t xml:space="preserve">Further we can see that the worry </w:t>
      </w:r>
      <w:r w:rsidRPr="00710EE2">
        <w:rPr>
          <w:rFonts w:ascii="Arial" w:hAnsi="Arial" w:cs="Arial"/>
          <w:sz w:val="22"/>
          <w:szCs w:val="22"/>
        </w:rPr>
        <w:t>remain</w:t>
      </w:r>
      <w:r w:rsidR="00E82161" w:rsidRPr="00710EE2">
        <w:rPr>
          <w:rFonts w:ascii="Arial" w:hAnsi="Arial" w:cs="Arial"/>
          <w:sz w:val="22"/>
          <w:szCs w:val="22"/>
        </w:rPr>
        <w:t>s</w:t>
      </w:r>
      <w:r w:rsidRPr="00710EE2">
        <w:rPr>
          <w:rFonts w:ascii="Arial" w:hAnsi="Arial" w:cs="Arial"/>
          <w:sz w:val="22"/>
          <w:szCs w:val="22"/>
        </w:rPr>
        <w:t xml:space="preserve"> for a period of at least six months. </w:t>
      </w:r>
      <w:r w:rsidR="00E82161" w:rsidRPr="00710EE2">
        <w:rPr>
          <w:rFonts w:ascii="Arial" w:hAnsi="Arial" w:cs="Arial"/>
          <w:sz w:val="22"/>
          <w:szCs w:val="22"/>
        </w:rPr>
        <w:t>As the symptoms, feelings of restlessness, bodily aches due to tense muscles, difficulty in concentrating on work-related tasks at the workplace or daily life can be identified.</w:t>
      </w:r>
    </w:p>
    <w:p w14:paraId="03516643" w14:textId="4EB52DD4" w:rsidR="00D06C6D" w:rsidRPr="00710EE2" w:rsidRDefault="00E82161" w:rsidP="00620130">
      <w:pPr>
        <w:spacing w:line="360" w:lineRule="auto"/>
        <w:jc w:val="both"/>
        <w:rPr>
          <w:rFonts w:ascii="Arial" w:hAnsi="Arial" w:cs="Arial"/>
          <w:sz w:val="22"/>
          <w:szCs w:val="22"/>
        </w:rPr>
      </w:pPr>
      <w:r w:rsidRPr="00710EE2">
        <w:rPr>
          <w:rFonts w:ascii="Arial" w:hAnsi="Arial" w:cs="Arial"/>
          <w:sz w:val="22"/>
          <w:szCs w:val="22"/>
        </w:rPr>
        <w:t>Accordingly, t</w:t>
      </w:r>
      <w:r w:rsidR="00D06C6D" w:rsidRPr="00710EE2">
        <w:rPr>
          <w:rFonts w:ascii="Arial" w:hAnsi="Arial" w:cs="Arial"/>
          <w:sz w:val="22"/>
          <w:szCs w:val="22"/>
        </w:rPr>
        <w:t xml:space="preserve">his report critically analyzes the ICD-11 classification system and diagnostic criteria of GAD, examines the existing treatment and rehabilitation strategies for it, discusses the ongoing discussions and new challenges surrounding the concept of GAD. Finally, recommendations for enhancing diagnosis, treatment, and mental health practices around the world related to GAD </w:t>
      </w:r>
      <w:r w:rsidR="00ED5084" w:rsidRPr="00710EE2">
        <w:rPr>
          <w:rFonts w:ascii="Arial" w:hAnsi="Arial" w:cs="Arial"/>
          <w:sz w:val="22"/>
          <w:szCs w:val="22"/>
        </w:rPr>
        <w:t xml:space="preserve">are to </w:t>
      </w:r>
      <w:r w:rsidR="00D06C6D" w:rsidRPr="00710EE2">
        <w:rPr>
          <w:rFonts w:ascii="Arial" w:hAnsi="Arial" w:cs="Arial"/>
          <w:sz w:val="22"/>
          <w:szCs w:val="22"/>
        </w:rPr>
        <w:t>be provided.</w:t>
      </w:r>
    </w:p>
    <w:p w14:paraId="6F097B30" w14:textId="77777777" w:rsidR="00AC2916" w:rsidRDefault="00AC2916">
      <w:pPr>
        <w:rPr>
          <w:rFonts w:ascii="Arial" w:eastAsiaTheme="majorEastAsia" w:hAnsi="Arial" w:cs="Arial"/>
          <w:b/>
          <w:bCs/>
        </w:rPr>
      </w:pPr>
      <w:r>
        <w:br w:type="page"/>
      </w:r>
    </w:p>
    <w:p w14:paraId="73DAB5B7" w14:textId="196C691F" w:rsidR="00C76B69" w:rsidRPr="000F7D59" w:rsidRDefault="00C76B69" w:rsidP="00620130">
      <w:pPr>
        <w:pStyle w:val="Heading1"/>
        <w:spacing w:line="360" w:lineRule="auto"/>
        <w:jc w:val="both"/>
      </w:pPr>
      <w:bookmarkStart w:id="2" w:name="_Toc212717398"/>
      <w:r w:rsidRPr="000F7D59">
        <w:lastRenderedPageBreak/>
        <w:t>Classification and Diagnosis</w:t>
      </w:r>
      <w:bookmarkEnd w:id="2"/>
    </w:p>
    <w:p w14:paraId="287A1628" w14:textId="31E682E6" w:rsidR="00C76B69" w:rsidRPr="000F7D59" w:rsidRDefault="00C76B69" w:rsidP="00620130">
      <w:pPr>
        <w:pStyle w:val="Heading2"/>
        <w:spacing w:line="360" w:lineRule="auto"/>
        <w:jc w:val="both"/>
      </w:pPr>
      <w:bookmarkStart w:id="3" w:name="_Toc212717399"/>
      <w:r w:rsidRPr="000F7D59">
        <w:t>Classification in ICD-11</w:t>
      </w:r>
      <w:bookmarkEnd w:id="3"/>
    </w:p>
    <w:p w14:paraId="024D72FD" w14:textId="41365D8F" w:rsidR="00C76B69" w:rsidRPr="00710EE2" w:rsidRDefault="00C76B69" w:rsidP="00620130">
      <w:pPr>
        <w:spacing w:line="360" w:lineRule="auto"/>
        <w:jc w:val="both"/>
        <w:rPr>
          <w:rFonts w:ascii="Arial" w:hAnsi="Arial" w:cs="Arial"/>
          <w:sz w:val="22"/>
          <w:szCs w:val="22"/>
        </w:rPr>
      </w:pPr>
      <w:r w:rsidRPr="00710EE2">
        <w:rPr>
          <w:rFonts w:ascii="Arial" w:hAnsi="Arial" w:cs="Arial"/>
          <w:sz w:val="22"/>
          <w:szCs w:val="22"/>
        </w:rPr>
        <w:t>Generalised Anxiety Disorder (GAD) has been categorised in the International Classification of Diseases, 11</w:t>
      </w:r>
      <w:r w:rsidRPr="00710EE2">
        <w:rPr>
          <w:rFonts w:ascii="Arial" w:hAnsi="Arial" w:cs="Arial"/>
          <w:sz w:val="22"/>
          <w:szCs w:val="22"/>
          <w:vertAlign w:val="superscript"/>
        </w:rPr>
        <w:t>th</w:t>
      </w:r>
      <w:r w:rsidRPr="00710EE2">
        <w:rPr>
          <w:rFonts w:ascii="Arial" w:hAnsi="Arial" w:cs="Arial"/>
          <w:sz w:val="22"/>
          <w:szCs w:val="22"/>
        </w:rPr>
        <w:t xml:space="preserve"> Revision (ICD-11), belonging to the </w:t>
      </w:r>
      <w:r w:rsidR="00A93039" w:rsidRPr="00710EE2">
        <w:rPr>
          <w:rFonts w:ascii="Arial" w:hAnsi="Arial" w:cs="Arial"/>
          <w:sz w:val="22"/>
          <w:szCs w:val="22"/>
        </w:rPr>
        <w:t>group</w:t>
      </w:r>
      <w:r w:rsidRPr="00710EE2">
        <w:rPr>
          <w:rFonts w:ascii="Arial" w:hAnsi="Arial" w:cs="Arial"/>
          <w:sz w:val="22"/>
          <w:szCs w:val="22"/>
        </w:rPr>
        <w:t xml:space="preserve"> of "Anxiety or Fear-Related Disorders," </w:t>
      </w:r>
      <w:r w:rsidR="00A93039" w:rsidRPr="00710EE2">
        <w:rPr>
          <w:rFonts w:ascii="Arial" w:hAnsi="Arial" w:cs="Arial"/>
          <w:sz w:val="22"/>
          <w:szCs w:val="22"/>
        </w:rPr>
        <w:t xml:space="preserve">as </w:t>
      </w:r>
      <w:r w:rsidRPr="00710EE2">
        <w:rPr>
          <w:rFonts w:ascii="Arial" w:hAnsi="Arial" w:cs="Arial"/>
          <w:sz w:val="22"/>
          <w:szCs w:val="22"/>
        </w:rPr>
        <w:t xml:space="preserve">the code </w:t>
      </w:r>
      <w:r w:rsidR="00A93039" w:rsidRPr="00710EE2">
        <w:rPr>
          <w:rFonts w:ascii="Arial" w:hAnsi="Arial" w:cs="Arial"/>
          <w:sz w:val="22"/>
          <w:szCs w:val="22"/>
        </w:rPr>
        <w:t xml:space="preserve">number </w:t>
      </w:r>
      <w:r w:rsidRPr="00710EE2">
        <w:rPr>
          <w:rFonts w:ascii="Arial" w:hAnsi="Arial" w:cs="Arial"/>
          <w:sz w:val="22"/>
          <w:szCs w:val="22"/>
        </w:rPr>
        <w:t>6B00</w:t>
      </w:r>
      <w:r w:rsidR="00710EE2">
        <w:rPr>
          <w:rFonts w:ascii="Arial" w:hAnsi="Arial" w:cs="Arial"/>
          <w:sz w:val="22"/>
          <w:szCs w:val="22"/>
        </w:rPr>
        <w:t xml:space="preserve"> </w:t>
      </w:r>
      <w:r w:rsidR="00710EE2">
        <w:rPr>
          <w:rFonts w:ascii="Arial" w:hAnsi="Arial" w:cs="Arial"/>
          <w:sz w:val="22"/>
          <w:szCs w:val="22"/>
        </w:rPr>
        <w:fldChar w:fldCharType="begin" w:fldLock="1"/>
      </w:r>
      <w:r w:rsidR="00710EE2">
        <w:rPr>
          <w:rFonts w:ascii="Arial" w:hAnsi="Arial" w:cs="Arial"/>
          <w:sz w:val="22"/>
          <w:szCs w:val="22"/>
        </w:rPr>
        <w:instrText>ADDIN CSL_CITATION {"citationItems":[{"id":"ITEM-1","itemData":{"URL":"https://icd.who.int/browse/2024-01/mms/en#1336943699","container-title":"ICD-11 for Mortality and Morbidity Statistics","id":"ITEM-1","issued":{"date-parts":[["2024"]]},"title":"Anxiety or fear-related disorders","type":"webpage"},"uris":["http://www.mendeley.com/documents/?uuid=803950ba-eaf8-4d22-8bda-ce4c623918d3"]}],"mendeley":{"formattedCitation":"(&lt;i&gt;Anxiety or fear-related disorders&lt;/i&gt;, 2024)","plainTextFormattedCitation":"(Anxiety or fear-related disorders, 2024)","previouslyFormattedCitation":"(&lt;i&gt;Anxiety or fear-related disorders&lt;/i&gt;, 2024)"},"properties":{"noteIndex":0},"schema":"https://github.com/citation-style-language/schema/raw/master/csl-citation.json"}</w:instrText>
      </w:r>
      <w:r w:rsidR="00710EE2">
        <w:rPr>
          <w:rFonts w:ascii="Arial" w:hAnsi="Arial" w:cs="Arial"/>
          <w:sz w:val="22"/>
          <w:szCs w:val="22"/>
        </w:rPr>
        <w:fldChar w:fldCharType="separate"/>
      </w:r>
      <w:r w:rsidR="00710EE2" w:rsidRPr="00710EE2">
        <w:rPr>
          <w:rFonts w:ascii="Arial" w:hAnsi="Arial" w:cs="Arial"/>
          <w:noProof/>
          <w:sz w:val="22"/>
          <w:szCs w:val="22"/>
        </w:rPr>
        <w:t>(</w:t>
      </w:r>
      <w:r w:rsidR="00710EE2" w:rsidRPr="00710EE2">
        <w:rPr>
          <w:rFonts w:ascii="Arial" w:hAnsi="Arial" w:cs="Arial"/>
          <w:i/>
          <w:noProof/>
          <w:sz w:val="22"/>
          <w:szCs w:val="22"/>
        </w:rPr>
        <w:t>Anxiety or fear-related disorders</w:t>
      </w:r>
      <w:r w:rsidR="00710EE2" w:rsidRPr="00710EE2">
        <w:rPr>
          <w:rFonts w:ascii="Arial" w:hAnsi="Arial" w:cs="Arial"/>
          <w:noProof/>
          <w:sz w:val="22"/>
          <w:szCs w:val="22"/>
        </w:rPr>
        <w:t>, 2024)</w:t>
      </w:r>
      <w:r w:rsidR="00710EE2">
        <w:rPr>
          <w:rFonts w:ascii="Arial" w:hAnsi="Arial" w:cs="Arial"/>
          <w:sz w:val="22"/>
          <w:szCs w:val="22"/>
        </w:rPr>
        <w:fldChar w:fldCharType="end"/>
      </w:r>
      <w:r w:rsidRPr="00710EE2">
        <w:rPr>
          <w:rFonts w:ascii="Arial" w:hAnsi="Arial" w:cs="Arial"/>
          <w:sz w:val="22"/>
          <w:szCs w:val="22"/>
        </w:rPr>
        <w:t xml:space="preserve">. </w:t>
      </w:r>
      <w:r w:rsidR="00A93039" w:rsidRPr="00710EE2">
        <w:rPr>
          <w:rFonts w:ascii="Arial" w:hAnsi="Arial" w:cs="Arial"/>
          <w:sz w:val="22"/>
          <w:szCs w:val="22"/>
        </w:rPr>
        <w:t xml:space="preserve">Here, it can be identified a variety of conditions including </w:t>
      </w:r>
      <w:r w:rsidR="00F26ADD" w:rsidRPr="00710EE2">
        <w:rPr>
          <w:rFonts w:ascii="Arial" w:hAnsi="Arial" w:cs="Arial"/>
          <w:sz w:val="22"/>
          <w:szCs w:val="22"/>
        </w:rPr>
        <w:t xml:space="preserve">anxiety, fear, and related behavioural disturbances. Further, it can be said </w:t>
      </w:r>
      <w:r w:rsidR="00710EE2" w:rsidRPr="00710EE2">
        <w:rPr>
          <w:rFonts w:ascii="Arial" w:hAnsi="Arial" w:cs="Arial"/>
          <w:sz w:val="22"/>
          <w:szCs w:val="22"/>
        </w:rPr>
        <w:t>that</w:t>
      </w:r>
      <w:r w:rsidR="00F26ADD" w:rsidRPr="00710EE2">
        <w:rPr>
          <w:rFonts w:ascii="Arial" w:hAnsi="Arial" w:cs="Arial"/>
          <w:sz w:val="22"/>
          <w:szCs w:val="22"/>
        </w:rPr>
        <w:t xml:space="preserve"> GAD </w:t>
      </w:r>
      <w:r w:rsidRPr="00710EE2">
        <w:rPr>
          <w:rFonts w:ascii="Arial" w:hAnsi="Arial" w:cs="Arial"/>
          <w:sz w:val="22"/>
          <w:szCs w:val="22"/>
        </w:rPr>
        <w:t>comes under the category of persistent and pervasive forms of anxiety</w:t>
      </w:r>
      <w:r w:rsidR="00710EE2">
        <w:rPr>
          <w:rFonts w:ascii="Arial" w:hAnsi="Arial" w:cs="Arial"/>
          <w:sz w:val="22"/>
          <w:szCs w:val="22"/>
        </w:rPr>
        <w:t xml:space="preserve"> </w:t>
      </w:r>
      <w:r w:rsidR="00710EE2">
        <w:rPr>
          <w:rFonts w:ascii="Arial" w:hAnsi="Arial" w:cs="Arial"/>
          <w:sz w:val="22"/>
          <w:szCs w:val="22"/>
        </w:rPr>
        <w:fldChar w:fldCharType="begin" w:fldLock="1"/>
      </w:r>
      <w:r w:rsidR="00710EE2">
        <w:rPr>
          <w:rFonts w:ascii="Arial" w:hAnsi="Arial" w:cs="Arial"/>
          <w:sz w:val="22"/>
          <w:szCs w:val="22"/>
        </w:rPr>
        <w:instrText>ADDIN CSL_CITATION {"citationItems":[{"id":"ITEM-1","itemData":{"DOI":"https://doi.org/10.1016/j.cpr.2022.102142","author":[{"dropping-particle":"","family":"Clauss","given":"Kate","non-dropping-particle":"","parse-names":false,"suffix":""},{"dropping-particle":"","family":"Gorday","given":"Julia Y.","non-dropping-particle":"","parse-names":false,"suffix":""},{"dropping-particle":"","family":"Bardeen","given":"Joseph R.","non-dropping-particle":"","parse-names":false,"suffix":""}],"container-title":"Clinical Psychological Review","id":"ITEM-1","issued":{"date-parts":[["2022"]]},"title":"Eye tracking evidence of threat-related attentional bias in anxiety- and fear-related disorders: A systematic review and meta-analysis","type":"article-journal","volume":"93"},"uris":["http://www.mendeley.com/documents/?uuid=26ddb808-1346-4925-b421-b98de099e9c9"]}],"mendeley":{"formattedCitation":"(Clauss, Gorday and Bardeen, 2022)","plainTextFormattedCitation":"(Clauss, Gorday and Bardeen, 2022)","previouslyFormattedCitation":"(Clauss, Gorday and Bardeen, 2022)"},"properties":{"noteIndex":0},"schema":"https://github.com/citation-style-language/schema/raw/master/csl-citation.json"}</w:instrText>
      </w:r>
      <w:r w:rsidR="00710EE2">
        <w:rPr>
          <w:rFonts w:ascii="Arial" w:hAnsi="Arial" w:cs="Arial"/>
          <w:sz w:val="22"/>
          <w:szCs w:val="22"/>
        </w:rPr>
        <w:fldChar w:fldCharType="separate"/>
      </w:r>
      <w:r w:rsidR="00710EE2" w:rsidRPr="00710EE2">
        <w:rPr>
          <w:rFonts w:ascii="Arial" w:hAnsi="Arial" w:cs="Arial"/>
          <w:noProof/>
          <w:sz w:val="22"/>
          <w:szCs w:val="22"/>
        </w:rPr>
        <w:t>(Clauss, Gorday and Bardeen, 2022)</w:t>
      </w:r>
      <w:r w:rsidR="00710EE2">
        <w:rPr>
          <w:rFonts w:ascii="Arial" w:hAnsi="Arial" w:cs="Arial"/>
          <w:sz w:val="22"/>
          <w:szCs w:val="22"/>
        </w:rPr>
        <w:fldChar w:fldCharType="end"/>
      </w:r>
      <w:r w:rsidR="008D19EA" w:rsidRPr="00710EE2">
        <w:rPr>
          <w:rFonts w:ascii="Arial" w:hAnsi="Arial" w:cs="Arial"/>
          <w:sz w:val="22"/>
          <w:szCs w:val="22"/>
        </w:rPr>
        <w:t>. Further it is</w:t>
      </w:r>
      <w:r w:rsidRPr="00710EE2">
        <w:rPr>
          <w:rFonts w:ascii="Arial" w:hAnsi="Arial" w:cs="Arial"/>
          <w:sz w:val="22"/>
          <w:szCs w:val="22"/>
        </w:rPr>
        <w:t xml:space="preserve"> not limited to particular circumstances or objects but </w:t>
      </w:r>
      <w:r w:rsidR="00717FD1" w:rsidRPr="00710EE2">
        <w:rPr>
          <w:rFonts w:ascii="Arial" w:hAnsi="Arial" w:cs="Arial"/>
          <w:sz w:val="22"/>
          <w:szCs w:val="22"/>
        </w:rPr>
        <w:t>triggers</w:t>
      </w:r>
      <w:r w:rsidRPr="00710EE2">
        <w:rPr>
          <w:rFonts w:ascii="Arial" w:hAnsi="Arial" w:cs="Arial"/>
          <w:sz w:val="22"/>
          <w:szCs w:val="22"/>
        </w:rPr>
        <w:t xml:space="preserve"> constant worries and apprehensions related to various factors of life </w:t>
      </w:r>
      <w:r w:rsidR="00F26ADD" w:rsidRPr="00710EE2">
        <w:rPr>
          <w:rFonts w:ascii="Arial" w:hAnsi="Arial" w:cs="Arial"/>
          <w:sz w:val="22"/>
          <w:szCs w:val="22"/>
        </w:rPr>
        <w:t xml:space="preserve">such as </w:t>
      </w:r>
      <w:r w:rsidRPr="00710EE2">
        <w:rPr>
          <w:rFonts w:ascii="Arial" w:hAnsi="Arial" w:cs="Arial"/>
          <w:sz w:val="22"/>
          <w:szCs w:val="22"/>
        </w:rPr>
        <w:t>health,</w:t>
      </w:r>
      <w:r w:rsidR="00F26ADD" w:rsidRPr="00710EE2">
        <w:rPr>
          <w:rFonts w:ascii="Arial" w:hAnsi="Arial" w:cs="Arial"/>
          <w:sz w:val="22"/>
          <w:szCs w:val="22"/>
        </w:rPr>
        <w:t xml:space="preserve"> </w:t>
      </w:r>
      <w:r w:rsidRPr="00710EE2">
        <w:rPr>
          <w:rFonts w:ascii="Arial" w:hAnsi="Arial" w:cs="Arial"/>
          <w:sz w:val="22"/>
          <w:szCs w:val="22"/>
        </w:rPr>
        <w:t>family, finances, and occupation.</w:t>
      </w:r>
    </w:p>
    <w:p w14:paraId="6CC8E5F2" w14:textId="1699E6CA" w:rsidR="00A462BF" w:rsidRPr="00710EE2" w:rsidRDefault="008D19EA" w:rsidP="00620130">
      <w:pPr>
        <w:spacing w:line="360" w:lineRule="auto"/>
        <w:jc w:val="both"/>
        <w:rPr>
          <w:rFonts w:ascii="Arial" w:hAnsi="Arial" w:cs="Arial"/>
          <w:sz w:val="22"/>
          <w:szCs w:val="22"/>
        </w:rPr>
      </w:pPr>
      <w:r w:rsidRPr="00710EE2">
        <w:rPr>
          <w:rFonts w:ascii="Arial" w:hAnsi="Arial" w:cs="Arial"/>
          <w:sz w:val="22"/>
          <w:szCs w:val="22"/>
        </w:rPr>
        <w:t>As per t</w:t>
      </w:r>
      <w:r w:rsidR="00C76B69" w:rsidRPr="00710EE2">
        <w:rPr>
          <w:rFonts w:ascii="Arial" w:hAnsi="Arial" w:cs="Arial"/>
          <w:sz w:val="22"/>
          <w:szCs w:val="22"/>
        </w:rPr>
        <w:t>he ICD-11 classification system</w:t>
      </w:r>
      <w:r w:rsidRPr="00710EE2">
        <w:rPr>
          <w:rFonts w:ascii="Arial" w:hAnsi="Arial" w:cs="Arial"/>
          <w:sz w:val="22"/>
          <w:szCs w:val="22"/>
        </w:rPr>
        <w:t>, it</w:t>
      </w:r>
      <w:r w:rsidR="00C76B69" w:rsidRPr="00710EE2">
        <w:rPr>
          <w:rFonts w:ascii="Arial" w:hAnsi="Arial" w:cs="Arial"/>
          <w:sz w:val="22"/>
          <w:szCs w:val="22"/>
        </w:rPr>
        <w:t xml:space="preserve"> follows a dimensional and contextual approach to diagnosis. </w:t>
      </w:r>
      <w:r w:rsidRPr="00710EE2">
        <w:rPr>
          <w:rFonts w:ascii="Arial" w:hAnsi="Arial" w:cs="Arial"/>
          <w:sz w:val="22"/>
          <w:szCs w:val="22"/>
        </w:rPr>
        <w:t xml:space="preserve">Accordingly, </w:t>
      </w:r>
      <w:r w:rsidR="00DE4F8A" w:rsidRPr="00710EE2">
        <w:rPr>
          <w:rFonts w:ascii="Arial" w:hAnsi="Arial" w:cs="Arial"/>
          <w:sz w:val="22"/>
          <w:szCs w:val="22"/>
        </w:rPr>
        <w:t xml:space="preserve">it can be approved that </w:t>
      </w:r>
      <w:r w:rsidR="00C76B69" w:rsidRPr="00710EE2">
        <w:rPr>
          <w:rFonts w:ascii="Arial" w:hAnsi="Arial" w:cs="Arial"/>
          <w:sz w:val="22"/>
          <w:szCs w:val="22"/>
        </w:rPr>
        <w:t>mental illnesses inevitably exist on a severity continuum</w:t>
      </w:r>
      <w:r w:rsidR="00710EE2">
        <w:rPr>
          <w:rFonts w:ascii="Arial" w:hAnsi="Arial" w:cs="Arial"/>
          <w:sz w:val="22"/>
          <w:szCs w:val="22"/>
        </w:rPr>
        <w:t xml:space="preserve"> </w:t>
      </w:r>
      <w:r w:rsidR="00710EE2">
        <w:rPr>
          <w:rFonts w:ascii="Arial" w:hAnsi="Arial" w:cs="Arial"/>
          <w:sz w:val="22"/>
          <w:szCs w:val="22"/>
        </w:rPr>
        <w:fldChar w:fldCharType="begin" w:fldLock="1"/>
      </w:r>
      <w:r w:rsidR="00E62D0A">
        <w:rPr>
          <w:rFonts w:ascii="Arial" w:hAnsi="Arial" w:cs="Arial"/>
          <w:sz w:val="22"/>
          <w:szCs w:val="22"/>
        </w:rPr>
        <w:instrText>ADDIN CSL_CITATION {"citationItems":[{"id":"ITEM-1","itemData":{"URL":"https://icd.who.int/browse/2024-01/mms/en#1336943699","container-title":"ICD-11 for Mortality and Morbidity Statistics","id":"ITEM-1","issued":{"date-parts":[["2024"]]},"title":"Anxiety or fear-related disorders","type":"webpage"},"uris":["http://www.mendeley.com/documents/?uuid=803950ba-eaf8-4d22-8bda-ce4c623918d3"]}],"mendeley":{"formattedCitation":"(&lt;i&gt;Anxiety or fear-related disorders&lt;/i&gt;, 2024)","plainTextFormattedCitation":"(Anxiety or fear-related disorders, 2024)","previouslyFormattedCitation":"(&lt;i&gt;Anxiety or fear-related disorders&lt;/i&gt;, 2024)"},"properties":{"noteIndex":0},"schema":"https://github.com/citation-style-language/schema/raw/master/csl-citation.json"}</w:instrText>
      </w:r>
      <w:r w:rsidR="00710EE2">
        <w:rPr>
          <w:rFonts w:ascii="Arial" w:hAnsi="Arial" w:cs="Arial"/>
          <w:sz w:val="22"/>
          <w:szCs w:val="22"/>
        </w:rPr>
        <w:fldChar w:fldCharType="separate"/>
      </w:r>
      <w:r w:rsidR="00710EE2" w:rsidRPr="00710EE2">
        <w:rPr>
          <w:rFonts w:ascii="Arial" w:hAnsi="Arial" w:cs="Arial"/>
          <w:noProof/>
          <w:sz w:val="22"/>
          <w:szCs w:val="22"/>
        </w:rPr>
        <w:t>(</w:t>
      </w:r>
      <w:r w:rsidR="00710EE2" w:rsidRPr="00710EE2">
        <w:rPr>
          <w:rFonts w:ascii="Arial" w:hAnsi="Arial" w:cs="Arial"/>
          <w:i/>
          <w:noProof/>
          <w:sz w:val="22"/>
          <w:szCs w:val="22"/>
        </w:rPr>
        <w:t>Anxiety or fear-related disorders</w:t>
      </w:r>
      <w:r w:rsidR="00710EE2" w:rsidRPr="00710EE2">
        <w:rPr>
          <w:rFonts w:ascii="Arial" w:hAnsi="Arial" w:cs="Arial"/>
          <w:noProof/>
          <w:sz w:val="22"/>
          <w:szCs w:val="22"/>
        </w:rPr>
        <w:t>, 2024)</w:t>
      </w:r>
      <w:r w:rsidR="00710EE2">
        <w:rPr>
          <w:rFonts w:ascii="Arial" w:hAnsi="Arial" w:cs="Arial"/>
          <w:sz w:val="22"/>
          <w:szCs w:val="22"/>
        </w:rPr>
        <w:fldChar w:fldCharType="end"/>
      </w:r>
      <w:r w:rsidR="00C76B69" w:rsidRPr="00710EE2">
        <w:rPr>
          <w:rFonts w:ascii="Arial" w:hAnsi="Arial" w:cs="Arial"/>
          <w:sz w:val="22"/>
          <w:szCs w:val="22"/>
        </w:rPr>
        <w:t>. T</w:t>
      </w:r>
      <w:r w:rsidR="00DE4F8A" w:rsidRPr="00710EE2">
        <w:rPr>
          <w:rFonts w:ascii="Arial" w:hAnsi="Arial" w:cs="Arial"/>
          <w:sz w:val="22"/>
          <w:szCs w:val="22"/>
        </w:rPr>
        <w:t>herefore, t</w:t>
      </w:r>
      <w:r w:rsidR="00C76B69" w:rsidRPr="00710EE2">
        <w:rPr>
          <w:rFonts w:ascii="Arial" w:hAnsi="Arial" w:cs="Arial"/>
          <w:sz w:val="22"/>
          <w:szCs w:val="22"/>
        </w:rPr>
        <w:t>his model of diagnosis enables the assessment of the severity of the symptoms that an individual may be exhibiting</w:t>
      </w:r>
      <w:r w:rsidR="00E62D0A">
        <w:rPr>
          <w:rFonts w:ascii="Arial" w:hAnsi="Arial" w:cs="Arial"/>
          <w:sz w:val="22"/>
          <w:szCs w:val="22"/>
        </w:rPr>
        <w:t xml:space="preserve"> </w:t>
      </w:r>
      <w:r w:rsidR="00E62D0A">
        <w:rPr>
          <w:rFonts w:ascii="Arial" w:hAnsi="Arial" w:cs="Arial"/>
          <w:sz w:val="22"/>
          <w:szCs w:val="22"/>
        </w:rPr>
        <w:fldChar w:fldCharType="begin" w:fldLock="1"/>
      </w:r>
      <w:r w:rsidR="00E62D0A">
        <w:rPr>
          <w:rFonts w:ascii="Arial" w:hAnsi="Arial" w:cs="Arial"/>
          <w:sz w:val="22"/>
          <w:szCs w:val="22"/>
        </w:rPr>
        <w:instrText>ADDIN CSL_CITATION {"citationItems":[{"id":"ITEM-1","itemData":{"DOI":"10.1037/0033-2909.124.1.3","ISSN":"00332909","PMID":"9670819","abstract":"Current developments in cognitive and emotion theory suggest that anxiety plays a rather central role in negative emotions. This article reviews findings in the area of anxiety and depression, helplessness, locus of control, explanatory style, animal learning, biology, parenting, attachment theory, and childhood stress and resilience to articulate a model of the environmental influences on the development of anxiety. Evidence from a variety of sources suggests that early experience with diminished control may foster a cognitive style characterized by an increased probability of interpreting or processing subsequent events as out of one's control, which may represent a psychological vulnerability for anxiety. Implications for research are discussed.","author":[{"dropping-particle":"","family":"Chorpita","given":"Bruce F.","non-dropping-particle":"","parse-names":false,"suffix":""},{"dropping-particle":"","family":"Barlow","given":"David H.","non-dropping-particle":"","parse-names":false,"suffix":""}],"container-title":"Psychological Bulletin","id":"ITEM-1","issue":"1","issued":{"date-parts":[["1998"]]},"page":"3-21","title":"The Development of Anxiety: The Role of Control in the Early Environment","type":"article-journal","volume":"124"},"uris":["http://www.mendeley.com/documents/?uuid=ee9785d4-a2c0-4565-a339-629ce5204a46"]}],"mendeley":{"formattedCitation":"(Chorpita and Barlow, 1998)","plainTextFormattedCitation":"(Chorpita and Barlow, 1998)","previouslyFormattedCitation":"(Chorpita and Barlow, 1998)"},"properties":{"noteIndex":0},"schema":"https://github.com/citation-style-language/schema/raw/master/csl-citation.json"}</w:instrText>
      </w:r>
      <w:r w:rsidR="00E62D0A">
        <w:rPr>
          <w:rFonts w:ascii="Arial" w:hAnsi="Arial" w:cs="Arial"/>
          <w:sz w:val="22"/>
          <w:szCs w:val="22"/>
        </w:rPr>
        <w:fldChar w:fldCharType="separate"/>
      </w:r>
      <w:r w:rsidR="00E62D0A" w:rsidRPr="00E62D0A">
        <w:rPr>
          <w:rFonts w:ascii="Arial" w:hAnsi="Arial" w:cs="Arial"/>
          <w:noProof/>
          <w:sz w:val="22"/>
          <w:szCs w:val="22"/>
        </w:rPr>
        <w:t>(Chorpita and Barlow, 1998)</w:t>
      </w:r>
      <w:r w:rsidR="00E62D0A">
        <w:rPr>
          <w:rFonts w:ascii="Arial" w:hAnsi="Arial" w:cs="Arial"/>
          <w:sz w:val="22"/>
          <w:szCs w:val="22"/>
        </w:rPr>
        <w:fldChar w:fldCharType="end"/>
      </w:r>
      <w:r w:rsidR="00C76B69" w:rsidRPr="00710EE2">
        <w:rPr>
          <w:rFonts w:ascii="Arial" w:hAnsi="Arial" w:cs="Arial"/>
          <w:sz w:val="22"/>
          <w:szCs w:val="22"/>
        </w:rPr>
        <w:t xml:space="preserve">. </w:t>
      </w:r>
      <w:r w:rsidR="00DE4F8A" w:rsidRPr="00710EE2">
        <w:rPr>
          <w:rFonts w:ascii="Arial" w:hAnsi="Arial" w:cs="Arial"/>
          <w:sz w:val="22"/>
          <w:szCs w:val="22"/>
        </w:rPr>
        <w:t xml:space="preserve">Under the </w:t>
      </w:r>
      <w:r w:rsidR="00C76B69" w:rsidRPr="00710EE2">
        <w:rPr>
          <w:rFonts w:ascii="Arial" w:hAnsi="Arial" w:cs="Arial"/>
          <w:sz w:val="22"/>
          <w:szCs w:val="22"/>
        </w:rPr>
        <w:t>ICD-11 also</w:t>
      </w:r>
      <w:r w:rsidR="00DE4F8A" w:rsidRPr="00710EE2">
        <w:rPr>
          <w:rFonts w:ascii="Arial" w:hAnsi="Arial" w:cs="Arial"/>
          <w:sz w:val="22"/>
          <w:szCs w:val="22"/>
        </w:rPr>
        <w:t xml:space="preserve">, it has been emphasized  that </w:t>
      </w:r>
      <w:r w:rsidR="00C76B69" w:rsidRPr="00710EE2">
        <w:rPr>
          <w:rFonts w:ascii="Arial" w:hAnsi="Arial" w:cs="Arial"/>
          <w:sz w:val="22"/>
          <w:szCs w:val="22"/>
        </w:rPr>
        <w:t>the role of culture in understanding anxiety.</w:t>
      </w:r>
      <w:r w:rsidR="00A462BF" w:rsidRPr="00710EE2">
        <w:rPr>
          <w:rFonts w:ascii="Arial" w:hAnsi="Arial" w:cs="Arial"/>
          <w:sz w:val="22"/>
          <w:szCs w:val="22"/>
        </w:rPr>
        <w:t xml:space="preserve"> Accordingly, it</w:t>
      </w:r>
      <w:r w:rsidR="00C76B69" w:rsidRPr="00710EE2">
        <w:rPr>
          <w:rFonts w:ascii="Arial" w:hAnsi="Arial" w:cs="Arial"/>
          <w:sz w:val="22"/>
          <w:szCs w:val="22"/>
        </w:rPr>
        <w:t xml:space="preserve"> recognizes that anxiety symptoms can be experienced differently by various societies</w:t>
      </w:r>
      <w:r w:rsidR="00A462BF" w:rsidRPr="00710EE2">
        <w:rPr>
          <w:rFonts w:ascii="Arial" w:hAnsi="Arial" w:cs="Arial"/>
          <w:sz w:val="22"/>
          <w:szCs w:val="22"/>
        </w:rPr>
        <w:t xml:space="preserve"> including experiencing bodily complaints such as dizziness or abdominal distress</w:t>
      </w:r>
      <w:r w:rsidR="00E62D0A">
        <w:rPr>
          <w:rFonts w:ascii="Arial" w:hAnsi="Arial" w:cs="Arial"/>
          <w:sz w:val="22"/>
          <w:szCs w:val="22"/>
        </w:rPr>
        <w:t xml:space="preserve"> </w:t>
      </w:r>
      <w:r w:rsidR="00E62D0A">
        <w:rPr>
          <w:rFonts w:ascii="Arial" w:hAnsi="Arial" w:cs="Arial"/>
          <w:sz w:val="22"/>
          <w:szCs w:val="22"/>
        </w:rPr>
        <w:fldChar w:fldCharType="begin" w:fldLock="1"/>
      </w:r>
      <w:r w:rsidR="00E62D0A">
        <w:rPr>
          <w:rFonts w:ascii="Arial" w:hAnsi="Arial" w:cs="Arial"/>
          <w:sz w:val="22"/>
          <w:szCs w:val="22"/>
        </w:rPr>
        <w:instrText>ADDIN CSL_CITATION {"citationItems":[{"id":"ITEM-1","itemData":{"DOI":"10.1016/j.arcmed.2019.12.012","ISSN":"18735487","PMID":"32018071","abstract":"Background: This article reports the results of one of a series of global field studies implemented by the World Health Organization (WHO) to evaluate the accuracy, clinical utility, and global applicability of the new diagnostic guidelines for Mental, Behavioural and Neurological Disorders included in the next version of WHO's International Classification of Diseases (ICD-11). Aims of the study: The purpose of this study was to compare the diagnostic accuracy and clinical utility ratings of global clinicians implementing the ICD-11 diagnostic guidelines for Anxiety and Fear-Related Disorders, relative to those applying ICD-10 guidelines. The study also aimed to identify elements of the guidelines that required further refinement or clarification. Methods: 1840 global mental health professionals registered with WHO's Global Clinical Practice Network completed the study in one of six study languages. Participants were randomly assigned to apply either the ICD-11 or ICD-10 guidelines to diagnose standardized case vignettes, and to rate the clinical utility of their assigned guidelines. Results: ICD-11's diagnostic accuracy and clinical utility were equivalent or superior to that of ICD-10. Global clinicians were significantly more accurate in diagnosing Generalized Anxiety Disorder, Specific Phobia and adult cases of Separation Anxiety Disorder when using ICD-11 and provided high clinical utility ratings for these disorders. Clinicians also found the ICD-11 guidelines easy to use, clear, and a good fit to patients they see in their clinical practice. However, clinicians had difficulty with distinguishing the boundary between disorder and normality for subthreshold cases of anxiety, and also with applying the new ICD-11 guidelines on panic attacks. Conclusions: The new diagnostic guidelines for Anxiety Disorders in ICD-11 can be applied in an acceptably consistent manner by global clinicians and perform as well or better than the previous guidelines for ICD-10. Study findings also helped identify aspects of the ICD-11 guidelines that required refinement prior to their publication and areas that should be emphasized in training programs.","author":[{"dropping-particle":"","family":"Rebello","given":"Tahilia J.","non-dropping-particle":"","parse-names":false,"suffix":""},{"dropping-particle":"","family":"Keeley","given":"Jared W.","non-dropping-particle":"","parse-names":false,"suffix":""},{"dropping-particle":"","family":"Kogan","given":"Cary S.","non-dropping-particle":"","parse-names":false,"suffix":""},{"dropping-particle":"","family":"Sharan","given":"Pratap","non-dropping-particle":"","parse-names":false,"suffix":""},{"dropping-particle":"","family":"Matsumoto","given":"Chihiro","non-dropping-particle":"","parse-names":false,"suffix":""},{"dropping-particle":"","family":"Kuligyna","given":"Maya","non-dropping-particle":"","parse-names":false,"suffix":""},{"dropping-particle":"","family":"Domínguez-Martínez","given":"Tecelli","non-dropping-particle":"","parse-names":false,"suffix":""},{"dropping-particle":"","family":"Stona","given":"Anne Claire","non-dropping-particle":"","parse-names":false,"suffix":""},{"dropping-particle":"","family":"Grenier","given":"Jean","non-dropping-particle":"","parse-names":false,"suffix":""},{"dropping-particle":"","family":"Huang","given":"Jingjing","non-dropping-particle":"","parse-names":false,"suffix":""},{"dropping-particle":"","family":"Zhong","given":"Na","non-dropping-particle":"","parse-names":false,"suffix":""},{"dropping-particle":"","family":"Stein","given":"Dan J.","non-dropping-particle":"","parse-names":false,"suffix":""},{"dropping-particle":"","family":"Emmelkamp","given":"Paul","non-dropping-particle":"","parse-names":false,"suffix":""},{"dropping-particle":"","family":"Chakrabarti","given":"Subho","non-dropping-particle":"","parse-names":false,"suffix":""},{"dropping-particle":"","family":"Andrews","given":"Howard F.","non-dropping-particle":"","parse-names":false,"suffix":""},{"dropping-particle":"","family":"Reed","given":"Geoffrey M.","non-dropping-particle":"","parse-names":false,"suffix":""}],"container-title":"Archives of Medical Research","id":"ITEM-1","issue":"8","issued":{"date-parts":[["2019"]]},"page":"490-501","title":"Anxiety and Fear-Related Disorders in the ICD-11: Results from a Global Case-controlled Field Study","type":"article-journal","volume":"50"},"uris":["http://www.mendeley.com/documents/?uuid=809c2228-6458-49f9-b43c-e67fd31d5310"]}],"mendeley":{"formattedCitation":"(Rebello &lt;i&gt;et al.&lt;/i&gt;, 2019)","plainTextFormattedCitation":"(Rebello et al., 2019)","previouslyFormattedCitation":"(Rebello &lt;i&gt;et al.&lt;/i&gt;, 2019)"},"properties":{"noteIndex":0},"schema":"https://github.com/citation-style-language/schema/raw/master/csl-citation.json"}</w:instrText>
      </w:r>
      <w:r w:rsidR="00E62D0A">
        <w:rPr>
          <w:rFonts w:ascii="Arial" w:hAnsi="Arial" w:cs="Arial"/>
          <w:sz w:val="22"/>
          <w:szCs w:val="22"/>
        </w:rPr>
        <w:fldChar w:fldCharType="separate"/>
      </w:r>
      <w:r w:rsidR="00E62D0A" w:rsidRPr="00E62D0A">
        <w:rPr>
          <w:rFonts w:ascii="Arial" w:hAnsi="Arial" w:cs="Arial"/>
          <w:noProof/>
          <w:sz w:val="22"/>
          <w:szCs w:val="22"/>
        </w:rPr>
        <w:t xml:space="preserve">(Rebello </w:t>
      </w:r>
      <w:r w:rsidR="00E62D0A" w:rsidRPr="00E62D0A">
        <w:rPr>
          <w:rFonts w:ascii="Arial" w:hAnsi="Arial" w:cs="Arial"/>
          <w:i/>
          <w:noProof/>
          <w:sz w:val="22"/>
          <w:szCs w:val="22"/>
        </w:rPr>
        <w:t>et al.</w:t>
      </w:r>
      <w:r w:rsidR="00E62D0A" w:rsidRPr="00E62D0A">
        <w:rPr>
          <w:rFonts w:ascii="Arial" w:hAnsi="Arial" w:cs="Arial"/>
          <w:noProof/>
          <w:sz w:val="22"/>
          <w:szCs w:val="22"/>
        </w:rPr>
        <w:t>, 2019)</w:t>
      </w:r>
      <w:r w:rsidR="00E62D0A">
        <w:rPr>
          <w:rFonts w:ascii="Arial" w:hAnsi="Arial" w:cs="Arial"/>
          <w:sz w:val="22"/>
          <w:szCs w:val="22"/>
        </w:rPr>
        <w:fldChar w:fldCharType="end"/>
      </w:r>
      <w:r w:rsidR="00A462BF" w:rsidRPr="00710EE2">
        <w:rPr>
          <w:rFonts w:ascii="Arial" w:hAnsi="Arial" w:cs="Arial"/>
          <w:sz w:val="22"/>
          <w:szCs w:val="22"/>
        </w:rPr>
        <w:t>.</w:t>
      </w:r>
    </w:p>
    <w:p w14:paraId="3EFFBBF7" w14:textId="20B677A5" w:rsidR="00C76B69" w:rsidRPr="00710EE2" w:rsidRDefault="00F32201" w:rsidP="00620130">
      <w:pPr>
        <w:spacing w:line="360" w:lineRule="auto"/>
        <w:jc w:val="both"/>
        <w:rPr>
          <w:rFonts w:ascii="Arial" w:hAnsi="Arial" w:cs="Arial"/>
          <w:sz w:val="22"/>
          <w:szCs w:val="22"/>
        </w:rPr>
      </w:pPr>
      <w:r w:rsidRPr="00710EE2">
        <w:rPr>
          <w:rFonts w:ascii="Arial" w:hAnsi="Arial" w:cs="Arial"/>
          <w:sz w:val="22"/>
          <w:szCs w:val="22"/>
        </w:rPr>
        <w:t xml:space="preserve">Further to the </w:t>
      </w:r>
      <w:r w:rsidR="00C76B69" w:rsidRPr="00710EE2">
        <w:rPr>
          <w:rFonts w:ascii="Arial" w:hAnsi="Arial" w:cs="Arial"/>
          <w:sz w:val="22"/>
          <w:szCs w:val="22"/>
        </w:rPr>
        <w:t xml:space="preserve">ICD-10, which had a more categorical approach towards anxiety disorders that were more symptom-driven, </w:t>
      </w:r>
      <w:r w:rsidRPr="00710EE2">
        <w:rPr>
          <w:rFonts w:ascii="Arial" w:hAnsi="Arial" w:cs="Arial"/>
          <w:sz w:val="22"/>
          <w:szCs w:val="22"/>
        </w:rPr>
        <w:t xml:space="preserve">it has combined </w:t>
      </w:r>
      <w:r w:rsidR="00C76B69" w:rsidRPr="00710EE2">
        <w:rPr>
          <w:rFonts w:ascii="Arial" w:hAnsi="Arial" w:cs="Arial"/>
          <w:sz w:val="22"/>
          <w:szCs w:val="22"/>
        </w:rPr>
        <w:t xml:space="preserve">a much more holistic approach that emphasizes distress, impairment, and context as important components of diagnoses. </w:t>
      </w:r>
      <w:r w:rsidRPr="00710EE2">
        <w:rPr>
          <w:rFonts w:ascii="Arial" w:hAnsi="Arial" w:cs="Arial"/>
          <w:sz w:val="22"/>
          <w:szCs w:val="22"/>
        </w:rPr>
        <w:t xml:space="preserve">Accordingly, it </w:t>
      </w:r>
      <w:r w:rsidR="00C76B69" w:rsidRPr="00710EE2">
        <w:rPr>
          <w:rFonts w:ascii="Arial" w:hAnsi="Arial" w:cs="Arial"/>
          <w:sz w:val="22"/>
          <w:szCs w:val="22"/>
        </w:rPr>
        <w:t>compares that of the DSM-5 in that it also recognizes Generalized Anxiety Disorder as a diagnosable condition but uses a slightly different set of rules that include excessive anxiety and worrying for more days than not for at least six months</w:t>
      </w:r>
      <w:r w:rsidR="00E62D0A">
        <w:rPr>
          <w:rFonts w:ascii="Arial" w:hAnsi="Arial" w:cs="Arial"/>
          <w:sz w:val="22"/>
          <w:szCs w:val="22"/>
        </w:rPr>
        <w:t xml:space="preserve"> </w:t>
      </w:r>
      <w:r w:rsidR="00E62D0A">
        <w:rPr>
          <w:rFonts w:ascii="Arial" w:hAnsi="Arial" w:cs="Arial"/>
          <w:sz w:val="22"/>
          <w:szCs w:val="22"/>
        </w:rPr>
        <w:fldChar w:fldCharType="begin" w:fldLock="1"/>
      </w:r>
      <w:r w:rsidR="00BF775A">
        <w:rPr>
          <w:rFonts w:ascii="Arial" w:hAnsi="Arial" w:cs="Arial"/>
          <w:sz w:val="22"/>
          <w:szCs w:val="22"/>
        </w:rPr>
        <w:instrText>ADDIN CSL_CITATION {"citationItems":[{"id":"ITEM-1","itemData":{"URL":"https://icd.who.int/browse/2024-01/mms/en#1336943699","container-title":"ICD-11 for Mortality and Morbidity Statistics","id":"ITEM-1","issued":{"date-parts":[["2024"]]},"title":"Anxiety or fear-related disorders","type":"webpage"},"uris":["http://www.mendeley.com/documents/?uuid=803950ba-eaf8-4d22-8bda-ce4c623918d3"]}],"mendeley":{"formattedCitation":"(&lt;i&gt;Anxiety or fear-related disorders&lt;/i&gt;, 2024)","plainTextFormattedCitation":"(Anxiety or fear-related disorders, 2024)","previouslyFormattedCitation":"(&lt;i&gt;Anxiety or fear-related disorders&lt;/i&gt;, 2024)"},"properties":{"noteIndex":0},"schema":"https://github.com/citation-style-language/schema/raw/master/csl-citation.json"}</w:instrText>
      </w:r>
      <w:r w:rsidR="00E62D0A">
        <w:rPr>
          <w:rFonts w:ascii="Arial" w:hAnsi="Arial" w:cs="Arial"/>
          <w:sz w:val="22"/>
          <w:szCs w:val="22"/>
        </w:rPr>
        <w:fldChar w:fldCharType="separate"/>
      </w:r>
      <w:r w:rsidR="00E62D0A" w:rsidRPr="00E62D0A">
        <w:rPr>
          <w:rFonts w:ascii="Arial" w:hAnsi="Arial" w:cs="Arial"/>
          <w:noProof/>
          <w:sz w:val="22"/>
          <w:szCs w:val="22"/>
        </w:rPr>
        <w:t>(</w:t>
      </w:r>
      <w:r w:rsidR="00E62D0A" w:rsidRPr="00E62D0A">
        <w:rPr>
          <w:rFonts w:ascii="Arial" w:hAnsi="Arial" w:cs="Arial"/>
          <w:i/>
          <w:noProof/>
          <w:sz w:val="22"/>
          <w:szCs w:val="22"/>
        </w:rPr>
        <w:t>Anxiety or fear-related disorders</w:t>
      </w:r>
      <w:r w:rsidR="00E62D0A" w:rsidRPr="00E62D0A">
        <w:rPr>
          <w:rFonts w:ascii="Arial" w:hAnsi="Arial" w:cs="Arial"/>
          <w:noProof/>
          <w:sz w:val="22"/>
          <w:szCs w:val="22"/>
        </w:rPr>
        <w:t>, 2024)</w:t>
      </w:r>
      <w:r w:rsidR="00E62D0A">
        <w:rPr>
          <w:rFonts w:ascii="Arial" w:hAnsi="Arial" w:cs="Arial"/>
          <w:sz w:val="22"/>
          <w:szCs w:val="22"/>
        </w:rPr>
        <w:fldChar w:fldCharType="end"/>
      </w:r>
      <w:r w:rsidR="00C76B69" w:rsidRPr="00710EE2">
        <w:rPr>
          <w:rFonts w:ascii="Arial" w:hAnsi="Arial" w:cs="Arial"/>
          <w:sz w:val="22"/>
          <w:szCs w:val="22"/>
        </w:rPr>
        <w:t xml:space="preserve">. </w:t>
      </w:r>
      <w:r w:rsidRPr="00710EE2">
        <w:rPr>
          <w:rFonts w:ascii="Arial" w:hAnsi="Arial" w:cs="Arial"/>
          <w:sz w:val="22"/>
          <w:szCs w:val="22"/>
        </w:rPr>
        <w:t xml:space="preserve">Further, it can be said that </w:t>
      </w:r>
      <w:r w:rsidR="00E62D0A" w:rsidRPr="00710EE2">
        <w:rPr>
          <w:rFonts w:ascii="Arial" w:hAnsi="Arial" w:cs="Arial"/>
          <w:sz w:val="22"/>
          <w:szCs w:val="22"/>
        </w:rPr>
        <w:t>its</w:t>
      </w:r>
      <w:r w:rsidRPr="00710EE2">
        <w:rPr>
          <w:rFonts w:ascii="Arial" w:hAnsi="Arial" w:cs="Arial"/>
          <w:sz w:val="22"/>
          <w:szCs w:val="22"/>
        </w:rPr>
        <w:t xml:space="preserve"> </w:t>
      </w:r>
      <w:r w:rsidR="00C76B69" w:rsidRPr="00710EE2">
        <w:rPr>
          <w:rFonts w:ascii="Arial" w:hAnsi="Arial" w:cs="Arial"/>
          <w:sz w:val="22"/>
          <w:szCs w:val="22"/>
        </w:rPr>
        <w:t>emphasis on persistence of duration of the symptoms seems to be in tandem with the imperative of global applicability.</w:t>
      </w:r>
    </w:p>
    <w:p w14:paraId="3D820037" w14:textId="7B1AE341" w:rsidR="00B80C1F" w:rsidRPr="00710EE2" w:rsidRDefault="00B80C1F" w:rsidP="00620130">
      <w:pPr>
        <w:pStyle w:val="Heading2"/>
        <w:spacing w:line="360" w:lineRule="auto"/>
        <w:jc w:val="both"/>
      </w:pPr>
      <w:bookmarkStart w:id="4" w:name="_Toc212717400"/>
      <w:r w:rsidRPr="00710EE2">
        <w:t>Diagnostic Criteria and Processes</w:t>
      </w:r>
      <w:bookmarkEnd w:id="4"/>
    </w:p>
    <w:p w14:paraId="29AEA94A" w14:textId="4F3917B4" w:rsidR="00B80C1F" w:rsidRPr="00710EE2" w:rsidRDefault="00A827A2" w:rsidP="00620130">
      <w:pPr>
        <w:spacing w:line="360" w:lineRule="auto"/>
        <w:jc w:val="both"/>
        <w:rPr>
          <w:rFonts w:ascii="Arial" w:hAnsi="Arial" w:cs="Arial"/>
          <w:sz w:val="22"/>
          <w:szCs w:val="22"/>
        </w:rPr>
      </w:pPr>
      <w:r w:rsidRPr="00710EE2">
        <w:rPr>
          <w:rFonts w:ascii="Arial" w:hAnsi="Arial" w:cs="Arial"/>
          <w:sz w:val="22"/>
          <w:szCs w:val="22"/>
        </w:rPr>
        <w:t xml:space="preserve">The </w:t>
      </w:r>
      <w:r w:rsidR="00B80C1F" w:rsidRPr="00710EE2">
        <w:rPr>
          <w:rFonts w:ascii="Arial" w:hAnsi="Arial" w:cs="Arial"/>
          <w:sz w:val="22"/>
          <w:szCs w:val="22"/>
        </w:rPr>
        <w:t>primary diagnostic presentation of Generalised Anxiety Disorder includes excessive anxiety or worries that tend to be persistent and occur on most days for at least two months</w:t>
      </w:r>
      <w:r w:rsidR="00BF775A">
        <w:rPr>
          <w:rFonts w:ascii="Arial" w:hAnsi="Arial" w:cs="Arial"/>
          <w:sz w:val="22"/>
          <w:szCs w:val="22"/>
        </w:rPr>
        <w:t xml:space="preserve"> </w:t>
      </w:r>
      <w:r w:rsidR="00BF775A">
        <w:rPr>
          <w:rFonts w:ascii="Arial" w:hAnsi="Arial" w:cs="Arial"/>
          <w:sz w:val="22"/>
          <w:szCs w:val="22"/>
        </w:rPr>
        <w:fldChar w:fldCharType="begin" w:fldLock="1"/>
      </w:r>
      <w:r w:rsidR="00BF775A">
        <w:rPr>
          <w:rFonts w:ascii="Arial" w:hAnsi="Arial" w:cs="Arial"/>
          <w:sz w:val="22"/>
          <w:szCs w:val="22"/>
        </w:rPr>
        <w:instrText>ADDIN CSL_CITATION {"citationItems":[{"id":"ITEM-1","itemData":{"DOI":"10.1002/da.20633","ISSN":"10914269","PMID":"19957279","abstract":"Initiated as part of the ongoing deliberation about the nosological structure of DSM, this review aims to evaluate whether the anxiety disorders share features of responding that define them and make them distinct from depressive disorders, and/or that differentiate fear disorders from anxious-misery disorders. The review covers symptom self-report as well as on-line indices of behavioral, physiological, cognitive, and neural responding in the presence of aversive stimuli. The data indicate that the anxiety disorders share self-reported symptoms of anxiety and fear; heightened anxiety and fear responding to cues that signal threat, cues that signal no threat, cues that formerly signaled threat, and contexts associated with threat; elevated stress reactivity to aversive stimuli; attentional biases to threat-relevant stimuli and threat-based appraisals of ambiguous stimuli; and elevated amygdala responses to threat-relevant stimuli. Some differences exist among anxiety disorders, and between anxiety disorders and depressive disorders. However, the differences are not fully consistent with proposed subdivisions of fear disorders vs. anxious misery disorders, and comparative data in large part are lacking. Given the high rates of comorbidity, advances in our understanding of the features of responding that are shared across vs. unique to anxiety and depressive disorders will require dimensional approaches. In summary, the extant data help to define the features of responding that are shared across anxiety disorders, but are insufficient to justify revisions to the DSM nosology at this time. © 2009 Wiley-Liss, Inc.","author":[{"dropping-particle":"","family":"Craske","given":"Michelle G.","non-dropping-particle":"","parse-names":false,"suffix":""},{"dropping-particle":"","family":"Rauch","given":"Scott L.","non-dropping-particle":"","parse-names":false,"suffix":""},{"dropping-particle":"","family":"Ursano","given":"Robert","non-dropping-particle":"","parse-names":false,"suffix":""},{"dropping-particle":"","family":"Prenoveau","given":"Jason","non-dropping-particle":"","parse-names":false,"suffix":""},{"dropping-particle":"","family":"Pine","given":"Daniel S.","non-dropping-particle":"","parse-names":false,"suffix":""},{"dropping-particle":"","family":"Zinbarg","given":"Richard E.","non-dropping-particle":"","parse-names":false,"suffix":""}],"container-title":"Depression and Anxiety","id":"ITEM-1","issue":"12","issued":{"date-parts":[["2009"]]},"page":"1066-1085","title":"What is an anxiety disorder?","type":"article-journal","volume":"26"},"uris":["http://www.mendeley.com/documents/?uuid=73ddb44b-f50b-454f-a8fc-ec35b27733aa"]}],"mendeley":{"formattedCitation":"(Craske &lt;i&gt;et al.&lt;/i&gt;, 2009)","plainTextFormattedCitation":"(Craske et al., 2009)","previouslyFormattedCitation":"(Craske &lt;i&gt;et al.&lt;/i&gt;, 2009)"},"properties":{"noteIndex":0},"schema":"https://github.com/citation-style-language/schema/raw/master/csl-citation.json"}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 xml:space="preserve">(Craske </w:t>
      </w:r>
      <w:r w:rsidR="00BF775A" w:rsidRPr="00BF775A">
        <w:rPr>
          <w:rFonts w:ascii="Arial" w:hAnsi="Arial" w:cs="Arial"/>
          <w:i/>
          <w:noProof/>
          <w:sz w:val="22"/>
          <w:szCs w:val="22"/>
        </w:rPr>
        <w:t>et al.</w:t>
      </w:r>
      <w:r w:rsidR="00BF775A" w:rsidRPr="00BF775A">
        <w:rPr>
          <w:rFonts w:ascii="Arial" w:hAnsi="Arial" w:cs="Arial"/>
          <w:noProof/>
          <w:sz w:val="22"/>
          <w:szCs w:val="22"/>
        </w:rPr>
        <w:t>, 2009)</w:t>
      </w:r>
      <w:r w:rsidR="00BF775A">
        <w:rPr>
          <w:rFonts w:ascii="Arial" w:hAnsi="Arial" w:cs="Arial"/>
          <w:sz w:val="22"/>
          <w:szCs w:val="22"/>
        </w:rPr>
        <w:fldChar w:fldCharType="end"/>
      </w:r>
      <w:r w:rsidR="00B80C1F" w:rsidRPr="00710EE2">
        <w:rPr>
          <w:rFonts w:ascii="Arial" w:hAnsi="Arial" w:cs="Arial"/>
          <w:sz w:val="22"/>
          <w:szCs w:val="22"/>
        </w:rPr>
        <w:t xml:space="preserve">. </w:t>
      </w:r>
      <w:r w:rsidR="00317269" w:rsidRPr="00710EE2">
        <w:rPr>
          <w:rFonts w:ascii="Arial" w:hAnsi="Arial" w:cs="Arial"/>
          <w:sz w:val="22"/>
          <w:szCs w:val="22"/>
        </w:rPr>
        <w:t xml:space="preserve">Then, it has been </w:t>
      </w:r>
      <w:r w:rsidR="00BF775A" w:rsidRPr="00710EE2">
        <w:rPr>
          <w:rFonts w:ascii="Arial" w:hAnsi="Arial" w:cs="Arial"/>
          <w:sz w:val="22"/>
          <w:szCs w:val="22"/>
        </w:rPr>
        <w:t>identified that</w:t>
      </w:r>
      <w:r w:rsidR="00317269" w:rsidRPr="00710EE2">
        <w:rPr>
          <w:rFonts w:ascii="Arial" w:hAnsi="Arial" w:cs="Arial"/>
          <w:sz w:val="22"/>
          <w:szCs w:val="22"/>
        </w:rPr>
        <w:t xml:space="preserve"> the </w:t>
      </w:r>
      <w:r w:rsidR="00B80C1F" w:rsidRPr="00710EE2">
        <w:rPr>
          <w:rFonts w:ascii="Arial" w:hAnsi="Arial" w:cs="Arial"/>
          <w:sz w:val="22"/>
          <w:szCs w:val="22"/>
        </w:rPr>
        <w:t xml:space="preserve">primary aspect of anxiety is </w:t>
      </w:r>
      <w:r w:rsidR="00317269" w:rsidRPr="00710EE2">
        <w:rPr>
          <w:rFonts w:ascii="Arial" w:hAnsi="Arial" w:cs="Arial"/>
          <w:sz w:val="22"/>
          <w:szCs w:val="22"/>
        </w:rPr>
        <w:t xml:space="preserve">that </w:t>
      </w:r>
      <w:r w:rsidR="00B80C1F" w:rsidRPr="00710EE2">
        <w:rPr>
          <w:rFonts w:ascii="Arial" w:hAnsi="Arial" w:cs="Arial"/>
          <w:sz w:val="22"/>
          <w:szCs w:val="22"/>
        </w:rPr>
        <w:t>it is not restricted to a specific target object or activity but pervades various aspects of life</w:t>
      </w:r>
      <w:r w:rsidR="00BF775A">
        <w:rPr>
          <w:rFonts w:ascii="Arial" w:hAnsi="Arial" w:cs="Arial"/>
          <w:sz w:val="22"/>
          <w:szCs w:val="22"/>
        </w:rPr>
        <w:t xml:space="preserve"> </w:t>
      </w:r>
      <w:r w:rsidR="00BF775A">
        <w:rPr>
          <w:rFonts w:ascii="Arial" w:hAnsi="Arial" w:cs="Arial"/>
          <w:sz w:val="22"/>
          <w:szCs w:val="22"/>
        </w:rPr>
        <w:fldChar w:fldCharType="begin" w:fldLock="1"/>
      </w:r>
      <w:r w:rsidR="00BF775A">
        <w:rPr>
          <w:rFonts w:ascii="Arial" w:hAnsi="Arial" w:cs="Arial"/>
          <w:sz w:val="22"/>
          <w:szCs w:val="22"/>
        </w:rPr>
        <w:instrText>ADDIN CSL_CITATION {"citationItems":[{"id":"ITEM-1","itemData":{"DOI":"10.1038/s41386-022-01332-2","ISSN":"1740634X","PMID":"35501429","abstract":"Generalization of conditioned fear is adaptive in some situations but maladaptive when fear excessively generalizes to innocuous stimuli with incidental resemblance to a genuine threat cue. Recently, empirical interest in fear generalization as a transdiagnostic explanatory mechanism underlying anxiety-related disorders has accelerated. As there are now several studies of fear generalization across multiple types of anxiety-related disorders, the authors conducted a meta-analysis of studies reporting behavioral measures (subjective ratings and psychophysiological indices) of fear generalization in anxiety-related disorder vs. comparison groups. We conducted systematic searches of electronic databases (conducted from January–October 2020) for fear generalization studies involving anxiety-related disorder groups or subclinical analog groups. A total of 300 records were full-text screened and two unpublished datasets were obtained, yielding 16 studies reporting behavioral fear generalization measures. Random-effects meta-analytic models and meta-regressions were applied to the identified data. Fear generalization was significantly heightened in anxiety-related disorder participants (N = 439) relative to comparison participants (N = 428). We did not identify any significant clinical, sample, or methodological moderators. Heightened fear generalization is quantitatively supported as distinguishing anxiety-related disorder groups from comparison groups. Evidence suggests this effect is transdiagnostic, relatively robust to experimental or sample parameters, and that generalization paradigms are a well-supported framework for neurobehavioral investigations of learning and emotion in anxiety-related disorders. We discuss these findings in the context of prior fear conditioning meta-analyses, past neuroimaging investigations of fear generalization in anxiety-related disorders, and future directions and challenges for the field.","author":[{"dropping-particle":"","family":"Cooper","given":"Samuel E.","non-dropping-particle":"","parse-names":false,"suffix":""},{"dropping-particle":"","family":"Dis","given":"Eva A.M.","non-dropping-particle":"van","parse-names":false,"suffix":""},{"dropping-particle":"","family":"Hagenaars","given":"Muriel A.","non-dropping-particle":"","parse-names":false,"suffix":""},{"dropping-particle":"","family":"Krypotos","given":"Angelos Miltiadis","non-dropping-particle":"","parse-names":false,"suffix":""},{"dropping-particle":"","family":"Nemeroff","given":"Charles B.","non-dropping-particle":"","parse-names":false,"suffix":""},{"dropping-particle":"","family":"Lissek","given":"Shmuel","non-dropping-particle":"","parse-names":false,"suffix":""},{"dropping-particle":"","family":"Engelhard","given":"Iris M.","non-dropping-particle":"","parse-names":false,"suffix":""},{"dropping-particle":"","family":"Dunsmoor","given":"Joseph E.","non-dropping-particle":"","parse-names":false,"suffix":""}],"container-title":"Neuropsychopharmacology","id":"ITEM-1","issue":"9","issued":{"date-parts":[["2022"]]},"page":"1652-1661","publisher":"Springer US","title":"A meta-analysis of conditioned fear generalization in anxiety-related disorders","type":"article-journal","volume":"47"},"uris":["http://www.mendeley.com/documents/?uuid=37f71b6a-7f6c-4563-995c-e606409088f6"]}],"mendeley":{"formattedCitation":"(Cooper &lt;i&gt;et al.&lt;/i&gt;, 2022)","plainTextFormattedCitation":"(Cooper et al., 2022)","previouslyFormattedCitation":"(Cooper &lt;i&gt;et al.&lt;/i&gt;, 2022)"},"properties":{"noteIndex":0},"schema":"https://github.com/citation-style-language/schema/raw/master/csl-citation.json"}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 xml:space="preserve">(Cooper </w:t>
      </w:r>
      <w:r w:rsidR="00BF775A" w:rsidRPr="00BF775A">
        <w:rPr>
          <w:rFonts w:ascii="Arial" w:hAnsi="Arial" w:cs="Arial"/>
          <w:i/>
          <w:noProof/>
          <w:sz w:val="22"/>
          <w:szCs w:val="22"/>
        </w:rPr>
        <w:t>et al.</w:t>
      </w:r>
      <w:r w:rsidR="00BF775A" w:rsidRPr="00BF775A">
        <w:rPr>
          <w:rFonts w:ascii="Arial" w:hAnsi="Arial" w:cs="Arial"/>
          <w:noProof/>
          <w:sz w:val="22"/>
          <w:szCs w:val="22"/>
        </w:rPr>
        <w:t>, 2022)</w:t>
      </w:r>
      <w:r w:rsidR="00BF775A">
        <w:rPr>
          <w:rFonts w:ascii="Arial" w:hAnsi="Arial" w:cs="Arial"/>
          <w:sz w:val="22"/>
          <w:szCs w:val="22"/>
        </w:rPr>
        <w:fldChar w:fldCharType="end"/>
      </w:r>
      <w:r w:rsidR="00B80C1F" w:rsidRPr="00710EE2">
        <w:rPr>
          <w:rFonts w:ascii="Arial" w:hAnsi="Arial" w:cs="Arial"/>
          <w:sz w:val="22"/>
          <w:szCs w:val="22"/>
        </w:rPr>
        <w:t xml:space="preserve">. </w:t>
      </w:r>
      <w:r w:rsidR="00317269" w:rsidRPr="00710EE2">
        <w:rPr>
          <w:rFonts w:ascii="Arial" w:hAnsi="Arial" w:cs="Arial"/>
          <w:sz w:val="22"/>
          <w:szCs w:val="22"/>
        </w:rPr>
        <w:t xml:space="preserve">Here, the patient </w:t>
      </w:r>
      <w:r w:rsidR="00B80C1F" w:rsidRPr="00710EE2">
        <w:rPr>
          <w:rFonts w:ascii="Arial" w:hAnsi="Arial" w:cs="Arial"/>
          <w:sz w:val="22"/>
          <w:szCs w:val="22"/>
        </w:rPr>
        <w:t xml:space="preserve">shows various autonomic manifestations </w:t>
      </w:r>
      <w:r w:rsidR="00317269" w:rsidRPr="00710EE2">
        <w:rPr>
          <w:rFonts w:ascii="Arial" w:hAnsi="Arial" w:cs="Arial"/>
          <w:sz w:val="22"/>
          <w:szCs w:val="22"/>
        </w:rPr>
        <w:t>including</w:t>
      </w:r>
      <w:r w:rsidR="00B80C1F" w:rsidRPr="00710EE2">
        <w:rPr>
          <w:rFonts w:ascii="Arial" w:hAnsi="Arial" w:cs="Arial"/>
          <w:sz w:val="22"/>
          <w:szCs w:val="22"/>
        </w:rPr>
        <w:t xml:space="preserve"> muscular </w:t>
      </w:r>
      <w:r w:rsidR="00B80C1F" w:rsidRPr="00710EE2">
        <w:rPr>
          <w:rFonts w:ascii="Arial" w:hAnsi="Arial" w:cs="Arial"/>
          <w:sz w:val="22"/>
          <w:szCs w:val="22"/>
        </w:rPr>
        <w:lastRenderedPageBreak/>
        <w:t>tension, feeling restless and irritable, difficulties in concentration, and insomnia</w:t>
      </w:r>
      <w:r w:rsidR="00BF775A">
        <w:rPr>
          <w:rFonts w:ascii="Arial" w:hAnsi="Arial" w:cs="Arial"/>
          <w:sz w:val="22"/>
          <w:szCs w:val="22"/>
        </w:rPr>
        <w:t xml:space="preserve"> </w:t>
      </w:r>
      <w:r w:rsidR="00BF775A">
        <w:rPr>
          <w:rFonts w:ascii="Arial" w:hAnsi="Arial" w:cs="Arial"/>
          <w:sz w:val="22"/>
          <w:szCs w:val="22"/>
        </w:rPr>
        <w:fldChar w:fldCharType="begin" w:fldLock="1"/>
      </w:r>
      <w:r w:rsidR="00BF775A">
        <w:rPr>
          <w:rFonts w:ascii="Arial" w:hAnsi="Arial" w:cs="Arial"/>
          <w:sz w:val="22"/>
          <w:szCs w:val="22"/>
        </w:rPr>
        <w:instrText>ADDIN CSL_CITATION {"citationItems":[{"id":"ITEM-1","itemData":{"DOI":"10.1176/APPI.AJP.2020.20010055","ISSN":"15357228","PMID":"32114783","abstract":"Anxiety and fear-related disorders are common and disabling, and they significantly increase risk for suicide and other causes of morbidity and mortality. However, there is tremendous potential for translational neuroscience to advance our understanding of these disorders, leading to novel and powerful interventions and even to preventing their initial development. This overview examines the general circuits and processes thought to underlie fear and anxiety, along with the promiseof translational research. It then examines some of the data-driven \"next-generation\" approaches that are needed for discovery and understanding but that do not always fit neatly into established models. From one perspective, these disorders offer among the most tractable problems in psychiatry, with a great deal of accumulated understanding, across species, of neurocircuit, behavioral, and, increasingly, genetic mechanisms, of how dysregulation of fear and threat processes contributes to anxiety-related disorders. One example is the progressively sophisticated understanding of how extinction underlies the exposure therapy component of cognitive-behavioral therapy approaches, which are ubiquitously used across anxiety and fear-related disorders. However, it is also critical to examine gaps in our understanding between reasonably well-replicated examples of successful translation, areas of significant deficits in knowledge, and the role of large-scale data-driven approaches in future progress and discovery. Although a tremendous amount of progress is still needed, translational approaches to understanding, treating, and even preventing anxiety and fear-related disorders offer great opportunities for successfully bridging neuroscience discovery to clinical practice.","author":[{"dropping-particle":"","family":"Ressler","given":"Kerry J.","non-dropping-particle":"","parse-names":false,"suffix":""}],"container-title":"American Journal of Psychiatry","id":"ITEM-1","issue":"3","issued":{"date-parts":[["2020"]]},"page":"214-222","title":"Translating across circuits and genetics toward progress in fear- And anxiety-related disorders","type":"article-journal","volume":"177"},"uris":["http://www.mendeley.com/documents/?uuid=63f88705-4e00-4301-af70-e931a532c254"]}],"mendeley":{"formattedCitation":"(Ressler, 2020)","plainTextFormattedCitation":"(Ressler, 2020)","previouslyFormattedCitation":"(Ressler, 2020)"},"properties":{"noteIndex":0},"schema":"https://github.com/citation-style-language/schema/raw/master/csl-citation.json"}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(Ressler, 2020)</w:t>
      </w:r>
      <w:r w:rsidR="00BF775A">
        <w:rPr>
          <w:rFonts w:ascii="Arial" w:hAnsi="Arial" w:cs="Arial"/>
          <w:sz w:val="22"/>
          <w:szCs w:val="22"/>
        </w:rPr>
        <w:fldChar w:fldCharType="end"/>
      </w:r>
      <w:r w:rsidR="00B80C1F" w:rsidRPr="00710EE2">
        <w:rPr>
          <w:rFonts w:ascii="Arial" w:hAnsi="Arial" w:cs="Arial"/>
          <w:sz w:val="22"/>
          <w:szCs w:val="22"/>
        </w:rPr>
        <w:t>.</w:t>
      </w:r>
    </w:p>
    <w:p w14:paraId="2CA14AA2" w14:textId="482A1DD3" w:rsidR="00B80C1F" w:rsidRPr="00710EE2" w:rsidRDefault="00223546" w:rsidP="00620130">
      <w:pPr>
        <w:spacing w:line="360" w:lineRule="auto"/>
        <w:jc w:val="both"/>
        <w:rPr>
          <w:rFonts w:ascii="Arial" w:hAnsi="Arial" w:cs="Arial"/>
          <w:sz w:val="22"/>
          <w:szCs w:val="22"/>
        </w:rPr>
      </w:pPr>
      <w:r w:rsidRPr="00710EE2">
        <w:rPr>
          <w:rFonts w:ascii="Arial" w:hAnsi="Arial" w:cs="Arial"/>
          <w:sz w:val="22"/>
          <w:szCs w:val="22"/>
        </w:rPr>
        <w:t>When it comes to diagnostic criteria, the above-mentioned</w:t>
      </w:r>
      <w:r w:rsidR="00B80C1F" w:rsidRPr="00710EE2">
        <w:rPr>
          <w:rFonts w:ascii="Arial" w:hAnsi="Arial" w:cs="Arial"/>
          <w:sz w:val="22"/>
          <w:szCs w:val="22"/>
        </w:rPr>
        <w:t xml:space="preserve"> symptoms</w:t>
      </w:r>
      <w:r w:rsidRPr="00710EE2">
        <w:rPr>
          <w:rFonts w:ascii="Arial" w:hAnsi="Arial" w:cs="Arial"/>
          <w:sz w:val="22"/>
          <w:szCs w:val="22"/>
        </w:rPr>
        <w:t xml:space="preserve"> should be</w:t>
      </w:r>
      <w:r w:rsidR="00B80C1F" w:rsidRPr="00710EE2">
        <w:rPr>
          <w:rFonts w:ascii="Arial" w:hAnsi="Arial" w:cs="Arial"/>
          <w:sz w:val="22"/>
          <w:szCs w:val="22"/>
        </w:rPr>
        <w:t xml:space="preserve"> result</w:t>
      </w:r>
      <w:r w:rsidRPr="00710EE2">
        <w:rPr>
          <w:rFonts w:ascii="Arial" w:hAnsi="Arial" w:cs="Arial"/>
          <w:sz w:val="22"/>
          <w:szCs w:val="22"/>
        </w:rPr>
        <w:t>ed</w:t>
      </w:r>
      <w:r w:rsidR="00B80C1F" w:rsidRPr="00710EE2">
        <w:rPr>
          <w:rFonts w:ascii="Arial" w:hAnsi="Arial" w:cs="Arial"/>
          <w:sz w:val="22"/>
          <w:szCs w:val="22"/>
        </w:rPr>
        <w:t xml:space="preserve"> in clinically significant distress or impairment in personal or social, educational, or occupational functioning. </w:t>
      </w:r>
      <w:r w:rsidR="00D423D1" w:rsidRPr="00710EE2">
        <w:rPr>
          <w:rFonts w:ascii="Arial" w:hAnsi="Arial" w:cs="Arial"/>
          <w:sz w:val="22"/>
          <w:szCs w:val="22"/>
        </w:rPr>
        <w:t xml:space="preserve">However, </w:t>
      </w:r>
      <w:r w:rsidR="00E262C9" w:rsidRPr="00710EE2">
        <w:rPr>
          <w:rFonts w:ascii="Arial" w:hAnsi="Arial" w:cs="Arial"/>
          <w:sz w:val="22"/>
          <w:szCs w:val="22"/>
        </w:rPr>
        <w:t xml:space="preserve">these </w:t>
      </w:r>
      <w:r w:rsidR="00B80C1F" w:rsidRPr="00710EE2">
        <w:rPr>
          <w:rFonts w:ascii="Arial" w:hAnsi="Arial" w:cs="Arial"/>
          <w:sz w:val="22"/>
          <w:szCs w:val="22"/>
        </w:rPr>
        <w:t xml:space="preserve">disturbances cannot be attributed to the physiological consequences </w:t>
      </w:r>
      <w:r w:rsidR="00E262C9" w:rsidRPr="00710EE2">
        <w:rPr>
          <w:rFonts w:ascii="Arial" w:hAnsi="Arial" w:cs="Arial"/>
          <w:sz w:val="22"/>
          <w:szCs w:val="22"/>
        </w:rPr>
        <w:t xml:space="preserve">such </w:t>
      </w:r>
      <w:r w:rsidR="00B80C1F" w:rsidRPr="00710EE2">
        <w:rPr>
          <w:rFonts w:ascii="Arial" w:hAnsi="Arial" w:cs="Arial"/>
          <w:sz w:val="22"/>
          <w:szCs w:val="22"/>
        </w:rPr>
        <w:t xml:space="preserve">as caffeine and cocaine or due to another medical problem </w:t>
      </w:r>
      <w:r w:rsidR="00E262C9" w:rsidRPr="00710EE2">
        <w:rPr>
          <w:rFonts w:ascii="Arial" w:hAnsi="Arial" w:cs="Arial"/>
          <w:sz w:val="22"/>
          <w:szCs w:val="22"/>
        </w:rPr>
        <w:t>including</w:t>
      </w:r>
      <w:r w:rsidR="00B80C1F" w:rsidRPr="00710EE2">
        <w:rPr>
          <w:rFonts w:ascii="Arial" w:hAnsi="Arial" w:cs="Arial"/>
          <w:sz w:val="22"/>
          <w:szCs w:val="22"/>
        </w:rPr>
        <w:t xml:space="preserve"> hyperthyroidism</w:t>
      </w:r>
      <w:r w:rsidR="00BF775A">
        <w:rPr>
          <w:rFonts w:ascii="Arial" w:hAnsi="Arial" w:cs="Arial"/>
          <w:sz w:val="22"/>
          <w:szCs w:val="22"/>
        </w:rPr>
        <w:t xml:space="preserve"> </w:t>
      </w:r>
      <w:r w:rsidR="00BF775A">
        <w:rPr>
          <w:rFonts w:ascii="Arial" w:hAnsi="Arial" w:cs="Arial"/>
          <w:sz w:val="22"/>
          <w:szCs w:val="22"/>
        </w:rPr>
        <w:fldChar w:fldCharType="begin" w:fldLock="1"/>
      </w:r>
      <w:r w:rsidR="00BF775A">
        <w:rPr>
          <w:rFonts w:ascii="Arial" w:hAnsi="Arial" w:cs="Arial"/>
          <w:sz w:val="22"/>
          <w:szCs w:val="22"/>
        </w:rPr>
        <w:instrText>ADDIN CSL_CITATION {"citationItems":[{"id":"ITEM-1","itemData":{"DOI":"10.3389/fphar.2016.00454","ISSN":"16639812","abstract":"Anxiety and trauma-related disorders are psychiatric diseases with a lifetime prevalence of up to 25%. Phobias and post-traumatic stress disorder (PTSD) are characterized by abnormal and persistent memories of fear-related contexts and cues. The effects of psychological treatments such as exposure therapy are often only temporary and medications can be ineffective and have adverse side effects. Growing evidence from human and animal studies indicates that cannabidiol, the main non-psychotomimetic phytocannabinoid present in Cannabis sativa, alleviates anxiety in paradigms assessing innate fear. More recently, the effects of cannabidiol on learned fear have been investigated in preclinical studies with translational relevance for phobias and PTSD. Here we review the findings from these studies, with an emphasis on cannabidiol regulation of contextual fear. The evidence indicates that cannabidiol reduces learned fear in different ways: (1) cannabidiol decreases fear expression acutely, (2) cannabidiol disrupts memory reconsolidation, leading to sustained fear attenuation upon memory retrieval, and (3) cannabidiol enhances extinction, the psychological process by which exposure therapy inhibits learned fear. We also present novel data on cannabidiol regulation of learned fear related to explicit cues, which indicates that auditory fear expression is also reduced acutely by cannabidiol. We conclude by outlining future directions for research to elucidate the neural circuit, psychological, cellular, and molecular mechanisms underlying the regulation of fear memory processing by cannabidiol. This line of investigation may lead to the development of cannabidiol as a novel therapeutic approach for treating anxiety and trauma-related disorders such as phobias and PTSD in the future.","author":[{"dropping-particle":"","family":"Jurkus","given":"Regimantas","non-dropping-particle":"","parse-names":false,"suffix":""},{"dropping-particle":"","family":"Day","given":"Harriet L.L.","non-dropping-particle":"","parse-names":false,"suffix":""},{"dropping-particle":"","family":"Guimarães","given":"Francisco S.","non-dropping-particle":"","parse-names":false,"suffix":""},{"dropping-particle":"","family":"Lee","given":"Jonathan L.C.","non-dropping-particle":"","parse-names":false,"suffix":""},{"dropping-particle":"","family":"Bertoglio","given":"Leandro J.","non-dropping-particle":"","parse-names":false,"suffix":""},{"dropping-particle":"","family":"Stevenson","given":"Carl W.","non-dropping-particle":"","parse-names":false,"suffix":""}],"container-title":"Frontiers in Pharmacology","id":"ITEM-1","issue":"NOV","issued":{"date-parts":[["2016"]]},"page":"1-8","title":"Cannabidiol regulation of learned fear: Implications for treating anxiety-related disorders","type":"article-journal","volume":"7"},"uris":["http://www.mendeley.com/documents/?uuid=8a0ca025-b699-4810-ad11-209d88a7cb81"]}],"mendeley":{"formattedCitation":"(Jurkus &lt;i&gt;et al.&lt;/i&gt;, 2016)","plainTextFormattedCitation":"(Jurkus et al., 2016)","previouslyFormattedCitation":"(Jurkus &lt;i&gt;et al.&lt;/i&gt;, 2016)"},"properties":{"noteIndex":0},"schema":"https://github.com/citation-style-language/schema/raw/master/csl-citation.json"}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 xml:space="preserve">(Jurkus </w:t>
      </w:r>
      <w:r w:rsidR="00BF775A" w:rsidRPr="00BF775A">
        <w:rPr>
          <w:rFonts w:ascii="Arial" w:hAnsi="Arial" w:cs="Arial"/>
          <w:i/>
          <w:noProof/>
          <w:sz w:val="22"/>
          <w:szCs w:val="22"/>
        </w:rPr>
        <w:t>et al.</w:t>
      </w:r>
      <w:r w:rsidR="00BF775A" w:rsidRPr="00BF775A">
        <w:rPr>
          <w:rFonts w:ascii="Arial" w:hAnsi="Arial" w:cs="Arial"/>
          <w:noProof/>
          <w:sz w:val="22"/>
          <w:szCs w:val="22"/>
        </w:rPr>
        <w:t>, 2016)</w:t>
      </w:r>
      <w:r w:rsidR="00BF775A">
        <w:rPr>
          <w:rFonts w:ascii="Arial" w:hAnsi="Arial" w:cs="Arial"/>
          <w:sz w:val="22"/>
          <w:szCs w:val="22"/>
        </w:rPr>
        <w:fldChar w:fldCharType="end"/>
      </w:r>
      <w:r w:rsidR="00B80C1F" w:rsidRPr="00710EE2">
        <w:rPr>
          <w:rFonts w:ascii="Arial" w:hAnsi="Arial" w:cs="Arial"/>
          <w:sz w:val="22"/>
          <w:szCs w:val="22"/>
        </w:rPr>
        <w:t xml:space="preserve">. </w:t>
      </w:r>
      <w:r w:rsidR="00E262C9" w:rsidRPr="00710EE2">
        <w:rPr>
          <w:rFonts w:ascii="Arial" w:hAnsi="Arial" w:cs="Arial"/>
          <w:sz w:val="22"/>
          <w:szCs w:val="22"/>
        </w:rPr>
        <w:t xml:space="preserve">Further, these should not be </w:t>
      </w:r>
      <w:r w:rsidR="00B80C1F" w:rsidRPr="00710EE2">
        <w:rPr>
          <w:rFonts w:ascii="Arial" w:hAnsi="Arial" w:cs="Arial"/>
          <w:sz w:val="22"/>
          <w:szCs w:val="22"/>
        </w:rPr>
        <w:t>explained by another psychiatric condition such as depressions or post-traumatic stress disorder.</w:t>
      </w:r>
    </w:p>
    <w:p w14:paraId="102C3720" w14:textId="392FB428" w:rsidR="00B80C1F" w:rsidRPr="00710EE2" w:rsidRDefault="00E262C9" w:rsidP="00620130">
      <w:pPr>
        <w:spacing w:line="360" w:lineRule="auto"/>
        <w:jc w:val="both"/>
        <w:rPr>
          <w:rFonts w:ascii="Arial" w:hAnsi="Arial" w:cs="Arial"/>
          <w:sz w:val="22"/>
          <w:szCs w:val="22"/>
        </w:rPr>
      </w:pPr>
      <w:r w:rsidRPr="00710EE2">
        <w:rPr>
          <w:rFonts w:ascii="Arial" w:hAnsi="Arial" w:cs="Arial"/>
          <w:sz w:val="22"/>
          <w:szCs w:val="22"/>
        </w:rPr>
        <w:t xml:space="preserve">According to the studies, </w:t>
      </w:r>
      <w:r w:rsidR="00B80C1F" w:rsidRPr="00710EE2">
        <w:rPr>
          <w:rFonts w:ascii="Arial" w:hAnsi="Arial" w:cs="Arial"/>
          <w:sz w:val="22"/>
          <w:szCs w:val="22"/>
        </w:rPr>
        <w:t xml:space="preserve">functional impairment </w:t>
      </w:r>
      <w:r w:rsidRPr="00710EE2">
        <w:rPr>
          <w:rFonts w:ascii="Arial" w:hAnsi="Arial" w:cs="Arial"/>
          <w:sz w:val="22"/>
          <w:szCs w:val="22"/>
        </w:rPr>
        <w:t>is an</w:t>
      </w:r>
      <w:r w:rsidR="00B80C1F" w:rsidRPr="00710EE2">
        <w:rPr>
          <w:rFonts w:ascii="Arial" w:hAnsi="Arial" w:cs="Arial"/>
          <w:sz w:val="22"/>
          <w:szCs w:val="22"/>
        </w:rPr>
        <w:t xml:space="preserve"> important criterion that separates pathological anxiety from normal worries.</w:t>
      </w:r>
      <w:r w:rsidR="00535785" w:rsidRPr="00710EE2">
        <w:rPr>
          <w:rFonts w:ascii="Arial" w:hAnsi="Arial" w:cs="Arial"/>
          <w:sz w:val="22"/>
          <w:szCs w:val="22"/>
        </w:rPr>
        <w:t xml:space="preserve"> It can be seen that anxiety plays an adaptive role that helps an individual prepare for potential threats in their day to day lives</w:t>
      </w:r>
      <w:r w:rsidR="00BF775A">
        <w:rPr>
          <w:rFonts w:ascii="Arial" w:hAnsi="Arial" w:cs="Arial"/>
          <w:sz w:val="22"/>
          <w:szCs w:val="22"/>
        </w:rPr>
        <w:t xml:space="preserve"> </w:t>
      </w:r>
      <w:r w:rsidR="00BF775A">
        <w:rPr>
          <w:rFonts w:ascii="Arial" w:hAnsi="Arial" w:cs="Arial"/>
          <w:sz w:val="22"/>
          <w:szCs w:val="22"/>
        </w:rPr>
        <w:fldChar w:fldCharType="begin" w:fldLock="1"/>
      </w:r>
      <w:r w:rsidR="00BF775A">
        <w:rPr>
          <w:rFonts w:ascii="Arial" w:hAnsi="Arial" w:cs="Arial"/>
          <w:sz w:val="22"/>
          <w:szCs w:val="22"/>
        </w:rPr>
        <w:instrText>ADDIN CSL_CITATION {"citationItems":[{"id":"ITEM-1","itemData":{"DOI":"10.1016/j.pnpbp.2018.04.002","ISSN":"18784216","PMID":"29627508","abstract":"Fear and anxiety-related disorders are highly prevalent psychiatric conditions characterized by avoidant and fearful reactions towards specific stimuli or situations, which are disproportionate given the real threat such stimuli entail. These conditions comprise the most common mental disorder group. There are a high proportion of patients who fail to achieve remission and the presence of high relapse rates indicate the therapeutic options available are far from being fully efficient. Despite an increased understanding the neural circuits underlying fear and anxiety-related behaviors in the last decades, a factor that could be partially contributing to the lack of adequate therapies may be an insufficient understanding of the core features of the disorders and their associated neurobiology. Interestingly, the cerebellum shows connections with fear and anxiety-related brain areas and functional involvement in such processes, but explanations for its role in anxiety disorders are lacking. Therefore, the aims of this review are to provide an overview of the neural circuitry of fear and anxiety and its connections to the cerebellum, and of the animal studies that directly assess an involvement of the cerebellum in these processes. Then, the studies performed in patients suffering from anxiety disorders that explore the cerebellum will be discussed. Finally, we'll propose a function for the cerebellum in these disorders, which could guide future experimental approaches to the topic and lead to a better understanding of the neurobiology of anxiety-related disorders, ultimately helping to develop more effective treatments for these conditions.","author":[{"dropping-particle":"","family":"Moreno-Rius","given":"Josep","non-dropping-particle":"","parse-names":false,"suffix":""}],"container-title":"Progress in Neuro-Psychopharmacology and Biological Psychiatry","id":"ITEM-1","issue":"December 2017","issued":{"date-parts":[["2018"]]},"page":"23-32","title":"The cerebellum in fear and anxiety-related disorders","type":"article-journal","volume":"85"},"uris":["http://www.mendeley.com/documents/?uuid=e2cd8ad6-1f82-486e-84cb-68de7f6b7ae7"]}],"mendeley":{"formattedCitation":"(Moreno-Rius, 2018)","plainTextFormattedCitation":"(Moreno-Rius, 2018)","previouslyFormattedCitation":"(Moreno-Rius, 2018)"},"properties":{"noteIndex":0},"schema":"https://github.com/citation-style-language/schema/raw/master/csl-citation.json"}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(Moreno-Rius, 2018)</w:t>
      </w:r>
      <w:r w:rsidR="00BF775A">
        <w:rPr>
          <w:rFonts w:ascii="Arial" w:hAnsi="Arial" w:cs="Arial"/>
          <w:sz w:val="22"/>
          <w:szCs w:val="22"/>
        </w:rPr>
        <w:fldChar w:fldCharType="end"/>
      </w:r>
      <w:r w:rsidR="00535785" w:rsidRPr="00710EE2">
        <w:rPr>
          <w:rFonts w:ascii="Arial" w:hAnsi="Arial" w:cs="Arial"/>
          <w:sz w:val="22"/>
          <w:szCs w:val="22"/>
        </w:rPr>
        <w:t>. However,</w:t>
      </w:r>
      <w:r w:rsidR="00A9709D" w:rsidRPr="00710EE2">
        <w:rPr>
          <w:rFonts w:ascii="Arial" w:hAnsi="Arial" w:cs="Arial"/>
          <w:sz w:val="22"/>
          <w:szCs w:val="22"/>
        </w:rPr>
        <w:t xml:space="preserve"> in Generalised Anxiety Disorder, it is excessive and difficult to control </w:t>
      </w:r>
      <w:r w:rsidR="006A5052" w:rsidRPr="00710EE2">
        <w:rPr>
          <w:rFonts w:ascii="Arial" w:hAnsi="Arial" w:cs="Arial"/>
          <w:sz w:val="22"/>
          <w:szCs w:val="22"/>
        </w:rPr>
        <w:t xml:space="preserve">and when it comes to the difference between normal and pathological anxiety, it relates to </w:t>
      </w:r>
      <w:r w:rsidR="00B80C1F" w:rsidRPr="00710EE2">
        <w:rPr>
          <w:rFonts w:ascii="Arial" w:hAnsi="Arial" w:cs="Arial"/>
          <w:sz w:val="22"/>
          <w:szCs w:val="22"/>
        </w:rPr>
        <w:t>duration and severity.</w:t>
      </w:r>
    </w:p>
    <w:p w14:paraId="019FC72C" w14:textId="27E3474E" w:rsidR="00E830E2" w:rsidRPr="00710EE2" w:rsidRDefault="00E830E2" w:rsidP="00620130">
      <w:pPr>
        <w:pStyle w:val="Heading2"/>
        <w:spacing w:line="360" w:lineRule="auto"/>
        <w:jc w:val="both"/>
      </w:pPr>
      <w:bookmarkStart w:id="5" w:name="_Toc212717401"/>
      <w:r w:rsidRPr="00710EE2">
        <w:t>Language Used in Classification</w:t>
      </w:r>
      <w:bookmarkEnd w:id="5"/>
    </w:p>
    <w:p w14:paraId="47B1BFC7" w14:textId="4A530970" w:rsidR="00E830E2" w:rsidRPr="00710EE2" w:rsidRDefault="00ED7239" w:rsidP="00620130">
      <w:pPr>
        <w:spacing w:line="360" w:lineRule="auto"/>
        <w:jc w:val="both"/>
        <w:rPr>
          <w:rFonts w:ascii="Arial" w:hAnsi="Arial" w:cs="Arial"/>
          <w:sz w:val="22"/>
          <w:szCs w:val="22"/>
        </w:rPr>
      </w:pPr>
      <w:r w:rsidRPr="00710EE2">
        <w:rPr>
          <w:rFonts w:ascii="Arial" w:hAnsi="Arial" w:cs="Arial"/>
          <w:sz w:val="22"/>
          <w:szCs w:val="22"/>
        </w:rPr>
        <w:t xml:space="preserve">It has been </w:t>
      </w:r>
      <w:r w:rsidR="00E830E2" w:rsidRPr="00710EE2">
        <w:rPr>
          <w:rFonts w:ascii="Arial" w:hAnsi="Arial" w:cs="Arial"/>
          <w:sz w:val="22"/>
          <w:szCs w:val="22"/>
        </w:rPr>
        <w:t>specifie</w:t>
      </w:r>
      <w:r w:rsidRPr="00710EE2">
        <w:rPr>
          <w:rFonts w:ascii="Arial" w:hAnsi="Arial" w:cs="Arial"/>
          <w:sz w:val="22"/>
          <w:szCs w:val="22"/>
        </w:rPr>
        <w:t>d that</w:t>
      </w:r>
      <w:r w:rsidR="00E830E2" w:rsidRPr="00710EE2">
        <w:rPr>
          <w:rFonts w:ascii="Arial" w:hAnsi="Arial" w:cs="Arial"/>
          <w:sz w:val="22"/>
          <w:szCs w:val="22"/>
        </w:rPr>
        <w:t xml:space="preserve"> the use of the term "disorder" instead of "illness" or "condition" when describing GAD. T</w:t>
      </w:r>
      <w:r w:rsidRPr="00710EE2">
        <w:rPr>
          <w:rFonts w:ascii="Arial" w:hAnsi="Arial" w:cs="Arial"/>
          <w:sz w:val="22"/>
          <w:szCs w:val="22"/>
        </w:rPr>
        <w:t>herefore, t</w:t>
      </w:r>
      <w:r w:rsidR="00E830E2" w:rsidRPr="00710EE2">
        <w:rPr>
          <w:rFonts w:ascii="Arial" w:hAnsi="Arial" w:cs="Arial"/>
          <w:sz w:val="22"/>
          <w:szCs w:val="22"/>
        </w:rPr>
        <w:t>he use of these terms indicates that there is a biopsychosocial model of understanding mental illnesses</w:t>
      </w:r>
      <w:r w:rsidR="00BF775A">
        <w:rPr>
          <w:rFonts w:ascii="Arial" w:hAnsi="Arial" w:cs="Arial"/>
          <w:sz w:val="22"/>
          <w:szCs w:val="22"/>
        </w:rPr>
        <w:t xml:space="preserve"> </w:t>
      </w:r>
      <w:r w:rsidR="00BF775A">
        <w:rPr>
          <w:rFonts w:ascii="Arial" w:hAnsi="Arial" w:cs="Arial"/>
          <w:sz w:val="22"/>
          <w:szCs w:val="22"/>
        </w:rPr>
        <w:fldChar w:fldCharType="begin" w:fldLock="1"/>
      </w:r>
      <w:r w:rsidR="0039478E">
        <w:rPr>
          <w:rFonts w:ascii="Arial" w:hAnsi="Arial" w:cs="Arial"/>
          <w:sz w:val="22"/>
          <w:szCs w:val="22"/>
        </w:rPr>
        <w:instrText>ADDIN CSL_CITATION {"citationItems":[{"id":"ITEM-1","itemData":{"DOI":"10.1016/j.conb.2013.01.013","ISSN":"09594388","PMID":"23402950","abstract":"Fear and anxiety are debilitating conditions that affect a significant number of individuals in their lifetimes. Understanding underlying mechanisms of these disorders affords us the possibility of therapeutic intervention. Such clarity in terms of mechanism and intervention can only come from an amalgamation of research from human to animal studies that attempt to mimic the human condition, both of which are discussed in this review. We begin by presenting an outline of our current understanding of the neurobiological basis of fear and anxiety. This outline spans various levels of organization that include the circuitry, molecular pathways, genetic and epigenetic components of fear and anxiety. Using these organizational levels as a scaffold, we then discuss strategies that are currently used to ameliorate these disorders, and forecast future interventions that hold therapeutic promise. Among these newer promising treatments, we include, optogenetic, pharmacological, and extinction-based approaches, as well as lifestyle modifications, with combinatorial treatment regimens of these holding the most promise. © 2013 Elsevier Ltd.","author":[{"dropping-particle":"","family":"Dias","given":"Brian G.","non-dropping-particle":"","parse-names":false,"suffix":""},{"dropping-particle":"","family":"Banerjee","given":"Sunayana B.","non-dropping-particle":"","parse-names":false,"suffix":""},{"dropping-particle":"V.","family":"Goodman","given":"Jared","non-dropping-particle":"","parse-names":false,"suffix":""},{"dropping-particle":"","family":"Ressler","given":"Kerry J.","non-dropping-particle":"","parse-names":false,"suffix":""}],"container-title":"Current Opinion in Neurobiology","id":"ITEM-1","issue":"3","issued":{"date-parts":[["2013"]]},"page":"346-352","title":"Towards new approaches to disorders of fear and anxiety","type":"article-journal","volume":"23"},"uris":["http://www.mendeley.com/documents/?uuid=53651ed5-d10b-430f-a3a2-37691f9d33f6"]}],"mendeley":{"formattedCitation":"(Dias &lt;i&gt;et al.&lt;/i&gt;, 2013)","plainTextFormattedCitation":"(Dias et al., 2013)","previouslyFormattedCitation":"(Dias &lt;i&gt;et al.&lt;/i&gt;, 2013)"},"properties":{"noteIndex":0},"schema":"https://github.com/citation-style-language/schema/raw/master/csl-citation.json"}</w:instrText>
      </w:r>
      <w:r w:rsidR="00BF775A">
        <w:rPr>
          <w:rFonts w:ascii="Arial" w:hAnsi="Arial" w:cs="Arial"/>
          <w:sz w:val="22"/>
          <w:szCs w:val="22"/>
        </w:rPr>
        <w:fldChar w:fldCharType="separate"/>
      </w:r>
      <w:r w:rsidR="00BF775A" w:rsidRPr="00BF775A">
        <w:rPr>
          <w:rFonts w:ascii="Arial" w:hAnsi="Arial" w:cs="Arial"/>
          <w:noProof/>
          <w:sz w:val="22"/>
          <w:szCs w:val="22"/>
        </w:rPr>
        <w:t xml:space="preserve">(Dias </w:t>
      </w:r>
      <w:r w:rsidR="00BF775A" w:rsidRPr="00BF775A">
        <w:rPr>
          <w:rFonts w:ascii="Arial" w:hAnsi="Arial" w:cs="Arial"/>
          <w:i/>
          <w:noProof/>
          <w:sz w:val="22"/>
          <w:szCs w:val="22"/>
        </w:rPr>
        <w:t>et al.</w:t>
      </w:r>
      <w:r w:rsidR="00BF775A" w:rsidRPr="00BF775A">
        <w:rPr>
          <w:rFonts w:ascii="Arial" w:hAnsi="Arial" w:cs="Arial"/>
          <w:noProof/>
          <w:sz w:val="22"/>
          <w:szCs w:val="22"/>
        </w:rPr>
        <w:t>, 2013)</w:t>
      </w:r>
      <w:r w:rsidR="00BF775A">
        <w:rPr>
          <w:rFonts w:ascii="Arial" w:hAnsi="Arial" w:cs="Arial"/>
          <w:sz w:val="22"/>
          <w:szCs w:val="22"/>
        </w:rPr>
        <w:fldChar w:fldCharType="end"/>
      </w:r>
      <w:r w:rsidRPr="00710EE2">
        <w:rPr>
          <w:rFonts w:ascii="Arial" w:hAnsi="Arial" w:cs="Arial"/>
          <w:sz w:val="22"/>
          <w:szCs w:val="22"/>
        </w:rPr>
        <w:t xml:space="preserve">. Because those </w:t>
      </w:r>
      <w:r w:rsidR="00E830E2" w:rsidRPr="00710EE2">
        <w:rPr>
          <w:rFonts w:ascii="Arial" w:hAnsi="Arial" w:cs="Arial"/>
          <w:sz w:val="22"/>
          <w:szCs w:val="22"/>
        </w:rPr>
        <w:t>ailments are a product of biological, psychological, and social factors. T</w:t>
      </w:r>
      <w:r w:rsidRPr="00710EE2">
        <w:rPr>
          <w:rFonts w:ascii="Arial" w:hAnsi="Arial" w:cs="Arial"/>
          <w:sz w:val="22"/>
          <w:szCs w:val="22"/>
        </w:rPr>
        <w:t>hen, t</w:t>
      </w:r>
      <w:r w:rsidR="00E830E2" w:rsidRPr="00710EE2">
        <w:rPr>
          <w:rFonts w:ascii="Arial" w:hAnsi="Arial" w:cs="Arial"/>
          <w:sz w:val="22"/>
          <w:szCs w:val="22"/>
        </w:rPr>
        <w:t xml:space="preserve">he term "disorder" has clinical significance as opposed to "illness." </w:t>
      </w:r>
      <w:r w:rsidRPr="00710EE2">
        <w:rPr>
          <w:rFonts w:ascii="Arial" w:hAnsi="Arial" w:cs="Arial"/>
          <w:sz w:val="22"/>
          <w:szCs w:val="22"/>
        </w:rPr>
        <w:t xml:space="preserve">When it considers the past, it has been used </w:t>
      </w:r>
      <w:r w:rsidR="00E830E2" w:rsidRPr="00710EE2">
        <w:rPr>
          <w:rFonts w:ascii="Arial" w:hAnsi="Arial" w:cs="Arial"/>
          <w:sz w:val="22"/>
          <w:szCs w:val="22"/>
        </w:rPr>
        <w:t xml:space="preserve">"illness" </w:t>
      </w:r>
      <w:r w:rsidRPr="00710EE2">
        <w:rPr>
          <w:rFonts w:ascii="Arial" w:hAnsi="Arial" w:cs="Arial"/>
          <w:sz w:val="22"/>
          <w:szCs w:val="22"/>
        </w:rPr>
        <w:t xml:space="preserve">and it </w:t>
      </w:r>
      <w:r w:rsidR="0072472E" w:rsidRPr="00710EE2">
        <w:rPr>
          <w:rFonts w:ascii="Arial" w:hAnsi="Arial" w:cs="Arial"/>
          <w:sz w:val="22"/>
          <w:szCs w:val="22"/>
        </w:rPr>
        <w:t>has</w:t>
      </w:r>
      <w:r w:rsidR="00E830E2" w:rsidRPr="00710EE2">
        <w:rPr>
          <w:rFonts w:ascii="Arial" w:hAnsi="Arial" w:cs="Arial"/>
          <w:sz w:val="22"/>
          <w:szCs w:val="22"/>
        </w:rPr>
        <w:t xml:space="preserve"> moral undertones</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{"citationItems":[{"id":"ITEM-1","itemData":{"DOI":"10.3390/ijerph192416980","ISSN":"16604601","PMID":"36554860","abstract":"Forms of rehabilitation for patients after COVID-19 are gaining interest. The purpose of this study was to investigate and compare an innovative in-hospital pulmonary rehabilitation programs augmented with training elements performed in virtual reality. This randomized controlled study included 32 patients enrolled in post-COVID-19 rehabilitation at a Public Hospital in Poland. The rehabilitation models included exercise capacity training on a cycle ergometer, breathing and general fitness workout, resistance training, and relaxation. The forms of training and relaxation differed between the groups: the experimental group employed virtual reality, and the control group used a traditional form of therapy. Exercise tolerance was assessed using a 6 min walk test (6 MWT), while psychological parameters were evaluated using the Hospital Anxiety and Depression Scale (HADS) and the brief World Health Organization Quality of Life Scale (WHOQOL-BRIEF). The analysis of the post-rehabilitation results showed a statistically significant improvement in both groups regarding depression (VR: 6.9 (3.9) vs. 4.7 (3.5), p = 0.008; CG: 7.64 (4.5) vs. 6.6 (4.8), p = 0.017) and anxiety (VR: 8.6 (4.6) vs. 5.6 (3.3), p &lt; 0.001; CG: 9.57 (6.0) vs. 8 (4.8), p = 0.003). No statistically significant improvements in quality of life were noted in both groups. Moreover, the analysis showed a statistically significant improvement in the exercise capacity in both groups after completion of the rehabilitation program, expressed as a distance in the 6 MWT, as well as a statistically significant improvement in dyspnea in the VR group. To conclude, the analysis of the preliminary data revealed that a 3-week hospital-based pulmonary rehabilitation program for COVID-19 patients led to an improvement in exercise tolerance as well as a reduction in the symptoms of anxiety and depression. The virtual reality-based form of training delivery, despite its attractiveness, did not significantly affect patients’ performance.","author":[{"dropping-particle":"","family":"Rutkowski","given":"Sebastian","non-dropping-particle":"","parse-names":false,"suffix":""},{"dropping-particle":"","family":"Bogacz","given":"Katarzyna","non-dropping-particle":"","parse-names":false,"suffix":""},{"dropping-particle":"","family":"Czech","given":"Oliver","non-dropping-particle":"","parse-names":false,"suffix":""},{"dropping-particle":"","family":"Rutkowska","given":"Anna","non-dropping-particle":"","parse-names":false,"suffix":""},{"dropping-particle":"","family":"Szczegielniak","given":"Jan","non-dropping-particle":"","parse-names":false,"suffix":""}],"container-title":"International Journal of Environmental Research and Public Health","id":"ITEM-1","issue":"24","issued":{"date-parts":[["2022"]]},"title":"Effectiveness of an Inpatient Virtual Reality-Based Pulmonary Rehabilitation Program among COVID-19 Patients on Symptoms of Anxiety, Depression and Quality of Life: Preliminary Results from a Randomized Controlled Trial","type":"article-journal","volume":"19"},"uris":["http://www.mendeley.com/documents/?uuid=8571edbc-0aed-4282-b0e8-8abaa458b3e5"]}],"mendeley":{"formattedCitation":"(Rutkowski &lt;i&gt;et al.&lt;/i&gt;, 2022)","plainTextFormattedCitation":"(Rutkowski et al., 2022)","previouslyFormattedCitation":"(Rutkowski &lt;i&gt;et al.&lt;/i&gt;, 2022)"},"properties":{"noteIndex":0},"schema":"https://github.com/citation-style-language/schema/raw/master/csl-citation.json"}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(Rutkowski </w:t>
      </w:r>
      <w:r w:rsidR="0039478E" w:rsidRPr="0039478E">
        <w:rPr>
          <w:rFonts w:ascii="Arial" w:hAnsi="Arial" w:cs="Arial"/>
          <w:i/>
          <w:noProof/>
          <w:sz w:val="22"/>
          <w:szCs w:val="22"/>
        </w:rPr>
        <w:t>et al.</w:t>
      </w:r>
      <w:r w:rsidR="0039478E" w:rsidRPr="0039478E">
        <w:rPr>
          <w:rFonts w:ascii="Arial" w:hAnsi="Arial" w:cs="Arial"/>
          <w:noProof/>
          <w:sz w:val="22"/>
          <w:szCs w:val="22"/>
        </w:rPr>
        <w:t>, 2022)</w:t>
      </w:r>
      <w:r w:rsidR="0039478E">
        <w:rPr>
          <w:rFonts w:ascii="Arial" w:hAnsi="Arial" w:cs="Arial"/>
          <w:sz w:val="22"/>
          <w:szCs w:val="22"/>
        </w:rPr>
        <w:fldChar w:fldCharType="end"/>
      </w:r>
      <w:r w:rsidR="00E830E2" w:rsidRPr="00710EE2">
        <w:rPr>
          <w:rFonts w:ascii="Arial" w:hAnsi="Arial" w:cs="Arial"/>
          <w:sz w:val="22"/>
          <w:szCs w:val="22"/>
        </w:rPr>
        <w:t>.</w:t>
      </w:r>
    </w:p>
    <w:p w14:paraId="450EF1DA" w14:textId="1E2B753A" w:rsidR="00E830E2" w:rsidRPr="00710EE2" w:rsidRDefault="00E830E2" w:rsidP="00620130">
      <w:pPr>
        <w:spacing w:line="360" w:lineRule="auto"/>
        <w:jc w:val="both"/>
        <w:rPr>
          <w:rFonts w:ascii="Arial" w:hAnsi="Arial" w:cs="Arial"/>
          <w:sz w:val="22"/>
          <w:szCs w:val="22"/>
        </w:rPr>
      </w:pPr>
      <w:r w:rsidRPr="00710EE2">
        <w:rPr>
          <w:rFonts w:ascii="Arial" w:hAnsi="Arial" w:cs="Arial"/>
          <w:sz w:val="22"/>
          <w:szCs w:val="22"/>
        </w:rPr>
        <w:t xml:space="preserve">The use of "disorder" </w:t>
      </w:r>
      <w:r w:rsidR="00B71E59" w:rsidRPr="00710EE2">
        <w:rPr>
          <w:rFonts w:ascii="Arial" w:hAnsi="Arial" w:cs="Arial"/>
          <w:sz w:val="22"/>
          <w:szCs w:val="22"/>
        </w:rPr>
        <w:t xml:space="preserve">supports </w:t>
      </w:r>
      <w:r w:rsidRPr="00710EE2">
        <w:rPr>
          <w:rFonts w:ascii="Arial" w:hAnsi="Arial" w:cs="Arial"/>
          <w:sz w:val="22"/>
          <w:szCs w:val="22"/>
        </w:rPr>
        <w:t xml:space="preserve">in destigmatizing the problem by considering it as an impairment of normal psychological processes that can be managed. </w:t>
      </w:r>
      <w:r w:rsidR="00B71E59" w:rsidRPr="00710EE2">
        <w:rPr>
          <w:rFonts w:ascii="Arial" w:hAnsi="Arial" w:cs="Arial"/>
          <w:sz w:val="22"/>
          <w:szCs w:val="22"/>
        </w:rPr>
        <w:t>Accordingly, t</w:t>
      </w:r>
      <w:r w:rsidRPr="00710EE2">
        <w:rPr>
          <w:rFonts w:ascii="Arial" w:hAnsi="Arial" w:cs="Arial"/>
          <w:sz w:val="22"/>
          <w:szCs w:val="22"/>
        </w:rPr>
        <w:t xml:space="preserve">he concept </w:t>
      </w:r>
      <w:r w:rsidR="00B71E59" w:rsidRPr="00710EE2">
        <w:rPr>
          <w:rFonts w:ascii="Arial" w:hAnsi="Arial" w:cs="Arial"/>
          <w:sz w:val="22"/>
          <w:szCs w:val="22"/>
        </w:rPr>
        <w:t xml:space="preserve">aligns with </w:t>
      </w:r>
      <w:r w:rsidRPr="00710EE2">
        <w:rPr>
          <w:rFonts w:ascii="Arial" w:hAnsi="Arial" w:cs="Arial"/>
          <w:sz w:val="22"/>
          <w:szCs w:val="22"/>
        </w:rPr>
        <w:t>the tradition of modern psychiatric that emphasizes recovery and empowerment</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{"citationItems":[{"id":"ITEM-1","itemData":{"DOI":"10.3389/fpsyt.2024.1421907","ISSN":"16640640","abstract":"Objective: To understand the current study of social anxiety (SA) over the past decade, and to analyze the research hot topics and frontiers in this field. Methods: CiteSpace 6.2.R3 was used to analyze the literature on SA collected in the Web of Science Core Collection database from 2013 to 2023. Results: A total of 9940 literature were included after the screening, and the annual publication volume showed a steady increase. The results emphasize that Zvolensky MJ, Pine DS, and Heimberg RG are important authors in the field of SA. The United States has the highest number of publications, with the University of California System contributing the most. Research hotspots include cognitive impairment, risk factors, complications, neuroimaging, and intervention strategies. SA related to the “theory of mind”, “bullying victimization”, “mobile phone”, “network analysis”, “technology”, and “satisfaction” are emerging research foci. Conclusion: This study identifies the current situation and trends of SA research, and provides a reference for future research topics and directions.","author":[{"dropping-particle":"","family":"Zhang","given":"Peng","non-dropping-particle":"","parse-names":false,"suffix":""},{"dropping-particle":"","family":"Wang","given":"Mingliang","non-dropping-particle":"","parse-names":false,"suffix":""},{"dropping-particle":"","family":"Ding","given":"Lin","non-dropping-particle":"","parse-names":false,"suffix":""},{"dropping-particle":"","family":"Zhang","given":"Jianing","non-dropping-particle":"","parse-names":false,"suffix":""},{"dropping-particle":"","family":"Yuan","given":"Yuqing","non-dropping-particle":"","parse-names":false,"suffix":""},{"dropping-particle":"","family":"Tian","given":"Xin","non-dropping-particle":"","parse-names":false,"suffix":""}],"container-title":"Frontiers in Psychiatry","id":"ITEM-1","issue":"October","issued":{"date-parts":[["2024"]]},"page":"1-23","title":"Research hot topics and frontiers in social anxiety over the past decade: a CiteSpace bibliometric analysis based on Web of Science database from 2013 to 2023","type":"article-journal","volume":"15"},"uris":["http://www.mendeley.com/documents/?uuid=837991f4-909f-4ce9-8bb1-09215774ed23"]}],"mendeley":{"formattedCitation":"(Zhang &lt;i&gt;et al.&lt;/i&gt;, 2024)","plainTextFormattedCitation":"(Zhang et al., 2024)","previouslyFormattedCitation":"(Zhang &lt;i&gt;et al.&lt;/i&gt;, 2024)"},"properties":{"noteIndex":0},"schema":"https://github.com/citation-style-language/schema/raw/master/csl-citation.json"}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(Zhang </w:t>
      </w:r>
      <w:r w:rsidR="0039478E" w:rsidRPr="0039478E">
        <w:rPr>
          <w:rFonts w:ascii="Arial" w:hAnsi="Arial" w:cs="Arial"/>
          <w:i/>
          <w:noProof/>
          <w:sz w:val="22"/>
          <w:szCs w:val="22"/>
        </w:rPr>
        <w:t>et al.</w:t>
      </w:r>
      <w:r w:rsidR="0039478E" w:rsidRPr="0039478E">
        <w:rPr>
          <w:rFonts w:ascii="Arial" w:hAnsi="Arial" w:cs="Arial"/>
          <w:noProof/>
          <w:sz w:val="22"/>
          <w:szCs w:val="22"/>
        </w:rPr>
        <w:t>, 2024)</w:t>
      </w:r>
      <w:r w:rsidR="0039478E">
        <w:rPr>
          <w:rFonts w:ascii="Arial" w:hAnsi="Arial" w:cs="Arial"/>
          <w:sz w:val="22"/>
          <w:szCs w:val="22"/>
        </w:rPr>
        <w:fldChar w:fldCharType="end"/>
      </w:r>
      <w:r w:rsidRPr="00710EE2">
        <w:rPr>
          <w:rFonts w:ascii="Arial" w:hAnsi="Arial" w:cs="Arial"/>
          <w:sz w:val="22"/>
          <w:szCs w:val="22"/>
        </w:rPr>
        <w:t xml:space="preserve">. </w:t>
      </w:r>
      <w:r w:rsidR="00B71E59" w:rsidRPr="00710EE2">
        <w:rPr>
          <w:rFonts w:ascii="Arial" w:hAnsi="Arial" w:cs="Arial"/>
          <w:sz w:val="22"/>
          <w:szCs w:val="22"/>
        </w:rPr>
        <w:t xml:space="preserve">Further, it helps </w:t>
      </w:r>
      <w:r w:rsidRPr="00710EE2">
        <w:rPr>
          <w:rFonts w:ascii="Arial" w:hAnsi="Arial" w:cs="Arial"/>
          <w:sz w:val="22"/>
          <w:szCs w:val="22"/>
        </w:rPr>
        <w:t>to ensure that a shared understanding of the problem's diagnostic criteria exists among healthcare providers and researchers.</w:t>
      </w:r>
    </w:p>
    <w:p w14:paraId="2FD4FFF7" w14:textId="77777777" w:rsidR="00AC2916" w:rsidRDefault="00AC2916">
      <w:pPr>
        <w:rPr>
          <w:rFonts w:ascii="Arial" w:eastAsiaTheme="majorEastAsia" w:hAnsi="Arial" w:cs="Arial"/>
          <w:b/>
          <w:bCs/>
        </w:rPr>
      </w:pPr>
      <w:r>
        <w:br w:type="page"/>
      </w:r>
    </w:p>
    <w:p w14:paraId="4D97FF0B" w14:textId="092A1E31" w:rsidR="00E830E2" w:rsidRPr="00710EE2" w:rsidRDefault="00E830E2" w:rsidP="00620130">
      <w:pPr>
        <w:pStyle w:val="Heading1"/>
        <w:spacing w:line="360" w:lineRule="auto"/>
        <w:jc w:val="both"/>
      </w:pPr>
      <w:bookmarkStart w:id="6" w:name="_Toc212717402"/>
      <w:r w:rsidRPr="00710EE2">
        <w:lastRenderedPageBreak/>
        <w:t>Treatment and Rehabilitation</w:t>
      </w:r>
      <w:bookmarkEnd w:id="6"/>
      <w:r w:rsidRPr="00710EE2">
        <w:t xml:space="preserve"> </w:t>
      </w:r>
    </w:p>
    <w:p w14:paraId="7A653D34" w14:textId="75940A9D" w:rsidR="00E830E2" w:rsidRPr="00710EE2" w:rsidRDefault="00E830E2" w:rsidP="00620130">
      <w:pPr>
        <w:pStyle w:val="Heading2"/>
        <w:spacing w:line="360" w:lineRule="auto"/>
        <w:jc w:val="both"/>
      </w:pPr>
      <w:bookmarkStart w:id="7" w:name="_Toc212717403"/>
      <w:r w:rsidRPr="00710EE2">
        <w:t>Standard Treatment Approaches</w:t>
      </w:r>
      <w:bookmarkEnd w:id="7"/>
    </w:p>
    <w:p w14:paraId="541DF09B" w14:textId="499F949D" w:rsidR="00E830E2" w:rsidRPr="00710EE2" w:rsidRDefault="00E830E2" w:rsidP="00620130">
      <w:pPr>
        <w:spacing w:line="360" w:lineRule="auto"/>
        <w:jc w:val="both"/>
        <w:rPr>
          <w:rFonts w:ascii="Arial" w:hAnsi="Arial" w:cs="Arial"/>
          <w:sz w:val="22"/>
          <w:szCs w:val="22"/>
        </w:rPr>
      </w:pPr>
      <w:r w:rsidRPr="00710EE2">
        <w:rPr>
          <w:rFonts w:ascii="Arial" w:hAnsi="Arial" w:cs="Arial"/>
          <w:sz w:val="22"/>
          <w:szCs w:val="22"/>
        </w:rPr>
        <w:t xml:space="preserve">The management of Generalised Anxiety Disorder usually includes a combination of both psychological and pharmacological therapies. </w:t>
      </w:r>
      <w:r w:rsidR="00FF3831" w:rsidRPr="00710EE2">
        <w:rPr>
          <w:rFonts w:ascii="Arial" w:hAnsi="Arial" w:cs="Arial"/>
          <w:sz w:val="22"/>
          <w:szCs w:val="22"/>
        </w:rPr>
        <w:t xml:space="preserve">Accordingly, </w:t>
      </w:r>
      <w:r w:rsidRPr="00710EE2">
        <w:rPr>
          <w:rFonts w:ascii="Arial" w:hAnsi="Arial" w:cs="Arial"/>
          <w:sz w:val="22"/>
          <w:szCs w:val="22"/>
        </w:rPr>
        <w:t xml:space="preserve">Cognitive Behavioural Therapy has been found to be the most effective treatment of Generalised Anxiety Disorder. </w:t>
      </w:r>
      <w:r w:rsidR="00FF3831" w:rsidRPr="00710EE2">
        <w:rPr>
          <w:rFonts w:ascii="Arial" w:hAnsi="Arial" w:cs="Arial"/>
          <w:sz w:val="22"/>
          <w:szCs w:val="22"/>
        </w:rPr>
        <w:t xml:space="preserve">Because it focuses on </w:t>
      </w:r>
      <w:r w:rsidRPr="00710EE2">
        <w:rPr>
          <w:rFonts w:ascii="Arial" w:hAnsi="Arial" w:cs="Arial"/>
          <w:sz w:val="22"/>
          <w:szCs w:val="22"/>
        </w:rPr>
        <w:t>maladaptive cognitive and behavioural patterns that tend to increase anxiety</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{"citationItems":[{"id":"ITEM-1","itemData":{"DOI":"10.3389/fpsyg.2024.1373290","ISSN":"16641078","abstract":"With the deepening of the research on emotional factors, foreign language anxiety (FLA) has become the focus of researchers in the field of foreign language learning (FLL) and teaching. This paper aims to provide an overview of the historical trajectory of FLA research that has been published in System between 2004 and 2023. While examining the retrieved 49 studies, focus has been laid on the methodologies including research instruments, methods, participants, major themes and key findings of FLA research. Although almost all of the studies employed quantitative and mix-methods methodologies, questionnaires and semi-structured interviews were the most preferred research methods. FL learners from 21 countries/regions were represented, but a significant number of the studies came from China, Japan and Iran. And an overwhelming majority of the studies focused on FLA among the learners learning English as a foreign language (EFL). The review concluded with some research lacunae and possible directions for future research on FLA.","author":[{"dropping-particle":"","family":"Yu","given":"Qiangfu","non-dropping-particle":"","parse-names":false,"suffix":""}],"container-title":"Frontiers in Psychology","id":"ITEM-1","issue":"April","issued":{"date-parts":[["2024"]]},"page":"1-7","title":"Foreign language anxiety research in System between 2004 and 2023: looking back and looking forward","type":"article-journal","volume":"15"},"uris":["http://www.mendeley.com/documents/?uuid=8787b03e-4397-4dcc-9837-59836235be5c"]}],"mendeley":{"formattedCitation":"(Yu, 2024)","plainTextFormattedCitation":"(Yu, 2024)","previouslyFormattedCitation":"(Yu, 2024)"},"properties":{"noteIndex":0},"schema":"https://github.com/citation-style-language/schema/raw/master/csl-citation.json"}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(Yu, 2024)</w:t>
      </w:r>
      <w:r w:rsidR="0039478E">
        <w:rPr>
          <w:rFonts w:ascii="Arial" w:hAnsi="Arial" w:cs="Arial"/>
          <w:sz w:val="22"/>
          <w:szCs w:val="22"/>
        </w:rPr>
        <w:fldChar w:fldCharType="end"/>
      </w:r>
      <w:r w:rsidRPr="00710EE2">
        <w:rPr>
          <w:rFonts w:ascii="Arial" w:hAnsi="Arial" w:cs="Arial"/>
          <w:sz w:val="22"/>
          <w:szCs w:val="22"/>
        </w:rPr>
        <w:t xml:space="preserve">. </w:t>
      </w:r>
      <w:r w:rsidR="00FF3831" w:rsidRPr="00710EE2">
        <w:rPr>
          <w:rFonts w:ascii="Arial" w:hAnsi="Arial" w:cs="Arial"/>
          <w:sz w:val="22"/>
          <w:szCs w:val="22"/>
        </w:rPr>
        <w:t xml:space="preserve">Accordingly, cognitive restructuring, exposure to </w:t>
      </w:r>
      <w:r w:rsidR="0039478E" w:rsidRPr="00710EE2">
        <w:rPr>
          <w:rFonts w:ascii="Arial" w:hAnsi="Arial" w:cs="Arial"/>
          <w:sz w:val="22"/>
          <w:szCs w:val="22"/>
        </w:rPr>
        <w:t>fear</w:t>
      </w:r>
      <w:r w:rsidR="00FF3831" w:rsidRPr="00710EE2">
        <w:rPr>
          <w:rFonts w:ascii="Arial" w:hAnsi="Arial" w:cs="Arial"/>
          <w:sz w:val="22"/>
          <w:szCs w:val="22"/>
        </w:rPr>
        <w:t xml:space="preserve"> stimuli, and relaxation procedures are used as the techniques which </w:t>
      </w:r>
      <w:r w:rsidR="004D1C80" w:rsidRPr="00710EE2">
        <w:rPr>
          <w:rFonts w:ascii="Arial" w:hAnsi="Arial" w:cs="Arial"/>
          <w:sz w:val="22"/>
          <w:szCs w:val="22"/>
        </w:rPr>
        <w:t>are used</w:t>
      </w:r>
      <w:r w:rsidR="00FF3831" w:rsidRPr="00710EE2">
        <w:rPr>
          <w:rFonts w:ascii="Arial" w:hAnsi="Arial" w:cs="Arial"/>
          <w:sz w:val="22"/>
          <w:szCs w:val="22"/>
        </w:rPr>
        <w:t xml:space="preserve"> for treating them with better advantages</w:t>
      </w:r>
      <w:r w:rsidR="001333DF" w:rsidRPr="00710EE2">
        <w:rPr>
          <w:rFonts w:ascii="Arial" w:hAnsi="Arial" w:cs="Arial"/>
          <w:sz w:val="22"/>
          <w:szCs w:val="22"/>
        </w:rPr>
        <w:t>. In addition, mindfulness therapies and relaxation methods are used through progressive muscular relaxation and respiratory work</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{"citationItems":[{"id":"ITEM-1","itemData":{"DOI":"10.1200/JCO.23.00293","ISSN":"15277755","PMID":"37075262","abstract":"PURPOSETo update the American Society of Clinical Oncology guideline on the management of anxiety and depression in adult cancer survivors.METHODSA multidisciplinary expert panel convened to update the guideline. A systematic review of evidence published from 2013-2021 was conducted.RESULTSThe evidence base consisted of 17 systematic reviews ± meta analyses (nine for psychosocial interventions, four for physical exercise, three for mindfulness-based stress reduction [MBSR], and one for pharmacologic interventions), and an additional 44 randomized controlled trials. Psychological, educational, and psychosocial interventions led to improvements in depression and anxiety. Evidence for pharmacologic management of depression and anxiety in cancer survivors was inconsistent. The lack of inclusion of survivors from minoritized groups was noted and identified as an important consideration to provide high-quality care for ethnic minority populations.RECOMMENDATIONSIt is recommended to use a stepped-care model, that is, provide the most effective and least resource-intensive intervention based on symptom severity. All oncology patients should be offered education regarding depression and anxiety. For patients with moderate symptoms of depression, clinicians should offer cognitive behavior therapy (CBT), behavioral activation (BA), MBSR, structured physical activity, or empirically supported psychosocial interventions. For patients with moderate symptoms of anxiety, clinicians should offer CBT, BA, structured physical activity, acceptance and commitment therapy, or psychosocial interventions. For patients with severe symptoms of depression or anxiety, clinicians should offer cognitive therapy, BA, CBT, MBSR, or interpersonal therapy. Treating clinicians may offer a pharmacologic regimen for depression or anxiety for patients who do not have access to first-line treatment, prefer pharmacotherapy, have previously responded well to pharmacotherapy, or have not improved following first-line psychological or behavioral management.Additional information is available at www.asco.org/survivorship-guidelines.","author":[{"dropping-particle":"","family":"Andersen","given":"Barbara L.","non-dropping-particle":"","parse-names":false,"suffix":""},{"dropping-particle":"","family":"Lacchetti","given":"Christina","non-dropping-particle":"","parse-names":false,"suffix":""},{"dropping-particle":"","family":"Ashing","given":"Kimlin","non-dropping-particle":"","parse-names":false,"suffix":""},{"dropping-particle":"","family":"Berek","given":"Jonathan S.","non-dropping-particle":"","parse-names":false,"suffix":""},{"dropping-particle":"","family":"Berman","given":"Barry S.","non-dropping-particle":"","parse-names":false,"suffix":""},{"dropping-particle":"","family":"Bolte","given":"Sage","non-dropping-particle":"","parse-names":false,"suffix":""},{"dropping-particle":"","family":"Dizon","given":"Don S.","non-dropping-particle":"","parse-names":false,"suffix":""},{"dropping-particle":"","family":"Given","given":"Barbara","non-dropping-particle":"","parse-names":false,"suffix":""},{"dropping-particle":"","family":"Nekhlyudov","given":"Larissa","non-dropping-particle":"","parse-names":false,"suffix":""},{"dropping-particle":"","family":"Pirl","given":"William","non-dropping-particle":"","parse-names":false,"suffix":""},{"dropping-particle":"","family":"Stanton","given":"Annette L.","non-dropping-particle":"","parse-names":false,"suffix":""},{"dropping-particle":"","family":"Rowland","given":"Julia H.","non-dropping-particle":"","parse-names":false,"suffix":""}],"container-title":"Journal of Clinical Oncology","id":"ITEM-1","issue":"18","issued":{"date-parts":[["2023"]]},"page":"3426-3453","title":"Management of Anxiety and Depression in Adult Survivors of Cancer: ASCO Guideline Update","type":"article-journal","volume":"41"},"uris":["http://www.mendeley.com/documents/?uuid=65f7f64b-228a-413c-aa51-81cde52d9532"]}],"mendeley":{"formattedCitation":"(Andersen &lt;i&gt;et al.&lt;/i&gt;, 2023)","plainTextFormattedCitation":"(Andersen et al., 2023)","previouslyFormattedCitation":"(Andersen &lt;i&gt;et al.&lt;/i&gt;, 2023)"},"properties":{"noteIndex":0},"schema":"https://github.com/citation-style-language/schema/raw/master/csl-citation.json"}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(Andersen </w:t>
      </w:r>
      <w:r w:rsidR="0039478E" w:rsidRPr="0039478E">
        <w:rPr>
          <w:rFonts w:ascii="Arial" w:hAnsi="Arial" w:cs="Arial"/>
          <w:i/>
          <w:noProof/>
          <w:sz w:val="22"/>
          <w:szCs w:val="22"/>
        </w:rPr>
        <w:t>et al.</w:t>
      </w:r>
      <w:r w:rsidR="0039478E" w:rsidRPr="0039478E">
        <w:rPr>
          <w:rFonts w:ascii="Arial" w:hAnsi="Arial" w:cs="Arial"/>
          <w:noProof/>
          <w:sz w:val="22"/>
          <w:szCs w:val="22"/>
        </w:rPr>
        <w:t>, 2023)</w:t>
      </w:r>
      <w:r w:rsidR="0039478E">
        <w:rPr>
          <w:rFonts w:ascii="Arial" w:hAnsi="Arial" w:cs="Arial"/>
          <w:sz w:val="22"/>
          <w:szCs w:val="22"/>
        </w:rPr>
        <w:fldChar w:fldCharType="end"/>
      </w:r>
      <w:r w:rsidR="001333DF" w:rsidRPr="00710EE2">
        <w:rPr>
          <w:rFonts w:ascii="Arial" w:hAnsi="Arial" w:cs="Arial"/>
          <w:sz w:val="22"/>
          <w:szCs w:val="22"/>
        </w:rPr>
        <w:t xml:space="preserve">. These techniques </w:t>
      </w:r>
      <w:r w:rsidR="0039478E" w:rsidRPr="00710EE2">
        <w:rPr>
          <w:rFonts w:ascii="Arial" w:hAnsi="Arial" w:cs="Arial"/>
          <w:sz w:val="22"/>
          <w:szCs w:val="22"/>
        </w:rPr>
        <w:t>help</w:t>
      </w:r>
      <w:r w:rsidR="001333DF" w:rsidRPr="00710EE2">
        <w:rPr>
          <w:rFonts w:ascii="Arial" w:hAnsi="Arial" w:cs="Arial"/>
          <w:sz w:val="22"/>
          <w:szCs w:val="22"/>
        </w:rPr>
        <w:t xml:space="preserve"> </w:t>
      </w:r>
      <w:r w:rsidRPr="00710EE2">
        <w:rPr>
          <w:rFonts w:ascii="Arial" w:hAnsi="Arial" w:cs="Arial"/>
          <w:sz w:val="22"/>
          <w:szCs w:val="22"/>
        </w:rPr>
        <w:t>as an important supplement to manage physiological or emotional arousal.</w:t>
      </w:r>
    </w:p>
    <w:p w14:paraId="5A354B86" w14:textId="33AFC860" w:rsidR="00E830E2" w:rsidRPr="00710EE2" w:rsidRDefault="00C15891" w:rsidP="00620130">
      <w:pPr>
        <w:spacing w:line="360" w:lineRule="auto"/>
        <w:jc w:val="both"/>
        <w:rPr>
          <w:rFonts w:ascii="Arial" w:hAnsi="Arial" w:cs="Arial"/>
          <w:sz w:val="22"/>
          <w:szCs w:val="22"/>
        </w:rPr>
      </w:pPr>
      <w:r w:rsidRPr="00710EE2">
        <w:rPr>
          <w:rFonts w:ascii="Arial" w:hAnsi="Arial" w:cs="Arial"/>
          <w:sz w:val="22"/>
          <w:szCs w:val="22"/>
        </w:rPr>
        <w:t>When it comes to p</w:t>
      </w:r>
      <w:r w:rsidR="00E830E2" w:rsidRPr="00710EE2">
        <w:rPr>
          <w:rFonts w:ascii="Arial" w:hAnsi="Arial" w:cs="Arial"/>
          <w:sz w:val="22"/>
          <w:szCs w:val="22"/>
        </w:rPr>
        <w:t>harmacological interventions</w:t>
      </w:r>
      <w:r w:rsidRPr="00710EE2">
        <w:rPr>
          <w:rFonts w:ascii="Arial" w:hAnsi="Arial" w:cs="Arial"/>
          <w:sz w:val="22"/>
          <w:szCs w:val="22"/>
        </w:rPr>
        <w:t>, it</w:t>
      </w:r>
      <w:r w:rsidR="00E830E2" w:rsidRPr="00710EE2">
        <w:rPr>
          <w:rFonts w:ascii="Arial" w:hAnsi="Arial" w:cs="Arial"/>
          <w:sz w:val="22"/>
          <w:szCs w:val="22"/>
        </w:rPr>
        <w:t xml:space="preserve"> can be used as an alternative treatment approach when psychological interventions alone fail</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{"citationItems":[{"id":"ITEM-1","itemData":{"DOI":"https://doi.org/10.1016/j.cpr.2022.102142","author":[{"dropping-particle":"","family":"Clauss","given":"Kate","non-dropping-particle":"","parse-names":false,"suffix":""},{"dropping-particle":"","family":"Gorday","given":"Julia Y.","non-dropping-particle":"","parse-names":false,"suffix":""},{"dropping-particle":"","family":"Bardeen","given":"Joseph R.","non-dropping-particle":"","parse-names":false,"suffix":""}],"container-title":"Clinical Psychological Review","id":"ITEM-1","issued":{"date-parts":[["2022"]]},"title":"Eye tracking evidence of threat-related attentional bias in anxiety- and fear-related disorders: A systematic review and meta-analysis","type":"article-journal","volume":"93"},"uris":["http://www.mendeley.com/documents/?uuid=26ddb808-1346-4925-b421-b98de099e9c9"]}],"mendeley":{"formattedCitation":"(Clauss, Gorday and Bardeen, 2022)","plainTextFormattedCitation":"(Clauss, Gorday and Bardeen, 2022)","previouslyFormattedCitation":"(Clauss, Gorday and Bardeen, 2022)"},"properties":{"noteIndex":0},"schema":"https://github.com/citation-style-language/schema/raw/master/csl-citation.json"}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(Clauss, Gorday and Bardeen, 2022)</w:t>
      </w:r>
      <w:r w:rsidR="0039478E">
        <w:rPr>
          <w:rFonts w:ascii="Arial" w:hAnsi="Arial" w:cs="Arial"/>
          <w:sz w:val="22"/>
          <w:szCs w:val="22"/>
        </w:rPr>
        <w:fldChar w:fldCharType="end"/>
      </w:r>
      <w:r w:rsidR="00E830E2" w:rsidRPr="00710EE2">
        <w:rPr>
          <w:rFonts w:ascii="Arial" w:hAnsi="Arial" w:cs="Arial"/>
          <w:sz w:val="22"/>
          <w:szCs w:val="22"/>
        </w:rPr>
        <w:t xml:space="preserve">. </w:t>
      </w:r>
      <w:r w:rsidR="00D96B6E" w:rsidRPr="00710EE2">
        <w:rPr>
          <w:rFonts w:ascii="Arial" w:hAnsi="Arial" w:cs="Arial"/>
          <w:sz w:val="22"/>
          <w:szCs w:val="22"/>
        </w:rPr>
        <w:t xml:space="preserve">Then, considering </w:t>
      </w:r>
      <w:r w:rsidR="00E830E2" w:rsidRPr="00710EE2">
        <w:rPr>
          <w:rFonts w:ascii="Arial" w:hAnsi="Arial" w:cs="Arial"/>
          <w:sz w:val="22"/>
          <w:szCs w:val="22"/>
        </w:rPr>
        <w:t xml:space="preserve">Selective </w:t>
      </w:r>
      <w:r w:rsidR="00D96B6E" w:rsidRPr="00710EE2">
        <w:rPr>
          <w:rFonts w:ascii="Arial" w:hAnsi="Arial" w:cs="Arial"/>
          <w:sz w:val="22"/>
          <w:szCs w:val="22"/>
        </w:rPr>
        <w:t>S</w:t>
      </w:r>
      <w:r w:rsidR="00E830E2" w:rsidRPr="00710EE2">
        <w:rPr>
          <w:rFonts w:ascii="Arial" w:hAnsi="Arial" w:cs="Arial"/>
          <w:sz w:val="22"/>
          <w:szCs w:val="22"/>
        </w:rPr>
        <w:t xml:space="preserve">erotonin </w:t>
      </w:r>
      <w:r w:rsidR="00D96B6E" w:rsidRPr="00710EE2">
        <w:rPr>
          <w:rFonts w:ascii="Arial" w:hAnsi="Arial" w:cs="Arial"/>
          <w:sz w:val="22"/>
          <w:szCs w:val="22"/>
        </w:rPr>
        <w:t>R</w:t>
      </w:r>
      <w:r w:rsidR="00E830E2" w:rsidRPr="00710EE2">
        <w:rPr>
          <w:rFonts w:ascii="Arial" w:hAnsi="Arial" w:cs="Arial"/>
          <w:sz w:val="22"/>
          <w:szCs w:val="22"/>
        </w:rPr>
        <w:t xml:space="preserve">euptake </w:t>
      </w:r>
      <w:r w:rsidR="00D96B6E" w:rsidRPr="00710EE2">
        <w:rPr>
          <w:rFonts w:ascii="Arial" w:hAnsi="Arial" w:cs="Arial"/>
          <w:sz w:val="22"/>
          <w:szCs w:val="22"/>
        </w:rPr>
        <w:t>I</w:t>
      </w:r>
      <w:r w:rsidR="00E830E2" w:rsidRPr="00710EE2">
        <w:rPr>
          <w:rFonts w:ascii="Arial" w:hAnsi="Arial" w:cs="Arial"/>
          <w:sz w:val="22"/>
          <w:szCs w:val="22"/>
        </w:rPr>
        <w:t xml:space="preserve">nhibitors (SSRIs) and </w:t>
      </w:r>
      <w:r w:rsidR="00D96B6E" w:rsidRPr="00710EE2">
        <w:rPr>
          <w:rFonts w:ascii="Arial" w:hAnsi="Arial" w:cs="Arial"/>
          <w:sz w:val="22"/>
          <w:szCs w:val="22"/>
        </w:rPr>
        <w:t>S</w:t>
      </w:r>
      <w:r w:rsidR="00E830E2" w:rsidRPr="00710EE2">
        <w:rPr>
          <w:rFonts w:ascii="Arial" w:hAnsi="Arial" w:cs="Arial"/>
          <w:sz w:val="22"/>
          <w:szCs w:val="22"/>
        </w:rPr>
        <w:t xml:space="preserve">erotonin and </w:t>
      </w:r>
      <w:r w:rsidR="00D96B6E" w:rsidRPr="00710EE2">
        <w:rPr>
          <w:rFonts w:ascii="Arial" w:hAnsi="Arial" w:cs="Arial"/>
          <w:sz w:val="22"/>
          <w:szCs w:val="22"/>
        </w:rPr>
        <w:t>N</w:t>
      </w:r>
      <w:r w:rsidR="00E830E2" w:rsidRPr="00710EE2">
        <w:rPr>
          <w:rFonts w:ascii="Arial" w:hAnsi="Arial" w:cs="Arial"/>
          <w:sz w:val="22"/>
          <w:szCs w:val="22"/>
        </w:rPr>
        <w:t xml:space="preserve">orepinephrine </w:t>
      </w:r>
      <w:r w:rsidR="00D96B6E" w:rsidRPr="00710EE2">
        <w:rPr>
          <w:rFonts w:ascii="Arial" w:hAnsi="Arial" w:cs="Arial"/>
          <w:sz w:val="22"/>
          <w:szCs w:val="22"/>
        </w:rPr>
        <w:t>R</w:t>
      </w:r>
      <w:r w:rsidR="00E830E2" w:rsidRPr="00710EE2">
        <w:rPr>
          <w:rFonts w:ascii="Arial" w:hAnsi="Arial" w:cs="Arial"/>
          <w:sz w:val="22"/>
          <w:szCs w:val="22"/>
        </w:rPr>
        <w:t xml:space="preserve">euptake </w:t>
      </w:r>
      <w:r w:rsidR="00D96B6E" w:rsidRPr="00710EE2">
        <w:rPr>
          <w:rFonts w:ascii="Arial" w:hAnsi="Arial" w:cs="Arial"/>
          <w:sz w:val="22"/>
          <w:szCs w:val="22"/>
        </w:rPr>
        <w:t>I</w:t>
      </w:r>
      <w:r w:rsidR="00E830E2" w:rsidRPr="00710EE2">
        <w:rPr>
          <w:rFonts w:ascii="Arial" w:hAnsi="Arial" w:cs="Arial"/>
          <w:sz w:val="22"/>
          <w:szCs w:val="22"/>
        </w:rPr>
        <w:t>nhibitors (SNRIs)</w:t>
      </w:r>
      <w:r w:rsidR="00D96B6E" w:rsidRPr="00710EE2">
        <w:rPr>
          <w:rFonts w:ascii="Arial" w:hAnsi="Arial" w:cs="Arial"/>
          <w:sz w:val="22"/>
          <w:szCs w:val="22"/>
        </w:rPr>
        <w:t xml:space="preserve">, it can be identified </w:t>
      </w:r>
      <w:r w:rsidR="00763C8D" w:rsidRPr="00710EE2">
        <w:rPr>
          <w:rFonts w:ascii="Arial" w:hAnsi="Arial" w:cs="Arial"/>
          <w:sz w:val="22"/>
          <w:szCs w:val="22"/>
        </w:rPr>
        <w:t>that</w:t>
      </w:r>
      <w:r w:rsidR="00D96B6E" w:rsidRPr="00710EE2">
        <w:rPr>
          <w:rFonts w:ascii="Arial" w:hAnsi="Arial" w:cs="Arial"/>
          <w:sz w:val="22"/>
          <w:szCs w:val="22"/>
        </w:rPr>
        <w:t xml:space="preserve"> these two methods </w:t>
      </w:r>
      <w:r w:rsidR="00E830E2" w:rsidRPr="00710EE2">
        <w:rPr>
          <w:rFonts w:ascii="Arial" w:hAnsi="Arial" w:cs="Arial"/>
          <w:sz w:val="22"/>
          <w:szCs w:val="22"/>
        </w:rPr>
        <w:t>remain</w:t>
      </w:r>
      <w:r w:rsidR="00D96B6E" w:rsidRPr="00710EE2">
        <w:rPr>
          <w:rFonts w:ascii="Arial" w:hAnsi="Arial" w:cs="Arial"/>
          <w:sz w:val="22"/>
          <w:szCs w:val="22"/>
        </w:rPr>
        <w:t xml:space="preserve"> as</w:t>
      </w:r>
      <w:r w:rsidR="00E830E2" w:rsidRPr="00710EE2">
        <w:rPr>
          <w:rFonts w:ascii="Arial" w:hAnsi="Arial" w:cs="Arial"/>
          <w:sz w:val="22"/>
          <w:szCs w:val="22"/>
        </w:rPr>
        <w:t xml:space="preserve"> the </w:t>
      </w:r>
      <w:r w:rsidR="00D96B6E" w:rsidRPr="00710EE2">
        <w:rPr>
          <w:rFonts w:ascii="Arial" w:hAnsi="Arial" w:cs="Arial"/>
          <w:sz w:val="22"/>
          <w:szCs w:val="22"/>
        </w:rPr>
        <w:t xml:space="preserve">first line </w:t>
      </w:r>
      <w:r w:rsidR="00E830E2" w:rsidRPr="00710EE2">
        <w:rPr>
          <w:rFonts w:ascii="Arial" w:hAnsi="Arial" w:cs="Arial"/>
          <w:sz w:val="22"/>
          <w:szCs w:val="22"/>
        </w:rPr>
        <w:t xml:space="preserve">medications of choice due to </w:t>
      </w:r>
      <w:r w:rsidR="00D96B6E" w:rsidRPr="00710EE2">
        <w:rPr>
          <w:rFonts w:ascii="Arial" w:hAnsi="Arial" w:cs="Arial"/>
          <w:sz w:val="22"/>
          <w:szCs w:val="22"/>
        </w:rPr>
        <w:t xml:space="preserve">their </w:t>
      </w:r>
      <w:r w:rsidR="00E830E2" w:rsidRPr="00710EE2">
        <w:rPr>
          <w:rFonts w:ascii="Arial" w:hAnsi="Arial" w:cs="Arial"/>
          <w:sz w:val="22"/>
          <w:szCs w:val="22"/>
        </w:rPr>
        <w:t>strong evidence of effectiveness and safety</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{"citationItems":[{"id":"ITEM-1","itemData":{"DOI":"10.1037/0033-2909.124.1.3","ISSN":"00332909","PMID":"9670819","abstract":"Current developments in cognitive and emotion theory suggest that anxiety plays a rather central role in negative emotions. This article reviews findings in the area of anxiety and depression, helplessness, locus of control, explanatory style, animal learning, biology, parenting, attachment theory, and childhood stress and resilience to articulate a model of the environmental influences on the development of anxiety. Evidence from a variety of sources suggests that early experience with diminished control may foster a cognitive style characterized by an increased probability of interpreting or processing subsequent events as out of one's control, which may represent a psychological vulnerability for anxiety. Implications for research are discussed.","author":[{"dropping-particle":"","family":"Chorpita","given":"Bruce F.","non-dropping-particle":"","parse-names":false,"suffix":""},{"dropping-particle":"","family":"Barlow","given":"David H.","non-dropping-particle":"","parse-names":false,"suffix":""}],"container-title":"Psychological Bulletin","id":"ITEM-1","issue":"1","issued":{"date-parts":[["1998"]]},"page":"3-21","title":"The Development of Anxiety: The Role of Control in the Early Environment","type":"article-journal","volume":"124"},"uris":["http://www.mendeley.com/documents/?uuid=ee9785d4-a2c0-4565-a339-629ce5204a46"]}],"mendeley":{"formattedCitation":"(Chorpita and Barlow, 1998)","plainTextFormattedCitation":"(Chorpita and Barlow, 1998)","previouslyFormattedCitation":"(Chorpita and Barlow, 1998)"},"properties":{"noteIndex":0},"schema":"https://github.com/citation-style-language/schema/raw/master/csl-citation.json"}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(Chorpita and Barlow, 1998)</w:t>
      </w:r>
      <w:r w:rsidR="0039478E">
        <w:rPr>
          <w:rFonts w:ascii="Arial" w:hAnsi="Arial" w:cs="Arial"/>
          <w:sz w:val="22"/>
          <w:szCs w:val="22"/>
        </w:rPr>
        <w:fldChar w:fldCharType="end"/>
      </w:r>
      <w:r w:rsidR="00E830E2" w:rsidRPr="00710EE2">
        <w:rPr>
          <w:rFonts w:ascii="Arial" w:hAnsi="Arial" w:cs="Arial"/>
          <w:sz w:val="22"/>
          <w:szCs w:val="22"/>
        </w:rPr>
        <w:t xml:space="preserve">. </w:t>
      </w:r>
      <w:r w:rsidR="00F53F82" w:rsidRPr="00710EE2">
        <w:rPr>
          <w:rFonts w:ascii="Arial" w:hAnsi="Arial" w:cs="Arial"/>
          <w:sz w:val="22"/>
          <w:szCs w:val="22"/>
        </w:rPr>
        <w:t>In addition, B</w:t>
      </w:r>
      <w:r w:rsidR="00E830E2" w:rsidRPr="00710EE2">
        <w:rPr>
          <w:rFonts w:ascii="Arial" w:hAnsi="Arial" w:cs="Arial"/>
          <w:sz w:val="22"/>
          <w:szCs w:val="22"/>
        </w:rPr>
        <w:t xml:space="preserve">enzodiazepines </w:t>
      </w:r>
      <w:r w:rsidR="00C24320" w:rsidRPr="00710EE2">
        <w:rPr>
          <w:rFonts w:ascii="Arial" w:hAnsi="Arial" w:cs="Arial"/>
          <w:sz w:val="22"/>
          <w:szCs w:val="22"/>
        </w:rPr>
        <w:t>is</w:t>
      </w:r>
      <w:r w:rsidR="00E830E2" w:rsidRPr="00710EE2">
        <w:rPr>
          <w:rFonts w:ascii="Arial" w:hAnsi="Arial" w:cs="Arial"/>
          <w:sz w:val="22"/>
          <w:szCs w:val="22"/>
        </w:rPr>
        <w:t xml:space="preserve"> used on a short-term basis as relief medication for acute anxiety. However, due to several instances of addiction-related problems, these drugs should be used cautiously. </w:t>
      </w:r>
      <w:r w:rsidR="00C24320" w:rsidRPr="00710EE2">
        <w:rPr>
          <w:rFonts w:ascii="Arial" w:hAnsi="Arial" w:cs="Arial"/>
          <w:sz w:val="22"/>
          <w:szCs w:val="22"/>
        </w:rPr>
        <w:t>As well, t</w:t>
      </w:r>
      <w:r w:rsidR="00E830E2" w:rsidRPr="00710EE2">
        <w:rPr>
          <w:rFonts w:ascii="Arial" w:hAnsi="Arial" w:cs="Arial"/>
          <w:sz w:val="22"/>
          <w:szCs w:val="22"/>
        </w:rPr>
        <w:t xml:space="preserve">he treatment approach </w:t>
      </w:r>
      <w:r w:rsidR="00C24320" w:rsidRPr="00710EE2">
        <w:rPr>
          <w:rFonts w:ascii="Arial" w:hAnsi="Arial" w:cs="Arial"/>
          <w:sz w:val="22"/>
          <w:szCs w:val="22"/>
        </w:rPr>
        <w:t>should</w:t>
      </w:r>
      <w:r w:rsidR="00E830E2" w:rsidRPr="00710EE2">
        <w:rPr>
          <w:rFonts w:ascii="Arial" w:hAnsi="Arial" w:cs="Arial"/>
          <w:sz w:val="22"/>
          <w:szCs w:val="22"/>
        </w:rPr>
        <w:t xml:space="preserve"> involve a 'stepped care' program</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{"citationItems":[{"id":"ITEM-1","itemData":{"URL":"https://icd.who.int/browse/2024-01/mms/en#1336943699","container-title":"ICD-11 for Mortality and Morbidity Statistics","id":"ITEM-1","issued":{"date-parts":[["2024"]]},"title":"Anxiety or fear-related disorders","type":"webpage"},"uris":["http://www.mendeley.com/documents/?uuid=803950ba-eaf8-4d22-8bda-ce4c623918d3"]}],"mendeley":{"formattedCitation":"(&lt;i&gt;Anxiety or fear-related disorders&lt;/i&gt;, 2024)","plainTextFormattedCitation":"(Anxiety or fear-related disorders, 2024)","previouslyFormattedCitation":"(&lt;i&gt;Anxiety or fear-related disorders&lt;/i&gt;, 2024)"},"properties":{"noteIndex":0},"schema":"https://github.com/citation-style-language/schema/raw/master/csl-citation.json"}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w:t>
      </w:r>
      <w:r w:rsidR="0039478E" w:rsidRPr="0039478E">
        <w:rPr>
          <w:rFonts w:ascii="Arial" w:hAnsi="Arial" w:cs="Arial"/>
          <w:i/>
          <w:noProof/>
          <w:sz w:val="22"/>
          <w:szCs w:val="22"/>
        </w:rPr>
        <w:t>Anxiety or fear-related disorders</w:t>
      </w:r>
      <w:r w:rsidR="0039478E" w:rsidRPr="0039478E">
        <w:rPr>
          <w:rFonts w:ascii="Arial" w:hAnsi="Arial" w:cs="Arial"/>
          <w:noProof/>
          <w:sz w:val="22"/>
          <w:szCs w:val="22"/>
        </w:rPr>
        <w:t>, 2024)</w:t>
      </w:r>
      <w:r w:rsidR="0039478E">
        <w:rPr>
          <w:rFonts w:ascii="Arial" w:hAnsi="Arial" w:cs="Arial"/>
          <w:sz w:val="22"/>
          <w:szCs w:val="22"/>
        </w:rPr>
        <w:fldChar w:fldCharType="end"/>
      </w:r>
      <w:r w:rsidR="00E830E2" w:rsidRPr="00710EE2">
        <w:rPr>
          <w:rFonts w:ascii="Arial" w:hAnsi="Arial" w:cs="Arial"/>
          <w:sz w:val="22"/>
          <w:szCs w:val="22"/>
        </w:rPr>
        <w:t>.</w:t>
      </w:r>
      <w:r w:rsidR="00237666" w:rsidRPr="00710EE2">
        <w:rPr>
          <w:rFonts w:ascii="Arial" w:hAnsi="Arial" w:cs="Arial"/>
          <w:sz w:val="22"/>
          <w:szCs w:val="22"/>
        </w:rPr>
        <w:tab/>
      </w:r>
    </w:p>
    <w:p w14:paraId="0C77A1B9" w14:textId="72F6B118" w:rsidR="00E830E2" w:rsidRPr="000F7D59" w:rsidRDefault="00E830E2" w:rsidP="00620130">
      <w:pPr>
        <w:pStyle w:val="Heading2"/>
        <w:spacing w:line="360" w:lineRule="auto"/>
        <w:jc w:val="both"/>
      </w:pPr>
      <w:bookmarkStart w:id="8" w:name="_Toc212717404"/>
      <w:r w:rsidRPr="000F7D59">
        <w:t>Rehabilitation Measures</w:t>
      </w:r>
      <w:bookmarkEnd w:id="8"/>
    </w:p>
    <w:p w14:paraId="5571BA1D" w14:textId="070BEE8E" w:rsidR="00FF21AF" w:rsidRPr="00710EE2" w:rsidRDefault="00FF21AF" w:rsidP="00620130">
      <w:pPr>
        <w:spacing w:line="360" w:lineRule="auto"/>
        <w:jc w:val="both"/>
        <w:rPr>
          <w:rFonts w:ascii="Arial" w:hAnsi="Arial" w:cs="Arial"/>
          <w:sz w:val="22"/>
          <w:szCs w:val="22"/>
        </w:rPr>
      </w:pPr>
      <w:r w:rsidRPr="00710EE2">
        <w:rPr>
          <w:rFonts w:ascii="Arial" w:hAnsi="Arial" w:cs="Arial"/>
          <w:sz w:val="22"/>
          <w:szCs w:val="22"/>
        </w:rPr>
        <w:t>In the treatment of GAD, it</w:t>
      </w:r>
      <w:r w:rsidR="00292177" w:rsidRPr="00710EE2">
        <w:rPr>
          <w:rFonts w:ascii="Arial" w:hAnsi="Arial" w:cs="Arial"/>
          <w:sz w:val="22"/>
          <w:szCs w:val="22"/>
        </w:rPr>
        <w:t xml:space="preserve"> i</w:t>
      </w:r>
      <w:r w:rsidRPr="00710EE2">
        <w:rPr>
          <w:rFonts w:ascii="Arial" w:hAnsi="Arial" w:cs="Arial"/>
          <w:sz w:val="22"/>
          <w:szCs w:val="22"/>
        </w:rPr>
        <w:t xml:space="preserve">s important to include not only the relief of symptoms but also the enhancement of psychosocial functions and overall quality of life. As per the ICD-11 guidelines </w:t>
      </w:r>
      <w:r w:rsidR="00292177" w:rsidRPr="00710EE2">
        <w:rPr>
          <w:rFonts w:ascii="Arial" w:hAnsi="Arial" w:cs="Arial"/>
          <w:sz w:val="22"/>
          <w:szCs w:val="22"/>
        </w:rPr>
        <w:t xml:space="preserve">provided </w:t>
      </w:r>
      <w:r w:rsidRPr="00710EE2">
        <w:rPr>
          <w:rFonts w:ascii="Arial" w:hAnsi="Arial" w:cs="Arial"/>
          <w:sz w:val="22"/>
          <w:szCs w:val="22"/>
        </w:rPr>
        <w:t xml:space="preserve">by the World Health Organization (WHO), psychosocial and community rehabilitation </w:t>
      </w:r>
      <w:r w:rsidR="003146A2" w:rsidRPr="00710EE2">
        <w:rPr>
          <w:rFonts w:ascii="Arial" w:hAnsi="Arial" w:cs="Arial"/>
          <w:sz w:val="22"/>
          <w:szCs w:val="22"/>
        </w:rPr>
        <w:t>supports highly</w:t>
      </w:r>
      <w:r w:rsidRPr="00710EE2">
        <w:rPr>
          <w:rFonts w:ascii="Arial" w:hAnsi="Arial" w:cs="Arial"/>
          <w:sz w:val="22"/>
          <w:szCs w:val="22"/>
        </w:rPr>
        <w:t xml:space="preserve"> as part of the long-term treatment. </w:t>
      </w:r>
      <w:r w:rsidR="003146A2" w:rsidRPr="00710EE2">
        <w:rPr>
          <w:rFonts w:ascii="Arial" w:hAnsi="Arial" w:cs="Arial"/>
          <w:sz w:val="22"/>
          <w:szCs w:val="22"/>
        </w:rPr>
        <w:t xml:space="preserve">Since it aims to rebuild </w:t>
      </w:r>
      <w:r w:rsidRPr="00710EE2">
        <w:rPr>
          <w:rFonts w:ascii="Arial" w:hAnsi="Arial" w:cs="Arial"/>
          <w:sz w:val="22"/>
          <w:szCs w:val="22"/>
        </w:rPr>
        <w:t>the ability to work and associate socially without worrying about relapse</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{"citationItems":[{"id":"ITEM-1","itemData":{"DOI":"10.1016/j.arcmed.2019.12.012","ISSN":"18735487","PMID":"32018071","abstract":"Background: This article reports the results of one of a series of global field studies implemented by the World Health Organization (WHO) to evaluate the accuracy, clinical utility, and global applicability of the new diagnostic guidelines for Mental, Behavioural and Neurological Disorders included in the next version of WHO's International Classification of Diseases (ICD-11). Aims of the study: The purpose of this study was to compare the diagnostic accuracy and clinical utility ratings of global clinicians implementing the ICD-11 diagnostic guidelines for Anxiety and Fear-Related Disorders, relative to those applying ICD-10 guidelines. The study also aimed to identify elements of the guidelines that required further refinement or clarification. Methods: 1840 global mental health professionals registered with WHO's Global Clinical Practice Network completed the study in one of six study languages. Participants were randomly assigned to apply either the ICD-11 or ICD-10 guidelines to diagnose standardized case vignettes, and to rate the clinical utility of their assigned guidelines. Results: ICD-11's diagnostic accuracy and clinical utility were equivalent or superior to that of ICD-10. Global clinicians were significantly more accurate in diagnosing Generalized Anxiety Disorder, Specific Phobia and adult cases of Separation Anxiety Disorder when using ICD-11 and provided high clinical utility ratings for these disorders. Clinicians also found the ICD-11 guidelines easy to use, clear, and a good fit to patients they see in their clinical practice. However, clinicians had difficulty with distinguishing the boundary between disorder and normality for subthreshold cases of anxiety, and also with applying the new ICD-11 guidelines on panic attacks. Conclusions: The new diagnostic guidelines for Anxiety Disorders in ICD-11 can be applied in an acceptably consistent manner by global clinicians and perform as well or better than the previous guidelines for ICD-10. Study findings also helped identify aspects of the ICD-11 guidelines that required refinement prior to their publication and areas that should be emphasized in training programs.","author":[{"dropping-particle":"","family":"Rebello","given":"Tahilia J.","non-dropping-particle":"","parse-names":false,"suffix":""},{"dropping-particle":"","family":"Keeley","given":"Jared W.","non-dropping-particle":"","parse-names":false,"suffix":""},{"dropping-particle":"","family":"Kogan","given":"Cary S.","non-dropping-particle":"","parse-names":false,"suffix":""},{"dropping-particle":"","family":"Sharan","given":"Pratap","non-dropping-particle":"","parse-names":false,"suffix":""},{"dropping-particle":"","family":"Matsumoto","given":"Chihiro","non-dropping-particle":"","parse-names":false,"suffix":""},{"dropping-particle":"","family":"Kuligyna","given":"Maya","non-dropping-particle":"","parse-names":false,"suffix":""},{"dropping-particle":"","family":"Domínguez-Martínez","given":"Tecelli","non-dropping-particle":"","parse-names":false,"suffix":""},{"dropping-particle":"","family":"Stona","given":"Anne Claire","non-dropping-particle":"","parse-names":false,"suffix":""},{"dropping-particle":"","family":"Grenier","given":"Jean","non-dropping-particle":"","parse-names":false,"suffix":""},{"dropping-particle":"","family":"Huang","given":"Jingjing","non-dropping-particle":"","parse-names":false,"suffix":""},{"dropping-particle":"","family":"Zhong","given":"Na","non-dropping-particle":"","parse-names":false,"suffix":""},{"dropping-particle":"","family":"Stein","given":"Dan J.","non-dropping-particle":"","parse-names":false,"suffix":""},{"dropping-particle":"","family":"Emmelkamp","given":"Paul","non-dropping-particle":"","parse-names":false,"suffix":""},{"dropping-particle":"","family":"Chakrabarti","given":"Subho","non-dropping-particle":"","parse-names":false,"suffix":""},{"dropping-particle":"","family":"Andrews","given":"Howard F.","non-dropping-particle":"","parse-names":false,"suffix":""},{"dropping-particle":"","family":"Reed","given":"Geoffrey M.","non-dropping-particle":"","parse-names":false,"suffix":""}],"container-title":"Archives of Medical Research","id":"ITEM-1","issue":"8","issued":{"date-parts":[["2019"]]},"page":"490-501","title":"Anxiety and Fear-Related Disorders in the ICD-11: Results from a Global Case-controlled Field Study","type":"article-journal","volume":"50"},"uris":["http://www.mendeley.com/documents/?uuid=809c2228-6458-49f9-b43c-e67fd31d5310"]}],"mendeley":{"formattedCitation":"(Rebello &lt;i&gt;et al.&lt;/i&gt;, 2019)","plainTextFormattedCitation":"(Rebello et al., 2019)","previouslyFormattedCitation":"(Rebello &lt;i&gt;et al.&lt;/i&gt;, 2019)"},"properties":{"noteIndex":0},"schema":"https://github.com/citation-style-language/schema/raw/master/csl-citation.json"}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(Rebello </w:t>
      </w:r>
      <w:r w:rsidR="0039478E" w:rsidRPr="0039478E">
        <w:rPr>
          <w:rFonts w:ascii="Arial" w:hAnsi="Arial" w:cs="Arial"/>
          <w:i/>
          <w:noProof/>
          <w:sz w:val="22"/>
          <w:szCs w:val="22"/>
        </w:rPr>
        <w:t>et al.</w:t>
      </w:r>
      <w:r w:rsidR="0039478E" w:rsidRPr="0039478E">
        <w:rPr>
          <w:rFonts w:ascii="Arial" w:hAnsi="Arial" w:cs="Arial"/>
          <w:noProof/>
          <w:sz w:val="22"/>
          <w:szCs w:val="22"/>
        </w:rPr>
        <w:t>, 2019)</w:t>
      </w:r>
      <w:r w:rsidR="0039478E">
        <w:rPr>
          <w:rFonts w:ascii="Arial" w:hAnsi="Arial" w:cs="Arial"/>
          <w:sz w:val="22"/>
          <w:szCs w:val="22"/>
        </w:rPr>
        <w:fldChar w:fldCharType="end"/>
      </w:r>
      <w:r w:rsidR="0039478E">
        <w:rPr>
          <w:rFonts w:ascii="Arial" w:hAnsi="Arial" w:cs="Arial"/>
          <w:sz w:val="22"/>
          <w:szCs w:val="22"/>
        </w:rPr>
        <w:t>bb</w:t>
      </w:r>
      <w:r w:rsidRPr="00710EE2">
        <w:rPr>
          <w:rFonts w:ascii="Arial" w:hAnsi="Arial" w:cs="Arial"/>
          <w:sz w:val="22"/>
          <w:szCs w:val="22"/>
        </w:rPr>
        <w:t>.</w:t>
      </w:r>
    </w:p>
    <w:p w14:paraId="27C1F552" w14:textId="499F5869" w:rsidR="00FF21AF" w:rsidRPr="00710EE2" w:rsidRDefault="0054041E" w:rsidP="00620130">
      <w:pPr>
        <w:spacing w:line="360" w:lineRule="auto"/>
        <w:jc w:val="both"/>
        <w:rPr>
          <w:rFonts w:ascii="Arial" w:hAnsi="Arial" w:cs="Arial"/>
          <w:sz w:val="22"/>
          <w:szCs w:val="22"/>
        </w:rPr>
      </w:pPr>
      <w:r w:rsidRPr="00710EE2">
        <w:rPr>
          <w:rFonts w:ascii="Arial" w:hAnsi="Arial" w:cs="Arial"/>
          <w:sz w:val="22"/>
          <w:szCs w:val="22"/>
        </w:rPr>
        <w:t>When it comes to p</w:t>
      </w:r>
      <w:r w:rsidR="00FF21AF" w:rsidRPr="00710EE2">
        <w:rPr>
          <w:rFonts w:ascii="Arial" w:hAnsi="Arial" w:cs="Arial"/>
          <w:sz w:val="22"/>
          <w:szCs w:val="22"/>
        </w:rPr>
        <w:t>atient education</w:t>
      </w:r>
      <w:r w:rsidRPr="00710EE2">
        <w:rPr>
          <w:rFonts w:ascii="Arial" w:hAnsi="Arial" w:cs="Arial"/>
          <w:sz w:val="22"/>
          <w:szCs w:val="22"/>
        </w:rPr>
        <w:t>, it</w:t>
      </w:r>
      <w:r w:rsidR="00FF21AF" w:rsidRPr="00710EE2">
        <w:rPr>
          <w:rFonts w:ascii="Arial" w:hAnsi="Arial" w:cs="Arial"/>
          <w:sz w:val="22"/>
          <w:szCs w:val="22"/>
        </w:rPr>
        <w:t xml:space="preserve"> emerges as an important component in enabling patients to understand their condition, triggers for anxiety, and mechanisms of coping. </w:t>
      </w:r>
      <w:r w:rsidRPr="00710EE2">
        <w:rPr>
          <w:rFonts w:ascii="Arial" w:hAnsi="Arial" w:cs="Arial"/>
          <w:sz w:val="22"/>
          <w:szCs w:val="22"/>
        </w:rPr>
        <w:t xml:space="preserve">Apart from that, family therapy is also an important part </w:t>
      </w:r>
      <w:r w:rsidR="00FF21AF" w:rsidRPr="00710EE2">
        <w:rPr>
          <w:rFonts w:ascii="Arial" w:hAnsi="Arial" w:cs="Arial"/>
          <w:sz w:val="22"/>
          <w:szCs w:val="22"/>
        </w:rPr>
        <w:t>of anxiety management since they help in creating a conducive atmosphere at home that has minimal interpersonal sources of stress that may trigger anxiety</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{"citationItems":[{"id":"ITEM-1","itemData":{"DOI":"10.1002/da.20633","ISSN":"10914269","PMID":"19957279","abstract":"Initiated as part of the ongoing deliberation about the nosological structure of DSM, this review aims to evaluate whether the anxiety disorders share features of responding that define them and make them distinct from depressive disorders, and/or that differentiate fear disorders from anxious-misery disorders. The review covers symptom self-report as well as on-line indices of behavioral, physiological, cognitive, and neural responding in the presence of aversive stimuli. The data indicate that the anxiety disorders share self-reported symptoms of anxiety and fear; heightened anxiety and fear responding to cues that signal threat, cues that signal no threat, cues that formerly signaled threat, and contexts associated with threat; elevated stress reactivity to aversive stimuli; attentional biases to threat-relevant stimuli and threat-based appraisals of ambiguous stimuli; and elevated amygdala responses to threat-relevant stimuli. Some differences exist among anxiety disorders, and between anxiety disorders and depressive disorders. However, the differences are not fully consistent with proposed subdivisions of fear disorders vs. anxious misery disorders, and comparative data in large part are lacking. Given the high rates of comorbidity, advances in our understanding of the features of responding that are shared across vs. unique to anxiety and depressive disorders will require dimensional approaches. In summary, the extant data help to define the features of responding that are shared across anxiety disorders, but are insufficient to justify revisions to the DSM nosology at this time. © 2009 Wiley-Liss, Inc.","author":[{"dropping-particle":"","family":"Craske","given":"Michelle G.","non-dropping-particle":"","parse-names":false,"suffix":""},{"dropping-particle":"","family":"Rauch","given":"Scott L.","non-dropping-particle":"","parse-names":false,"suffix":""},{"dropping-particle":"","family":"Ursano","given":"Robert","non-dropping-particle":"","parse-names":false,"suffix":""},{"dropping-particle":"","family":"Prenoveau","given":"Jason","non-dropping-particle":"","parse-names":false,"suffix":""},{"dropping-particle":"","family":"Pine","given":"Daniel S.","non-dropping-particle":"","parse-names":false,"suffix":""},{"dropping-particle":"","family":"Zinbarg","given":"Richard E.","non-dropping-particle":"","parse-names":false,"suffix":""}],"container-title":"Depression and Anxiety","id":"ITEM-1","issue":"12","issued":{"date-parts":[["2009"]]},"page":"1066-1085","title":"What is an anxiety disorder?","type":"article-journal","volume":"26"},"uris":["http://www.mendeley.com/documents/?uuid=73ddb44b-f50b-454f-a8fc-ec35b27733aa"]}],"mendeley":{"formattedCitation":"(Craske &lt;i&gt;et al.&lt;/i&gt;, 2009)","plainTextFormattedCitation":"(Craske et al., 2009)","previouslyFormattedCitation":"(Craske &lt;i&gt;et al.&lt;/i&gt;, 2009)"},"properties":{"noteIndex":0},"schema":"https://github.com/citation-style-language/schema/raw/master/csl-citation.json"}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(Craske </w:t>
      </w:r>
      <w:r w:rsidR="0039478E" w:rsidRPr="0039478E">
        <w:rPr>
          <w:rFonts w:ascii="Arial" w:hAnsi="Arial" w:cs="Arial"/>
          <w:i/>
          <w:noProof/>
          <w:sz w:val="22"/>
          <w:szCs w:val="22"/>
        </w:rPr>
        <w:t>et al.</w:t>
      </w:r>
      <w:r w:rsidR="0039478E" w:rsidRPr="0039478E">
        <w:rPr>
          <w:rFonts w:ascii="Arial" w:hAnsi="Arial" w:cs="Arial"/>
          <w:noProof/>
          <w:sz w:val="22"/>
          <w:szCs w:val="22"/>
        </w:rPr>
        <w:t>, 2009)</w:t>
      </w:r>
      <w:r w:rsidR="0039478E">
        <w:rPr>
          <w:rFonts w:ascii="Arial" w:hAnsi="Arial" w:cs="Arial"/>
          <w:sz w:val="22"/>
          <w:szCs w:val="22"/>
        </w:rPr>
        <w:fldChar w:fldCharType="end"/>
      </w:r>
      <w:r w:rsidR="00FF21AF" w:rsidRPr="00710EE2">
        <w:rPr>
          <w:rFonts w:ascii="Arial" w:hAnsi="Arial" w:cs="Arial"/>
          <w:sz w:val="22"/>
          <w:szCs w:val="22"/>
        </w:rPr>
        <w:t xml:space="preserve">. </w:t>
      </w:r>
      <w:r w:rsidR="00DA75EC" w:rsidRPr="00710EE2">
        <w:rPr>
          <w:rFonts w:ascii="Arial" w:hAnsi="Arial" w:cs="Arial"/>
          <w:sz w:val="22"/>
          <w:szCs w:val="22"/>
        </w:rPr>
        <w:t>When considering c</w:t>
      </w:r>
      <w:r w:rsidR="00FF21AF" w:rsidRPr="00710EE2">
        <w:rPr>
          <w:rFonts w:ascii="Arial" w:hAnsi="Arial" w:cs="Arial"/>
          <w:sz w:val="22"/>
          <w:szCs w:val="22"/>
        </w:rPr>
        <w:t>ommunity interventions</w:t>
      </w:r>
      <w:r w:rsidR="00DA75EC" w:rsidRPr="00710EE2">
        <w:rPr>
          <w:rFonts w:ascii="Arial" w:hAnsi="Arial" w:cs="Arial"/>
          <w:sz w:val="22"/>
          <w:szCs w:val="22"/>
        </w:rPr>
        <w:t xml:space="preserve">, it </w:t>
      </w:r>
      <w:r w:rsidR="00FF21AF" w:rsidRPr="00710EE2">
        <w:rPr>
          <w:rFonts w:ascii="Arial" w:hAnsi="Arial" w:cs="Arial"/>
          <w:sz w:val="22"/>
          <w:szCs w:val="22"/>
        </w:rPr>
        <w:t>involv</w:t>
      </w:r>
      <w:r w:rsidR="00DA75EC" w:rsidRPr="00710EE2">
        <w:rPr>
          <w:rFonts w:ascii="Arial" w:hAnsi="Arial" w:cs="Arial"/>
          <w:sz w:val="22"/>
          <w:szCs w:val="22"/>
        </w:rPr>
        <w:t xml:space="preserve">es </w:t>
      </w:r>
      <w:r w:rsidR="00CF25D5" w:rsidRPr="00710EE2">
        <w:rPr>
          <w:rFonts w:ascii="Arial" w:hAnsi="Arial" w:cs="Arial"/>
          <w:sz w:val="22"/>
          <w:szCs w:val="22"/>
        </w:rPr>
        <w:t>conducting</w:t>
      </w:r>
      <w:r w:rsidR="00FF21AF" w:rsidRPr="00710EE2">
        <w:rPr>
          <w:rFonts w:ascii="Arial" w:hAnsi="Arial" w:cs="Arial"/>
          <w:sz w:val="22"/>
          <w:szCs w:val="22"/>
        </w:rPr>
        <w:t xml:space="preserve"> stress management workshops, peer support groups, and wellness programs</w:t>
      </w:r>
      <w:r w:rsidR="00DA75EC" w:rsidRPr="00710EE2">
        <w:rPr>
          <w:rFonts w:ascii="Arial" w:hAnsi="Arial" w:cs="Arial"/>
          <w:sz w:val="22"/>
          <w:szCs w:val="22"/>
        </w:rPr>
        <w:t xml:space="preserve">. Those sessions </w:t>
      </w:r>
      <w:r w:rsidR="00FF21AF" w:rsidRPr="00710EE2">
        <w:rPr>
          <w:rFonts w:ascii="Arial" w:hAnsi="Arial" w:cs="Arial"/>
          <w:sz w:val="22"/>
          <w:szCs w:val="22"/>
        </w:rPr>
        <w:t xml:space="preserve">help </w:t>
      </w:r>
      <w:r w:rsidR="00DA75EC" w:rsidRPr="00710EE2">
        <w:rPr>
          <w:rFonts w:ascii="Arial" w:hAnsi="Arial" w:cs="Arial"/>
          <w:sz w:val="22"/>
          <w:szCs w:val="22"/>
        </w:rPr>
        <w:t xml:space="preserve">to </w:t>
      </w:r>
      <w:r w:rsidR="00FF21AF" w:rsidRPr="00710EE2">
        <w:rPr>
          <w:rFonts w:ascii="Arial" w:hAnsi="Arial" w:cs="Arial"/>
          <w:sz w:val="22"/>
          <w:szCs w:val="22"/>
        </w:rPr>
        <w:t xml:space="preserve">build resilience within the community by preventing </w:t>
      </w:r>
      <w:r w:rsidR="00FF21AF" w:rsidRPr="00710EE2">
        <w:rPr>
          <w:rFonts w:ascii="Arial" w:hAnsi="Arial" w:cs="Arial"/>
          <w:sz w:val="22"/>
          <w:szCs w:val="22"/>
        </w:rPr>
        <w:lastRenderedPageBreak/>
        <w:t xml:space="preserve">isolation. </w:t>
      </w:r>
      <w:r w:rsidR="003C7489" w:rsidRPr="00710EE2">
        <w:rPr>
          <w:rFonts w:ascii="Arial" w:hAnsi="Arial" w:cs="Arial"/>
          <w:sz w:val="22"/>
          <w:szCs w:val="22"/>
        </w:rPr>
        <w:t>In addition, r</w:t>
      </w:r>
      <w:r w:rsidR="00FF21AF" w:rsidRPr="00710EE2">
        <w:rPr>
          <w:rFonts w:ascii="Arial" w:hAnsi="Arial" w:cs="Arial"/>
          <w:sz w:val="22"/>
          <w:szCs w:val="22"/>
        </w:rPr>
        <w:t>ehabilitation aims at providing mental health integration at the primary healthcare level</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{"citationItems":[{"id":"ITEM-1","itemData":{"DOI":"10.1038/s41386-022-01332-2","ISSN":"1740634X","PMID":"35501429","abstract":"Generalization of conditioned fear is adaptive in some situations but maladaptive when fear excessively generalizes to innocuous stimuli with incidental resemblance to a genuine threat cue. Recently, empirical interest in fear generalization as a transdiagnostic explanatory mechanism underlying anxiety-related disorders has accelerated. As there are now several studies of fear generalization across multiple types of anxiety-related disorders, the authors conducted a meta-analysis of studies reporting behavioral measures (subjective ratings and psychophysiological indices) of fear generalization in anxiety-related disorder vs. comparison groups. We conducted systematic searches of electronic databases (conducted from January–October 2020) for fear generalization studies involving anxiety-related disorder groups or subclinical analog groups. A total of 300 records were full-text screened and two unpublished datasets were obtained, yielding 16 studies reporting behavioral fear generalization measures. Random-effects meta-analytic models and meta-regressions were applied to the identified data. Fear generalization was significantly heightened in anxiety-related disorder participants (N = 439) relative to comparison participants (N = 428). We did not identify any significant clinical, sample, or methodological moderators. Heightened fear generalization is quantitatively supported as distinguishing anxiety-related disorder groups from comparison groups. Evidence suggests this effect is transdiagnostic, relatively robust to experimental or sample parameters, and that generalization paradigms are a well-supported framework for neurobehavioral investigations of learning and emotion in anxiety-related disorders. We discuss these findings in the context of prior fear conditioning meta-analyses, past neuroimaging investigations of fear generalization in anxiety-related disorders, and future directions and challenges for the field.","author":[{"dropping-particle":"","family":"Cooper","given":"Samuel E.","non-dropping-particle":"","parse-names":false,"suffix":""},{"dropping-particle":"","family":"Dis","given":"Eva A.M.","non-dropping-particle":"van","parse-names":false,"suffix":""},{"dropping-particle":"","family":"Hagenaars","given":"Muriel A.","non-dropping-particle":"","parse-names":false,"suffix":""},{"dropping-particle":"","family":"Krypotos","given":"Angelos Miltiadis","non-dropping-particle":"","parse-names":false,"suffix":""},{"dropping-particle":"","family":"Nemeroff","given":"Charles B.","non-dropping-particle":"","parse-names":false,"suffix":""},{"dropping-particle":"","family":"Lissek","given":"Shmuel","non-dropping-particle":"","parse-names":false,"suffix":""},{"dropping-particle":"","family":"Engelhard","given":"Iris M.","non-dropping-particle":"","parse-names":false,"suffix":""},{"dropping-particle":"","family":"Dunsmoor","given":"Joseph E.","non-dropping-particle":"","parse-names":false,"suffix":""}],"container-title":"Neuropsychopharmacology","id":"ITEM-1","issue":"9","issued":{"date-parts":[["2022"]]},"page":"1652-1661","publisher":"Springer US","title":"A meta-analysis of conditioned fear generalization in anxiety-related disorders","type":"article-journal","volume":"47"},"uris":["http://www.mendeley.com/documents/?uuid=37f71b6a-7f6c-4563-995c-e606409088f6"]}],"mendeley":{"formattedCitation":"(Cooper &lt;i&gt;et al.&lt;/i&gt;, 2022)","plainTextFormattedCitation":"(Cooper et al., 2022)","previouslyFormattedCitation":"(Cooper &lt;i&gt;et al.&lt;/i&gt;, 2022)"},"properties":{"noteIndex":0},"schema":"https://github.com/citation-style-language/schema/raw/master/csl-citation.json"}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(Cooper </w:t>
      </w:r>
      <w:r w:rsidR="0039478E" w:rsidRPr="0039478E">
        <w:rPr>
          <w:rFonts w:ascii="Arial" w:hAnsi="Arial" w:cs="Arial"/>
          <w:i/>
          <w:noProof/>
          <w:sz w:val="22"/>
          <w:szCs w:val="22"/>
        </w:rPr>
        <w:t>et al.</w:t>
      </w:r>
      <w:r w:rsidR="0039478E" w:rsidRPr="0039478E">
        <w:rPr>
          <w:rFonts w:ascii="Arial" w:hAnsi="Arial" w:cs="Arial"/>
          <w:noProof/>
          <w:sz w:val="22"/>
          <w:szCs w:val="22"/>
        </w:rPr>
        <w:t>, 2022)</w:t>
      </w:r>
      <w:r w:rsidR="0039478E">
        <w:rPr>
          <w:rFonts w:ascii="Arial" w:hAnsi="Arial" w:cs="Arial"/>
          <w:sz w:val="22"/>
          <w:szCs w:val="22"/>
        </w:rPr>
        <w:fldChar w:fldCharType="end"/>
      </w:r>
      <w:r w:rsidR="00FF21AF" w:rsidRPr="00710EE2">
        <w:rPr>
          <w:rFonts w:ascii="Arial" w:hAnsi="Arial" w:cs="Arial"/>
          <w:sz w:val="22"/>
          <w:szCs w:val="22"/>
        </w:rPr>
        <w:t>.</w:t>
      </w:r>
    </w:p>
    <w:p w14:paraId="78408CEA" w14:textId="566D9F54" w:rsidR="00FF21AF" w:rsidRPr="00710EE2" w:rsidRDefault="00FF21AF" w:rsidP="00620130">
      <w:pPr>
        <w:pStyle w:val="Heading2"/>
        <w:spacing w:line="360" w:lineRule="auto"/>
        <w:jc w:val="both"/>
      </w:pPr>
      <w:bookmarkStart w:id="9" w:name="_Toc212717405"/>
      <w:r w:rsidRPr="00710EE2">
        <w:t>Effectiveness and Limitations</w:t>
      </w:r>
      <w:bookmarkEnd w:id="9"/>
    </w:p>
    <w:p w14:paraId="13BDCDBA" w14:textId="7231984A" w:rsidR="00EC2D20" w:rsidRPr="00710EE2" w:rsidRDefault="00EC2D20" w:rsidP="00620130">
      <w:pPr>
        <w:spacing w:line="360" w:lineRule="auto"/>
        <w:jc w:val="both"/>
        <w:rPr>
          <w:rFonts w:ascii="Arial" w:hAnsi="Arial" w:cs="Arial"/>
          <w:sz w:val="22"/>
          <w:szCs w:val="22"/>
        </w:rPr>
      </w:pPr>
      <w:r w:rsidRPr="00710EE2">
        <w:rPr>
          <w:rFonts w:ascii="Arial" w:hAnsi="Arial" w:cs="Arial"/>
          <w:sz w:val="22"/>
          <w:szCs w:val="22"/>
        </w:rPr>
        <w:t xml:space="preserve">The empirically validated efficacy of CBT and medication in alleviating the primary symptoms of GAD has been </w:t>
      </w:r>
      <w:r w:rsidR="00527769" w:rsidRPr="00710EE2">
        <w:rPr>
          <w:rFonts w:ascii="Arial" w:hAnsi="Arial" w:cs="Arial"/>
          <w:sz w:val="22"/>
          <w:szCs w:val="22"/>
        </w:rPr>
        <w:t>discovered</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{"citationItems":[{"id":"ITEM-1","itemData":{"DOI":"10.1176/APPI.AJP.2020.20010055","ISSN":"15357228","PMID":"32114783","abstract":"Anxiety and fear-related disorders are common and disabling, and they significantly increase risk for suicide and other causes of morbidity and mortality. However, there is tremendous potential for translational neuroscience to advance our understanding of these disorders, leading to novel and powerful interventions and even to preventing their initial development. This overview examines the general circuits and processes thought to underlie fear and anxiety, along with the promiseof translational research. It then examines some of the data-driven \"next-generation\" approaches that are needed for discovery and understanding but that do not always fit neatly into established models. From one perspective, these disorders offer among the most tractable problems in psychiatry, with a great deal of accumulated understanding, across species, of neurocircuit, behavioral, and, increasingly, genetic mechanisms, of how dysregulation of fear and threat processes contributes to anxiety-related disorders. One example is the progressively sophisticated understanding of how extinction underlies the exposure therapy component of cognitive-behavioral therapy approaches, which are ubiquitously used across anxiety and fear-related disorders. However, it is also critical to examine gaps in our understanding between reasonably well-replicated examples of successful translation, areas of significant deficits in knowledge, and the role of large-scale data-driven approaches in future progress and discovery. Although a tremendous amount of progress is still needed, translational approaches to understanding, treating, and even preventing anxiety and fear-related disorders offer great opportunities for successfully bridging neuroscience discovery to clinical practice.","author":[{"dropping-particle":"","family":"Ressler","given":"Kerry J.","non-dropping-particle":"","parse-names":false,"suffix":""}],"container-title":"American Journal of Psychiatry","id":"ITEM-1","issue":"3","issued":{"date-parts":[["2020"]]},"page":"214-222","title":"Translating across circuits and genetics toward progress in fear- And anxiety-related disorders","type":"article-journal","volume":"177"},"uris":["http://www.mendeley.com/documents/?uuid=63f88705-4e00-4301-af70-e931a532c254"]}],"mendeley":{"formattedCitation":"(Ressler, 2020)","plainTextFormattedCitation":"(Ressler, 2020)","previouslyFormattedCitation":"(Ressler, 2020)"},"properties":{"noteIndex":0},"schema":"https://github.com/citation-style-language/schema/raw/master/csl-citation.json"}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(Ressler, 2020)</w:t>
      </w:r>
      <w:r w:rsidR="0039478E">
        <w:rPr>
          <w:rFonts w:ascii="Arial" w:hAnsi="Arial" w:cs="Arial"/>
          <w:sz w:val="22"/>
          <w:szCs w:val="22"/>
        </w:rPr>
        <w:fldChar w:fldCharType="end"/>
      </w:r>
      <w:r w:rsidRPr="00710EE2">
        <w:rPr>
          <w:rFonts w:ascii="Arial" w:hAnsi="Arial" w:cs="Arial"/>
          <w:sz w:val="22"/>
          <w:szCs w:val="22"/>
        </w:rPr>
        <w:t xml:space="preserve">. </w:t>
      </w:r>
      <w:r w:rsidR="00527769" w:rsidRPr="00710EE2">
        <w:rPr>
          <w:rFonts w:ascii="Arial" w:hAnsi="Arial" w:cs="Arial"/>
          <w:sz w:val="22"/>
          <w:szCs w:val="22"/>
        </w:rPr>
        <w:t xml:space="preserve">According to the previous research studies, it can be identified </w:t>
      </w:r>
      <w:r w:rsidR="00A5668D" w:rsidRPr="00710EE2">
        <w:rPr>
          <w:rFonts w:ascii="Arial" w:hAnsi="Arial" w:cs="Arial"/>
          <w:sz w:val="22"/>
          <w:szCs w:val="22"/>
        </w:rPr>
        <w:t>that</w:t>
      </w:r>
      <w:r w:rsidR="00527769" w:rsidRPr="00710EE2">
        <w:rPr>
          <w:rFonts w:ascii="Arial" w:hAnsi="Arial" w:cs="Arial"/>
          <w:sz w:val="22"/>
          <w:szCs w:val="22"/>
        </w:rPr>
        <w:t xml:space="preserve"> </w:t>
      </w:r>
      <w:r w:rsidRPr="00710EE2">
        <w:rPr>
          <w:rFonts w:ascii="Arial" w:hAnsi="Arial" w:cs="Arial"/>
          <w:sz w:val="22"/>
          <w:szCs w:val="22"/>
        </w:rPr>
        <w:t xml:space="preserve">CBT benefits affected </w:t>
      </w:r>
      <w:r w:rsidR="00A5668D" w:rsidRPr="00710EE2">
        <w:rPr>
          <w:rFonts w:ascii="Arial" w:hAnsi="Arial" w:cs="Arial"/>
          <w:sz w:val="22"/>
          <w:szCs w:val="22"/>
        </w:rPr>
        <w:t>people</w:t>
      </w:r>
      <w:r w:rsidRPr="00710EE2">
        <w:rPr>
          <w:rFonts w:ascii="Arial" w:hAnsi="Arial" w:cs="Arial"/>
          <w:sz w:val="22"/>
          <w:szCs w:val="22"/>
        </w:rPr>
        <w:t xml:space="preserve"> in the long term by providing them with the ability to manage anxiety-producing situations in the future</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{"citationItems":[{"id":"ITEM-1","itemData":{"DOI":"10.3389/fphar.2016.00454","ISSN":"16639812","abstract":"Anxiety and trauma-related disorders are psychiatric diseases with a lifetime prevalence of up to 25%. Phobias and post-traumatic stress disorder (PTSD) are characterized by abnormal and persistent memories of fear-related contexts and cues. The effects of psychological treatments such as exposure therapy are often only temporary and medications can be ineffective and have adverse side effects. Growing evidence from human and animal studies indicates that cannabidiol, the main non-psychotomimetic phytocannabinoid present in Cannabis sativa, alleviates anxiety in paradigms assessing innate fear. More recently, the effects of cannabidiol on learned fear have been investigated in preclinical studies with translational relevance for phobias and PTSD. Here we review the findings from these studies, with an emphasis on cannabidiol regulation of contextual fear. The evidence indicates that cannabidiol reduces learned fear in different ways: (1) cannabidiol decreases fear expression acutely, (2) cannabidiol disrupts memory reconsolidation, leading to sustained fear attenuation upon memory retrieval, and (3) cannabidiol enhances extinction, the psychological process by which exposure therapy inhibits learned fear. We also present novel data on cannabidiol regulation of learned fear related to explicit cues, which indicates that auditory fear expression is also reduced acutely by cannabidiol. We conclude by outlining future directions for research to elucidate the neural circuit, psychological, cellular, and molecular mechanisms underlying the regulation of fear memory processing by cannabidiol. This line of investigation may lead to the development of cannabidiol as a novel therapeutic approach for treating anxiety and trauma-related disorders such as phobias and PTSD in the future.","author":[{"dropping-particle":"","family":"Jurkus","given":"Regimantas","non-dropping-particle":"","parse-names":false,"suffix":""},{"dropping-particle":"","family":"Day","given":"Harriet L.L.","non-dropping-particle":"","parse-names":false,"suffix":""},{"dropping-particle":"","family":"Guimarães","given":"Francisco S.","non-dropping-particle":"","parse-names":false,"suffix":""},{"dropping-particle":"","family":"Lee","given":"Jonathan L.C.","non-dropping-particle":"","parse-names":false,"suffix":""},{"dropping-particle":"","family":"Bertoglio","given":"Leandro J.","non-dropping-particle":"","parse-names":false,"suffix":""},{"dropping-particle":"","family":"Stevenson","given":"Carl W.","non-dropping-particle":"","parse-names":false,"suffix":""}],"container-title":"Frontiers in Pharmacology","id":"ITEM-1","issue":"NOV","issued":{"date-parts":[["2016"]]},"page":"1-8","title":"Cannabidiol regulation of learned fear: Implications for treating anxiety-related disorders","type":"article-journal","volume":"7"},"uris":["http://www.mendeley.com/documents/?uuid=8a0ca025-b699-4810-ad11-209d88a7cb81"]}],"mendeley":{"formattedCitation":"(Jurkus &lt;i&gt;et al.&lt;/i&gt;, 2016)","plainTextFormattedCitation":"(Jurkus et al., 2016)","previouslyFormattedCitation":"(Jurkus &lt;i&gt;et al.&lt;/i&gt;, 2016)"},"properties":{"noteIndex":0},"schema":"https://github.com/citation-style-language/schema/raw/master/csl-citation.json"}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(Jurkus </w:t>
      </w:r>
      <w:r w:rsidR="0039478E" w:rsidRPr="0039478E">
        <w:rPr>
          <w:rFonts w:ascii="Arial" w:hAnsi="Arial" w:cs="Arial"/>
          <w:i/>
          <w:noProof/>
          <w:sz w:val="22"/>
          <w:szCs w:val="22"/>
        </w:rPr>
        <w:t>et al.</w:t>
      </w:r>
      <w:r w:rsidR="0039478E" w:rsidRPr="0039478E">
        <w:rPr>
          <w:rFonts w:ascii="Arial" w:hAnsi="Arial" w:cs="Arial"/>
          <w:noProof/>
          <w:sz w:val="22"/>
          <w:szCs w:val="22"/>
        </w:rPr>
        <w:t>, 2016)</w:t>
      </w:r>
      <w:r w:rsidR="0039478E">
        <w:rPr>
          <w:rFonts w:ascii="Arial" w:hAnsi="Arial" w:cs="Arial"/>
          <w:sz w:val="22"/>
          <w:szCs w:val="22"/>
        </w:rPr>
        <w:fldChar w:fldCharType="end"/>
      </w:r>
      <w:r w:rsidRPr="00710EE2">
        <w:rPr>
          <w:rFonts w:ascii="Arial" w:hAnsi="Arial" w:cs="Arial"/>
          <w:sz w:val="22"/>
          <w:szCs w:val="22"/>
        </w:rPr>
        <w:t xml:space="preserve">. </w:t>
      </w:r>
      <w:r w:rsidR="00A5668D" w:rsidRPr="00710EE2">
        <w:rPr>
          <w:rFonts w:ascii="Arial" w:hAnsi="Arial" w:cs="Arial"/>
          <w:sz w:val="22"/>
          <w:szCs w:val="22"/>
        </w:rPr>
        <w:t xml:space="preserve">Further, it can be shown </w:t>
      </w:r>
      <w:r w:rsidR="00A541BB" w:rsidRPr="00710EE2">
        <w:rPr>
          <w:rFonts w:ascii="Arial" w:hAnsi="Arial" w:cs="Arial"/>
          <w:sz w:val="22"/>
          <w:szCs w:val="22"/>
        </w:rPr>
        <w:t>that</w:t>
      </w:r>
      <w:r w:rsidR="00A5668D" w:rsidRPr="00710EE2">
        <w:rPr>
          <w:rFonts w:ascii="Arial" w:hAnsi="Arial" w:cs="Arial"/>
          <w:sz w:val="22"/>
          <w:szCs w:val="22"/>
        </w:rPr>
        <w:t xml:space="preserve"> </w:t>
      </w:r>
      <w:r w:rsidR="00F252E6" w:rsidRPr="00710EE2">
        <w:rPr>
          <w:rFonts w:ascii="Arial" w:hAnsi="Arial" w:cs="Arial"/>
          <w:sz w:val="22"/>
          <w:szCs w:val="22"/>
        </w:rPr>
        <w:t xml:space="preserve">SSRIs and SNRIs are at a higher point due to </w:t>
      </w:r>
      <w:r w:rsidR="00A541BB" w:rsidRPr="00710EE2">
        <w:rPr>
          <w:rFonts w:ascii="Arial" w:hAnsi="Arial" w:cs="Arial"/>
          <w:sz w:val="22"/>
          <w:szCs w:val="22"/>
        </w:rPr>
        <w:t>their</w:t>
      </w:r>
      <w:r w:rsidR="00F252E6" w:rsidRPr="00710EE2">
        <w:rPr>
          <w:rFonts w:ascii="Arial" w:hAnsi="Arial" w:cs="Arial"/>
          <w:sz w:val="22"/>
          <w:szCs w:val="22"/>
        </w:rPr>
        <w:t xml:space="preserve"> effectiveness, and it </w:t>
      </w:r>
      <w:r w:rsidRPr="00710EE2">
        <w:rPr>
          <w:rFonts w:ascii="Arial" w:hAnsi="Arial" w:cs="Arial"/>
          <w:sz w:val="22"/>
          <w:szCs w:val="22"/>
        </w:rPr>
        <w:t>has been proven to relieve primary symptoms of GAD in the short to medium term. T</w:t>
      </w:r>
      <w:r w:rsidR="00F252E6" w:rsidRPr="00710EE2">
        <w:rPr>
          <w:rFonts w:ascii="Arial" w:hAnsi="Arial" w:cs="Arial"/>
          <w:sz w:val="22"/>
          <w:szCs w:val="22"/>
        </w:rPr>
        <w:t>herefore, t</w:t>
      </w:r>
      <w:r w:rsidRPr="00710EE2">
        <w:rPr>
          <w:rFonts w:ascii="Arial" w:hAnsi="Arial" w:cs="Arial"/>
          <w:sz w:val="22"/>
          <w:szCs w:val="22"/>
        </w:rPr>
        <w:t>he most effective treatments often incorporate both aspects</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{"citationItems":[{"id":"ITEM-1","itemData":{"DOI":"10.1016/j.pnpbp.2018.04.002","ISSN":"18784216","PMID":"29627508","abstract":"Fear and anxiety-related disorders are highly prevalent psychiatric conditions characterized by avoidant and fearful reactions towards specific stimuli or situations, which are disproportionate given the real threat such stimuli entail. These conditions comprise the most common mental disorder group. There are a high proportion of patients who fail to achieve remission and the presence of high relapse rates indicate the therapeutic options available are far from being fully efficient. Despite an increased understanding the neural circuits underlying fear and anxiety-related behaviors in the last decades, a factor that could be partially contributing to the lack of adequate therapies may be an insufficient understanding of the core features of the disorders and their associated neurobiology. Interestingly, the cerebellum shows connections with fear and anxiety-related brain areas and functional involvement in such processes, but explanations for its role in anxiety disorders are lacking. Therefore, the aims of this review are to provide an overview of the neural circuitry of fear and anxiety and its connections to the cerebellum, and of the animal studies that directly assess an involvement of the cerebellum in these processes. Then, the studies performed in patients suffering from anxiety disorders that explore the cerebellum will be discussed. Finally, we'll propose a function for the cerebellum in these disorders, which could guide future experimental approaches to the topic and lead to a better understanding of the neurobiology of anxiety-related disorders, ultimately helping to develop more effective treatments for these conditions.","author":[{"dropping-particle":"","family":"Moreno-Rius","given":"Josep","non-dropping-particle":"","parse-names":false,"suffix":""}],"container-title":"Progress in Neuro-Psychopharmacology and Biological Psychiatry","id":"ITEM-1","issue":"December 2017","issued":{"date-parts":[["2018"]]},"page":"23-32","title":"The cerebellum in fear and anxiety-related disorders","type":"article-journal","volume":"85"},"uris":["http://www.mendeley.com/documents/?uuid=e2cd8ad6-1f82-486e-84cb-68de7f6b7ae7"]}],"mendeley":{"formattedCitation":"(Moreno-Rius, 2018)","plainTextFormattedCitation":"(Moreno-Rius, 2018)","previouslyFormattedCitation":"(Moreno-Rius, 2018)"},"properties":{"noteIndex":0},"schema":"https://github.com/citation-style-language/schema/raw/master/csl-citation.json"}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(Moreno-Rius, 2018)</w:t>
      </w:r>
      <w:r w:rsidR="0039478E">
        <w:rPr>
          <w:rFonts w:ascii="Arial" w:hAnsi="Arial" w:cs="Arial"/>
          <w:sz w:val="22"/>
          <w:szCs w:val="22"/>
        </w:rPr>
        <w:fldChar w:fldCharType="end"/>
      </w:r>
      <w:r w:rsidRPr="00710EE2">
        <w:rPr>
          <w:rFonts w:ascii="Arial" w:hAnsi="Arial" w:cs="Arial"/>
          <w:sz w:val="22"/>
          <w:szCs w:val="22"/>
        </w:rPr>
        <w:t>.</w:t>
      </w:r>
    </w:p>
    <w:p w14:paraId="1137A261" w14:textId="2D84C44F" w:rsidR="007F6FD0" w:rsidRPr="00710EE2" w:rsidRDefault="00EC2D20" w:rsidP="00620130">
      <w:pPr>
        <w:spacing w:line="360" w:lineRule="auto"/>
        <w:jc w:val="both"/>
        <w:rPr>
          <w:rFonts w:ascii="Arial" w:hAnsi="Arial" w:cs="Arial"/>
          <w:sz w:val="22"/>
          <w:szCs w:val="22"/>
        </w:rPr>
      </w:pPr>
      <w:r w:rsidRPr="00710EE2">
        <w:rPr>
          <w:rFonts w:ascii="Arial" w:hAnsi="Arial" w:cs="Arial"/>
          <w:sz w:val="22"/>
          <w:szCs w:val="22"/>
        </w:rPr>
        <w:t>However, the</w:t>
      </w:r>
      <w:r w:rsidR="00A541BB" w:rsidRPr="00710EE2">
        <w:rPr>
          <w:rFonts w:ascii="Arial" w:hAnsi="Arial" w:cs="Arial"/>
          <w:sz w:val="22"/>
          <w:szCs w:val="22"/>
        </w:rPr>
        <w:t xml:space="preserve">re are </w:t>
      </w:r>
      <w:r w:rsidR="00717FD1" w:rsidRPr="00710EE2">
        <w:rPr>
          <w:rFonts w:ascii="Arial" w:hAnsi="Arial" w:cs="Arial"/>
          <w:sz w:val="22"/>
          <w:szCs w:val="22"/>
        </w:rPr>
        <w:t>limitations</w:t>
      </w:r>
      <w:r w:rsidR="007F6FD0" w:rsidRPr="00710EE2">
        <w:rPr>
          <w:rFonts w:ascii="Arial" w:hAnsi="Arial" w:cs="Arial"/>
          <w:sz w:val="22"/>
          <w:szCs w:val="22"/>
        </w:rPr>
        <w:t xml:space="preserve"> as </w:t>
      </w:r>
      <w:r w:rsidR="00717FD1" w:rsidRPr="00710EE2">
        <w:rPr>
          <w:rFonts w:ascii="Arial" w:hAnsi="Arial" w:cs="Arial"/>
          <w:sz w:val="22"/>
          <w:szCs w:val="22"/>
        </w:rPr>
        <w:t>follows</w:t>
      </w:r>
      <w:r w:rsidR="007F6FD0" w:rsidRPr="00710EE2">
        <w:rPr>
          <w:rFonts w:ascii="Arial" w:hAnsi="Arial" w:cs="Arial"/>
          <w:sz w:val="22"/>
          <w:szCs w:val="22"/>
        </w:rPr>
        <w:t>,</w:t>
      </w:r>
    </w:p>
    <w:p w14:paraId="361B2E7E" w14:textId="5D31B321" w:rsidR="007F6FD0" w:rsidRPr="00710EE2" w:rsidRDefault="007F6FD0" w:rsidP="00620130">
      <w:pPr>
        <w:pStyle w:val="ListParagraph"/>
        <w:numPr>
          <w:ilvl w:val="0"/>
          <w:numId w:val="1"/>
        </w:numPr>
        <w:spacing w:line="360" w:lineRule="auto"/>
        <w:jc w:val="both"/>
        <w:rPr>
          <w:rFonts w:ascii="Arial" w:hAnsi="Arial" w:cs="Arial"/>
          <w:sz w:val="22"/>
          <w:szCs w:val="22"/>
        </w:rPr>
      </w:pPr>
      <w:r w:rsidRPr="00710EE2">
        <w:rPr>
          <w:rFonts w:ascii="Arial" w:hAnsi="Arial" w:cs="Arial"/>
          <w:sz w:val="22"/>
          <w:szCs w:val="22"/>
        </w:rPr>
        <w:t xml:space="preserve">Stopping treatments prematurely. </w:t>
      </w:r>
    </w:p>
    <w:p w14:paraId="01282737" w14:textId="77E1B169" w:rsidR="007F6FD0" w:rsidRPr="00710EE2" w:rsidRDefault="007F6FD0" w:rsidP="00620130">
      <w:pPr>
        <w:pStyle w:val="ListParagraph"/>
        <w:numPr>
          <w:ilvl w:val="0"/>
          <w:numId w:val="1"/>
        </w:numPr>
        <w:spacing w:line="360" w:lineRule="auto"/>
        <w:jc w:val="both"/>
        <w:rPr>
          <w:rFonts w:ascii="Arial" w:hAnsi="Arial" w:cs="Arial"/>
          <w:sz w:val="22"/>
          <w:szCs w:val="22"/>
        </w:rPr>
      </w:pPr>
      <w:r w:rsidRPr="00710EE2">
        <w:rPr>
          <w:rFonts w:ascii="Arial" w:hAnsi="Arial" w:cs="Arial"/>
          <w:sz w:val="22"/>
          <w:szCs w:val="22"/>
        </w:rPr>
        <w:t>Limited access for treatments due to low-resource settings due to cost, stigma, and scarcity of trained professionals.</w:t>
      </w:r>
    </w:p>
    <w:p w14:paraId="05C99EE0" w14:textId="170CA8A1" w:rsidR="007F6FD0" w:rsidRPr="00710EE2" w:rsidRDefault="007F6FD0" w:rsidP="00620130">
      <w:pPr>
        <w:pStyle w:val="ListParagraph"/>
        <w:numPr>
          <w:ilvl w:val="0"/>
          <w:numId w:val="1"/>
        </w:numPr>
        <w:spacing w:line="360" w:lineRule="auto"/>
        <w:jc w:val="both"/>
        <w:rPr>
          <w:rFonts w:ascii="Arial" w:hAnsi="Arial" w:cs="Arial"/>
          <w:sz w:val="22"/>
          <w:szCs w:val="22"/>
        </w:rPr>
      </w:pPr>
      <w:r w:rsidRPr="00710EE2">
        <w:rPr>
          <w:rFonts w:ascii="Arial" w:hAnsi="Arial" w:cs="Arial"/>
          <w:sz w:val="22"/>
          <w:szCs w:val="22"/>
        </w:rPr>
        <w:t xml:space="preserve">Occurrence of side effects </w:t>
      </w:r>
      <w:r w:rsidR="006963B2" w:rsidRPr="00710EE2">
        <w:rPr>
          <w:rFonts w:ascii="Arial" w:hAnsi="Arial" w:cs="Arial"/>
          <w:sz w:val="22"/>
          <w:szCs w:val="22"/>
        </w:rPr>
        <w:t>such as digestive problems and sexual dysfunction.</w:t>
      </w:r>
    </w:p>
    <w:p w14:paraId="3B4EDCB3" w14:textId="4B30C191" w:rsidR="006963B2" w:rsidRPr="00710EE2" w:rsidRDefault="00586F82" w:rsidP="00620130">
      <w:pPr>
        <w:pStyle w:val="ListParagraph"/>
        <w:numPr>
          <w:ilvl w:val="0"/>
          <w:numId w:val="1"/>
        </w:numPr>
        <w:spacing w:line="360" w:lineRule="auto"/>
        <w:jc w:val="both"/>
        <w:rPr>
          <w:rFonts w:ascii="Arial" w:hAnsi="Arial" w:cs="Arial"/>
          <w:sz w:val="22"/>
          <w:szCs w:val="22"/>
        </w:rPr>
      </w:pPr>
      <w:r w:rsidRPr="00710EE2">
        <w:rPr>
          <w:rFonts w:ascii="Arial" w:hAnsi="Arial" w:cs="Arial"/>
          <w:sz w:val="22"/>
          <w:szCs w:val="22"/>
        </w:rPr>
        <w:t xml:space="preserve">Barriers come from the culture for taking treatments </w:t>
      </w:r>
    </w:p>
    <w:p w14:paraId="5FA679E0" w14:textId="060C3D7E" w:rsidR="000F7D59" w:rsidRPr="00620130" w:rsidRDefault="00EC2D20" w:rsidP="00620130">
      <w:pPr>
        <w:spacing w:line="360" w:lineRule="auto"/>
        <w:jc w:val="both"/>
        <w:rPr>
          <w:rFonts w:ascii="Arial" w:hAnsi="Arial" w:cs="Arial"/>
          <w:sz w:val="22"/>
          <w:szCs w:val="22"/>
        </w:rPr>
      </w:pPr>
      <w:r w:rsidRPr="00710EE2">
        <w:rPr>
          <w:rFonts w:ascii="Arial" w:hAnsi="Arial" w:cs="Arial"/>
          <w:sz w:val="22"/>
          <w:szCs w:val="22"/>
        </w:rPr>
        <w:t>Despite these limitations, an integrated approach has remained the cornerstone in the management of GAD.</w:t>
      </w:r>
    </w:p>
    <w:p w14:paraId="78344AE5" w14:textId="77777777" w:rsidR="00AC2916" w:rsidRDefault="00AC2916">
      <w:pPr>
        <w:rPr>
          <w:rFonts w:ascii="Arial" w:eastAsiaTheme="majorEastAsia" w:hAnsi="Arial" w:cs="Arial"/>
          <w:b/>
          <w:bCs/>
        </w:rPr>
      </w:pPr>
      <w:r>
        <w:br w:type="page"/>
      </w:r>
    </w:p>
    <w:p w14:paraId="21281CFF" w14:textId="080663EE" w:rsidR="00EC2D20" w:rsidRPr="00710EE2" w:rsidRDefault="00EC2D20" w:rsidP="00620130">
      <w:pPr>
        <w:pStyle w:val="Heading1"/>
        <w:spacing w:line="360" w:lineRule="auto"/>
        <w:jc w:val="both"/>
      </w:pPr>
      <w:bookmarkStart w:id="10" w:name="_Toc212717406"/>
      <w:r w:rsidRPr="00710EE2">
        <w:lastRenderedPageBreak/>
        <w:t>Current Debates and Emerging Issues</w:t>
      </w:r>
      <w:bookmarkEnd w:id="10"/>
      <w:r w:rsidRPr="00710EE2">
        <w:t xml:space="preserve"> </w:t>
      </w:r>
    </w:p>
    <w:p w14:paraId="1AED30A4" w14:textId="603E33DE" w:rsidR="00EC2D20" w:rsidRPr="00710EE2" w:rsidRDefault="00EC2D20" w:rsidP="00620130">
      <w:pPr>
        <w:pStyle w:val="Heading2"/>
        <w:spacing w:line="360" w:lineRule="auto"/>
        <w:jc w:val="both"/>
      </w:pPr>
      <w:bookmarkStart w:id="11" w:name="_Toc212717407"/>
      <w:r w:rsidRPr="00710EE2">
        <w:t>Ongoing Debates in Classification and Diagnosis</w:t>
      </w:r>
      <w:bookmarkEnd w:id="11"/>
    </w:p>
    <w:p w14:paraId="6D5BFCC3" w14:textId="64BC7989" w:rsidR="00BE0572" w:rsidRPr="00710EE2" w:rsidRDefault="00EC2D20" w:rsidP="00620130">
      <w:pPr>
        <w:spacing w:line="360" w:lineRule="auto"/>
        <w:jc w:val="both"/>
        <w:rPr>
          <w:rFonts w:ascii="Arial" w:hAnsi="Arial" w:cs="Arial"/>
          <w:sz w:val="22"/>
          <w:szCs w:val="22"/>
        </w:rPr>
      </w:pPr>
      <w:r w:rsidRPr="00710EE2">
        <w:rPr>
          <w:rFonts w:ascii="Arial" w:hAnsi="Arial" w:cs="Arial"/>
          <w:sz w:val="22"/>
          <w:szCs w:val="22"/>
        </w:rPr>
        <w:t>The category of Generalised Anxiety Disorder (GAD) remains controversial</w:t>
      </w:r>
      <w:r w:rsidR="004F5204" w:rsidRPr="00710EE2">
        <w:rPr>
          <w:rFonts w:ascii="Arial" w:hAnsi="Arial" w:cs="Arial"/>
          <w:sz w:val="22"/>
          <w:szCs w:val="22"/>
        </w:rPr>
        <w:t xml:space="preserve"> among the industry practitioners</w:t>
      </w:r>
      <w:r w:rsidRPr="00710EE2">
        <w:rPr>
          <w:rFonts w:ascii="Arial" w:hAnsi="Arial" w:cs="Arial"/>
          <w:sz w:val="22"/>
          <w:szCs w:val="22"/>
        </w:rPr>
        <w:t xml:space="preserve">. Firstly, </w:t>
      </w:r>
      <w:r w:rsidR="004F5204" w:rsidRPr="00710EE2">
        <w:rPr>
          <w:rFonts w:ascii="Arial" w:hAnsi="Arial" w:cs="Arial"/>
          <w:sz w:val="22"/>
          <w:szCs w:val="22"/>
        </w:rPr>
        <w:t xml:space="preserve">there is </w:t>
      </w:r>
      <w:r w:rsidRPr="00710EE2">
        <w:rPr>
          <w:rFonts w:ascii="Arial" w:hAnsi="Arial" w:cs="Arial"/>
          <w:sz w:val="22"/>
          <w:szCs w:val="22"/>
        </w:rPr>
        <w:t>an important question relates to the differential diagnosis of GAD and normal worries</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{"citationItems":[{"id":"ITEM-1","itemData":{"DOI":"10.1016/j.conb.2013.01.013","ISSN":"09594388","PMID":"23402950","abstract":"Fear and anxiety are debilitating conditions that affect a significant number of individuals in their lifetimes. Understanding underlying mechanisms of these disorders affords us the possibility of therapeutic intervention. Such clarity in terms of mechanism and intervention can only come from an amalgamation of research from human to animal studies that attempt to mimic the human condition, both of which are discussed in this review. We begin by presenting an outline of our current understanding of the neurobiological basis of fear and anxiety. This outline spans various levels of organization that include the circuitry, molecular pathways, genetic and epigenetic components of fear and anxiety. Using these organizational levels as a scaffold, we then discuss strategies that are currently used to ameliorate these disorders, and forecast future interventions that hold therapeutic promise. Among these newer promising treatments, we include, optogenetic, pharmacological, and extinction-based approaches, as well as lifestyle modifications, with combinatorial treatment regimens of these holding the most promise. © 2013 Elsevier Ltd.","author":[{"dropping-particle":"","family":"Dias","given":"Brian G.","non-dropping-particle":"","parse-names":false,"suffix":""},{"dropping-particle":"","family":"Banerjee","given":"Sunayana B.","non-dropping-particle":"","parse-names":false,"suffix":""},{"dropping-particle":"V.","family":"Goodman","given":"Jared","non-dropping-particle":"","parse-names":false,"suffix":""},{"dropping-particle":"","family":"Ressler","given":"Kerry J.","non-dropping-particle":"","parse-names":false,"suffix":""}],"container-title":"Current Opinion in Neurobiology","id":"ITEM-1","issue":"3","issued":{"date-parts":[["2013"]]},"page":"346-352","title":"Towards new approaches to disorders of fear and anxiety","type":"article-journal","volume":"23"},"uris":["http://www.mendeley.com/documents/?uuid=53651ed5-d10b-430f-a3a2-37691f9d33f6"]}],"mendeley":{"formattedCitation":"(Dias &lt;i&gt;et al.&lt;/i&gt;, 2013)","plainTextFormattedCitation":"(Dias et al., 2013)","previouslyFormattedCitation":"(Dias &lt;i&gt;et al.&lt;/i&gt;, 2013)"},"properties":{"noteIndex":0},"schema":"https://github.com/citation-style-language/schema/raw/master/csl-citation.json"}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(Dias </w:t>
      </w:r>
      <w:r w:rsidR="0039478E" w:rsidRPr="0039478E">
        <w:rPr>
          <w:rFonts w:ascii="Arial" w:hAnsi="Arial" w:cs="Arial"/>
          <w:i/>
          <w:noProof/>
          <w:sz w:val="22"/>
          <w:szCs w:val="22"/>
        </w:rPr>
        <w:t>et al.</w:t>
      </w:r>
      <w:r w:rsidR="0039478E" w:rsidRPr="0039478E">
        <w:rPr>
          <w:rFonts w:ascii="Arial" w:hAnsi="Arial" w:cs="Arial"/>
          <w:noProof/>
          <w:sz w:val="22"/>
          <w:szCs w:val="22"/>
        </w:rPr>
        <w:t>, 2013)</w:t>
      </w:r>
      <w:r w:rsidR="0039478E">
        <w:rPr>
          <w:rFonts w:ascii="Arial" w:hAnsi="Arial" w:cs="Arial"/>
          <w:sz w:val="22"/>
          <w:szCs w:val="22"/>
        </w:rPr>
        <w:fldChar w:fldCharType="end"/>
      </w:r>
      <w:r w:rsidRPr="00710EE2">
        <w:rPr>
          <w:rFonts w:ascii="Arial" w:hAnsi="Arial" w:cs="Arial"/>
          <w:sz w:val="22"/>
          <w:szCs w:val="22"/>
        </w:rPr>
        <w:t xml:space="preserve">. For instance, normal levels of stress and anxiety </w:t>
      </w:r>
      <w:r w:rsidR="00BE0572" w:rsidRPr="00710EE2">
        <w:rPr>
          <w:rFonts w:ascii="Arial" w:hAnsi="Arial" w:cs="Arial"/>
          <w:sz w:val="22"/>
          <w:szCs w:val="22"/>
        </w:rPr>
        <w:t>can be</w:t>
      </w:r>
      <w:r w:rsidRPr="00710EE2">
        <w:rPr>
          <w:rFonts w:ascii="Arial" w:hAnsi="Arial" w:cs="Arial"/>
          <w:sz w:val="22"/>
          <w:szCs w:val="22"/>
        </w:rPr>
        <w:t xml:space="preserve"> </w:t>
      </w:r>
      <w:r w:rsidR="00196C92" w:rsidRPr="00710EE2">
        <w:rPr>
          <w:rFonts w:ascii="Arial" w:hAnsi="Arial" w:cs="Arial"/>
          <w:sz w:val="22"/>
          <w:szCs w:val="22"/>
        </w:rPr>
        <w:t>reached</w:t>
      </w:r>
      <w:r w:rsidRPr="00710EE2">
        <w:rPr>
          <w:rFonts w:ascii="Arial" w:hAnsi="Arial" w:cs="Arial"/>
          <w:sz w:val="22"/>
          <w:szCs w:val="22"/>
        </w:rPr>
        <w:t xml:space="preserve"> </w:t>
      </w:r>
      <w:r w:rsidR="00BE0572" w:rsidRPr="00710EE2">
        <w:rPr>
          <w:rFonts w:ascii="Arial" w:hAnsi="Arial" w:cs="Arial"/>
          <w:sz w:val="22"/>
          <w:szCs w:val="22"/>
        </w:rPr>
        <w:t xml:space="preserve">at </w:t>
      </w:r>
      <w:r w:rsidRPr="00710EE2">
        <w:rPr>
          <w:rFonts w:ascii="Arial" w:hAnsi="Arial" w:cs="Arial"/>
          <w:sz w:val="22"/>
          <w:szCs w:val="22"/>
        </w:rPr>
        <w:t xml:space="preserve">diagnostic levels. </w:t>
      </w:r>
      <w:r w:rsidR="00AE1D35" w:rsidRPr="00710EE2">
        <w:rPr>
          <w:rFonts w:ascii="Arial" w:hAnsi="Arial" w:cs="Arial"/>
          <w:sz w:val="22"/>
          <w:szCs w:val="22"/>
        </w:rPr>
        <w:t>However, it can be identified the ICD-11 Approach as more flexible, since it supports differentiating normal worries with GAD</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{"citationItems":[{"id":"ITEM-1","itemData":{"DOI":"10.3390/ijerph192416980","ISSN":"16604601","PMID":"36554860","abstract":"Forms of rehabilitation for patients after COVID-19 are gaining interest. The purpose of this study was to investigate and compare an innovative in-hospital pulmonary rehabilitation programs augmented with training elements performed in virtual reality. This randomized controlled study included 32 patients enrolled in post-COVID-19 rehabilitation at a Public Hospital in Poland. The rehabilitation models included exercise capacity training on a cycle ergometer, breathing and general fitness workout, resistance training, and relaxation. The forms of training and relaxation differed between the groups: the experimental group employed virtual reality, and the control group used a traditional form of therapy. Exercise tolerance was assessed using a 6 min walk test (6 MWT), while psychological parameters were evaluated using the Hospital Anxiety and Depression Scale (HADS) and the brief World Health Organization Quality of Life Scale (WHOQOL-BRIEF). The analysis of the post-rehabilitation results showed a statistically significant improvement in both groups regarding depression (VR: 6.9 (3.9) vs. 4.7 (3.5), p = 0.008; CG: 7.64 (4.5) vs. 6.6 (4.8), p = 0.017) and anxiety (VR: 8.6 (4.6) vs. 5.6 (3.3), p &lt; 0.001; CG: 9.57 (6.0) vs. 8 (4.8), p = 0.003). No statistically significant improvements in quality of life were noted in both groups. Moreover, the analysis showed a statistically significant improvement in the exercise capacity in both groups after completion of the rehabilitation program, expressed as a distance in the 6 MWT, as well as a statistically significant improvement in dyspnea in the VR group. To conclude, the analysis of the preliminary data revealed that a 3-week hospital-based pulmonary rehabilitation program for COVID-19 patients led to an improvement in exercise tolerance as well as a reduction in the symptoms of anxiety and depression. The virtual reality-based form of training delivery, despite its attractiveness, did not significantly affect patients’ performance.","author":[{"dropping-particle":"","family":"Rutkowski","given":"Sebastian","non-dropping-particle":"","parse-names":false,"suffix":""},{"dropping-particle":"","family":"Bogacz","given":"Katarzyna","non-dropping-particle":"","parse-names":false,"suffix":""},{"dropping-particle":"","family":"Czech","given":"Oliver","non-dropping-particle":"","parse-names":false,"suffix":""},{"dropping-particle":"","family":"Rutkowska","given":"Anna","non-dropping-particle":"","parse-names":false,"suffix":""},{"dropping-particle":"","family":"Szczegielniak","given":"Jan","non-dropping-particle":"","parse-names":false,"suffix":""}],"container-title":"International Journal of Environmental Research and Public Health","id":"ITEM-1","issue":"24","issued":{"date-parts":[["2022"]]},"title":"Effectiveness of an Inpatient Virtual Reality-Based Pulmonary Rehabilitation Program among COVID-19 Patients on Symptoms of Anxiety, Depression and Quality of Life: Preliminary Results from a Randomized Controlled Trial","type":"article-journal","volume":"19"},"uris":["http://www.mendeley.com/documents/?uuid=8571edbc-0aed-4282-b0e8-8abaa458b3e5"]}],"mendeley":{"formattedCitation":"(Rutkowski &lt;i&gt;et al.&lt;/i&gt;, 2022)","plainTextFormattedCitation":"(Rutkowski et al., 2022)","previouslyFormattedCitation":"(Rutkowski &lt;i&gt;et al.&lt;/i&gt;, 2022)"},"properties":{"noteIndex":0},"schema":"https://github.com/citation-style-language/schema/raw/master/csl-citation.json"}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(Rutkowski </w:t>
      </w:r>
      <w:r w:rsidR="0039478E" w:rsidRPr="0039478E">
        <w:rPr>
          <w:rFonts w:ascii="Arial" w:hAnsi="Arial" w:cs="Arial"/>
          <w:i/>
          <w:noProof/>
          <w:sz w:val="22"/>
          <w:szCs w:val="22"/>
        </w:rPr>
        <w:t>et al.</w:t>
      </w:r>
      <w:r w:rsidR="0039478E" w:rsidRPr="0039478E">
        <w:rPr>
          <w:rFonts w:ascii="Arial" w:hAnsi="Arial" w:cs="Arial"/>
          <w:noProof/>
          <w:sz w:val="22"/>
          <w:szCs w:val="22"/>
        </w:rPr>
        <w:t>, 2022)</w:t>
      </w:r>
      <w:r w:rsidR="0039478E">
        <w:rPr>
          <w:rFonts w:ascii="Arial" w:hAnsi="Arial" w:cs="Arial"/>
          <w:sz w:val="22"/>
          <w:szCs w:val="22"/>
        </w:rPr>
        <w:fldChar w:fldCharType="end"/>
      </w:r>
      <w:r w:rsidR="00AE1D35" w:rsidRPr="00710EE2">
        <w:rPr>
          <w:rFonts w:ascii="Arial" w:hAnsi="Arial" w:cs="Arial"/>
          <w:sz w:val="22"/>
          <w:szCs w:val="22"/>
        </w:rPr>
        <w:t>.</w:t>
      </w:r>
    </w:p>
    <w:p w14:paraId="0C95E546" w14:textId="2C598296" w:rsidR="00EC2D20" w:rsidRPr="00710EE2" w:rsidRDefault="00AE1D35" w:rsidP="00620130">
      <w:pPr>
        <w:spacing w:line="360" w:lineRule="auto"/>
        <w:jc w:val="both"/>
        <w:rPr>
          <w:rFonts w:ascii="Arial" w:hAnsi="Arial" w:cs="Arial"/>
          <w:sz w:val="22"/>
          <w:szCs w:val="22"/>
        </w:rPr>
      </w:pPr>
      <w:r w:rsidRPr="00710EE2">
        <w:rPr>
          <w:rFonts w:ascii="Arial" w:hAnsi="Arial" w:cs="Arial"/>
          <w:sz w:val="22"/>
          <w:szCs w:val="22"/>
        </w:rPr>
        <w:t>As the second question related to co-morbidity of Generalised Anxiety Disorder and mood and somatic disorders, few researchers argued that</w:t>
      </w:r>
      <w:r w:rsidR="00EC2D20" w:rsidRPr="00710EE2">
        <w:rPr>
          <w:rFonts w:ascii="Arial" w:hAnsi="Arial" w:cs="Arial"/>
          <w:sz w:val="22"/>
          <w:szCs w:val="22"/>
        </w:rPr>
        <w:t xml:space="preserve"> Generalised Anxiety Disorder should remain as a distinct category or as part of an anxiety-depressive continuum</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{"citationItems":[{"id":"ITEM-1","itemData":{"DOI":"10.3389/fpsyt.2024.1421907","ISSN":"16640640","abstract":"Objective: To understand the current study of social anxiety (SA) over the past decade, and to analyze the research hot topics and frontiers in this field. Methods: CiteSpace 6.2.R3 was used to analyze the literature on SA collected in the Web of Science Core Collection database from 2013 to 2023. Results: A total of 9940 literature were included after the screening, and the annual publication volume showed a steady increase. The results emphasize that Zvolensky MJ, Pine DS, and Heimberg RG are important authors in the field of SA. The United States has the highest number of publications, with the University of California System contributing the most. Research hotspots include cognitive impairment, risk factors, complications, neuroimaging, and intervention strategies. SA related to the “theory of mind”, “bullying victimization”, “mobile phone”, “network analysis”, “technology”, and “satisfaction” are emerging research foci. Conclusion: This study identifies the current situation and trends of SA research, and provides a reference for future research topics and directions.","author":[{"dropping-particle":"","family":"Zhang","given":"Peng","non-dropping-particle":"","parse-names":false,"suffix":""},{"dropping-particle":"","family":"Wang","given":"Mingliang","non-dropping-particle":"","parse-names":false,"suffix":""},{"dropping-particle":"","family":"Ding","given":"Lin","non-dropping-particle":"","parse-names":false,"suffix":""},{"dropping-particle":"","family":"Zhang","given":"Jianing","non-dropping-particle":"","parse-names":false,"suffix":""},{"dropping-particle":"","family":"Yuan","given":"Yuqing","non-dropping-particle":"","parse-names":false,"suffix":""},{"dropping-particle":"","family":"Tian","given":"Xin","non-dropping-particle":"","parse-names":false,"suffix":""}],"container-title":"Frontiers in Psychiatry","id":"ITEM-1","issue":"October","issued":{"date-parts":[["2024"]]},"page":"1-23","title":"Research hot topics and frontiers in social anxiety over the past decade: a CiteSpace bibliometric analysis based on Web of Science database from 2013 to 2023","type":"article-journal","volume":"15"},"uris":["http://www.mendeley.com/documents/?uuid=837991f4-909f-4ce9-8bb1-09215774ed23"]}],"mendeley":{"formattedCitation":"(Zhang &lt;i&gt;et al.&lt;/i&gt;, 2024)","plainTextFormattedCitation":"(Zhang et al., 2024)","previouslyFormattedCitation":"(Zhang &lt;i&gt;et al.&lt;/i&gt;, 2024)"},"properties":{"noteIndex":0},"schema":"https://github.com/citation-style-language/schema/raw/master/csl-citation.json"}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(Zhang </w:t>
      </w:r>
      <w:r w:rsidR="0039478E" w:rsidRPr="0039478E">
        <w:rPr>
          <w:rFonts w:ascii="Arial" w:hAnsi="Arial" w:cs="Arial"/>
          <w:i/>
          <w:noProof/>
          <w:sz w:val="22"/>
          <w:szCs w:val="22"/>
        </w:rPr>
        <w:t>et al.</w:t>
      </w:r>
      <w:r w:rsidR="0039478E" w:rsidRPr="0039478E">
        <w:rPr>
          <w:rFonts w:ascii="Arial" w:hAnsi="Arial" w:cs="Arial"/>
          <w:noProof/>
          <w:sz w:val="22"/>
          <w:szCs w:val="22"/>
        </w:rPr>
        <w:t>, 2024)</w:t>
      </w:r>
      <w:r w:rsidR="0039478E">
        <w:rPr>
          <w:rFonts w:ascii="Arial" w:hAnsi="Arial" w:cs="Arial"/>
          <w:sz w:val="22"/>
          <w:szCs w:val="22"/>
        </w:rPr>
        <w:fldChar w:fldCharType="end"/>
      </w:r>
      <w:r w:rsidR="00EC2D20" w:rsidRPr="00710EE2">
        <w:rPr>
          <w:rFonts w:ascii="Arial" w:hAnsi="Arial" w:cs="Arial"/>
          <w:sz w:val="22"/>
          <w:szCs w:val="22"/>
        </w:rPr>
        <w:t>.</w:t>
      </w:r>
    </w:p>
    <w:p w14:paraId="4B58E918" w14:textId="4896C232" w:rsidR="00EC2D20" w:rsidRPr="00710EE2" w:rsidRDefault="00AE1D35" w:rsidP="00620130">
      <w:pPr>
        <w:spacing w:line="360" w:lineRule="auto"/>
        <w:jc w:val="both"/>
        <w:rPr>
          <w:rFonts w:ascii="Arial" w:hAnsi="Arial" w:cs="Arial"/>
          <w:sz w:val="22"/>
          <w:szCs w:val="22"/>
        </w:rPr>
      </w:pPr>
      <w:r w:rsidRPr="00710EE2">
        <w:rPr>
          <w:rFonts w:ascii="Arial" w:hAnsi="Arial" w:cs="Arial"/>
          <w:sz w:val="22"/>
          <w:szCs w:val="22"/>
        </w:rPr>
        <w:t>As a</w:t>
      </w:r>
      <w:r w:rsidR="00EC2D20" w:rsidRPr="00710EE2">
        <w:rPr>
          <w:rFonts w:ascii="Arial" w:hAnsi="Arial" w:cs="Arial"/>
          <w:sz w:val="22"/>
          <w:szCs w:val="22"/>
        </w:rPr>
        <w:t xml:space="preserve">nother area of dispute exists in relation to the duration of the symptoms as set by the criteria. </w:t>
      </w:r>
      <w:r w:rsidRPr="00710EE2">
        <w:rPr>
          <w:rFonts w:ascii="Arial" w:hAnsi="Arial" w:cs="Arial"/>
          <w:sz w:val="22"/>
          <w:szCs w:val="22"/>
        </w:rPr>
        <w:t xml:space="preserve">Under the </w:t>
      </w:r>
      <w:r w:rsidR="00EC2D20" w:rsidRPr="00710EE2">
        <w:rPr>
          <w:rFonts w:ascii="Arial" w:hAnsi="Arial" w:cs="Arial"/>
          <w:sz w:val="22"/>
          <w:szCs w:val="22"/>
        </w:rPr>
        <w:t>ICD-11</w:t>
      </w:r>
      <w:r w:rsidRPr="00710EE2">
        <w:rPr>
          <w:rFonts w:ascii="Arial" w:hAnsi="Arial" w:cs="Arial"/>
          <w:sz w:val="22"/>
          <w:szCs w:val="22"/>
        </w:rPr>
        <w:t>, it</w:t>
      </w:r>
      <w:r w:rsidR="00EC2D20" w:rsidRPr="00710EE2">
        <w:rPr>
          <w:rFonts w:ascii="Arial" w:hAnsi="Arial" w:cs="Arial"/>
          <w:sz w:val="22"/>
          <w:szCs w:val="22"/>
        </w:rPr>
        <w:t xml:space="preserve"> states that the duration of the symptoms should be “a few months,” </w:t>
      </w:r>
      <w:r w:rsidRPr="00710EE2">
        <w:rPr>
          <w:rFonts w:ascii="Arial" w:hAnsi="Arial" w:cs="Arial"/>
          <w:sz w:val="22"/>
          <w:szCs w:val="22"/>
        </w:rPr>
        <w:t xml:space="preserve">however, </w:t>
      </w:r>
      <w:r w:rsidR="00EC2D20" w:rsidRPr="00710EE2">
        <w:rPr>
          <w:rFonts w:ascii="Arial" w:hAnsi="Arial" w:cs="Arial"/>
          <w:sz w:val="22"/>
          <w:szCs w:val="22"/>
        </w:rPr>
        <w:t>it may not always reflect distressed states in various cultures</w:t>
      </w:r>
      <w:r w:rsidR="0039478E">
        <w:rPr>
          <w:rFonts w:ascii="Arial" w:hAnsi="Arial" w:cs="Arial"/>
          <w:sz w:val="22"/>
          <w:szCs w:val="22"/>
        </w:rPr>
        <w:t xml:space="preserve"> </w:t>
      </w:r>
      <w:r w:rsidR="0039478E">
        <w:rPr>
          <w:rFonts w:ascii="Arial" w:hAnsi="Arial" w:cs="Arial"/>
          <w:sz w:val="22"/>
          <w:szCs w:val="22"/>
        </w:rPr>
        <w:fldChar w:fldCharType="begin" w:fldLock="1"/>
      </w:r>
      <w:r w:rsidR="0039478E">
        <w:rPr>
          <w:rFonts w:ascii="Arial" w:hAnsi="Arial" w:cs="Arial"/>
          <w:sz w:val="22"/>
          <w:szCs w:val="22"/>
        </w:rPr>
        <w:instrText>ADDIN CSL_CITATION {"citationItems":[{"id":"ITEM-1","itemData":{"DOI":"10.3389/fpsyt.2023.1290580","ISSN":"16640640","abstract":"Background: Clinical practice guidelines (CPGs) are used to guide decision-making, especially regarding complementary and alternative medicine (CAM) therapies that are unfamiliar to orthodox healthcare providers. This systematic review aimed to critically review and summarise CAM recommendations associated with anxiety management included in the existing CPGs. Methods: Seven databases, websites of six international guidelines developing institutions, and the National Centre for Complementary and Integrative Health website were systematically searched. Their reporting and methodological quality were evaluated using the Reporting Items for practice Guidelines in Healthcare checklist and the Appraisal of Guidelines for Research and Evaluation (2nd version) instrument, respectively. Results: Ten CPGs were included, with reporting rates between 51.4 and 88.6%. Seven of these were of moderate to high methodological quality. Seventeen CAM modalities were implicated, involving phytotherapeutics, mind–body practice, art therapy, and homeopathy. Applied relaxation was included in 70% CPGs, which varied in degree of support for its use in the treatment of generalised anxiety disorder. There were few recommendations for other therapies/products. Light therapy was not recommended for use in generalised anxiety disorder, and St John’s wort and mindfulness were not recommended for use in social anxiety disorder in individual guidelines. Recommendations for the applicability of other therapies/products for treating a specific anxiety disorder were commonly graded as “unclear, unambiguous, or uncertain”. No CAM recommendations were provided for separation anxiety disorder, specific phobia or selective mutism. Conclusion: Available guidelines are limited in providing logically explained graded CAM recommendations for anxiety treatment and care. A lack of high-quality evidence and multidisciplinary consultation during the guideline development are two major reasons. High quality and reliable clinical evidence and the engagement of a range of interdisciplinary stakeholders are needed for future CPG development and updating. Systematic review registration: https://www.crd.york.ac.uk/prospero/display_record.php?ID=CRD42022373694, identifier CRD42022373694.","author":[{"dropping-particle":"","family":"Zhao","given":"Fei Yi","non-dropping-particle":"","parse-names":false,"suffix":""},{"dropping-particle":"","family":"Kennedy","given":"Gerard A.","non-dropping-particle":"","parse-names":false,"suffix":""},{"dropping-particle":"","family":"Xu","given":"Peijie","non-dropping-particle":"","parse-names":false,"suffix":""},{"dropping-particle":"","family":"Conduit","given":"Russell","non-dropping-particle":"","parse-names":false,"suffix":""},{"dropping-particle":"","family":"Wang","given":"Yan Mei","non-dropping-particle":"","parse-names":false,"suffix":""},{"dropping-particle":"","family":"Zhang","given":"Wen Jing","non-dropping-particle":"","parse-names":false,"suffix":""},{"dropping-particle":"","family":"Wang","given":"Hui Ru","non-dropping-particle":"","parse-names":false,"suffix":""},{"dropping-particle":"","family":"Yue","given":"Li Ping","non-dropping-particle":"","parse-names":false,"suffix":""},{"dropping-particle":"","family":"Huang","given":"Yu Ling","non-dropping-particle":"","parse-names":false,"suffix":""},{"dropping-particle":"","family":"Wang","given":"Yin","non-dropping-particle":"","parse-names":false,"suffix":""},{"dropping-particle":"","family":"Xu","given":"Yan","non-dropping-particle":"","parse-names":false,"suffix":""},{"dropping-particle":"","family":"Fu","given":"Qiang Qiang","non-dropping-particle":"","parse-names":false,"suffix":""},{"dropping-particle":"","family":"Zheng","given":"Zhen","non-dropping-particle":"","parse-names":false,"suffix":""}],"container-title":"Frontiers in Psychiatry","id":"ITEM-1","issue":"December","issued":{"date-parts":[["2023"]]},"title":"Identifying complementary and alternative medicine recommendations for anxiety treatment and care: a systematic review and critical assessment of comprehensive clinical practice guidelines","type":"article-journal","volume":"14"},"uris":["http://www.mendeley.com/documents/?uuid=5bc74168-6c7a-43f8-ab1d-5e5303776a3c"]}],"mendeley":{"formattedCitation":"(Zhao &lt;i&gt;et al.&lt;/i&gt;, 2023)","plainTextFormattedCitation":"(Zhao et al., 2023)","previouslyFormattedCitation":"(Zhao &lt;i&gt;et al.&lt;/i&gt;, 2023)"},"properties":{"noteIndex":0},"schema":"https://github.com/citation-style-language/schema/raw/master/csl-citation.json"}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 xml:space="preserve">(Zhao </w:t>
      </w:r>
      <w:r w:rsidR="0039478E" w:rsidRPr="0039478E">
        <w:rPr>
          <w:rFonts w:ascii="Arial" w:hAnsi="Arial" w:cs="Arial"/>
          <w:i/>
          <w:noProof/>
          <w:sz w:val="22"/>
          <w:szCs w:val="22"/>
        </w:rPr>
        <w:t>et al.</w:t>
      </w:r>
      <w:r w:rsidR="0039478E" w:rsidRPr="0039478E">
        <w:rPr>
          <w:rFonts w:ascii="Arial" w:hAnsi="Arial" w:cs="Arial"/>
          <w:noProof/>
          <w:sz w:val="22"/>
          <w:szCs w:val="22"/>
        </w:rPr>
        <w:t>, 2023)</w:t>
      </w:r>
      <w:r w:rsidR="0039478E">
        <w:rPr>
          <w:rFonts w:ascii="Arial" w:hAnsi="Arial" w:cs="Arial"/>
          <w:sz w:val="22"/>
          <w:szCs w:val="22"/>
        </w:rPr>
        <w:fldChar w:fldCharType="end"/>
      </w:r>
      <w:r w:rsidR="00EC2D20" w:rsidRPr="00710EE2">
        <w:rPr>
          <w:rFonts w:ascii="Arial" w:hAnsi="Arial" w:cs="Arial"/>
          <w:sz w:val="22"/>
          <w:szCs w:val="22"/>
        </w:rPr>
        <w:t xml:space="preserve">. </w:t>
      </w:r>
      <w:r w:rsidRPr="00710EE2">
        <w:rPr>
          <w:rFonts w:ascii="Arial" w:hAnsi="Arial" w:cs="Arial"/>
          <w:sz w:val="22"/>
          <w:szCs w:val="22"/>
        </w:rPr>
        <w:t>Apart from that</w:t>
      </w:r>
      <w:r w:rsidR="00EC2D20" w:rsidRPr="00710EE2">
        <w:rPr>
          <w:rFonts w:ascii="Arial" w:hAnsi="Arial" w:cs="Arial"/>
          <w:sz w:val="22"/>
          <w:szCs w:val="22"/>
        </w:rPr>
        <w:t>, the reliance on the subjective report of the subjects on structured interviews contributes to personal variations in awareness of emotions as well as attitudes toward mental illnesses within society</w:t>
      </w:r>
      <w:r w:rsidR="0039478E">
        <w:rPr>
          <w:rFonts w:ascii="Arial" w:hAnsi="Arial" w:cs="Arial"/>
          <w:sz w:val="22"/>
          <w:szCs w:val="22"/>
        </w:rPr>
        <w:t xml:space="preserve"> </w:t>
      </w:r>
      <w:r w:rsidR="0039478E">
        <w:rPr>
          <w:rFonts w:ascii="Arial" w:hAnsi="Arial" w:cs="Arial"/>
          <w:sz w:val="22"/>
          <w:szCs w:val="22"/>
        </w:rPr>
        <w:fldChar w:fldCharType="begin" w:fldLock="1"/>
      </w:r>
      <w:r w:rsidR="005D359D">
        <w:rPr>
          <w:rFonts w:ascii="Arial" w:hAnsi="Arial" w:cs="Arial"/>
          <w:sz w:val="22"/>
          <w:szCs w:val="22"/>
        </w:rPr>
        <w:instrText>ADDIN CSL_CITATION {"citationItems":[{"id":"ITEM-1","itemData":{"DOI":"10.3389/fpsyg.2024.1373290","ISSN":"16641078","abstract":"With the deepening of the research on emotional factors, foreign language anxiety (FLA) has become the focus of researchers in the field of foreign language learning (FLL) and teaching. This paper aims to provide an overview of the historical trajectory of FLA research that has been published in System between 2004 and 2023. While examining the retrieved 49 studies, focus has been laid on the methodologies including research instruments, methods, participants, major themes and key findings of FLA research. Although almost all of the studies employed quantitative and mix-methods methodologies, questionnaires and semi-structured interviews were the most preferred research methods. FL learners from 21 countries/regions were represented, but a significant number of the studies came from China, Japan and Iran. And an overwhelming majority of the studies focused on FLA among the learners learning English as a foreign language (EFL). The review concluded with some research lacunae and possible directions for future research on FLA.","author":[{"dropping-particle":"","family":"Yu","given":"Qiangfu","non-dropping-particle":"","parse-names":false,"suffix":""}],"container-title":"Frontiers in Psychology","id":"ITEM-1","issue":"April","issued":{"date-parts":[["2024"]]},"page":"1-7","title":"Foreign language anxiety research in System between 2004 and 2023: looking back and looking forward","type":"article-journal","volume":"15"},"uris":["http://www.mendeley.com/documents/?uuid=8787b03e-4397-4dcc-9837-59836235be5c"]}],"mendeley":{"formattedCitation":"(Yu, 2024)","plainTextFormattedCitation":"(Yu, 2024)","previouslyFormattedCitation":"(Yu, 2024)"},"properties":{"noteIndex":0},"schema":"https://github.com/citation-style-language/schema/raw/master/csl-citation.json"}</w:instrText>
      </w:r>
      <w:r w:rsidR="0039478E">
        <w:rPr>
          <w:rFonts w:ascii="Arial" w:hAnsi="Arial" w:cs="Arial"/>
          <w:sz w:val="22"/>
          <w:szCs w:val="22"/>
        </w:rPr>
        <w:fldChar w:fldCharType="separate"/>
      </w:r>
      <w:r w:rsidR="0039478E" w:rsidRPr="0039478E">
        <w:rPr>
          <w:rFonts w:ascii="Arial" w:hAnsi="Arial" w:cs="Arial"/>
          <w:noProof/>
          <w:sz w:val="22"/>
          <w:szCs w:val="22"/>
        </w:rPr>
        <w:t>(Yu, 2024)</w:t>
      </w:r>
      <w:r w:rsidR="0039478E">
        <w:rPr>
          <w:rFonts w:ascii="Arial" w:hAnsi="Arial" w:cs="Arial"/>
          <w:sz w:val="22"/>
          <w:szCs w:val="22"/>
        </w:rPr>
        <w:fldChar w:fldCharType="end"/>
      </w:r>
      <w:r w:rsidR="00EC2D20" w:rsidRPr="00710EE2">
        <w:rPr>
          <w:rFonts w:ascii="Arial" w:hAnsi="Arial" w:cs="Arial"/>
          <w:sz w:val="22"/>
          <w:szCs w:val="22"/>
        </w:rPr>
        <w:t>.</w:t>
      </w:r>
    </w:p>
    <w:p w14:paraId="15621BFE" w14:textId="147CC49B" w:rsidR="003259AC" w:rsidRPr="00710EE2" w:rsidRDefault="003259AC" w:rsidP="00620130">
      <w:pPr>
        <w:pStyle w:val="Heading2"/>
        <w:spacing w:line="360" w:lineRule="auto"/>
        <w:jc w:val="both"/>
      </w:pPr>
      <w:bookmarkStart w:id="12" w:name="_Toc212717408"/>
      <w:r w:rsidRPr="00710EE2">
        <w:t>Emerging Research and Innovations</w:t>
      </w:r>
      <w:bookmarkEnd w:id="12"/>
    </w:p>
    <w:p w14:paraId="691792B6" w14:textId="50FF5D0E" w:rsidR="003259AC" w:rsidRPr="00710EE2" w:rsidRDefault="003259AC" w:rsidP="00620130">
      <w:pPr>
        <w:spacing w:line="360" w:lineRule="auto"/>
        <w:jc w:val="both"/>
        <w:rPr>
          <w:rFonts w:ascii="Arial" w:hAnsi="Arial" w:cs="Arial"/>
          <w:sz w:val="22"/>
          <w:szCs w:val="22"/>
        </w:rPr>
      </w:pPr>
      <w:r w:rsidRPr="00710EE2">
        <w:rPr>
          <w:rFonts w:ascii="Arial" w:hAnsi="Arial" w:cs="Arial"/>
          <w:sz w:val="22"/>
          <w:szCs w:val="22"/>
        </w:rPr>
        <w:t xml:space="preserve">Current research efforts have been </w:t>
      </w:r>
      <w:r w:rsidR="00933496" w:rsidRPr="00710EE2">
        <w:rPr>
          <w:rFonts w:ascii="Arial" w:hAnsi="Arial" w:cs="Arial"/>
          <w:sz w:val="22"/>
          <w:szCs w:val="22"/>
        </w:rPr>
        <w:t>dedicated</w:t>
      </w:r>
      <w:r w:rsidRPr="00710EE2">
        <w:rPr>
          <w:rFonts w:ascii="Arial" w:hAnsi="Arial" w:cs="Arial"/>
          <w:sz w:val="22"/>
          <w:szCs w:val="22"/>
        </w:rPr>
        <w:t xml:space="preserve"> to biological and technological advances in gaining better understanding and management of GAD.</w:t>
      </w:r>
      <w:r w:rsidR="006F0F0A" w:rsidRPr="00710EE2">
        <w:rPr>
          <w:rFonts w:ascii="Arial" w:hAnsi="Arial" w:cs="Arial"/>
          <w:sz w:val="22"/>
          <w:szCs w:val="22"/>
        </w:rPr>
        <w:t xml:space="preserve"> In addition, n</w:t>
      </w:r>
      <w:r w:rsidRPr="00710EE2">
        <w:rPr>
          <w:rFonts w:ascii="Arial" w:hAnsi="Arial" w:cs="Arial"/>
          <w:sz w:val="22"/>
          <w:szCs w:val="22"/>
        </w:rPr>
        <w:t xml:space="preserve">euroimaging research has found anomalies within certain parts of the brain </w:t>
      </w:r>
      <w:r w:rsidR="006F0F0A" w:rsidRPr="00710EE2">
        <w:rPr>
          <w:rFonts w:ascii="Arial" w:hAnsi="Arial" w:cs="Arial"/>
          <w:sz w:val="22"/>
          <w:szCs w:val="22"/>
        </w:rPr>
        <w:t>including</w:t>
      </w:r>
      <w:r w:rsidRPr="00710EE2">
        <w:rPr>
          <w:rFonts w:ascii="Arial" w:hAnsi="Arial" w:cs="Arial"/>
          <w:sz w:val="22"/>
          <w:szCs w:val="22"/>
        </w:rPr>
        <w:t xml:space="preserve"> the amygdala and prefrontal cortex</w:t>
      </w:r>
      <w:r w:rsidR="005D359D">
        <w:rPr>
          <w:rFonts w:ascii="Arial" w:hAnsi="Arial" w:cs="Arial"/>
          <w:sz w:val="22"/>
          <w:szCs w:val="22"/>
        </w:rPr>
        <w:t xml:space="preserve"> </w:t>
      </w:r>
      <w:r w:rsidR="005D359D">
        <w:rPr>
          <w:rFonts w:ascii="Arial" w:hAnsi="Arial" w:cs="Arial"/>
          <w:sz w:val="22"/>
          <w:szCs w:val="22"/>
        </w:rPr>
        <w:fldChar w:fldCharType="begin" w:fldLock="1"/>
      </w:r>
      <w:r w:rsidR="005D359D">
        <w:rPr>
          <w:rFonts w:ascii="Arial" w:hAnsi="Arial" w:cs="Arial"/>
          <w:sz w:val="22"/>
          <w:szCs w:val="22"/>
        </w:rPr>
        <w:instrText>ADDIN CSL_CITATION {"citationItems":[{"id":"ITEM-1","itemData":{"DOI":"10.1200/JCO.23.00293","ISSN":"15277755","PMID":"37075262","abstract":"PURPOSETo update the American Society of Clinical Oncology guideline on the management of anxiety and depression in adult cancer survivors.METHODSA multidisciplinary expert panel convened to update the guideline. A systematic review of evidence published from 2013-2021 was conducted.RESULTSThe evidence base consisted of 17 systematic reviews ± meta analyses (nine for psychosocial interventions, four for physical exercise, three for mindfulness-based stress reduction [MBSR], and one for pharmacologic interventions), and an additional 44 randomized controlled trials. Psychological, educational, and psychosocial interventions led to improvements in depression and anxiety. Evidence for pharmacologic management of depression and anxiety in cancer survivors was inconsistent. The lack of inclusion of survivors from minoritized groups was noted and identified as an important consideration to provide high-quality care for ethnic minority populations.RECOMMENDATIONSIt is recommended to use a stepped-care model, that is, provide the most effective and least resource-intensive intervention based on symptom severity. All oncology patients should be offered education regarding depression and anxiety. For patients with moderate symptoms of depression, clinicians should offer cognitive behavior therapy (CBT), behavioral activation (BA), MBSR, structured physical activity, or empirically supported psychosocial interventions. For patients with moderate symptoms of anxiety, clinicians should offer CBT, BA, structured physical activity, acceptance and commitment therapy, or psychosocial interventions. For patients with severe symptoms of depression or anxiety, clinicians should offer cognitive therapy, BA, CBT, MBSR, or interpersonal therapy. Treating clinicians may offer a pharmacologic regimen for depression or anxiety for patients who do not have access to first-line treatment, prefer pharmacotherapy, have previously responded well to pharmacotherapy, or have not improved following first-line psychological or behavioral management.Additional information is available at www.asco.org/survivorship-guidelines.","author":[{"dropping-particle":"","family":"Andersen","given":"Barbara L.","non-dropping-particle":"","parse-names":false,"suffix":""},{"dropping-particle":"","family":"Lacchetti","given":"Christina","non-dropping-particle":"","parse-names":false,"suffix":""},{"dropping-particle":"","family":"Ashing","given":"Kimlin","non-dropping-particle":"","parse-names":false,"suffix":""},{"dropping-particle":"","family":"Berek","given":"Jonathan S.","non-dropping-particle":"","parse-names":false,"suffix":""},{"dropping-particle":"","family":"Berman","given":"Barry S.","non-dropping-particle":"","parse-names":false,"suffix":""},{"dropping-particle":"","family":"Bolte","given":"Sage","non-dropping-particle":"","parse-names":false,"suffix":""},{"dropping-particle":"","family":"Dizon","given":"Don S.","non-dropping-particle":"","parse-names":false,"suffix":""},{"dropping-particle":"","family":"Given","given":"Barbara","non-dropping-particle":"","parse-names":false,"suffix":""},{"dropping-particle":"","family":"Nekhlyudov","given":"Larissa","non-dropping-particle":"","parse-names":false,"suffix":""},{"dropping-particle":"","family":"Pirl","given":"William","non-dropping-particle":"","parse-names":false,"suffix":""},{"dropping-particle":"","family":"Stanton","given":"Annette L.","non-dropping-particle":"","parse-names":false,"suffix":""},{"dropping-particle":"","family":"Rowland","given":"Julia H.","non-dropping-particle":"","parse-names":false,"suffix":""}],"container-title":"Journal of Clinical Oncology","id":"ITEM-1","issue":"18","issued":{"date-parts":[["2023"]]},"page":"3426-3453","title":"Management of Anxiety and Depression in Adult Survivors of Cancer: ASCO Guideline Update","type":"article-journal","volume":"41"},"uris":["http://www.mendeley.com/documents/?uuid=65f7f64b-228a-413c-aa51-81cde52d9532"]}],"mendeley":{"formattedCitation":"(Andersen &lt;i&gt;et al.&lt;/i&gt;, 2023)","plainTextFormattedCitation":"(Andersen et al., 2023)","previouslyFormattedCitation":"(Andersen &lt;i&gt;et al.&lt;/i&gt;, 2023)"},"properties":{"noteIndex":0},"schema":"https://github.com/citation-style-language/schema/raw/master/csl-citation.json"}</w:instrText>
      </w:r>
      <w:r w:rsidR="005D359D">
        <w:rPr>
          <w:rFonts w:ascii="Arial" w:hAnsi="Arial" w:cs="Arial"/>
          <w:sz w:val="22"/>
          <w:szCs w:val="22"/>
        </w:rPr>
        <w:fldChar w:fldCharType="separate"/>
      </w:r>
      <w:r w:rsidR="005D359D" w:rsidRPr="005D359D">
        <w:rPr>
          <w:rFonts w:ascii="Arial" w:hAnsi="Arial" w:cs="Arial"/>
          <w:noProof/>
          <w:sz w:val="22"/>
          <w:szCs w:val="22"/>
        </w:rPr>
        <w:t xml:space="preserve">(Andersen </w:t>
      </w:r>
      <w:r w:rsidR="005D359D" w:rsidRPr="005D359D">
        <w:rPr>
          <w:rFonts w:ascii="Arial" w:hAnsi="Arial" w:cs="Arial"/>
          <w:i/>
          <w:noProof/>
          <w:sz w:val="22"/>
          <w:szCs w:val="22"/>
        </w:rPr>
        <w:t>et al.</w:t>
      </w:r>
      <w:r w:rsidR="005D359D" w:rsidRPr="005D359D">
        <w:rPr>
          <w:rFonts w:ascii="Arial" w:hAnsi="Arial" w:cs="Arial"/>
          <w:noProof/>
          <w:sz w:val="22"/>
          <w:szCs w:val="22"/>
        </w:rPr>
        <w:t>, 2023)</w:t>
      </w:r>
      <w:r w:rsidR="005D359D">
        <w:rPr>
          <w:rFonts w:ascii="Arial" w:hAnsi="Arial" w:cs="Arial"/>
          <w:sz w:val="22"/>
          <w:szCs w:val="22"/>
        </w:rPr>
        <w:fldChar w:fldCharType="end"/>
      </w:r>
      <w:r w:rsidRPr="00710EE2">
        <w:rPr>
          <w:rFonts w:ascii="Arial" w:hAnsi="Arial" w:cs="Arial"/>
          <w:sz w:val="22"/>
          <w:szCs w:val="22"/>
        </w:rPr>
        <w:t xml:space="preserve">. </w:t>
      </w:r>
      <w:r w:rsidR="006F0F0A" w:rsidRPr="00710EE2">
        <w:rPr>
          <w:rFonts w:ascii="Arial" w:hAnsi="Arial" w:cs="Arial"/>
          <w:sz w:val="22"/>
          <w:szCs w:val="22"/>
        </w:rPr>
        <w:t xml:space="preserve">Based on these findings, it can be said </w:t>
      </w:r>
      <w:r w:rsidR="00717FD1" w:rsidRPr="00710EE2">
        <w:rPr>
          <w:rFonts w:ascii="Arial" w:hAnsi="Arial" w:cs="Arial"/>
          <w:sz w:val="22"/>
          <w:szCs w:val="22"/>
        </w:rPr>
        <w:t>that</w:t>
      </w:r>
      <w:r w:rsidR="006F0F0A" w:rsidRPr="00710EE2">
        <w:rPr>
          <w:rFonts w:ascii="Arial" w:hAnsi="Arial" w:cs="Arial"/>
          <w:sz w:val="22"/>
          <w:szCs w:val="22"/>
        </w:rPr>
        <w:t xml:space="preserve"> it has </w:t>
      </w:r>
      <w:r w:rsidRPr="00710EE2">
        <w:rPr>
          <w:rFonts w:ascii="Arial" w:hAnsi="Arial" w:cs="Arial"/>
          <w:sz w:val="22"/>
          <w:szCs w:val="22"/>
        </w:rPr>
        <w:t xml:space="preserve">shed important light on how the neurobiology of persistent anxiety works. At the same time, online resources for mental health treatment </w:t>
      </w:r>
      <w:r w:rsidR="006F0F0A" w:rsidRPr="00710EE2">
        <w:rPr>
          <w:rFonts w:ascii="Arial" w:hAnsi="Arial" w:cs="Arial"/>
          <w:sz w:val="22"/>
          <w:szCs w:val="22"/>
        </w:rPr>
        <w:t>such as</w:t>
      </w:r>
      <w:r w:rsidRPr="00710EE2">
        <w:rPr>
          <w:rFonts w:ascii="Arial" w:hAnsi="Arial" w:cs="Arial"/>
          <w:sz w:val="22"/>
          <w:szCs w:val="22"/>
        </w:rPr>
        <w:t xml:space="preserve"> telehealth and online screening instruments assisted by artificial intelligence have increased</w:t>
      </w:r>
      <w:r w:rsidR="006F0F0A" w:rsidRPr="00710EE2">
        <w:rPr>
          <w:rFonts w:ascii="Arial" w:hAnsi="Arial" w:cs="Arial"/>
          <w:sz w:val="22"/>
          <w:szCs w:val="22"/>
        </w:rPr>
        <w:t xml:space="preserve"> at present</w:t>
      </w:r>
      <w:r w:rsidR="005D359D">
        <w:rPr>
          <w:rFonts w:ascii="Arial" w:hAnsi="Arial" w:cs="Arial"/>
          <w:sz w:val="22"/>
          <w:szCs w:val="22"/>
        </w:rPr>
        <w:t xml:space="preserve"> </w:t>
      </w:r>
      <w:r w:rsidR="005D359D">
        <w:rPr>
          <w:rFonts w:ascii="Arial" w:hAnsi="Arial" w:cs="Arial"/>
          <w:sz w:val="22"/>
          <w:szCs w:val="22"/>
        </w:rPr>
        <w:fldChar w:fldCharType="begin" w:fldLock="1"/>
      </w:r>
      <w:r w:rsidR="005D359D">
        <w:rPr>
          <w:rFonts w:ascii="Arial" w:hAnsi="Arial" w:cs="Arial"/>
          <w:sz w:val="22"/>
          <w:szCs w:val="22"/>
        </w:rPr>
        <w:instrText>ADDIN CSL_CITATION {"citationItems":[{"id":"ITEM-1","itemData":{"DOI":"https://doi.org/10.1016/j.cpr.2022.102142","author":[{"dropping-particle":"","family":"Clauss","given":"Kate","non-dropping-particle":"","parse-names":false,"suffix":""},{"dropping-particle":"","family":"Gorday","given":"Julia Y.","non-dropping-particle":"","parse-names":false,"suffix":""},{"dropping-particle":"","family":"Bardeen","given":"Joseph R.","non-dropping-particle":"","parse-names":false,"suffix":""}],"container-title":"Clinical Psychological Review","id":"ITEM-1","issued":{"date-parts":[["2022"]]},"title":"Eye tracking evidence of threat-related attentional bias in anxiety- and fear-related disorders: A systematic review and meta-analysis","type":"article-journal","volume":"93"},"uris":["http://www.mendeley.com/documents/?uuid=26ddb808-1346-4925-b421-b98de099e9c9"]}],"mendeley":{"formattedCitation":"(Clauss, Gorday and Bardeen, 2022)","plainTextFormattedCitation":"(Clauss, Gorday and Bardeen, 2022)","previouslyFormattedCitation":"(Clauss, Gorday and Bardeen, 2022)"},"properties":{"noteIndex":0},"schema":"https://github.com/citation-style-language/schema/raw/master/csl-citation.json"}</w:instrText>
      </w:r>
      <w:r w:rsidR="005D359D">
        <w:rPr>
          <w:rFonts w:ascii="Arial" w:hAnsi="Arial" w:cs="Arial"/>
          <w:sz w:val="22"/>
          <w:szCs w:val="22"/>
        </w:rPr>
        <w:fldChar w:fldCharType="separate"/>
      </w:r>
      <w:r w:rsidR="005D359D" w:rsidRPr="005D359D">
        <w:rPr>
          <w:rFonts w:ascii="Arial" w:hAnsi="Arial" w:cs="Arial"/>
          <w:noProof/>
          <w:sz w:val="22"/>
          <w:szCs w:val="22"/>
        </w:rPr>
        <w:t>(Clauss, Gorday and Bardeen, 2022)</w:t>
      </w:r>
      <w:r w:rsidR="005D359D">
        <w:rPr>
          <w:rFonts w:ascii="Arial" w:hAnsi="Arial" w:cs="Arial"/>
          <w:sz w:val="22"/>
          <w:szCs w:val="22"/>
        </w:rPr>
        <w:fldChar w:fldCharType="end"/>
      </w:r>
      <w:r w:rsidRPr="00710EE2">
        <w:rPr>
          <w:rFonts w:ascii="Arial" w:hAnsi="Arial" w:cs="Arial"/>
          <w:sz w:val="22"/>
          <w:szCs w:val="22"/>
        </w:rPr>
        <w:t>.</w:t>
      </w:r>
    </w:p>
    <w:p w14:paraId="0AF95D75" w14:textId="44EB608B" w:rsidR="006A0B13" w:rsidRPr="00710EE2" w:rsidRDefault="006F0F0A" w:rsidP="00620130">
      <w:pPr>
        <w:spacing w:line="360" w:lineRule="auto"/>
        <w:jc w:val="both"/>
        <w:rPr>
          <w:rFonts w:ascii="Arial" w:hAnsi="Arial" w:cs="Arial"/>
          <w:sz w:val="22"/>
          <w:szCs w:val="22"/>
        </w:rPr>
      </w:pPr>
      <w:r w:rsidRPr="00710EE2">
        <w:rPr>
          <w:rFonts w:ascii="Arial" w:hAnsi="Arial" w:cs="Arial"/>
          <w:sz w:val="22"/>
          <w:szCs w:val="22"/>
        </w:rPr>
        <w:t xml:space="preserve">When it comes to therapies such as </w:t>
      </w:r>
      <w:r w:rsidR="003259AC" w:rsidRPr="00710EE2">
        <w:rPr>
          <w:rFonts w:ascii="Arial" w:hAnsi="Arial" w:cs="Arial"/>
          <w:sz w:val="22"/>
          <w:szCs w:val="22"/>
        </w:rPr>
        <w:t>Acceptance and Commitment Therapy (ACT), mindfulness-based cognitive therapy, and virtual reality exposure therapy</w:t>
      </w:r>
      <w:r w:rsidRPr="00710EE2">
        <w:rPr>
          <w:rFonts w:ascii="Arial" w:hAnsi="Arial" w:cs="Arial"/>
          <w:sz w:val="22"/>
          <w:szCs w:val="22"/>
        </w:rPr>
        <w:t>, these are supports on decreasing worry and physiological hyperarousal</w:t>
      </w:r>
      <w:r w:rsidR="005D359D">
        <w:rPr>
          <w:rFonts w:ascii="Arial" w:hAnsi="Arial" w:cs="Arial"/>
          <w:sz w:val="22"/>
          <w:szCs w:val="22"/>
        </w:rPr>
        <w:t xml:space="preserve"> </w:t>
      </w:r>
      <w:r w:rsidR="005D359D">
        <w:rPr>
          <w:rFonts w:ascii="Arial" w:hAnsi="Arial" w:cs="Arial"/>
          <w:sz w:val="22"/>
          <w:szCs w:val="22"/>
        </w:rPr>
        <w:fldChar w:fldCharType="begin" w:fldLock="1"/>
      </w:r>
      <w:r w:rsidR="00804D56">
        <w:rPr>
          <w:rFonts w:ascii="Arial" w:hAnsi="Arial" w:cs="Arial"/>
          <w:sz w:val="22"/>
          <w:szCs w:val="22"/>
        </w:rPr>
        <w:instrText>ADDIN CSL_CITATION {"citationItems":[{"id":"ITEM-1","itemData":{"DOI":"10.1037/0033-2909.124.1.3","ISSN":"00332909","PMID":"9670819","abstract":"Current developments in cognitive and emotion theory suggest that anxiety plays a rather central role in negative emotions. This article reviews findings in the area of anxiety and depression, helplessness, locus of control, explanatory style, animal learning, biology, parenting, attachment theory, and childhood stress and resilience to articulate a model of the environmental influences on the development of anxiety. Evidence from a variety of sources suggests that early experience with diminished control may foster a cognitive style characterized by an increased probability of interpreting or processing subsequent events as out of one's control, which may represent a psychological vulnerability for anxiety. Implications for research are discussed.","author":[{"dropping-particle":"","family":"Chorpita","given":"Bruce F.","non-dropping-particle":"","parse-names":false,"suffix":""},{"dropping-particle":"","family":"Barlow","given":"David H.","non-dropping-particle":"","parse-names":false,"suffix":""}],"container-title":"Psychological Bulletin","id":"ITEM-1","issue":"1","issued":{"date-parts":[["1998"]]},"page":"3-21","title":"The Development of Anxiety: The Role of Control in the Early Environment","type":"article-journal","volume":"124"},"uris":["http://www.mendeley.com/documents/?uuid=ee9785d4-a2c0-4565-a339-629ce5204a46"]}],"mendeley":{"formattedCitation":"(Chorpita and Barlow, 1998)","plainTextFormattedCitation":"(Chorpita and Barlow, 1998)","previouslyFormattedCitation":"(Chorpita and Barlow, 1998)"},"properties":{"noteIndex":0},"schema":"https://github.com/citation-style-language/schema/raw/master/csl-citation.json"}</w:instrText>
      </w:r>
      <w:r w:rsidR="005D359D">
        <w:rPr>
          <w:rFonts w:ascii="Arial" w:hAnsi="Arial" w:cs="Arial"/>
          <w:sz w:val="22"/>
          <w:szCs w:val="22"/>
        </w:rPr>
        <w:fldChar w:fldCharType="separate"/>
      </w:r>
      <w:r w:rsidR="005D359D" w:rsidRPr="005D359D">
        <w:rPr>
          <w:rFonts w:ascii="Arial" w:hAnsi="Arial" w:cs="Arial"/>
          <w:noProof/>
          <w:sz w:val="22"/>
          <w:szCs w:val="22"/>
        </w:rPr>
        <w:t>(Chorpita and Barlow, 1998)</w:t>
      </w:r>
      <w:r w:rsidR="005D359D">
        <w:rPr>
          <w:rFonts w:ascii="Arial" w:hAnsi="Arial" w:cs="Arial"/>
          <w:sz w:val="22"/>
          <w:szCs w:val="22"/>
        </w:rPr>
        <w:fldChar w:fldCharType="end"/>
      </w:r>
      <w:r w:rsidRPr="00710EE2">
        <w:rPr>
          <w:rFonts w:ascii="Arial" w:hAnsi="Arial" w:cs="Arial"/>
          <w:sz w:val="22"/>
          <w:szCs w:val="22"/>
        </w:rPr>
        <w:t xml:space="preserve">. In addition, there </w:t>
      </w:r>
      <w:r w:rsidR="006A0B13" w:rsidRPr="00710EE2">
        <w:rPr>
          <w:rFonts w:ascii="Arial" w:hAnsi="Arial" w:cs="Arial"/>
          <w:sz w:val="22"/>
          <w:szCs w:val="22"/>
        </w:rPr>
        <w:t xml:space="preserve">are some researchers who are exploring pharmacogenomics to tailor medications based on an individual's genes and this helps to </w:t>
      </w:r>
      <w:r w:rsidR="00BB748F" w:rsidRPr="00710EE2">
        <w:rPr>
          <w:rFonts w:ascii="Arial" w:hAnsi="Arial" w:cs="Arial"/>
          <w:sz w:val="22"/>
          <w:szCs w:val="22"/>
        </w:rPr>
        <w:t>reduce side effects.</w:t>
      </w:r>
    </w:p>
    <w:p w14:paraId="5B6D067D" w14:textId="72E72B47" w:rsidR="003259AC" w:rsidRPr="00710EE2" w:rsidRDefault="003259AC" w:rsidP="00620130">
      <w:pPr>
        <w:pStyle w:val="Heading2"/>
        <w:spacing w:line="360" w:lineRule="auto"/>
        <w:jc w:val="both"/>
      </w:pPr>
      <w:bookmarkStart w:id="13" w:name="_Toc212717409"/>
      <w:r w:rsidRPr="00710EE2">
        <w:lastRenderedPageBreak/>
        <w:t>Societal and Policy Implications</w:t>
      </w:r>
      <w:bookmarkEnd w:id="13"/>
    </w:p>
    <w:p w14:paraId="06FE762F" w14:textId="6BEDF4F8" w:rsidR="003259AC" w:rsidRPr="00710EE2" w:rsidRDefault="009D3D46" w:rsidP="00620130">
      <w:pPr>
        <w:spacing w:line="360" w:lineRule="auto"/>
        <w:jc w:val="both"/>
        <w:rPr>
          <w:rFonts w:ascii="Arial" w:hAnsi="Arial" w:cs="Arial"/>
          <w:sz w:val="22"/>
          <w:szCs w:val="22"/>
        </w:rPr>
      </w:pPr>
      <w:r w:rsidRPr="00710EE2">
        <w:rPr>
          <w:rFonts w:ascii="Arial" w:hAnsi="Arial" w:cs="Arial"/>
          <w:sz w:val="22"/>
          <w:szCs w:val="22"/>
        </w:rPr>
        <w:t xml:space="preserve">When it comes to public health, it can be seen an increment </w:t>
      </w:r>
      <w:r w:rsidR="003259AC" w:rsidRPr="00710EE2">
        <w:rPr>
          <w:rFonts w:ascii="Arial" w:hAnsi="Arial" w:cs="Arial"/>
          <w:sz w:val="22"/>
          <w:szCs w:val="22"/>
        </w:rPr>
        <w:t>in the incidence of GAD globally has led to an increased demand for comprehensive mental health care</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{"citationItems":[{"id":"ITEM-1","itemData":{"URL":"https://icd.who.int/browse/2024-01/mms/en#1336943699","container-title":"ICD-11 for Mortality and Morbidity Statistics","id":"ITEM-1","issued":{"date-parts":[["2024"]]},"title":"Anxiety or fear-related disorders","type":"webpage"},"uris":["http://www.mendeley.com/documents/?uuid=803950ba-eaf8-4d22-8bda-ce4c623918d3"]}],"mendeley":{"formattedCitation":"(&lt;i&gt;Anxiety or fear-related disorders&lt;/i&gt;, 2024)","plainTextFormattedCitation":"(Anxiety or fear-related disorders, 2024)","previouslyFormattedCitation":"(&lt;i&gt;Anxiety or fear-related disorders&lt;/i&gt;, 2024)"},"properties":{"noteIndex":0},"schema":"https://github.com/citation-style-language/schema/raw/master/csl-citation.json"}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w:t>
      </w:r>
      <w:r w:rsidR="00804D56" w:rsidRPr="00804D56">
        <w:rPr>
          <w:rFonts w:ascii="Arial" w:hAnsi="Arial" w:cs="Arial"/>
          <w:i/>
          <w:noProof/>
          <w:sz w:val="22"/>
          <w:szCs w:val="22"/>
        </w:rPr>
        <w:t>Anxiety or fear-related disorders</w:t>
      </w:r>
      <w:r w:rsidR="00804D56" w:rsidRPr="00804D56">
        <w:rPr>
          <w:rFonts w:ascii="Arial" w:hAnsi="Arial" w:cs="Arial"/>
          <w:noProof/>
          <w:sz w:val="22"/>
          <w:szCs w:val="22"/>
        </w:rPr>
        <w:t>, 2024)</w:t>
      </w:r>
      <w:r w:rsidR="00804D56">
        <w:rPr>
          <w:rFonts w:ascii="Arial" w:hAnsi="Arial" w:cs="Arial"/>
          <w:sz w:val="22"/>
          <w:szCs w:val="22"/>
        </w:rPr>
        <w:fldChar w:fldCharType="end"/>
      </w:r>
      <w:r w:rsidR="003259AC" w:rsidRPr="00710EE2">
        <w:rPr>
          <w:rFonts w:ascii="Arial" w:hAnsi="Arial" w:cs="Arial"/>
          <w:sz w:val="22"/>
          <w:szCs w:val="22"/>
        </w:rPr>
        <w:t xml:space="preserve">. </w:t>
      </w:r>
      <w:r w:rsidRPr="00710EE2">
        <w:rPr>
          <w:rFonts w:ascii="Arial" w:hAnsi="Arial" w:cs="Arial"/>
          <w:sz w:val="22"/>
          <w:szCs w:val="22"/>
        </w:rPr>
        <w:t xml:space="preserve">Based on that, </w:t>
      </w:r>
      <w:r w:rsidR="003259AC" w:rsidRPr="00710EE2">
        <w:rPr>
          <w:rFonts w:ascii="Arial" w:hAnsi="Arial" w:cs="Arial"/>
          <w:sz w:val="22"/>
          <w:szCs w:val="22"/>
        </w:rPr>
        <w:t xml:space="preserve">The World Health Organization </w:t>
      </w:r>
      <w:r w:rsidRPr="00710EE2">
        <w:rPr>
          <w:rFonts w:ascii="Arial" w:hAnsi="Arial" w:cs="Arial"/>
          <w:sz w:val="22"/>
          <w:szCs w:val="22"/>
        </w:rPr>
        <w:t xml:space="preserve">helps </w:t>
      </w:r>
      <w:r w:rsidR="003259AC" w:rsidRPr="00710EE2">
        <w:rPr>
          <w:rFonts w:ascii="Arial" w:hAnsi="Arial" w:cs="Arial"/>
          <w:sz w:val="22"/>
          <w:szCs w:val="22"/>
        </w:rPr>
        <w:t>the integration of mental health care within primary healthcare.</w:t>
      </w:r>
      <w:r w:rsidRPr="00710EE2">
        <w:rPr>
          <w:rFonts w:ascii="Arial" w:hAnsi="Arial" w:cs="Arial"/>
          <w:sz w:val="22"/>
          <w:szCs w:val="22"/>
        </w:rPr>
        <w:t xml:space="preserve"> However, </w:t>
      </w:r>
      <w:r w:rsidR="003259AC" w:rsidRPr="00710EE2">
        <w:rPr>
          <w:rFonts w:ascii="Arial" w:hAnsi="Arial" w:cs="Arial"/>
          <w:sz w:val="22"/>
          <w:szCs w:val="22"/>
        </w:rPr>
        <w:t xml:space="preserve"> </w:t>
      </w:r>
      <w:r w:rsidRPr="00710EE2">
        <w:rPr>
          <w:rFonts w:ascii="Arial" w:hAnsi="Arial" w:cs="Arial"/>
          <w:sz w:val="22"/>
          <w:szCs w:val="22"/>
        </w:rPr>
        <w:t>s</w:t>
      </w:r>
      <w:r w:rsidR="003259AC" w:rsidRPr="00710EE2">
        <w:rPr>
          <w:rFonts w:ascii="Arial" w:hAnsi="Arial" w:cs="Arial"/>
          <w:sz w:val="22"/>
          <w:szCs w:val="22"/>
        </w:rPr>
        <w:t>tigma and myth</w:t>
      </w:r>
      <w:r w:rsidRPr="00710EE2">
        <w:rPr>
          <w:rFonts w:ascii="Arial" w:hAnsi="Arial" w:cs="Arial"/>
          <w:sz w:val="22"/>
          <w:szCs w:val="22"/>
        </w:rPr>
        <w:t xml:space="preserve"> still</w:t>
      </w:r>
      <w:r w:rsidR="003259AC" w:rsidRPr="00710EE2">
        <w:rPr>
          <w:rFonts w:ascii="Arial" w:hAnsi="Arial" w:cs="Arial"/>
          <w:sz w:val="22"/>
          <w:szCs w:val="22"/>
        </w:rPr>
        <w:t xml:space="preserve"> remain important challenges within low- and middle-income nations for diagnosis and treatment</w:t>
      </w:r>
      <w:r w:rsidRPr="00710EE2">
        <w:rPr>
          <w:rFonts w:ascii="Arial" w:hAnsi="Arial" w:cs="Arial"/>
          <w:sz w:val="22"/>
          <w:szCs w:val="22"/>
        </w:rPr>
        <w:t xml:space="preserve"> for these types of disorders</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{"citationItems":[{"id":"ITEM-1","itemData":{"DOI":"10.1016/j.arcmed.2019.12.012","ISSN":"18735487","PMID":"32018071","abstract":"Background: This article reports the results of one of a series of global field studies implemented by the World Health Organization (WHO) to evaluate the accuracy, clinical utility, and global applicability of the new diagnostic guidelines for Mental, Behavioural and Neurological Disorders included in the next version of WHO's International Classification of Diseases (ICD-11). Aims of the study: The purpose of this study was to compare the diagnostic accuracy and clinical utility ratings of global clinicians implementing the ICD-11 diagnostic guidelines for Anxiety and Fear-Related Disorders, relative to those applying ICD-10 guidelines. The study also aimed to identify elements of the guidelines that required further refinement or clarification. Methods: 1840 global mental health professionals registered with WHO's Global Clinical Practice Network completed the study in one of six study languages. Participants were randomly assigned to apply either the ICD-11 or ICD-10 guidelines to diagnose standardized case vignettes, and to rate the clinical utility of their assigned guidelines. Results: ICD-11's diagnostic accuracy and clinical utility were equivalent or superior to that of ICD-10. Global clinicians were significantly more accurate in diagnosing Generalized Anxiety Disorder, Specific Phobia and adult cases of Separation Anxiety Disorder when using ICD-11 and provided high clinical utility ratings for these disorders. Clinicians also found the ICD-11 guidelines easy to use, clear, and a good fit to patients they see in their clinical practice. However, clinicians had difficulty with distinguishing the boundary between disorder and normality for subthreshold cases of anxiety, and also with applying the new ICD-11 guidelines on panic attacks. Conclusions: The new diagnostic guidelines for Anxiety Disorders in ICD-11 can be applied in an acceptably consistent manner by global clinicians and perform as well or better than the previous guidelines for ICD-10. Study findings also helped identify aspects of the ICD-11 guidelines that required refinement prior to their publication and areas that should be emphasized in training programs.","author":[{"dropping-particle":"","family":"Rebello","given":"Tahilia J.","non-dropping-particle":"","parse-names":false,"suffix":""},{"dropping-particle":"","family":"Keeley","given":"Jared W.","non-dropping-particle":"","parse-names":false,"suffix":""},{"dropping-particle":"","family":"Kogan","given":"Cary S.","non-dropping-particle":"","parse-names":false,"suffix":""},{"dropping-particle":"","family":"Sharan","given":"Pratap","non-dropping-particle":"","parse-names":false,"suffix":""},{"dropping-particle":"","family":"Matsumoto","given":"Chihiro","non-dropping-particle":"","parse-names":false,"suffix":""},{"dropping-particle":"","family":"Kuligyna","given":"Maya","non-dropping-particle":"","parse-names":false,"suffix":""},{"dropping-particle":"","family":"Domínguez-Martínez","given":"Tecelli","non-dropping-particle":"","parse-names":false,"suffix":""},{"dropping-particle":"","family":"Stona","given":"Anne Claire","non-dropping-particle":"","parse-names":false,"suffix":""},{"dropping-particle":"","family":"Grenier","given":"Jean","non-dropping-particle":"","parse-names":false,"suffix":""},{"dropping-particle":"","family":"Huang","given":"Jingjing","non-dropping-particle":"","parse-names":false,"suffix":""},{"dropping-particle":"","family":"Zhong","given":"Na","non-dropping-particle":"","parse-names":false,"suffix":""},{"dropping-particle":"","family":"Stein","given":"Dan J.","non-dropping-particle":"","parse-names":false,"suffix":""},{"dropping-particle":"","family":"Emmelkamp","given":"Paul","non-dropping-particle":"","parse-names":false,"suffix":""},{"dropping-particle":"","family":"Chakrabarti","given":"Subho","non-dropping-particle":"","parse-names":false,"suffix":""},{"dropping-particle":"","family":"Andrews","given":"Howard F.","non-dropping-particle":"","parse-names":false,"suffix":""},{"dropping-particle":"","family":"Reed","given":"Geoffrey M.","non-dropping-particle":"","parse-names":false,"suffix":""}],"container-title":"Archives of Medical Research","id":"ITEM-1","issue":"8","issued":{"date-parts":[["2019"]]},"page":"490-501","title":"Anxiety and Fear-Related Disorders in the ICD-11: Results from a Global Case-controlled Field Study","type":"article-journal","volume":"50"},"uris":["http://www.mendeley.com/documents/?uuid=809c2228-6458-49f9-b43c-e67fd31d5310"]}],"mendeley":{"formattedCitation":"(Rebello &lt;i&gt;et al.&lt;/i&gt;, 2019)","plainTextFormattedCitation":"(Rebello et al., 2019)","previouslyFormattedCitation":"(Rebello &lt;i&gt;et al.&lt;/i&gt;, 2019)"},"properties":{"noteIndex":0},"schema":"https://github.com/citation-style-language/schema/raw/master/csl-citation.json"}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(Rebello </w:t>
      </w:r>
      <w:r w:rsidR="00804D56" w:rsidRPr="00804D56">
        <w:rPr>
          <w:rFonts w:ascii="Arial" w:hAnsi="Arial" w:cs="Arial"/>
          <w:i/>
          <w:noProof/>
          <w:sz w:val="22"/>
          <w:szCs w:val="22"/>
        </w:rPr>
        <w:t>et al.</w:t>
      </w:r>
      <w:r w:rsidR="00804D56" w:rsidRPr="00804D56">
        <w:rPr>
          <w:rFonts w:ascii="Arial" w:hAnsi="Arial" w:cs="Arial"/>
          <w:noProof/>
          <w:sz w:val="22"/>
          <w:szCs w:val="22"/>
        </w:rPr>
        <w:t>, 2019)</w:t>
      </w:r>
      <w:r w:rsidR="00804D56">
        <w:rPr>
          <w:rFonts w:ascii="Arial" w:hAnsi="Arial" w:cs="Arial"/>
          <w:sz w:val="22"/>
          <w:szCs w:val="22"/>
        </w:rPr>
        <w:fldChar w:fldCharType="end"/>
      </w:r>
      <w:r w:rsidR="003259AC" w:rsidRPr="00710EE2">
        <w:rPr>
          <w:rFonts w:ascii="Arial" w:hAnsi="Arial" w:cs="Arial"/>
          <w:sz w:val="22"/>
          <w:szCs w:val="22"/>
        </w:rPr>
        <w:t xml:space="preserve">. </w:t>
      </w:r>
      <w:r w:rsidRPr="00710EE2">
        <w:rPr>
          <w:rFonts w:ascii="Arial" w:hAnsi="Arial" w:cs="Arial"/>
          <w:sz w:val="22"/>
          <w:szCs w:val="22"/>
        </w:rPr>
        <w:t xml:space="preserve">Therefore, it requires </w:t>
      </w:r>
      <w:r w:rsidR="00804D56" w:rsidRPr="00710EE2">
        <w:rPr>
          <w:rFonts w:ascii="Arial" w:hAnsi="Arial" w:cs="Arial"/>
          <w:sz w:val="22"/>
          <w:szCs w:val="22"/>
        </w:rPr>
        <w:t>having</w:t>
      </w:r>
      <w:r w:rsidRPr="00710EE2">
        <w:rPr>
          <w:rFonts w:ascii="Arial" w:hAnsi="Arial" w:cs="Arial"/>
          <w:sz w:val="22"/>
          <w:szCs w:val="22"/>
        </w:rPr>
        <w:t xml:space="preserve"> i</w:t>
      </w:r>
      <w:r w:rsidR="003259AC" w:rsidRPr="00710EE2">
        <w:rPr>
          <w:rFonts w:ascii="Arial" w:hAnsi="Arial" w:cs="Arial"/>
          <w:sz w:val="22"/>
          <w:szCs w:val="22"/>
        </w:rPr>
        <w:t xml:space="preserve">mproved awareness campaigns, training of primary healthcare providers, and the inclusion of mental health services within insurance coverage </w:t>
      </w:r>
      <w:r w:rsidR="00804D56" w:rsidRPr="00710EE2">
        <w:rPr>
          <w:rFonts w:ascii="Arial" w:hAnsi="Arial" w:cs="Arial"/>
          <w:sz w:val="22"/>
          <w:szCs w:val="22"/>
        </w:rPr>
        <w:t>remains</w:t>
      </w:r>
      <w:r w:rsidR="003259AC" w:rsidRPr="00710EE2">
        <w:rPr>
          <w:rFonts w:ascii="Arial" w:hAnsi="Arial" w:cs="Arial"/>
          <w:sz w:val="22"/>
          <w:szCs w:val="22"/>
        </w:rPr>
        <w:t xml:space="preserve"> important for improved access</w:t>
      </w:r>
      <w:r w:rsidRPr="00710EE2">
        <w:rPr>
          <w:rFonts w:ascii="Arial" w:hAnsi="Arial" w:cs="Arial"/>
          <w:sz w:val="22"/>
          <w:szCs w:val="22"/>
        </w:rPr>
        <w:t xml:space="preserve"> for the public</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{"citationItems":[{"id":"ITEM-1","itemData":{"DOI":"10.1002/da.20633","ISSN":"10914269","PMID":"19957279","abstract":"Initiated as part of the ongoing deliberation about the nosological structure of DSM, this review aims to evaluate whether the anxiety disorders share features of responding that define them and make them distinct from depressive disorders, and/or that differentiate fear disorders from anxious-misery disorders. The review covers symptom self-report as well as on-line indices of behavioral, physiological, cognitive, and neural responding in the presence of aversive stimuli. The data indicate that the anxiety disorders share self-reported symptoms of anxiety and fear; heightened anxiety and fear responding to cues that signal threat, cues that signal no threat, cues that formerly signaled threat, and contexts associated with threat; elevated stress reactivity to aversive stimuli; attentional biases to threat-relevant stimuli and threat-based appraisals of ambiguous stimuli; and elevated amygdala responses to threat-relevant stimuli. Some differences exist among anxiety disorders, and between anxiety disorders and depressive disorders. However, the differences are not fully consistent with proposed subdivisions of fear disorders vs. anxious misery disorders, and comparative data in large part are lacking. Given the high rates of comorbidity, advances in our understanding of the features of responding that are shared across vs. unique to anxiety and depressive disorders will require dimensional approaches. In summary, the extant data help to define the features of responding that are shared across anxiety disorders, but are insufficient to justify revisions to the DSM nosology at this time. © 2009 Wiley-Liss, Inc.","author":[{"dropping-particle":"","family":"Craske","given":"Michelle G.","non-dropping-particle":"","parse-names":false,"suffix":""},{"dropping-particle":"","family":"Rauch","given":"Scott L.","non-dropping-particle":"","parse-names":false,"suffix":""},{"dropping-particle":"","family":"Ursano","given":"Robert","non-dropping-particle":"","parse-names":false,"suffix":""},{"dropping-particle":"","family":"Prenoveau","given":"Jason","non-dropping-particle":"","parse-names":false,"suffix":""},{"dropping-particle":"","family":"Pine","given":"Daniel S.","non-dropping-particle":"","parse-names":false,"suffix":""},{"dropping-particle":"","family":"Zinbarg","given":"Richard E.","non-dropping-particle":"","parse-names":false,"suffix":""}],"container-title":"Depression and Anxiety","id":"ITEM-1","issue":"12","issued":{"date-parts":[["2009"]]},"page":"1066-1085","title":"What is an anxiety disorder?","type":"article-journal","volume":"26"},"uris":["http://www.mendeley.com/documents/?uuid=73ddb44b-f50b-454f-a8fc-ec35b27733aa"]}],"mendeley":{"formattedCitation":"(Craske &lt;i&gt;et al.&lt;/i&gt;, 2009)","plainTextFormattedCitation":"(Craske et al., 2009)","previouslyFormattedCitation":"(Craske &lt;i&gt;et al.&lt;/i&gt;, 2009)"},"properties":{"noteIndex":0},"schema":"https://github.com/citation-style-language/schema/raw/master/csl-citation.json"}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(Craske </w:t>
      </w:r>
      <w:r w:rsidR="00804D56" w:rsidRPr="00804D56">
        <w:rPr>
          <w:rFonts w:ascii="Arial" w:hAnsi="Arial" w:cs="Arial"/>
          <w:i/>
          <w:noProof/>
          <w:sz w:val="22"/>
          <w:szCs w:val="22"/>
        </w:rPr>
        <w:t>et al.</w:t>
      </w:r>
      <w:r w:rsidR="00804D56" w:rsidRPr="00804D56">
        <w:rPr>
          <w:rFonts w:ascii="Arial" w:hAnsi="Arial" w:cs="Arial"/>
          <w:noProof/>
          <w:sz w:val="22"/>
          <w:szCs w:val="22"/>
        </w:rPr>
        <w:t>, 2009)</w:t>
      </w:r>
      <w:r w:rsidR="00804D56">
        <w:rPr>
          <w:rFonts w:ascii="Arial" w:hAnsi="Arial" w:cs="Arial"/>
          <w:sz w:val="22"/>
          <w:szCs w:val="22"/>
        </w:rPr>
        <w:fldChar w:fldCharType="end"/>
      </w:r>
      <w:r w:rsidR="003259AC" w:rsidRPr="00710EE2">
        <w:rPr>
          <w:rFonts w:ascii="Arial" w:hAnsi="Arial" w:cs="Arial"/>
          <w:sz w:val="22"/>
          <w:szCs w:val="22"/>
        </w:rPr>
        <w:t>.</w:t>
      </w:r>
    </w:p>
    <w:p w14:paraId="6B08A22B" w14:textId="02D6B676" w:rsidR="003259AC" w:rsidRPr="00710EE2" w:rsidRDefault="00ED3F89" w:rsidP="00620130">
      <w:pPr>
        <w:spacing w:line="360" w:lineRule="auto"/>
        <w:jc w:val="both"/>
        <w:rPr>
          <w:rFonts w:ascii="Arial" w:hAnsi="Arial" w:cs="Arial"/>
          <w:sz w:val="22"/>
          <w:szCs w:val="22"/>
        </w:rPr>
      </w:pPr>
      <w:r w:rsidRPr="00710EE2">
        <w:rPr>
          <w:rFonts w:ascii="Arial" w:hAnsi="Arial" w:cs="Arial"/>
          <w:sz w:val="22"/>
          <w:szCs w:val="22"/>
        </w:rPr>
        <w:t>As a conclusion it can be said that</w:t>
      </w:r>
      <w:r w:rsidR="003259AC" w:rsidRPr="00710EE2">
        <w:rPr>
          <w:rFonts w:ascii="Arial" w:hAnsi="Arial" w:cs="Arial"/>
          <w:sz w:val="22"/>
          <w:szCs w:val="22"/>
        </w:rPr>
        <w:t>, although the ICD-11 model marks a positive shift in the acknowledgment of the complexity of Generalized Anxiety Disorder, it is important that continued research and culturally responsive implementation of policy be accomplished to ensure accurate diagnoses and treatment</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{"citationItems":[{"id":"ITEM-1","itemData":{"DOI":"10.1038/s41386-022-01332-2","ISSN":"1740634X","PMID":"35501429","abstract":"Generalization of conditioned fear is adaptive in some situations but maladaptive when fear excessively generalizes to innocuous stimuli with incidental resemblance to a genuine threat cue. Recently, empirical interest in fear generalization as a transdiagnostic explanatory mechanism underlying anxiety-related disorders has accelerated. As there are now several studies of fear generalization across multiple types of anxiety-related disorders, the authors conducted a meta-analysis of studies reporting behavioral measures (subjective ratings and psychophysiological indices) of fear generalization in anxiety-related disorder vs. comparison groups. We conducted systematic searches of electronic databases (conducted from January–October 2020) for fear generalization studies involving anxiety-related disorder groups or subclinical analog groups. A total of 300 records were full-text screened and two unpublished datasets were obtained, yielding 16 studies reporting behavioral fear generalization measures. Random-effects meta-analytic models and meta-regressions were applied to the identified data. Fear generalization was significantly heightened in anxiety-related disorder participants (N = 439) relative to comparison participants (N = 428). We did not identify any significant clinical, sample, or methodological moderators. Heightened fear generalization is quantitatively supported as distinguishing anxiety-related disorder groups from comparison groups. Evidence suggests this effect is transdiagnostic, relatively robust to experimental or sample parameters, and that generalization paradigms are a well-supported framework for neurobehavioral investigations of learning and emotion in anxiety-related disorders. We discuss these findings in the context of prior fear conditioning meta-analyses, past neuroimaging investigations of fear generalization in anxiety-related disorders, and future directions and challenges for the field.","author":[{"dropping-particle":"","family":"Cooper","given":"Samuel E.","non-dropping-particle":"","parse-names":false,"suffix":""},{"dropping-particle":"","family":"Dis","given":"Eva A.M.","non-dropping-particle":"van","parse-names":false,"suffix":""},{"dropping-particle":"","family":"Hagenaars","given":"Muriel A.","non-dropping-particle":"","parse-names":false,"suffix":""},{"dropping-particle":"","family":"Krypotos","given":"Angelos Miltiadis","non-dropping-particle":"","parse-names":false,"suffix":""},{"dropping-particle":"","family":"Nemeroff","given":"Charles B.","non-dropping-particle":"","parse-names":false,"suffix":""},{"dropping-particle":"","family":"Lissek","given":"Shmuel","non-dropping-particle":"","parse-names":false,"suffix":""},{"dropping-particle":"","family":"Engelhard","given":"Iris M.","non-dropping-particle":"","parse-names":false,"suffix":""},{"dropping-particle":"","family":"Dunsmoor","given":"Joseph E.","non-dropping-particle":"","parse-names":false,"suffix":""}],"container-title":"Neuropsychopharmacology","id":"ITEM-1","issue":"9","issued":{"date-parts":[["2022"]]},"page":"1652-1661","publisher":"Springer US","title":"A meta-analysis of conditioned fear generalization in anxiety-related disorders","type":"article-journal","volume":"47"},"uris":["http://www.mendeley.com/documents/?uuid=37f71b6a-7f6c-4563-995c-e606409088f6"]}],"mendeley":{"formattedCitation":"(Cooper &lt;i&gt;et al.&lt;/i&gt;, 2022)","plainTextFormattedCitation":"(Cooper et al., 2022)","previouslyFormattedCitation":"(Cooper &lt;i&gt;et al.&lt;/i&gt;, 2022)"},"properties":{"noteIndex":0},"schema":"https://github.com/citation-style-language/schema/raw/master/csl-citation.json"}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(Cooper </w:t>
      </w:r>
      <w:r w:rsidR="00804D56" w:rsidRPr="00804D56">
        <w:rPr>
          <w:rFonts w:ascii="Arial" w:hAnsi="Arial" w:cs="Arial"/>
          <w:i/>
          <w:noProof/>
          <w:sz w:val="22"/>
          <w:szCs w:val="22"/>
        </w:rPr>
        <w:t>et al.</w:t>
      </w:r>
      <w:r w:rsidR="00804D56" w:rsidRPr="00804D56">
        <w:rPr>
          <w:rFonts w:ascii="Arial" w:hAnsi="Arial" w:cs="Arial"/>
          <w:noProof/>
          <w:sz w:val="22"/>
          <w:szCs w:val="22"/>
        </w:rPr>
        <w:t>, 2022)</w:t>
      </w:r>
      <w:r w:rsidR="00804D56">
        <w:rPr>
          <w:rFonts w:ascii="Arial" w:hAnsi="Arial" w:cs="Arial"/>
          <w:sz w:val="22"/>
          <w:szCs w:val="22"/>
        </w:rPr>
        <w:fldChar w:fldCharType="end"/>
      </w:r>
      <w:r w:rsidR="003259AC" w:rsidRPr="00710EE2">
        <w:rPr>
          <w:rFonts w:ascii="Arial" w:hAnsi="Arial" w:cs="Arial"/>
          <w:sz w:val="22"/>
          <w:szCs w:val="22"/>
        </w:rPr>
        <w:t>.</w:t>
      </w:r>
    </w:p>
    <w:p w14:paraId="47439DB8" w14:textId="77777777" w:rsidR="00AC2916" w:rsidRDefault="00AC2916">
      <w:pPr>
        <w:rPr>
          <w:rFonts w:ascii="Arial" w:eastAsiaTheme="majorEastAsia" w:hAnsi="Arial" w:cs="Arial"/>
          <w:b/>
          <w:bCs/>
        </w:rPr>
      </w:pPr>
      <w:r>
        <w:br w:type="page"/>
      </w:r>
    </w:p>
    <w:p w14:paraId="68DE5B60" w14:textId="1E4B3BD8" w:rsidR="003259AC" w:rsidRPr="00710EE2" w:rsidRDefault="003259AC" w:rsidP="00620130">
      <w:pPr>
        <w:pStyle w:val="Heading1"/>
        <w:spacing w:line="360" w:lineRule="auto"/>
        <w:jc w:val="both"/>
      </w:pPr>
      <w:bookmarkStart w:id="14" w:name="_Toc212717410"/>
      <w:r w:rsidRPr="00710EE2">
        <w:lastRenderedPageBreak/>
        <w:t>Recommendations</w:t>
      </w:r>
      <w:bookmarkEnd w:id="14"/>
      <w:r w:rsidRPr="00710EE2">
        <w:t xml:space="preserve"> </w:t>
      </w:r>
    </w:p>
    <w:p w14:paraId="39268250" w14:textId="677FD082" w:rsidR="003259AC" w:rsidRPr="00710EE2" w:rsidRDefault="003E571B" w:rsidP="00620130">
      <w:pPr>
        <w:pStyle w:val="ListParagraph"/>
        <w:numPr>
          <w:ilvl w:val="0"/>
          <w:numId w:val="2"/>
        </w:numPr>
        <w:spacing w:line="360" w:lineRule="auto"/>
        <w:jc w:val="both"/>
        <w:rPr>
          <w:rFonts w:ascii="Arial" w:hAnsi="Arial" w:cs="Arial"/>
          <w:sz w:val="22"/>
          <w:szCs w:val="22"/>
        </w:rPr>
      </w:pPr>
      <w:r w:rsidRPr="00804D56">
        <w:rPr>
          <w:rFonts w:ascii="Arial" w:hAnsi="Arial" w:cs="Arial"/>
          <w:b/>
          <w:bCs/>
          <w:sz w:val="22"/>
          <w:szCs w:val="22"/>
        </w:rPr>
        <w:t xml:space="preserve">To improve </w:t>
      </w:r>
      <w:r w:rsidR="00D4360C" w:rsidRPr="00804D56">
        <w:rPr>
          <w:rFonts w:ascii="Arial" w:hAnsi="Arial" w:cs="Arial"/>
          <w:b/>
          <w:bCs/>
          <w:sz w:val="22"/>
          <w:szCs w:val="22"/>
        </w:rPr>
        <w:t>accuracy of diagnosis</w:t>
      </w:r>
      <w:r w:rsidR="00464800" w:rsidRPr="00804D56">
        <w:rPr>
          <w:rFonts w:ascii="Arial" w:hAnsi="Arial" w:cs="Arial"/>
          <w:b/>
          <w:bCs/>
          <w:sz w:val="22"/>
          <w:szCs w:val="22"/>
        </w:rPr>
        <w:t>, treatments and Generalised Anxiety Disorder managemen</w:t>
      </w:r>
      <w:r w:rsidR="00A455D3" w:rsidRPr="00804D56">
        <w:rPr>
          <w:rFonts w:ascii="Arial" w:hAnsi="Arial" w:cs="Arial"/>
          <w:b/>
          <w:bCs/>
          <w:sz w:val="22"/>
          <w:szCs w:val="22"/>
        </w:rPr>
        <w:t>t</w:t>
      </w:r>
      <w:r w:rsidR="00D4360C" w:rsidRPr="00804D56">
        <w:rPr>
          <w:rFonts w:ascii="Arial" w:hAnsi="Arial" w:cs="Arial"/>
          <w:b/>
          <w:bCs/>
          <w:sz w:val="22"/>
          <w:szCs w:val="22"/>
        </w:rPr>
        <w:t xml:space="preserve"> through trainings and easy understand assessments</w:t>
      </w:r>
      <w:r w:rsidR="006D78C1" w:rsidRPr="00710EE2">
        <w:rPr>
          <w:rFonts w:ascii="Arial" w:hAnsi="Arial" w:cs="Arial"/>
          <w:sz w:val="22"/>
          <w:szCs w:val="22"/>
        </w:rPr>
        <w:t xml:space="preserve"> </w:t>
      </w:r>
      <w:r w:rsidR="00D4360C" w:rsidRPr="00710EE2">
        <w:rPr>
          <w:rFonts w:ascii="Arial" w:hAnsi="Arial" w:cs="Arial"/>
          <w:sz w:val="22"/>
          <w:szCs w:val="22"/>
        </w:rPr>
        <w:t>–</w:t>
      </w:r>
      <w:r w:rsidR="006D78C1" w:rsidRPr="00710EE2">
        <w:rPr>
          <w:rFonts w:ascii="Arial" w:hAnsi="Arial" w:cs="Arial"/>
          <w:sz w:val="22"/>
          <w:szCs w:val="22"/>
        </w:rPr>
        <w:t xml:space="preserve"> </w:t>
      </w:r>
      <w:r w:rsidR="00D4360C" w:rsidRPr="00710EE2">
        <w:rPr>
          <w:rFonts w:ascii="Arial" w:hAnsi="Arial" w:cs="Arial"/>
          <w:sz w:val="22"/>
          <w:szCs w:val="22"/>
        </w:rPr>
        <w:t>This will help to identify the difference between normal anxiety and clinical disorders</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{"citationItems":[{"id":"ITEM-1","itemData":{"DOI":"10.3390/ijerph192416980","ISSN":"16604601","PMID":"36554860","abstract":"Forms of rehabilitation for patients after COVID-19 are gaining interest. The purpose of this study was to investigate and compare an innovative in-hospital pulmonary rehabilitation programs augmented with training elements performed in virtual reality. This randomized controlled study included 32 patients enrolled in post-COVID-19 rehabilitation at a Public Hospital in Poland. The rehabilitation models included exercise capacity training on a cycle ergometer, breathing and general fitness workout, resistance training, and relaxation. The forms of training and relaxation differed between the groups: the experimental group employed virtual reality, and the control group used a traditional form of therapy. Exercise tolerance was assessed using a 6 min walk test (6 MWT), while psychological parameters were evaluated using the Hospital Anxiety and Depression Scale (HADS) and the brief World Health Organization Quality of Life Scale (WHOQOL-BRIEF). The analysis of the post-rehabilitation results showed a statistically significant improvement in both groups regarding depression (VR: 6.9 (3.9) vs. 4.7 (3.5), p = 0.008; CG: 7.64 (4.5) vs. 6.6 (4.8), p = 0.017) and anxiety (VR: 8.6 (4.6) vs. 5.6 (3.3), p &lt; 0.001; CG: 9.57 (6.0) vs. 8 (4.8), p = 0.003). No statistically significant improvements in quality of life were noted in both groups. Moreover, the analysis showed a statistically significant improvement in the exercise capacity in both groups after completion of the rehabilitation program, expressed as a distance in the 6 MWT, as well as a statistically significant improvement in dyspnea in the VR group. To conclude, the analysis of the preliminary data revealed that a 3-week hospital-based pulmonary rehabilitation program for COVID-19 patients led to an improvement in exercise tolerance as well as a reduction in the symptoms of anxiety and depression. The virtual reality-based form of training delivery, despite its attractiveness, did not significantly affect patients’ performance.","author":[{"dropping-particle":"","family":"Rutkowski","given":"Sebastian","non-dropping-particle":"","parse-names":false,"suffix":""},{"dropping-particle":"","family":"Bogacz","given":"Katarzyna","non-dropping-particle":"","parse-names":false,"suffix":""},{"dropping-particle":"","family":"Czech","given":"Oliver","non-dropping-particle":"","parse-names":false,"suffix":""},{"dropping-particle":"","family":"Rutkowska","given":"Anna","non-dropping-particle":"","parse-names":false,"suffix":""},{"dropping-particle":"","family":"Szczegielniak","given":"Jan","non-dropping-particle":"","parse-names":false,"suffix":""}],"container-title":"International Journal of Environmental Research and Public Health","id":"ITEM-1","issue":"24","issued":{"date-parts":[["2022"]]},"title":"Effectiveness of an Inpatient Virtual Reality-Based Pulmonary Rehabilitation Program among COVID-19 Patients on Symptoms of Anxiety, Depression and Quality of Life: Preliminary Results from a Randomized Controlled Trial","type":"article-journal","volume":"19"},"uris":["http://www.mendeley.com/documents/?uuid=8571edbc-0aed-4282-b0e8-8abaa458b3e5"]}],"mendeley":{"formattedCitation":"(Rutkowski &lt;i&gt;et al.&lt;/i&gt;, 2022)","plainTextFormattedCitation":"(Rutkowski et al., 2022)","previouslyFormattedCitation":"(Rutkowski &lt;i&gt;et al.&lt;/i&gt;, 2022)"},"properties":{"noteIndex":0},"schema":"https://github.com/citation-style-language/schema/raw/master/csl-citation.json"}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(Rutkowski </w:t>
      </w:r>
      <w:r w:rsidR="00804D56" w:rsidRPr="00804D56">
        <w:rPr>
          <w:rFonts w:ascii="Arial" w:hAnsi="Arial" w:cs="Arial"/>
          <w:i/>
          <w:noProof/>
          <w:sz w:val="22"/>
          <w:szCs w:val="22"/>
        </w:rPr>
        <w:t>et al.</w:t>
      </w:r>
      <w:r w:rsidR="00804D56" w:rsidRPr="00804D56">
        <w:rPr>
          <w:rFonts w:ascii="Arial" w:hAnsi="Arial" w:cs="Arial"/>
          <w:noProof/>
          <w:sz w:val="22"/>
          <w:szCs w:val="22"/>
        </w:rPr>
        <w:t>, 2022)</w:t>
      </w:r>
      <w:r w:rsidR="00804D56">
        <w:rPr>
          <w:rFonts w:ascii="Arial" w:hAnsi="Arial" w:cs="Arial"/>
          <w:sz w:val="22"/>
          <w:szCs w:val="22"/>
        </w:rPr>
        <w:fldChar w:fldCharType="end"/>
      </w:r>
      <w:r w:rsidR="00D4360C" w:rsidRPr="00710EE2">
        <w:rPr>
          <w:rFonts w:ascii="Arial" w:hAnsi="Arial" w:cs="Arial"/>
          <w:sz w:val="22"/>
          <w:szCs w:val="22"/>
        </w:rPr>
        <w:t>.</w:t>
      </w:r>
    </w:p>
    <w:p w14:paraId="4E2C081F" w14:textId="27411646" w:rsidR="00D4360C" w:rsidRPr="00710EE2" w:rsidRDefault="00D4360C" w:rsidP="00620130">
      <w:pPr>
        <w:pStyle w:val="ListParagraph"/>
        <w:numPr>
          <w:ilvl w:val="0"/>
          <w:numId w:val="2"/>
        </w:numPr>
        <w:spacing w:line="360" w:lineRule="auto"/>
        <w:jc w:val="both"/>
        <w:rPr>
          <w:rFonts w:ascii="Arial" w:hAnsi="Arial" w:cs="Arial"/>
          <w:sz w:val="22"/>
          <w:szCs w:val="22"/>
        </w:rPr>
      </w:pPr>
      <w:r w:rsidRPr="00804D56">
        <w:rPr>
          <w:rFonts w:ascii="Arial" w:hAnsi="Arial" w:cs="Arial"/>
          <w:b/>
          <w:bCs/>
          <w:sz w:val="22"/>
          <w:szCs w:val="22"/>
        </w:rPr>
        <w:t>To combine both psychological and pharmacological treatments with the stepped care</w:t>
      </w:r>
      <w:r w:rsidRPr="00710EE2">
        <w:rPr>
          <w:rFonts w:ascii="Arial" w:hAnsi="Arial" w:cs="Arial"/>
          <w:sz w:val="22"/>
          <w:szCs w:val="22"/>
        </w:rPr>
        <w:t xml:space="preserve"> </w:t>
      </w:r>
      <w:r w:rsidR="003D7540" w:rsidRPr="00710EE2">
        <w:rPr>
          <w:rFonts w:ascii="Arial" w:hAnsi="Arial" w:cs="Arial"/>
          <w:sz w:val="22"/>
          <w:szCs w:val="22"/>
        </w:rPr>
        <w:t>–</w:t>
      </w:r>
      <w:r w:rsidRPr="00710EE2">
        <w:rPr>
          <w:rFonts w:ascii="Arial" w:hAnsi="Arial" w:cs="Arial"/>
          <w:sz w:val="22"/>
          <w:szCs w:val="22"/>
        </w:rPr>
        <w:t xml:space="preserve"> </w:t>
      </w:r>
      <w:r w:rsidR="003D7540" w:rsidRPr="00710EE2">
        <w:rPr>
          <w:rFonts w:ascii="Arial" w:hAnsi="Arial" w:cs="Arial"/>
          <w:sz w:val="22"/>
          <w:szCs w:val="22"/>
        </w:rPr>
        <w:t>Here, it requires to train health care providers on giving low-intensity psychological therapies. Meanwhile, complex treatment can be provided by the specialists</w:t>
      </w:r>
      <w:r w:rsidR="00804D56">
        <w:rPr>
          <w:rFonts w:ascii="Arial" w:hAnsi="Arial" w:cs="Arial"/>
          <w:sz w:val="22"/>
          <w:szCs w:val="22"/>
        </w:rPr>
        <w:t xml:space="preserve"> </w:t>
      </w:r>
      <w:r w:rsidR="00804D56">
        <w:rPr>
          <w:rFonts w:ascii="Arial" w:hAnsi="Arial" w:cs="Arial"/>
          <w:sz w:val="22"/>
          <w:szCs w:val="22"/>
        </w:rPr>
        <w:fldChar w:fldCharType="begin" w:fldLock="1"/>
      </w:r>
      <w:r w:rsidR="00804D56">
        <w:rPr>
          <w:rFonts w:ascii="Arial" w:hAnsi="Arial" w:cs="Arial"/>
          <w:sz w:val="22"/>
          <w:szCs w:val="22"/>
        </w:rPr>
        <w:instrText>ADDIN CSL_CITATION {"citationItems":[{"id":"ITEM-1","itemData":{"DOI":"10.3389/fpsyt.2024.1421907","ISSN":"16640640","abstract":"Objective: To understand the current study of social anxiety (SA) over the past decade, and to analyze the research hot topics and frontiers in this field. Methods: CiteSpace 6.2.R3 was used to analyze the literature on SA collected in the Web of Science Core Collection database from 2013 to 2023. Results: A total of 9940 literature were included after the screening, and the annual publication volume showed a steady increase. The results emphasize that Zvolensky MJ, Pine DS, and Heimberg RG are important authors in the field of SA. The United States has the highest number of publications, with the University of California System contributing the most. Research hotspots include cognitive impairment, risk factors, complications, neuroimaging, and intervention strategies. SA related to the “theory of mind”, “bullying victimization”, “mobile phone”, “network analysis”, “technology”, and “satisfaction” are emerging research foci. Conclusion: This study identifies the current situation and trends of SA research, and provides a reference for future research topics and directions.","author":[{"dropping-particle":"","family":"Zhang","given":"Peng","non-dropping-particle":"","parse-names":false,"suffix":""},{"dropping-particle":"","family":"Wang","given":"Mingliang","non-dropping-particle":"","parse-names":false,"suffix":""},{"dropping-particle":"","family":"Ding","given":"Lin","non-dropping-particle":"","parse-names":false,"suffix":""},{"dropping-particle":"","family":"Zhang","given":"Jianing","non-dropping-particle":"","parse-names":false,"suffix":""},{"dropping-particle":"","family":"Yuan","given":"Yuqing","non-dropping-particle":"","parse-names":false,"suffix":""},{"dropping-particle":"","family":"Tian","given":"Xin","non-dropping-particle":"","parse-names":false,"suffix":""}],"container-title":"Frontiers in Psychiatry","id":"ITEM-1","issue":"October","issued":{"date-parts":[["2024"]]},"page":"1-23","title":"Research hot topics and frontiers in social anxiety over the past decade: a CiteSpace bibliometric analysis based on Web of Science database from 2013 to 2023","type":"article-journal","volume":"15"},"uris":["http://www.mendeley.com/documents/?uuid=837991f4-909f-4ce9-8bb1-09215774ed23"]}],"mendeley":{"formattedCitation":"(Zhang &lt;i&gt;et al.&lt;/i&gt;, 2024)","plainTextFormattedCitation":"(Zhang et al., 2024)","previouslyFormattedCitation":"(Zhang &lt;i&gt;et al.&lt;/i&gt;, 2024)"},"properties":{"noteIndex":0},"schema":"https://github.com/citation-style-language/schema/raw/master/csl-citation.json"}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(Zhang </w:t>
      </w:r>
      <w:r w:rsidR="00804D56" w:rsidRPr="00804D56">
        <w:rPr>
          <w:rFonts w:ascii="Arial" w:hAnsi="Arial" w:cs="Arial"/>
          <w:i/>
          <w:noProof/>
          <w:sz w:val="22"/>
          <w:szCs w:val="22"/>
        </w:rPr>
        <w:t>et al.</w:t>
      </w:r>
      <w:r w:rsidR="00804D56" w:rsidRPr="00804D56">
        <w:rPr>
          <w:rFonts w:ascii="Arial" w:hAnsi="Arial" w:cs="Arial"/>
          <w:noProof/>
          <w:sz w:val="22"/>
          <w:szCs w:val="22"/>
        </w:rPr>
        <w:t>, 2024)</w:t>
      </w:r>
      <w:r w:rsidR="00804D56">
        <w:rPr>
          <w:rFonts w:ascii="Arial" w:hAnsi="Arial" w:cs="Arial"/>
          <w:sz w:val="22"/>
          <w:szCs w:val="22"/>
        </w:rPr>
        <w:fldChar w:fldCharType="end"/>
      </w:r>
      <w:r w:rsidR="003D7540" w:rsidRPr="00710EE2">
        <w:rPr>
          <w:rFonts w:ascii="Arial" w:hAnsi="Arial" w:cs="Arial"/>
          <w:sz w:val="22"/>
          <w:szCs w:val="22"/>
        </w:rPr>
        <w:t>.</w:t>
      </w:r>
    </w:p>
    <w:p w14:paraId="5701ED7C" w14:textId="6993D039" w:rsidR="003D7540" w:rsidRPr="00710EE2" w:rsidRDefault="003D7540" w:rsidP="00620130">
      <w:pPr>
        <w:pStyle w:val="ListParagraph"/>
        <w:numPr>
          <w:ilvl w:val="0"/>
          <w:numId w:val="2"/>
        </w:numPr>
        <w:spacing w:line="360" w:lineRule="auto"/>
        <w:jc w:val="both"/>
        <w:rPr>
          <w:rFonts w:ascii="Arial" w:hAnsi="Arial" w:cs="Arial"/>
          <w:sz w:val="22"/>
          <w:szCs w:val="22"/>
        </w:rPr>
      </w:pPr>
      <w:r w:rsidRPr="00804D56">
        <w:rPr>
          <w:rFonts w:ascii="Arial" w:hAnsi="Arial" w:cs="Arial"/>
          <w:b/>
          <w:bCs/>
          <w:sz w:val="22"/>
          <w:szCs w:val="22"/>
        </w:rPr>
        <w:t>Conduct public awareness programs related to anxiety disorders</w:t>
      </w:r>
      <w:r w:rsidRPr="00710EE2">
        <w:rPr>
          <w:rFonts w:ascii="Arial" w:hAnsi="Arial" w:cs="Arial"/>
          <w:sz w:val="22"/>
          <w:szCs w:val="22"/>
        </w:rPr>
        <w:t xml:space="preserve"> – This supports to avoid stigma and encourage asking for help behaviors</w:t>
      </w:r>
      <w:r w:rsidR="00804D56">
        <w:rPr>
          <w:rFonts w:ascii="Arial" w:hAnsi="Arial" w:cs="Arial"/>
          <w:sz w:val="22"/>
          <w:szCs w:val="22"/>
        </w:rPr>
        <w:t xml:space="preserve"> </w:t>
      </w:r>
      <w:r w:rsidR="00804D56">
        <w:rPr>
          <w:rFonts w:ascii="Arial" w:hAnsi="Arial" w:cs="Arial"/>
          <w:sz w:val="22"/>
          <w:szCs w:val="22"/>
        </w:rPr>
        <w:fldChar w:fldCharType="begin" w:fldLock="1"/>
      </w:r>
      <w:r w:rsidR="00620130">
        <w:rPr>
          <w:rFonts w:ascii="Arial" w:hAnsi="Arial" w:cs="Arial"/>
          <w:sz w:val="22"/>
          <w:szCs w:val="22"/>
        </w:rPr>
        <w:instrText>ADDIN CSL_CITATION {"citationItems":[{"id":"ITEM-1","itemData":{"DOI":"10.3389/fpsyt.2023.1290580","ISSN":"16640640","abstract":"Background: Clinical practice guidelines (CPGs) are used to guide decision-making, especially regarding complementary and alternative medicine (CAM) therapies that are unfamiliar to orthodox healthcare providers. This systematic review aimed to critically review and summarise CAM recommendations associated with anxiety management included in the existing CPGs. Methods: Seven databases, websites of six international guidelines developing institutions, and the National Centre for Complementary and Integrative Health website were systematically searched. Their reporting and methodological quality were evaluated using the Reporting Items for practice Guidelines in Healthcare checklist and the Appraisal of Guidelines for Research and Evaluation (2nd version) instrument, respectively. Results: Ten CPGs were included, with reporting rates between 51.4 and 88.6%. Seven of these were of moderate to high methodological quality. Seventeen CAM modalities were implicated, involving phytotherapeutics, mind–body practice, art therapy, and homeopathy. Applied relaxation was included in 70% CPGs, which varied in degree of support for its use in the treatment of generalised anxiety disorder. There were few recommendations for other therapies/products. Light therapy was not recommended for use in generalised anxiety disorder, and St John’s wort and mindfulness were not recommended for use in social anxiety disorder in individual guidelines. Recommendations for the applicability of other therapies/products for treating a specific anxiety disorder were commonly graded as “unclear, unambiguous, or uncertain”. No CAM recommendations were provided for separation anxiety disorder, specific phobia or selective mutism. Conclusion: Available guidelines are limited in providing logically explained graded CAM recommendations for anxiety treatment and care. A lack of high-quality evidence and multidisciplinary consultation during the guideline development are two major reasons. High quality and reliable clinical evidence and the engagement of a range of interdisciplinary stakeholders are needed for future CPG development and updating. Systematic review registration: https://www.crd.york.ac.uk/prospero/display_record.php?ID=CRD42022373694, identifier CRD42022373694.","author":[{"dropping-particle":"","family":"Zhao","given":"Fei Yi","non-dropping-particle":"","parse-names":false,"suffix":""},{"dropping-particle":"","family":"Kennedy","given":"Gerard A.","non-dropping-particle":"","parse-names":false,"suffix":""},{"dropping-particle":"","family":"Xu","given":"Peijie","non-dropping-particle":"","parse-names":false,"suffix":""},{"dropping-particle":"","family":"Conduit","given":"Russell","non-dropping-particle":"","parse-names":false,"suffix":""},{"dropping-particle":"","family":"Wang","given":"Yan Mei","non-dropping-particle":"","parse-names":false,"suffix":""},{"dropping-particle":"","family":"Zhang","given":"Wen Jing","non-dropping-particle":"","parse-names":false,"suffix":""},{"dropping-particle":"","family":"Wang","given":"Hui Ru","non-dropping-particle":"","parse-names":false,"suffix":""},{"dropping-particle":"","family":"Yue","given":"Li Ping","non-dropping-particle":"","parse-names":false,"suffix":""},{"dropping-particle":"","family":"Huang","given":"Yu Ling","non-dropping-particle":"","parse-names":false,"suffix":""},{"dropping-particle":"","family":"Wang","given":"Yin","non-dropping-particle":"","parse-names":false,"suffix":""},{"dropping-particle":"","family":"Xu","given":"Yan","non-dropping-particle":"","parse-names":false,"suffix":""},{"dropping-particle":"","family":"Fu","given":"Qiang Qiang","non-dropping-particle":"","parse-names":false,"suffix":""},{"dropping-particle":"","family":"Zheng","given":"Zhen","non-dropping-particle":"","parse-names":false,"suffix":""}],"container-title":"Frontiers in Psychiatry","id":"ITEM-1","issue":"December","issued":{"date-parts":[["2023"]]},"title":"Identifying complementary and alternative medicine recommendations for anxiety treatment and care: a systematic review and critical assessment of comprehensive clinical practice guidelines","type":"article-journal","volume":"14"},"uris":["http://www.mendeley.com/documents/?uuid=5bc74168-6c7a-43f8-ab1d-5e5303776a3c"]}],"mendeley":{"formattedCitation":"(Zhao &lt;i&gt;et al.&lt;/i&gt;, 2023)","plainTextFormattedCitation":"(Zhao et al., 2023)","previouslyFormattedCitation":"(Zhao &lt;i&gt;et al.&lt;/i&gt;, 2023)"},"properties":{"noteIndex":0},"schema":"https://github.com/citation-style-language/schema/raw/master/csl-citation.json"}</w:instrText>
      </w:r>
      <w:r w:rsidR="00804D56">
        <w:rPr>
          <w:rFonts w:ascii="Arial" w:hAnsi="Arial" w:cs="Arial"/>
          <w:sz w:val="22"/>
          <w:szCs w:val="22"/>
        </w:rPr>
        <w:fldChar w:fldCharType="separate"/>
      </w:r>
      <w:r w:rsidR="00804D56" w:rsidRPr="00804D56">
        <w:rPr>
          <w:rFonts w:ascii="Arial" w:hAnsi="Arial" w:cs="Arial"/>
          <w:noProof/>
          <w:sz w:val="22"/>
          <w:szCs w:val="22"/>
        </w:rPr>
        <w:t xml:space="preserve">(Zhao </w:t>
      </w:r>
      <w:r w:rsidR="00804D56" w:rsidRPr="00804D56">
        <w:rPr>
          <w:rFonts w:ascii="Arial" w:hAnsi="Arial" w:cs="Arial"/>
          <w:i/>
          <w:noProof/>
          <w:sz w:val="22"/>
          <w:szCs w:val="22"/>
        </w:rPr>
        <w:t>et al.</w:t>
      </w:r>
      <w:r w:rsidR="00804D56" w:rsidRPr="00804D56">
        <w:rPr>
          <w:rFonts w:ascii="Arial" w:hAnsi="Arial" w:cs="Arial"/>
          <w:noProof/>
          <w:sz w:val="22"/>
          <w:szCs w:val="22"/>
        </w:rPr>
        <w:t>, 2023)</w:t>
      </w:r>
      <w:r w:rsidR="00804D56">
        <w:rPr>
          <w:rFonts w:ascii="Arial" w:hAnsi="Arial" w:cs="Arial"/>
          <w:sz w:val="22"/>
          <w:szCs w:val="22"/>
        </w:rPr>
        <w:fldChar w:fldCharType="end"/>
      </w:r>
      <w:r w:rsidRPr="00710EE2">
        <w:rPr>
          <w:rFonts w:ascii="Arial" w:hAnsi="Arial" w:cs="Arial"/>
          <w:sz w:val="22"/>
          <w:szCs w:val="22"/>
        </w:rPr>
        <w:t xml:space="preserve">. </w:t>
      </w:r>
    </w:p>
    <w:p w14:paraId="0BF5494A" w14:textId="620C4E0D" w:rsidR="003D7540" w:rsidRDefault="003D7540" w:rsidP="00620130">
      <w:pPr>
        <w:pStyle w:val="ListParagraph"/>
        <w:spacing w:line="360" w:lineRule="auto"/>
        <w:jc w:val="both"/>
        <w:rPr>
          <w:rFonts w:ascii="Arial" w:hAnsi="Arial" w:cs="Arial"/>
          <w:sz w:val="22"/>
          <w:szCs w:val="22"/>
        </w:rPr>
      </w:pPr>
    </w:p>
    <w:p w14:paraId="2FCAF2DB" w14:textId="77777777" w:rsidR="00620130" w:rsidRDefault="00620130" w:rsidP="00620130">
      <w:pPr>
        <w:pStyle w:val="ListParagraph"/>
        <w:spacing w:line="360" w:lineRule="auto"/>
        <w:jc w:val="both"/>
        <w:rPr>
          <w:rFonts w:ascii="Arial" w:hAnsi="Arial" w:cs="Arial"/>
          <w:sz w:val="22"/>
          <w:szCs w:val="22"/>
        </w:rPr>
      </w:pPr>
    </w:p>
    <w:p w14:paraId="27C741E1" w14:textId="77777777" w:rsidR="00620130" w:rsidRDefault="00620130" w:rsidP="00620130">
      <w:pPr>
        <w:pStyle w:val="ListParagraph"/>
        <w:spacing w:line="360" w:lineRule="auto"/>
        <w:jc w:val="both"/>
        <w:rPr>
          <w:rFonts w:ascii="Arial" w:hAnsi="Arial" w:cs="Arial"/>
          <w:sz w:val="22"/>
          <w:szCs w:val="22"/>
        </w:rPr>
      </w:pPr>
    </w:p>
    <w:p w14:paraId="3D0D6757" w14:textId="77777777" w:rsidR="00D169D4" w:rsidRDefault="00D169D4" w:rsidP="00620130">
      <w:pPr>
        <w:pStyle w:val="ListParagraph"/>
        <w:spacing w:line="360" w:lineRule="auto"/>
        <w:jc w:val="both"/>
        <w:rPr>
          <w:rFonts w:ascii="Arial" w:hAnsi="Arial" w:cs="Arial"/>
          <w:sz w:val="22"/>
          <w:szCs w:val="22"/>
        </w:rPr>
      </w:pPr>
    </w:p>
    <w:p w14:paraId="64D4004A" w14:textId="77777777" w:rsidR="00D169D4" w:rsidRDefault="00D169D4" w:rsidP="00620130">
      <w:pPr>
        <w:pStyle w:val="ListParagraph"/>
        <w:spacing w:line="360" w:lineRule="auto"/>
        <w:jc w:val="both"/>
        <w:rPr>
          <w:rFonts w:ascii="Arial" w:hAnsi="Arial" w:cs="Arial"/>
          <w:sz w:val="22"/>
          <w:szCs w:val="22"/>
        </w:rPr>
      </w:pPr>
    </w:p>
    <w:p w14:paraId="2F8CD3C4" w14:textId="77777777" w:rsidR="00D169D4" w:rsidRDefault="00D169D4" w:rsidP="00620130">
      <w:pPr>
        <w:pStyle w:val="ListParagraph"/>
        <w:spacing w:line="360" w:lineRule="auto"/>
        <w:jc w:val="both"/>
        <w:rPr>
          <w:rFonts w:ascii="Arial" w:hAnsi="Arial" w:cs="Arial"/>
          <w:sz w:val="22"/>
          <w:szCs w:val="22"/>
        </w:rPr>
      </w:pPr>
    </w:p>
    <w:p w14:paraId="78A9B25D" w14:textId="77777777" w:rsidR="00D169D4" w:rsidRDefault="00D169D4" w:rsidP="00620130">
      <w:pPr>
        <w:pStyle w:val="ListParagraph"/>
        <w:spacing w:line="360" w:lineRule="auto"/>
        <w:jc w:val="both"/>
        <w:rPr>
          <w:rFonts w:ascii="Arial" w:hAnsi="Arial" w:cs="Arial"/>
          <w:sz w:val="22"/>
          <w:szCs w:val="22"/>
        </w:rPr>
      </w:pPr>
    </w:p>
    <w:p w14:paraId="44B80C47" w14:textId="77777777" w:rsidR="00D169D4" w:rsidRDefault="00D169D4" w:rsidP="00620130">
      <w:pPr>
        <w:pStyle w:val="ListParagraph"/>
        <w:spacing w:line="360" w:lineRule="auto"/>
        <w:jc w:val="both"/>
        <w:rPr>
          <w:rFonts w:ascii="Arial" w:hAnsi="Arial" w:cs="Arial"/>
          <w:sz w:val="22"/>
          <w:szCs w:val="22"/>
        </w:rPr>
      </w:pPr>
    </w:p>
    <w:p w14:paraId="0F3268C1" w14:textId="77777777" w:rsidR="00D169D4" w:rsidRDefault="00D169D4" w:rsidP="00620130">
      <w:pPr>
        <w:pStyle w:val="ListParagraph"/>
        <w:spacing w:line="360" w:lineRule="auto"/>
        <w:jc w:val="both"/>
        <w:rPr>
          <w:rFonts w:ascii="Arial" w:hAnsi="Arial" w:cs="Arial"/>
          <w:sz w:val="22"/>
          <w:szCs w:val="22"/>
        </w:rPr>
      </w:pPr>
    </w:p>
    <w:p w14:paraId="6406FFB9" w14:textId="77777777" w:rsidR="00D169D4" w:rsidRDefault="00D169D4" w:rsidP="00620130">
      <w:pPr>
        <w:pStyle w:val="ListParagraph"/>
        <w:spacing w:line="360" w:lineRule="auto"/>
        <w:jc w:val="both"/>
        <w:rPr>
          <w:rFonts w:ascii="Arial" w:hAnsi="Arial" w:cs="Arial"/>
          <w:sz w:val="22"/>
          <w:szCs w:val="22"/>
        </w:rPr>
      </w:pPr>
    </w:p>
    <w:p w14:paraId="780DE619" w14:textId="77777777" w:rsidR="00D169D4" w:rsidRDefault="00D169D4" w:rsidP="00620130">
      <w:pPr>
        <w:pStyle w:val="ListParagraph"/>
        <w:spacing w:line="360" w:lineRule="auto"/>
        <w:jc w:val="both"/>
        <w:rPr>
          <w:rFonts w:ascii="Arial" w:hAnsi="Arial" w:cs="Arial"/>
          <w:sz w:val="22"/>
          <w:szCs w:val="22"/>
        </w:rPr>
      </w:pPr>
    </w:p>
    <w:p w14:paraId="0D5E2E56" w14:textId="77777777" w:rsidR="00D169D4" w:rsidRDefault="00D169D4" w:rsidP="00620130">
      <w:pPr>
        <w:pStyle w:val="ListParagraph"/>
        <w:spacing w:line="360" w:lineRule="auto"/>
        <w:jc w:val="both"/>
        <w:rPr>
          <w:rFonts w:ascii="Arial" w:hAnsi="Arial" w:cs="Arial"/>
          <w:sz w:val="22"/>
          <w:szCs w:val="22"/>
        </w:rPr>
      </w:pPr>
    </w:p>
    <w:p w14:paraId="1B158432" w14:textId="77777777" w:rsidR="00D169D4" w:rsidRDefault="00D169D4" w:rsidP="00620130">
      <w:pPr>
        <w:pStyle w:val="ListParagraph"/>
        <w:spacing w:line="360" w:lineRule="auto"/>
        <w:jc w:val="both"/>
        <w:rPr>
          <w:rFonts w:ascii="Arial" w:hAnsi="Arial" w:cs="Arial"/>
          <w:sz w:val="22"/>
          <w:szCs w:val="22"/>
        </w:rPr>
      </w:pPr>
    </w:p>
    <w:p w14:paraId="34D74040" w14:textId="77777777" w:rsidR="00620130" w:rsidRPr="00620130" w:rsidRDefault="00620130" w:rsidP="00620130">
      <w:pPr>
        <w:spacing w:line="360" w:lineRule="auto"/>
        <w:jc w:val="both"/>
        <w:rPr>
          <w:rFonts w:ascii="Arial" w:hAnsi="Arial" w:cs="Arial"/>
          <w:sz w:val="22"/>
          <w:szCs w:val="22"/>
        </w:rPr>
      </w:pPr>
    </w:p>
    <w:p w14:paraId="61C5BEFC" w14:textId="77777777" w:rsidR="00AC2916" w:rsidRDefault="00AC2916">
      <w:pPr>
        <w:rPr>
          <w:rFonts w:ascii="Arial" w:eastAsiaTheme="majorEastAsia" w:hAnsi="Arial" w:cs="Arial"/>
          <w:b/>
          <w:bCs/>
        </w:rPr>
      </w:pPr>
      <w:r>
        <w:br w:type="page"/>
      </w:r>
    </w:p>
    <w:p w14:paraId="2431AF8B" w14:textId="59C7D1BA" w:rsidR="00EC2D20" w:rsidRDefault="00620130" w:rsidP="00620130">
      <w:pPr>
        <w:pStyle w:val="Heading1"/>
        <w:spacing w:line="360" w:lineRule="auto"/>
        <w:jc w:val="both"/>
      </w:pPr>
      <w:bookmarkStart w:id="15" w:name="_Toc212717411"/>
      <w:r>
        <w:lastRenderedPageBreak/>
        <w:t>References</w:t>
      </w:r>
      <w:bookmarkEnd w:id="15"/>
    </w:p>
    <w:p w14:paraId="6422CD22" w14:textId="33F54CD5"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 xml:space="preserve">[1] </w:t>
      </w:r>
      <w:r w:rsidR="00620130">
        <w:fldChar w:fldCharType="begin" w:fldLock="1"/>
      </w:r>
      <w:r w:rsidR="00620130">
        <w:instrText xml:space="preserve">ADDIN Mendeley Bibliography CSL_BIBLIOGRAPHY </w:instrText>
      </w:r>
      <w:r w:rsidR="00620130">
        <w:fldChar w:fldCharType="separate"/>
      </w:r>
      <w:r w:rsidR="00620130" w:rsidRPr="00620130">
        <w:rPr>
          <w:rFonts w:ascii="Aptos" w:hAnsi="Aptos" w:cs="Iskoola Pota"/>
          <w:noProof/>
          <w:kern w:val="0"/>
        </w:rPr>
        <w:t xml:space="preserve">Andersen, B.L. </w:t>
      </w:r>
      <w:r w:rsidR="00620130" w:rsidRPr="00620130">
        <w:rPr>
          <w:rFonts w:ascii="Aptos" w:hAnsi="Aptos" w:cs="Iskoola Pota"/>
          <w:i/>
          <w:iCs/>
          <w:noProof/>
          <w:kern w:val="0"/>
        </w:rPr>
        <w:t>et al.</w:t>
      </w:r>
      <w:r w:rsidR="00620130" w:rsidRPr="00620130">
        <w:rPr>
          <w:rFonts w:ascii="Aptos" w:hAnsi="Aptos" w:cs="Iskoola Pota"/>
          <w:noProof/>
          <w:kern w:val="0"/>
        </w:rPr>
        <w:t xml:space="preserve"> (2023) ‘Management of Anxiety and Depression in Adult Survivors of Cancer: ASCO Guideline Update’, </w:t>
      </w:r>
      <w:r w:rsidR="00620130" w:rsidRPr="00620130">
        <w:rPr>
          <w:rFonts w:ascii="Aptos" w:hAnsi="Aptos" w:cs="Iskoola Pota"/>
          <w:i/>
          <w:iCs/>
          <w:noProof/>
          <w:kern w:val="0"/>
        </w:rPr>
        <w:t>Journal of Clinical Oncology</w:t>
      </w:r>
      <w:r w:rsidR="00620130" w:rsidRPr="00620130">
        <w:rPr>
          <w:rFonts w:ascii="Aptos" w:hAnsi="Aptos" w:cs="Iskoola Pota"/>
          <w:noProof/>
          <w:kern w:val="0"/>
        </w:rPr>
        <w:t>, 41(18), pp. 3426–3453. Available at: https://doi.org/10.1200/JCO.23.00293.</w:t>
      </w:r>
    </w:p>
    <w:p w14:paraId="2624736F" w14:textId="38700350"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2</w:t>
      </w:r>
      <w:r>
        <w:t xml:space="preserve">] </w:t>
      </w:r>
      <w:r w:rsidR="00620130" w:rsidRPr="00620130">
        <w:rPr>
          <w:rFonts w:ascii="Aptos" w:hAnsi="Aptos" w:cs="Iskoola Pota"/>
          <w:i/>
          <w:iCs/>
          <w:noProof/>
          <w:kern w:val="0"/>
        </w:rPr>
        <w:t>Anxiety or fear-related disorders</w:t>
      </w:r>
      <w:r w:rsidR="00620130" w:rsidRPr="00620130">
        <w:rPr>
          <w:rFonts w:ascii="Aptos" w:hAnsi="Aptos" w:cs="Iskoola Pota"/>
          <w:noProof/>
          <w:kern w:val="0"/>
        </w:rPr>
        <w:t xml:space="preserve"> (2024) </w:t>
      </w:r>
      <w:r w:rsidR="00620130" w:rsidRPr="00620130">
        <w:rPr>
          <w:rFonts w:ascii="Aptos" w:hAnsi="Aptos" w:cs="Iskoola Pota"/>
          <w:i/>
          <w:iCs/>
          <w:noProof/>
          <w:kern w:val="0"/>
        </w:rPr>
        <w:t>ICD-11 for Mortality and Morbidity Statistics</w:t>
      </w:r>
      <w:r w:rsidR="00620130" w:rsidRPr="00620130">
        <w:rPr>
          <w:rFonts w:ascii="Aptos" w:hAnsi="Aptos" w:cs="Iskoola Pota"/>
          <w:noProof/>
          <w:kern w:val="0"/>
        </w:rPr>
        <w:t>. Available at: https://icd.who.int/browse/2024-01/mms/en#1336943699.</w:t>
      </w:r>
    </w:p>
    <w:p w14:paraId="5F6D3A3F" w14:textId="62E8DFAA"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3</w:t>
      </w:r>
      <w:r>
        <w:t xml:space="preserve">] </w:t>
      </w:r>
      <w:r w:rsidR="00620130" w:rsidRPr="00620130">
        <w:rPr>
          <w:rFonts w:ascii="Aptos" w:hAnsi="Aptos" w:cs="Iskoola Pota"/>
          <w:noProof/>
          <w:kern w:val="0"/>
        </w:rPr>
        <w:t xml:space="preserve">Chorpita, B.F. and Barlow, D.H. (1998) ‘The Development of Anxiety: The Role of Control in the Early Environment’, </w:t>
      </w:r>
      <w:r w:rsidR="00620130" w:rsidRPr="00620130">
        <w:rPr>
          <w:rFonts w:ascii="Aptos" w:hAnsi="Aptos" w:cs="Iskoola Pota"/>
          <w:i/>
          <w:iCs/>
          <w:noProof/>
          <w:kern w:val="0"/>
        </w:rPr>
        <w:t>Psychological Bulletin</w:t>
      </w:r>
      <w:r w:rsidR="00620130" w:rsidRPr="00620130">
        <w:rPr>
          <w:rFonts w:ascii="Aptos" w:hAnsi="Aptos" w:cs="Iskoola Pota"/>
          <w:noProof/>
          <w:kern w:val="0"/>
        </w:rPr>
        <w:t>, 124(1), pp. 3–21. Available at: https://doi.org/10.1037/0033-2909.124.1.3.</w:t>
      </w:r>
    </w:p>
    <w:p w14:paraId="7C606351" w14:textId="0BB385C0"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4</w:t>
      </w:r>
      <w:r>
        <w:t xml:space="preserve">] </w:t>
      </w:r>
      <w:r w:rsidR="00620130" w:rsidRPr="00620130">
        <w:rPr>
          <w:rFonts w:ascii="Aptos" w:hAnsi="Aptos" w:cs="Iskoola Pota"/>
          <w:noProof/>
          <w:kern w:val="0"/>
        </w:rPr>
        <w:t xml:space="preserve">Clauss, K., Gorday, J.Y. and Bardeen, J.R. (2022) ‘Eye tracking evidence of threat-related attentional bias in anxiety- and fear-related disorders: A systematic review and meta-analysis’, </w:t>
      </w:r>
      <w:r w:rsidR="00620130" w:rsidRPr="00620130">
        <w:rPr>
          <w:rFonts w:ascii="Aptos" w:hAnsi="Aptos" w:cs="Iskoola Pota"/>
          <w:i/>
          <w:iCs/>
          <w:noProof/>
          <w:kern w:val="0"/>
        </w:rPr>
        <w:t>Clinical Psychological Review</w:t>
      </w:r>
      <w:r w:rsidR="00620130" w:rsidRPr="00620130">
        <w:rPr>
          <w:rFonts w:ascii="Aptos" w:hAnsi="Aptos" w:cs="Iskoola Pota"/>
          <w:noProof/>
          <w:kern w:val="0"/>
        </w:rPr>
        <w:t>, 93. Available at: https://doi.org/https://doi.org/10.1016/j.cpr.2022.102142.</w:t>
      </w:r>
    </w:p>
    <w:p w14:paraId="18CF11DD" w14:textId="06430F2A"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5</w:t>
      </w:r>
      <w:r>
        <w:t xml:space="preserve">] </w:t>
      </w:r>
      <w:r w:rsidR="00620130" w:rsidRPr="00620130">
        <w:rPr>
          <w:rFonts w:ascii="Aptos" w:hAnsi="Aptos" w:cs="Iskoola Pota"/>
          <w:noProof/>
          <w:kern w:val="0"/>
        </w:rPr>
        <w:t xml:space="preserve">Cooper, S.E. </w:t>
      </w:r>
      <w:r w:rsidR="00620130" w:rsidRPr="00620130">
        <w:rPr>
          <w:rFonts w:ascii="Aptos" w:hAnsi="Aptos" w:cs="Iskoola Pota"/>
          <w:i/>
          <w:iCs/>
          <w:noProof/>
          <w:kern w:val="0"/>
        </w:rPr>
        <w:t>et al.</w:t>
      </w:r>
      <w:r w:rsidR="00620130" w:rsidRPr="00620130">
        <w:rPr>
          <w:rFonts w:ascii="Aptos" w:hAnsi="Aptos" w:cs="Iskoola Pota"/>
          <w:noProof/>
          <w:kern w:val="0"/>
        </w:rPr>
        <w:t xml:space="preserve"> (2022) ‘A meta-analysis of conditioned fear generalization in anxiety-related disorders’, </w:t>
      </w:r>
      <w:r w:rsidR="00620130" w:rsidRPr="00620130">
        <w:rPr>
          <w:rFonts w:ascii="Aptos" w:hAnsi="Aptos" w:cs="Iskoola Pota"/>
          <w:i/>
          <w:iCs/>
          <w:noProof/>
          <w:kern w:val="0"/>
        </w:rPr>
        <w:t>Neuropsychopharmacology</w:t>
      </w:r>
      <w:r w:rsidR="00620130" w:rsidRPr="00620130">
        <w:rPr>
          <w:rFonts w:ascii="Aptos" w:hAnsi="Aptos" w:cs="Iskoola Pota"/>
          <w:noProof/>
          <w:kern w:val="0"/>
        </w:rPr>
        <w:t>, 47(9), pp. 1652–1661. Available at: https://doi.org/10.1038/s41386-022-01332-2.</w:t>
      </w:r>
    </w:p>
    <w:p w14:paraId="5AED1371" w14:textId="5E1BA662"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6</w:t>
      </w:r>
      <w:r>
        <w:t xml:space="preserve">] </w:t>
      </w:r>
      <w:r w:rsidR="00620130" w:rsidRPr="00620130">
        <w:rPr>
          <w:rFonts w:ascii="Aptos" w:hAnsi="Aptos" w:cs="Iskoola Pota"/>
          <w:noProof/>
          <w:kern w:val="0"/>
        </w:rPr>
        <w:t xml:space="preserve">Craske, M.G. </w:t>
      </w:r>
      <w:r w:rsidR="00620130" w:rsidRPr="00620130">
        <w:rPr>
          <w:rFonts w:ascii="Aptos" w:hAnsi="Aptos" w:cs="Iskoola Pota"/>
          <w:i/>
          <w:iCs/>
          <w:noProof/>
          <w:kern w:val="0"/>
        </w:rPr>
        <w:t>et al.</w:t>
      </w:r>
      <w:r w:rsidR="00620130" w:rsidRPr="00620130">
        <w:rPr>
          <w:rFonts w:ascii="Aptos" w:hAnsi="Aptos" w:cs="Iskoola Pota"/>
          <w:noProof/>
          <w:kern w:val="0"/>
        </w:rPr>
        <w:t xml:space="preserve"> (2009) ‘What is an anxiety disorder?’, </w:t>
      </w:r>
      <w:r w:rsidR="00620130" w:rsidRPr="00620130">
        <w:rPr>
          <w:rFonts w:ascii="Aptos" w:hAnsi="Aptos" w:cs="Iskoola Pota"/>
          <w:i/>
          <w:iCs/>
          <w:noProof/>
          <w:kern w:val="0"/>
        </w:rPr>
        <w:t>Depression and Anxiety</w:t>
      </w:r>
      <w:r w:rsidR="00620130" w:rsidRPr="00620130">
        <w:rPr>
          <w:rFonts w:ascii="Aptos" w:hAnsi="Aptos" w:cs="Iskoola Pota"/>
          <w:noProof/>
          <w:kern w:val="0"/>
        </w:rPr>
        <w:t>, 26(12), pp. 1066–1085. Available at: https://doi.org/10.1002/da.20633.</w:t>
      </w:r>
    </w:p>
    <w:p w14:paraId="540FACD1" w14:textId="3618E949"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7</w:t>
      </w:r>
      <w:r>
        <w:t xml:space="preserve">] </w:t>
      </w:r>
      <w:r w:rsidR="00620130" w:rsidRPr="00620130">
        <w:rPr>
          <w:rFonts w:ascii="Aptos" w:hAnsi="Aptos" w:cs="Iskoola Pota"/>
          <w:noProof/>
          <w:kern w:val="0"/>
        </w:rPr>
        <w:t xml:space="preserve">Dias, B.G. </w:t>
      </w:r>
      <w:r w:rsidR="00620130" w:rsidRPr="00620130">
        <w:rPr>
          <w:rFonts w:ascii="Aptos" w:hAnsi="Aptos" w:cs="Iskoola Pota"/>
          <w:i/>
          <w:iCs/>
          <w:noProof/>
          <w:kern w:val="0"/>
        </w:rPr>
        <w:t>et al.</w:t>
      </w:r>
      <w:r w:rsidR="00620130" w:rsidRPr="00620130">
        <w:rPr>
          <w:rFonts w:ascii="Aptos" w:hAnsi="Aptos" w:cs="Iskoola Pota"/>
          <w:noProof/>
          <w:kern w:val="0"/>
        </w:rPr>
        <w:t xml:space="preserve"> (2013) ‘Towards new approaches to disorders of fear and anxiety’, </w:t>
      </w:r>
      <w:r w:rsidR="00620130" w:rsidRPr="00620130">
        <w:rPr>
          <w:rFonts w:ascii="Aptos" w:hAnsi="Aptos" w:cs="Iskoola Pota"/>
          <w:i/>
          <w:iCs/>
          <w:noProof/>
          <w:kern w:val="0"/>
        </w:rPr>
        <w:t>Current Opinion in Neurobiology</w:t>
      </w:r>
      <w:r w:rsidR="00620130" w:rsidRPr="00620130">
        <w:rPr>
          <w:rFonts w:ascii="Aptos" w:hAnsi="Aptos" w:cs="Iskoola Pota"/>
          <w:noProof/>
          <w:kern w:val="0"/>
        </w:rPr>
        <w:t>, 23(3), pp. 346–352. Available at: https://doi.org/10.1016/j.conb.2013.01.013.</w:t>
      </w:r>
    </w:p>
    <w:p w14:paraId="7865B4CD" w14:textId="2FD8E7E3"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8</w:t>
      </w:r>
      <w:r>
        <w:t xml:space="preserve">] </w:t>
      </w:r>
      <w:r w:rsidR="00620130" w:rsidRPr="00620130">
        <w:rPr>
          <w:rFonts w:ascii="Aptos" w:hAnsi="Aptos" w:cs="Iskoola Pota"/>
          <w:noProof/>
          <w:kern w:val="0"/>
        </w:rPr>
        <w:t xml:space="preserve">Jurkus, R. </w:t>
      </w:r>
      <w:r w:rsidR="00620130" w:rsidRPr="00620130">
        <w:rPr>
          <w:rFonts w:ascii="Aptos" w:hAnsi="Aptos" w:cs="Iskoola Pota"/>
          <w:i/>
          <w:iCs/>
          <w:noProof/>
          <w:kern w:val="0"/>
        </w:rPr>
        <w:t>et al.</w:t>
      </w:r>
      <w:r w:rsidR="00620130" w:rsidRPr="00620130">
        <w:rPr>
          <w:rFonts w:ascii="Aptos" w:hAnsi="Aptos" w:cs="Iskoola Pota"/>
          <w:noProof/>
          <w:kern w:val="0"/>
        </w:rPr>
        <w:t xml:space="preserve"> (2016) ‘Cannabidiol regulation of learned fear: Implications for treating anxiety-related disorders’, </w:t>
      </w:r>
      <w:r w:rsidR="00620130" w:rsidRPr="00620130">
        <w:rPr>
          <w:rFonts w:ascii="Aptos" w:hAnsi="Aptos" w:cs="Iskoola Pota"/>
          <w:i/>
          <w:iCs/>
          <w:noProof/>
          <w:kern w:val="0"/>
        </w:rPr>
        <w:t>Frontiers in Pharmacology</w:t>
      </w:r>
      <w:r w:rsidR="00620130" w:rsidRPr="00620130">
        <w:rPr>
          <w:rFonts w:ascii="Aptos" w:hAnsi="Aptos" w:cs="Iskoola Pota"/>
          <w:noProof/>
          <w:kern w:val="0"/>
        </w:rPr>
        <w:t>, 7(NOV), pp. 1–8. Available at: https://doi.org/10.3389/fphar.2016.00454.</w:t>
      </w:r>
    </w:p>
    <w:p w14:paraId="70D6055F" w14:textId="7E09C92A"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9</w:t>
      </w:r>
      <w:r>
        <w:t xml:space="preserve">] </w:t>
      </w:r>
      <w:r w:rsidR="00620130" w:rsidRPr="00620130">
        <w:rPr>
          <w:rFonts w:ascii="Aptos" w:hAnsi="Aptos" w:cs="Iskoola Pota"/>
          <w:noProof/>
          <w:kern w:val="0"/>
        </w:rPr>
        <w:t xml:space="preserve">Moreno-Rius, J. (2018) ‘The cerebellum in fear and anxiety-related disorders’, </w:t>
      </w:r>
      <w:r w:rsidR="00620130" w:rsidRPr="00620130">
        <w:rPr>
          <w:rFonts w:ascii="Aptos" w:hAnsi="Aptos" w:cs="Iskoola Pota"/>
          <w:i/>
          <w:iCs/>
          <w:noProof/>
          <w:kern w:val="0"/>
        </w:rPr>
        <w:t>Progress in Neuro-Psychopharmacology and Biological Psychiatry</w:t>
      </w:r>
      <w:r w:rsidR="00620130" w:rsidRPr="00620130">
        <w:rPr>
          <w:rFonts w:ascii="Aptos" w:hAnsi="Aptos" w:cs="Iskoola Pota"/>
          <w:noProof/>
          <w:kern w:val="0"/>
        </w:rPr>
        <w:t>, 85(December 2017), pp. 23–32. Available at: https://doi.org/10.1016/j.pnpbp.2018.04.002.</w:t>
      </w:r>
    </w:p>
    <w:p w14:paraId="5D98F2BD" w14:textId="0B1D5418"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w:t>
      </w:r>
      <w:r>
        <w:t>10</w:t>
      </w:r>
      <w:r>
        <w:t xml:space="preserve">] </w:t>
      </w:r>
      <w:r w:rsidR="00620130" w:rsidRPr="00620130">
        <w:rPr>
          <w:rFonts w:ascii="Aptos" w:hAnsi="Aptos" w:cs="Iskoola Pota"/>
          <w:noProof/>
          <w:kern w:val="0"/>
        </w:rPr>
        <w:t xml:space="preserve">Rebello, T.J. </w:t>
      </w:r>
      <w:r w:rsidR="00620130" w:rsidRPr="00620130">
        <w:rPr>
          <w:rFonts w:ascii="Aptos" w:hAnsi="Aptos" w:cs="Iskoola Pota"/>
          <w:i/>
          <w:iCs/>
          <w:noProof/>
          <w:kern w:val="0"/>
        </w:rPr>
        <w:t>et al.</w:t>
      </w:r>
      <w:r w:rsidR="00620130" w:rsidRPr="00620130">
        <w:rPr>
          <w:rFonts w:ascii="Aptos" w:hAnsi="Aptos" w:cs="Iskoola Pota"/>
          <w:noProof/>
          <w:kern w:val="0"/>
        </w:rPr>
        <w:t xml:space="preserve"> (2019) ‘Anxiety and Fear-Related Disorders in the ICD-11: Results </w:t>
      </w:r>
      <w:r w:rsidR="00620130" w:rsidRPr="00620130">
        <w:rPr>
          <w:rFonts w:ascii="Aptos" w:hAnsi="Aptos" w:cs="Iskoola Pota"/>
          <w:noProof/>
          <w:kern w:val="0"/>
        </w:rPr>
        <w:lastRenderedPageBreak/>
        <w:t xml:space="preserve">from a Global Case-controlled Field Study’, </w:t>
      </w:r>
      <w:r w:rsidR="00620130" w:rsidRPr="00620130">
        <w:rPr>
          <w:rFonts w:ascii="Aptos" w:hAnsi="Aptos" w:cs="Iskoola Pota"/>
          <w:i/>
          <w:iCs/>
          <w:noProof/>
          <w:kern w:val="0"/>
        </w:rPr>
        <w:t>Archives of Medical Research</w:t>
      </w:r>
      <w:r w:rsidR="00620130" w:rsidRPr="00620130">
        <w:rPr>
          <w:rFonts w:ascii="Aptos" w:hAnsi="Aptos" w:cs="Iskoola Pota"/>
          <w:noProof/>
          <w:kern w:val="0"/>
        </w:rPr>
        <w:t>, 50(8), pp. 490–501. Available at: https://doi.org/10.1016/j.arcmed.2019.12.012.</w:t>
      </w:r>
    </w:p>
    <w:p w14:paraId="4FA525C9" w14:textId="7734F3FA"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[1</w:t>
      </w:r>
      <w:r>
        <w:t>1</w:t>
      </w:r>
      <w:r>
        <w:t xml:space="preserve">] </w:t>
      </w:r>
      <w:r w:rsidR="00620130" w:rsidRPr="00620130">
        <w:rPr>
          <w:rFonts w:ascii="Aptos" w:hAnsi="Aptos" w:cs="Iskoola Pota"/>
          <w:noProof/>
          <w:kern w:val="0"/>
        </w:rPr>
        <w:t xml:space="preserve">Ressler, K.J. (2020) ‘Translating across circuits and genetics toward progress in fear- And anxiety-related disorders’, </w:t>
      </w:r>
      <w:r w:rsidR="00620130" w:rsidRPr="00620130">
        <w:rPr>
          <w:rFonts w:ascii="Aptos" w:hAnsi="Aptos" w:cs="Iskoola Pota"/>
          <w:i/>
          <w:iCs/>
          <w:noProof/>
          <w:kern w:val="0"/>
        </w:rPr>
        <w:t>American Journal of Psychiatry</w:t>
      </w:r>
      <w:r w:rsidR="00620130" w:rsidRPr="00620130">
        <w:rPr>
          <w:rFonts w:ascii="Aptos" w:hAnsi="Aptos" w:cs="Iskoola Pota"/>
          <w:noProof/>
          <w:kern w:val="0"/>
        </w:rPr>
        <w:t>, 177(3), pp. 214–222. Available at: https://doi.org/10.1176/APPI.AJP.2020.20010055.</w:t>
      </w:r>
    </w:p>
    <w:p w14:paraId="0DA763CB" w14:textId="4580C5D1"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[1</w:t>
      </w:r>
      <w:r>
        <w:t>2</w:t>
      </w:r>
      <w:r>
        <w:t xml:space="preserve">] </w:t>
      </w:r>
      <w:r w:rsidR="00620130" w:rsidRPr="00620130">
        <w:rPr>
          <w:rFonts w:ascii="Aptos" w:hAnsi="Aptos" w:cs="Iskoola Pota"/>
          <w:noProof/>
          <w:kern w:val="0"/>
        </w:rPr>
        <w:t xml:space="preserve">Rutkowski, S. </w:t>
      </w:r>
      <w:r w:rsidR="00620130" w:rsidRPr="00620130">
        <w:rPr>
          <w:rFonts w:ascii="Aptos" w:hAnsi="Aptos" w:cs="Iskoola Pota"/>
          <w:i/>
          <w:iCs/>
          <w:noProof/>
          <w:kern w:val="0"/>
        </w:rPr>
        <w:t>et al.</w:t>
      </w:r>
      <w:r w:rsidR="00620130" w:rsidRPr="00620130">
        <w:rPr>
          <w:rFonts w:ascii="Aptos" w:hAnsi="Aptos" w:cs="Iskoola Pota"/>
          <w:noProof/>
          <w:kern w:val="0"/>
        </w:rPr>
        <w:t xml:space="preserve"> (2022) ‘Effectiveness of an Inpatient Virtual Reality-Based Pulmonary Rehabilitation Program among COVID-19 Patients on Symptoms of Anxiety, Depression and Quality of Life: Preliminary Results from a Randomized Controlled Trial’, </w:t>
      </w:r>
      <w:r w:rsidR="00620130" w:rsidRPr="00620130">
        <w:rPr>
          <w:rFonts w:ascii="Aptos" w:hAnsi="Aptos" w:cs="Iskoola Pota"/>
          <w:i/>
          <w:iCs/>
          <w:noProof/>
          <w:kern w:val="0"/>
        </w:rPr>
        <w:t>International Journal of Environmental Research and Public Health</w:t>
      </w:r>
      <w:r w:rsidR="00620130" w:rsidRPr="00620130">
        <w:rPr>
          <w:rFonts w:ascii="Aptos" w:hAnsi="Aptos" w:cs="Iskoola Pota"/>
          <w:noProof/>
          <w:kern w:val="0"/>
        </w:rPr>
        <w:t>, 19(24). Available at: https://doi.org/10.3390/ijerph192416980.</w:t>
      </w:r>
    </w:p>
    <w:p w14:paraId="69AC1911" w14:textId="7831B079"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[1</w:t>
      </w:r>
      <w:r>
        <w:t>3</w:t>
      </w:r>
      <w:r>
        <w:t xml:space="preserve">] </w:t>
      </w:r>
      <w:r w:rsidR="00620130" w:rsidRPr="00620130">
        <w:rPr>
          <w:rFonts w:ascii="Aptos" w:hAnsi="Aptos" w:cs="Iskoola Pota"/>
          <w:noProof/>
          <w:kern w:val="0"/>
        </w:rPr>
        <w:t xml:space="preserve">Yu, Q. (2024) ‘Foreign language anxiety research in System between 2004 and 2023: looking back and looking forward’, </w:t>
      </w:r>
      <w:r w:rsidR="00620130" w:rsidRPr="00620130">
        <w:rPr>
          <w:rFonts w:ascii="Aptos" w:hAnsi="Aptos" w:cs="Iskoola Pota"/>
          <w:i/>
          <w:iCs/>
          <w:noProof/>
          <w:kern w:val="0"/>
        </w:rPr>
        <w:t>Frontiers in Psychology</w:t>
      </w:r>
      <w:r w:rsidR="00620130" w:rsidRPr="00620130">
        <w:rPr>
          <w:rFonts w:ascii="Aptos" w:hAnsi="Aptos" w:cs="Iskoola Pota"/>
          <w:noProof/>
          <w:kern w:val="0"/>
        </w:rPr>
        <w:t>, 15(April), pp. 1–7. Available at: https://doi.org/10.3389/fpsyg.2024.1373290.</w:t>
      </w:r>
    </w:p>
    <w:p w14:paraId="0A4A9578" w14:textId="254C1216" w:rsidR="00620130" w:rsidRPr="00620130" w:rsidRDefault="00AC2916" w:rsidP="00620130">
      <w:pPr>
        <w:widowControl w:val="0"/>
        <w:autoSpaceDE w:val="0"/>
        <w:autoSpaceDN w:val="0"/>
        <w:adjustRightInd w:val="0"/>
        <w:spacing w:line="360" w:lineRule="auto"/>
        <w:jc w:val="both"/>
        <w:rPr>
          <w:rFonts w:ascii="Aptos" w:hAnsi="Aptos" w:cs="Iskoola Pota"/>
          <w:noProof/>
          <w:kern w:val="0"/>
        </w:rPr>
      </w:pPr>
      <w:r>
        <w:t>[1</w:t>
      </w:r>
      <w:r>
        <w:t>4</w:t>
      </w:r>
      <w:r>
        <w:t xml:space="preserve">] </w:t>
      </w:r>
      <w:r w:rsidR="00620130" w:rsidRPr="00620130">
        <w:rPr>
          <w:rFonts w:ascii="Aptos" w:hAnsi="Aptos" w:cs="Iskoola Pota"/>
          <w:noProof/>
          <w:kern w:val="0"/>
        </w:rPr>
        <w:t xml:space="preserve">Zhang, P. </w:t>
      </w:r>
      <w:r w:rsidR="00620130" w:rsidRPr="00620130">
        <w:rPr>
          <w:rFonts w:ascii="Aptos" w:hAnsi="Aptos" w:cs="Iskoola Pota"/>
          <w:i/>
          <w:iCs/>
          <w:noProof/>
          <w:kern w:val="0"/>
        </w:rPr>
        <w:t>et al.</w:t>
      </w:r>
      <w:r w:rsidR="00620130" w:rsidRPr="00620130">
        <w:rPr>
          <w:rFonts w:ascii="Aptos" w:hAnsi="Aptos" w:cs="Iskoola Pota"/>
          <w:noProof/>
          <w:kern w:val="0"/>
        </w:rPr>
        <w:t xml:space="preserve"> (2024) ‘Research hot topics and frontiers in social anxiety over the past decade: a CiteSpace bibliometric analysis based on Web of Science database from 2013 to 2023’, </w:t>
      </w:r>
      <w:r w:rsidR="00620130" w:rsidRPr="00620130">
        <w:rPr>
          <w:rFonts w:ascii="Aptos" w:hAnsi="Aptos" w:cs="Iskoola Pota"/>
          <w:i/>
          <w:iCs/>
          <w:noProof/>
          <w:kern w:val="0"/>
        </w:rPr>
        <w:t>Frontiers in Psychiatry</w:t>
      </w:r>
      <w:r w:rsidR="00620130" w:rsidRPr="00620130">
        <w:rPr>
          <w:rFonts w:ascii="Aptos" w:hAnsi="Aptos" w:cs="Iskoola Pota"/>
          <w:noProof/>
          <w:kern w:val="0"/>
        </w:rPr>
        <w:t>, 15(October), pp. 1–23. Available at: https://doi.org/10.3389/fpsyt.2024.1421907.</w:t>
      </w:r>
    </w:p>
    <w:p w14:paraId="6A54CC78" w14:textId="725EA0D8" w:rsidR="00620130" w:rsidRPr="00620130" w:rsidRDefault="00AC2916" w:rsidP="00620130">
      <w:pPr>
        <w:widowControl w:val="0"/>
        <w:autoSpaceDE w:val="0"/>
        <w:autoSpaceDN w:val="0"/>
        <w:adjustRightInd w:val="0"/>
        <w:spacing w:line="360" w:lineRule="auto"/>
        <w:jc w:val="both"/>
        <w:rPr>
          <w:rFonts w:ascii="Aptos" w:hAnsi="Aptos"/>
          <w:noProof/>
        </w:rPr>
      </w:pPr>
      <w:r>
        <w:t>[1</w:t>
      </w:r>
      <w:r>
        <w:t>5</w:t>
      </w:r>
      <w:r>
        <w:t xml:space="preserve">] </w:t>
      </w:r>
      <w:r w:rsidR="00620130" w:rsidRPr="00620130">
        <w:rPr>
          <w:rFonts w:ascii="Aptos" w:hAnsi="Aptos" w:cs="Iskoola Pota"/>
          <w:noProof/>
          <w:kern w:val="0"/>
        </w:rPr>
        <w:t xml:space="preserve">Zhao, F.Y. </w:t>
      </w:r>
      <w:r w:rsidR="00620130" w:rsidRPr="00620130">
        <w:rPr>
          <w:rFonts w:ascii="Aptos" w:hAnsi="Aptos" w:cs="Iskoola Pota"/>
          <w:i/>
          <w:iCs/>
          <w:noProof/>
          <w:kern w:val="0"/>
        </w:rPr>
        <w:t>et al.</w:t>
      </w:r>
      <w:r w:rsidR="00620130" w:rsidRPr="00620130">
        <w:rPr>
          <w:rFonts w:ascii="Aptos" w:hAnsi="Aptos" w:cs="Iskoola Pota"/>
          <w:noProof/>
          <w:kern w:val="0"/>
        </w:rPr>
        <w:t xml:space="preserve"> (2023) ‘Identifying complementary and alternative medicine recommendations for anxiety treatment and care: a systematic review and critical assessment of comprehensive clinical practice guidelines’, </w:t>
      </w:r>
      <w:r w:rsidR="00620130" w:rsidRPr="00620130">
        <w:rPr>
          <w:rFonts w:ascii="Aptos" w:hAnsi="Aptos" w:cs="Iskoola Pota"/>
          <w:i/>
          <w:iCs/>
          <w:noProof/>
          <w:kern w:val="0"/>
        </w:rPr>
        <w:t>Frontiers in Psychiatry</w:t>
      </w:r>
      <w:r w:rsidR="00620130" w:rsidRPr="00620130">
        <w:rPr>
          <w:rFonts w:ascii="Aptos" w:hAnsi="Aptos" w:cs="Iskoola Pota"/>
          <w:noProof/>
          <w:kern w:val="0"/>
        </w:rPr>
        <w:t>, 14(December). Available at: https://doi.org/10.3389/fpsyt.2023.1290580.</w:t>
      </w:r>
    </w:p>
    <w:p w14:paraId="6A22805C" w14:textId="64EA5238" w:rsidR="00620130" w:rsidRPr="00620130" w:rsidRDefault="00620130" w:rsidP="00620130">
      <w:pPr>
        <w:spacing w:line="360" w:lineRule="auto"/>
        <w:jc w:val="both"/>
      </w:pPr>
      <w:r>
        <w:fldChar w:fldCharType="end"/>
      </w:r>
    </w:p>
    <w:p w14:paraId="36AF8A5E" w14:textId="77777777" w:rsidR="00620130" w:rsidRPr="00710EE2" w:rsidRDefault="00620130" w:rsidP="00620130">
      <w:pPr>
        <w:spacing w:line="360" w:lineRule="auto"/>
        <w:jc w:val="both"/>
        <w:rPr>
          <w:rFonts w:ascii="Arial" w:hAnsi="Arial" w:cs="Arial"/>
          <w:sz w:val="22"/>
          <w:szCs w:val="22"/>
        </w:rPr>
      </w:pPr>
    </w:p>
    <w:p w14:paraId="605000EE" w14:textId="77777777" w:rsidR="00FF21AF" w:rsidRPr="00710EE2" w:rsidRDefault="00FF21AF" w:rsidP="00620130">
      <w:pPr>
        <w:spacing w:line="360" w:lineRule="auto"/>
        <w:jc w:val="both"/>
        <w:rPr>
          <w:rFonts w:ascii="Arial" w:hAnsi="Arial" w:cs="Arial"/>
          <w:sz w:val="22"/>
          <w:szCs w:val="22"/>
        </w:rPr>
      </w:pPr>
    </w:p>
    <w:sectPr w:rsidR="00FF21AF" w:rsidRPr="00710EE2" w:rsidSect="000634AD">
      <w:footerReference w:type="default" r:id="rId1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22919" w14:textId="77777777" w:rsidR="00C75C0D" w:rsidRDefault="00C75C0D" w:rsidP="007221AC">
      <w:pPr>
        <w:spacing w:after="0" w:line="240" w:lineRule="auto"/>
      </w:pPr>
      <w:r>
        <w:separator/>
      </w:r>
    </w:p>
  </w:endnote>
  <w:endnote w:type="continuationSeparator" w:id="0">
    <w:p w14:paraId="588A62AE" w14:textId="77777777" w:rsidR="00C75C0D" w:rsidRDefault="00C75C0D" w:rsidP="00722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35943" w14:textId="5BF620F0" w:rsidR="007221AC" w:rsidRDefault="007221AC">
    <w:pPr>
      <w:pStyle w:val="Footer"/>
      <w:jc w:val="center"/>
    </w:pPr>
  </w:p>
  <w:p w14:paraId="52ACA433" w14:textId="77777777" w:rsidR="007221AC" w:rsidRDefault="007221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8511679"/>
      <w:docPartObj>
        <w:docPartGallery w:val="Page Numbers (Bottom of Page)"/>
        <w:docPartUnique/>
      </w:docPartObj>
    </w:sdtPr>
    <w:sdtEndPr>
      <w:rPr>
        <w:noProof/>
      </w:rPr>
    </w:sdtEndPr>
    <w:sdtContent>
      <w:p w14:paraId="37BA074C" w14:textId="2C9DF04B" w:rsidR="007221AC" w:rsidRDefault="007221AC">
        <w:pPr>
          <w:pStyle w:val="Footer"/>
          <w:jc w:val="center"/>
        </w:pPr>
        <w:r>
          <w:t>1</w:t>
        </w:r>
      </w:p>
    </w:sdtContent>
  </w:sdt>
  <w:p w14:paraId="3C925194" w14:textId="77777777" w:rsidR="007221AC" w:rsidRDefault="007221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9454886"/>
      <w:docPartObj>
        <w:docPartGallery w:val="Page Numbers (Bottom of Page)"/>
        <w:docPartUnique/>
      </w:docPartObj>
    </w:sdtPr>
    <w:sdtEndPr>
      <w:rPr>
        <w:noProof/>
      </w:rPr>
    </w:sdtEndPr>
    <w:sdtContent>
      <w:p w14:paraId="01F8D612" w14:textId="57477584" w:rsidR="007221AC" w:rsidRDefault="007221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A21E5" w14:textId="77777777" w:rsidR="007221AC" w:rsidRDefault="00722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37854" w14:textId="77777777" w:rsidR="00C75C0D" w:rsidRDefault="00C75C0D" w:rsidP="007221AC">
      <w:pPr>
        <w:spacing w:after="0" w:line="240" w:lineRule="auto"/>
      </w:pPr>
      <w:r>
        <w:separator/>
      </w:r>
    </w:p>
  </w:footnote>
  <w:footnote w:type="continuationSeparator" w:id="0">
    <w:p w14:paraId="3089E9AA" w14:textId="77777777" w:rsidR="00C75C0D" w:rsidRDefault="00C75C0D" w:rsidP="00722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3538"/>
    <w:multiLevelType w:val="multilevel"/>
    <w:tmpl w:val="5060F2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A592FED"/>
    <w:multiLevelType w:val="hybridMultilevel"/>
    <w:tmpl w:val="853E2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220EBB"/>
    <w:multiLevelType w:val="hybridMultilevel"/>
    <w:tmpl w:val="804C4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191E95"/>
    <w:multiLevelType w:val="multilevel"/>
    <w:tmpl w:val="5060F2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A8905AF"/>
    <w:multiLevelType w:val="multilevel"/>
    <w:tmpl w:val="B0F8C5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17348914">
    <w:abstractNumId w:val="1"/>
  </w:num>
  <w:num w:numId="2" w16cid:durableId="2000569712">
    <w:abstractNumId w:val="2"/>
  </w:num>
  <w:num w:numId="3" w16cid:durableId="1064135793">
    <w:abstractNumId w:val="0"/>
  </w:num>
  <w:num w:numId="4" w16cid:durableId="377435451">
    <w:abstractNumId w:val="4"/>
  </w:num>
  <w:num w:numId="5" w16cid:durableId="19155529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C6D"/>
    <w:rsid w:val="00034630"/>
    <w:rsid w:val="000634AD"/>
    <w:rsid w:val="00084B1D"/>
    <w:rsid w:val="000C7285"/>
    <w:rsid w:val="000F0B31"/>
    <w:rsid w:val="000F2A09"/>
    <w:rsid w:val="000F5EAE"/>
    <w:rsid w:val="000F7D59"/>
    <w:rsid w:val="00111AA8"/>
    <w:rsid w:val="001333DF"/>
    <w:rsid w:val="00196C92"/>
    <w:rsid w:val="001B101D"/>
    <w:rsid w:val="00201273"/>
    <w:rsid w:val="00223546"/>
    <w:rsid w:val="0022635A"/>
    <w:rsid w:val="00237666"/>
    <w:rsid w:val="0027269B"/>
    <w:rsid w:val="00292177"/>
    <w:rsid w:val="003146A2"/>
    <w:rsid w:val="00317269"/>
    <w:rsid w:val="003259AC"/>
    <w:rsid w:val="00365139"/>
    <w:rsid w:val="0039478E"/>
    <w:rsid w:val="003B5EA4"/>
    <w:rsid w:val="003C7489"/>
    <w:rsid w:val="003D7540"/>
    <w:rsid w:val="003E571B"/>
    <w:rsid w:val="00412391"/>
    <w:rsid w:val="00464800"/>
    <w:rsid w:val="004D1C80"/>
    <w:rsid w:val="004F5204"/>
    <w:rsid w:val="00517672"/>
    <w:rsid w:val="00527769"/>
    <w:rsid w:val="005336F0"/>
    <w:rsid w:val="00535785"/>
    <w:rsid w:val="0054041E"/>
    <w:rsid w:val="00586F82"/>
    <w:rsid w:val="005D359D"/>
    <w:rsid w:val="00620130"/>
    <w:rsid w:val="00652DB8"/>
    <w:rsid w:val="00660972"/>
    <w:rsid w:val="006963B2"/>
    <w:rsid w:val="00696BF7"/>
    <w:rsid w:val="006A0B13"/>
    <w:rsid w:val="006A5052"/>
    <w:rsid w:val="006D78C1"/>
    <w:rsid w:val="006F0F0A"/>
    <w:rsid w:val="00710EE2"/>
    <w:rsid w:val="00717FD1"/>
    <w:rsid w:val="007221AC"/>
    <w:rsid w:val="0072472E"/>
    <w:rsid w:val="00763C8D"/>
    <w:rsid w:val="00773089"/>
    <w:rsid w:val="00776C61"/>
    <w:rsid w:val="007F6FD0"/>
    <w:rsid w:val="00804D56"/>
    <w:rsid w:val="00870722"/>
    <w:rsid w:val="008D19EA"/>
    <w:rsid w:val="008E13F7"/>
    <w:rsid w:val="00912A92"/>
    <w:rsid w:val="00933496"/>
    <w:rsid w:val="009D3D46"/>
    <w:rsid w:val="00A455D3"/>
    <w:rsid w:val="00A462BF"/>
    <w:rsid w:val="00A53537"/>
    <w:rsid w:val="00A541BB"/>
    <w:rsid w:val="00A5668D"/>
    <w:rsid w:val="00A827A2"/>
    <w:rsid w:val="00A93039"/>
    <w:rsid w:val="00A9709D"/>
    <w:rsid w:val="00AA684B"/>
    <w:rsid w:val="00AC2916"/>
    <w:rsid w:val="00AE1D35"/>
    <w:rsid w:val="00B22090"/>
    <w:rsid w:val="00B71E59"/>
    <w:rsid w:val="00B80C1F"/>
    <w:rsid w:val="00BB748F"/>
    <w:rsid w:val="00BE0572"/>
    <w:rsid w:val="00BF775A"/>
    <w:rsid w:val="00C15891"/>
    <w:rsid w:val="00C24320"/>
    <w:rsid w:val="00C53401"/>
    <w:rsid w:val="00C75C0D"/>
    <w:rsid w:val="00C76B69"/>
    <w:rsid w:val="00CE1977"/>
    <w:rsid w:val="00CF25D5"/>
    <w:rsid w:val="00D06C6D"/>
    <w:rsid w:val="00D12906"/>
    <w:rsid w:val="00D169D4"/>
    <w:rsid w:val="00D423D1"/>
    <w:rsid w:val="00D4360C"/>
    <w:rsid w:val="00D96B6E"/>
    <w:rsid w:val="00DA75EC"/>
    <w:rsid w:val="00DE4F8A"/>
    <w:rsid w:val="00E17DDD"/>
    <w:rsid w:val="00E262C9"/>
    <w:rsid w:val="00E62D0A"/>
    <w:rsid w:val="00E82161"/>
    <w:rsid w:val="00E830E2"/>
    <w:rsid w:val="00E96CD3"/>
    <w:rsid w:val="00EC2D20"/>
    <w:rsid w:val="00ED3F89"/>
    <w:rsid w:val="00ED5084"/>
    <w:rsid w:val="00ED7239"/>
    <w:rsid w:val="00F252E6"/>
    <w:rsid w:val="00F26ADD"/>
    <w:rsid w:val="00F32201"/>
    <w:rsid w:val="00F53F82"/>
    <w:rsid w:val="00FC20EE"/>
    <w:rsid w:val="00FF02A6"/>
    <w:rsid w:val="00FF21AF"/>
    <w:rsid w:val="00FF3831"/>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0FE9C6"/>
  <w15:chartTrackingRefBased/>
  <w15:docId w15:val="{533D7A1C-1D6D-48F0-8AAC-32B2EB5F5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D59"/>
    <w:pPr>
      <w:keepNext/>
      <w:keepLines/>
      <w:numPr>
        <w:numId w:val="4"/>
      </w:numPr>
      <w:spacing w:before="360" w:after="80"/>
      <w:outlineLvl w:val="0"/>
    </w:pPr>
    <w:rPr>
      <w:rFonts w:ascii="Arial" w:eastAsiaTheme="majorEastAsia" w:hAnsi="Arial" w:cs="Arial"/>
      <w:b/>
      <w:bCs/>
    </w:rPr>
  </w:style>
  <w:style w:type="paragraph" w:styleId="Heading2">
    <w:name w:val="heading 2"/>
    <w:basedOn w:val="Heading1"/>
    <w:next w:val="Normal"/>
    <w:link w:val="Heading2Char"/>
    <w:uiPriority w:val="9"/>
    <w:unhideWhenUsed/>
    <w:qFormat/>
    <w:rsid w:val="000F7D59"/>
    <w:pPr>
      <w:numPr>
        <w:ilvl w:val="1"/>
      </w:numPr>
      <w:outlineLvl w:val="1"/>
    </w:pPr>
    <w:rPr>
      <w:sz w:val="22"/>
      <w:szCs w:val="22"/>
    </w:rPr>
  </w:style>
  <w:style w:type="paragraph" w:styleId="Heading3">
    <w:name w:val="heading 3"/>
    <w:basedOn w:val="Normal"/>
    <w:next w:val="Normal"/>
    <w:link w:val="Heading3Char"/>
    <w:uiPriority w:val="9"/>
    <w:unhideWhenUsed/>
    <w:qFormat/>
    <w:rsid w:val="000F7D59"/>
    <w:pPr>
      <w:numPr>
        <w:ilvl w:val="2"/>
        <w:numId w:val="4"/>
      </w:numPr>
      <w:spacing w:line="360" w:lineRule="auto"/>
      <w:jc w:val="both"/>
      <w:outlineLvl w:val="2"/>
    </w:pPr>
    <w:rPr>
      <w:rFonts w:ascii="Arial" w:hAnsi="Arial" w:cs="Arial"/>
      <w:b/>
      <w:bCs/>
      <w:sz w:val="22"/>
      <w:szCs w:val="22"/>
    </w:rPr>
  </w:style>
  <w:style w:type="paragraph" w:styleId="Heading4">
    <w:name w:val="heading 4"/>
    <w:basedOn w:val="Normal"/>
    <w:next w:val="Normal"/>
    <w:link w:val="Heading4Char"/>
    <w:uiPriority w:val="9"/>
    <w:semiHidden/>
    <w:unhideWhenUsed/>
    <w:qFormat/>
    <w:rsid w:val="00D06C6D"/>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C6D"/>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C6D"/>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C6D"/>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C6D"/>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C6D"/>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D59"/>
    <w:rPr>
      <w:rFonts w:ascii="Arial" w:eastAsiaTheme="majorEastAsia" w:hAnsi="Arial" w:cs="Arial"/>
      <w:b/>
      <w:bCs/>
    </w:rPr>
  </w:style>
  <w:style w:type="character" w:customStyle="1" w:styleId="Heading2Char">
    <w:name w:val="Heading 2 Char"/>
    <w:basedOn w:val="DefaultParagraphFont"/>
    <w:link w:val="Heading2"/>
    <w:uiPriority w:val="9"/>
    <w:rsid w:val="000F7D59"/>
    <w:rPr>
      <w:rFonts w:ascii="Arial" w:eastAsiaTheme="majorEastAsia" w:hAnsi="Arial" w:cs="Arial"/>
      <w:b/>
      <w:bCs/>
      <w:sz w:val="22"/>
      <w:szCs w:val="22"/>
    </w:rPr>
  </w:style>
  <w:style w:type="character" w:customStyle="1" w:styleId="Heading3Char">
    <w:name w:val="Heading 3 Char"/>
    <w:basedOn w:val="DefaultParagraphFont"/>
    <w:link w:val="Heading3"/>
    <w:uiPriority w:val="9"/>
    <w:rsid w:val="000F7D59"/>
    <w:rPr>
      <w:rFonts w:ascii="Arial" w:hAnsi="Arial" w:cs="Arial"/>
      <w:b/>
      <w:bCs/>
      <w:sz w:val="22"/>
      <w:szCs w:val="22"/>
    </w:rPr>
  </w:style>
  <w:style w:type="character" w:customStyle="1" w:styleId="Heading4Char">
    <w:name w:val="Heading 4 Char"/>
    <w:basedOn w:val="DefaultParagraphFont"/>
    <w:link w:val="Heading4"/>
    <w:uiPriority w:val="9"/>
    <w:semiHidden/>
    <w:rsid w:val="00D06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C6D"/>
    <w:rPr>
      <w:rFonts w:eastAsiaTheme="majorEastAsia" w:cstheme="majorBidi"/>
      <w:color w:val="272727" w:themeColor="text1" w:themeTint="D8"/>
    </w:rPr>
  </w:style>
  <w:style w:type="paragraph" w:styleId="Title">
    <w:name w:val="Title"/>
    <w:basedOn w:val="Normal"/>
    <w:next w:val="Normal"/>
    <w:link w:val="TitleChar"/>
    <w:uiPriority w:val="10"/>
    <w:qFormat/>
    <w:rsid w:val="00D06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C6D"/>
    <w:pPr>
      <w:spacing w:before="160"/>
      <w:jc w:val="center"/>
    </w:pPr>
    <w:rPr>
      <w:i/>
      <w:iCs/>
      <w:color w:val="404040" w:themeColor="text1" w:themeTint="BF"/>
    </w:rPr>
  </w:style>
  <w:style w:type="character" w:customStyle="1" w:styleId="QuoteChar">
    <w:name w:val="Quote Char"/>
    <w:basedOn w:val="DefaultParagraphFont"/>
    <w:link w:val="Quote"/>
    <w:uiPriority w:val="29"/>
    <w:rsid w:val="00D06C6D"/>
    <w:rPr>
      <w:i/>
      <w:iCs/>
      <w:color w:val="404040" w:themeColor="text1" w:themeTint="BF"/>
    </w:rPr>
  </w:style>
  <w:style w:type="paragraph" w:styleId="ListParagraph">
    <w:name w:val="List Paragraph"/>
    <w:basedOn w:val="Normal"/>
    <w:uiPriority w:val="34"/>
    <w:qFormat/>
    <w:rsid w:val="00D06C6D"/>
    <w:pPr>
      <w:ind w:left="720"/>
      <w:contextualSpacing/>
    </w:pPr>
  </w:style>
  <w:style w:type="character" w:styleId="IntenseEmphasis">
    <w:name w:val="Intense Emphasis"/>
    <w:basedOn w:val="DefaultParagraphFont"/>
    <w:uiPriority w:val="21"/>
    <w:qFormat/>
    <w:rsid w:val="00D06C6D"/>
    <w:rPr>
      <w:i/>
      <w:iCs/>
      <w:color w:val="0F4761" w:themeColor="accent1" w:themeShade="BF"/>
    </w:rPr>
  </w:style>
  <w:style w:type="paragraph" w:styleId="IntenseQuote">
    <w:name w:val="Intense Quote"/>
    <w:basedOn w:val="Normal"/>
    <w:next w:val="Normal"/>
    <w:link w:val="IntenseQuoteChar"/>
    <w:uiPriority w:val="30"/>
    <w:qFormat/>
    <w:rsid w:val="00D06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C6D"/>
    <w:rPr>
      <w:i/>
      <w:iCs/>
      <w:color w:val="0F4761" w:themeColor="accent1" w:themeShade="BF"/>
    </w:rPr>
  </w:style>
  <w:style w:type="character" w:styleId="IntenseReference">
    <w:name w:val="Intense Reference"/>
    <w:basedOn w:val="DefaultParagraphFont"/>
    <w:uiPriority w:val="32"/>
    <w:qFormat/>
    <w:rsid w:val="00D06C6D"/>
    <w:rPr>
      <w:b/>
      <w:bCs/>
      <w:smallCaps/>
      <w:color w:val="0F4761" w:themeColor="accent1" w:themeShade="BF"/>
      <w:spacing w:val="5"/>
    </w:rPr>
  </w:style>
  <w:style w:type="paragraph" w:styleId="TOCHeading">
    <w:name w:val="TOC Heading"/>
    <w:basedOn w:val="Heading1"/>
    <w:next w:val="Normal"/>
    <w:uiPriority w:val="39"/>
    <w:unhideWhenUsed/>
    <w:qFormat/>
    <w:rsid w:val="007221AC"/>
    <w:pPr>
      <w:numPr>
        <w:numId w:val="0"/>
      </w:numPr>
      <w:spacing w:before="240" w:after="0" w:line="259" w:lineRule="auto"/>
      <w:outlineLvl w:val="9"/>
    </w:pPr>
    <w:rPr>
      <w:rFonts w:asciiTheme="majorHAnsi" w:hAnsiTheme="majorHAnsi" w:cstheme="majorBidi"/>
      <w:b w:val="0"/>
      <w:bCs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7221AC"/>
    <w:pPr>
      <w:spacing w:after="100"/>
    </w:pPr>
  </w:style>
  <w:style w:type="paragraph" w:styleId="TOC2">
    <w:name w:val="toc 2"/>
    <w:basedOn w:val="Normal"/>
    <w:next w:val="Normal"/>
    <w:autoRedefine/>
    <w:uiPriority w:val="39"/>
    <w:unhideWhenUsed/>
    <w:rsid w:val="007221AC"/>
    <w:pPr>
      <w:spacing w:after="100"/>
      <w:ind w:left="240"/>
    </w:pPr>
  </w:style>
  <w:style w:type="character" w:styleId="Hyperlink">
    <w:name w:val="Hyperlink"/>
    <w:basedOn w:val="DefaultParagraphFont"/>
    <w:uiPriority w:val="99"/>
    <w:unhideWhenUsed/>
    <w:rsid w:val="007221AC"/>
    <w:rPr>
      <w:color w:val="467886" w:themeColor="hyperlink"/>
      <w:u w:val="single"/>
    </w:rPr>
  </w:style>
  <w:style w:type="paragraph" w:styleId="Header">
    <w:name w:val="header"/>
    <w:basedOn w:val="Normal"/>
    <w:link w:val="HeaderChar"/>
    <w:uiPriority w:val="99"/>
    <w:unhideWhenUsed/>
    <w:rsid w:val="00722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21AC"/>
  </w:style>
  <w:style w:type="paragraph" w:styleId="Footer">
    <w:name w:val="footer"/>
    <w:basedOn w:val="Normal"/>
    <w:link w:val="FooterChar"/>
    <w:uiPriority w:val="99"/>
    <w:unhideWhenUsed/>
    <w:rsid w:val="00722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2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4AB7E2-2956-4BCC-BC34-1CCBD5D50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12</Pages>
  <Words>18679</Words>
  <Characters>112076</Characters>
  <Application>Microsoft Office Word</Application>
  <DocSecurity>0</DocSecurity>
  <Lines>2114</Lines>
  <Paragraphs>802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Harpinder Powar</cp:lastModifiedBy>
  <cp:revision>165</cp:revision>
  <cp:lastPrinted>2025-10-29T18:06:00Z</cp:lastPrinted>
  <dcterms:created xsi:type="dcterms:W3CDTF">2025-10-28T05:32:00Z</dcterms:created>
  <dcterms:modified xsi:type="dcterms:W3CDTF">2025-10-30T12:05:00Z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1bb89911-396a-3ff2-8095-5b0e065f650e</vt:lpwstr>
  </property>
  <property fmtid="{D5CDD505-2E9C-101B-9397-08002B2CF9AE}" pid="24" name="Mendeley Citation Style_1">
    <vt:lpwstr>http://www.zotero.org/styles/harvard-cite-them-right</vt:lpwstr>
  </property>
  <property fmtid="{D5CDD505-2E9C-101B-9397-08002B2CF9AE}" pid="25" name="GrammarlyDocumentId">
    <vt:lpwstr>758716f6-1c0f-49ef-ba8c-dee682e107d4</vt:lpwstr>
  </property>
</Properties>
</file>