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85EAC" w14:textId="77777777" w:rsidR="008567D9" w:rsidRDefault="008567D9" w:rsidP="008567D9">
      <w:pPr>
        <w:spacing w:after="0" w:line="480" w:lineRule="auto"/>
        <w:jc w:val="center"/>
        <w:rPr>
          <w:rFonts w:ascii="Times New Roman" w:hAnsi="Times New Roman" w:cs="Times New Roman"/>
          <w:b/>
          <w:color w:val="000000" w:themeColor="text1"/>
          <w:sz w:val="24"/>
          <w:szCs w:val="24"/>
        </w:rPr>
      </w:pPr>
    </w:p>
    <w:p w14:paraId="1344E2F3" w14:textId="77777777" w:rsidR="008567D9" w:rsidRDefault="008567D9" w:rsidP="008567D9">
      <w:pPr>
        <w:spacing w:after="0" w:line="480" w:lineRule="auto"/>
        <w:jc w:val="center"/>
        <w:rPr>
          <w:rFonts w:ascii="Times New Roman" w:hAnsi="Times New Roman" w:cs="Times New Roman"/>
          <w:b/>
          <w:color w:val="000000" w:themeColor="text1"/>
          <w:sz w:val="24"/>
          <w:szCs w:val="24"/>
        </w:rPr>
      </w:pPr>
    </w:p>
    <w:p w14:paraId="54C33E6C" w14:textId="77777777" w:rsidR="008567D9" w:rsidRDefault="008567D9" w:rsidP="008567D9">
      <w:pPr>
        <w:spacing w:after="0" w:line="480" w:lineRule="auto"/>
        <w:jc w:val="center"/>
        <w:rPr>
          <w:rFonts w:ascii="Times New Roman" w:hAnsi="Times New Roman" w:cs="Times New Roman"/>
          <w:b/>
          <w:color w:val="000000" w:themeColor="text1"/>
          <w:sz w:val="24"/>
          <w:szCs w:val="24"/>
        </w:rPr>
      </w:pPr>
    </w:p>
    <w:p w14:paraId="613E8D46" w14:textId="77777777" w:rsidR="008567D9" w:rsidRDefault="008567D9" w:rsidP="008567D9">
      <w:pPr>
        <w:spacing w:after="0" w:line="480" w:lineRule="auto"/>
        <w:jc w:val="center"/>
        <w:rPr>
          <w:rFonts w:ascii="Times New Roman" w:hAnsi="Times New Roman" w:cs="Times New Roman"/>
          <w:b/>
          <w:color w:val="000000" w:themeColor="text1"/>
          <w:sz w:val="24"/>
          <w:szCs w:val="24"/>
        </w:rPr>
      </w:pPr>
    </w:p>
    <w:p w14:paraId="37BEA0AE" w14:textId="77777777" w:rsidR="008567D9" w:rsidRDefault="008567D9" w:rsidP="008567D9">
      <w:pPr>
        <w:spacing w:after="0" w:line="480" w:lineRule="auto"/>
        <w:jc w:val="center"/>
        <w:rPr>
          <w:rFonts w:ascii="Times New Roman" w:hAnsi="Times New Roman" w:cs="Times New Roman"/>
          <w:b/>
          <w:color w:val="000000" w:themeColor="text1"/>
          <w:sz w:val="24"/>
          <w:szCs w:val="24"/>
        </w:rPr>
      </w:pPr>
    </w:p>
    <w:p w14:paraId="2726FC6B" w14:textId="77777777" w:rsidR="008567D9" w:rsidRPr="00CE0D48"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 xml:space="preserve">Strategic Growth Report for Vodafone UK After the </w:t>
      </w:r>
      <w:proofErr w:type="spellStart"/>
      <w:r w:rsidRPr="00CE0D48">
        <w:rPr>
          <w:rFonts w:ascii="Times New Roman" w:hAnsi="Times New Roman" w:cs="Times New Roman"/>
          <w:b/>
          <w:color w:val="000000" w:themeColor="text1"/>
          <w:sz w:val="24"/>
          <w:szCs w:val="24"/>
        </w:rPr>
        <w:t>VodafoneThree</w:t>
      </w:r>
      <w:proofErr w:type="spellEnd"/>
      <w:r w:rsidRPr="00CE0D48">
        <w:rPr>
          <w:rFonts w:ascii="Times New Roman" w:hAnsi="Times New Roman" w:cs="Times New Roman"/>
          <w:b/>
          <w:color w:val="000000" w:themeColor="text1"/>
          <w:sz w:val="24"/>
          <w:szCs w:val="24"/>
        </w:rPr>
        <w:t xml:space="preserve"> Merger</w:t>
      </w:r>
    </w:p>
    <w:p w14:paraId="1DAE5A1B" w14:textId="77777777" w:rsidR="008567D9" w:rsidRPr="00CE0D48"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Module: Strategic Management for Business</w:t>
      </w:r>
    </w:p>
    <w:p w14:paraId="44C3915B" w14:textId="77777777" w:rsidR="008567D9" w:rsidRPr="00CE0D48"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Module code: LCLM 6001</w:t>
      </w:r>
    </w:p>
    <w:p w14:paraId="1DAC17D8" w14:textId="77777777" w:rsidR="008567D9" w:rsidRPr="00CE0D48"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Assignment Title: Individual Report</w:t>
      </w:r>
    </w:p>
    <w:p w14:paraId="72BFE684" w14:textId="77777777" w:rsidR="0003402A"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Student Name:</w:t>
      </w:r>
      <w:r w:rsidR="0003402A">
        <w:rPr>
          <w:rFonts w:ascii="Times New Roman" w:hAnsi="Times New Roman" w:cs="Times New Roman"/>
          <w:color w:val="000000" w:themeColor="text1"/>
          <w:sz w:val="24"/>
          <w:szCs w:val="24"/>
        </w:rPr>
        <w:t xml:space="preserve"> Name: Khaled Abdelhadi</w:t>
      </w:r>
    </w:p>
    <w:p w14:paraId="46FB3DA7" w14:textId="77777777" w:rsidR="0003402A" w:rsidRPr="00CE0D48" w:rsidRDefault="0003402A" w:rsidP="008567D9">
      <w:pPr>
        <w:spacing w:after="0"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Student ID:2241680</w:t>
      </w:r>
    </w:p>
    <w:p w14:paraId="2D4090D0" w14:textId="2F79187E" w:rsidR="008567D9" w:rsidRPr="00CE0D48" w:rsidRDefault="008567D9" w:rsidP="008567D9">
      <w:pPr>
        <w:spacing w:after="0" w:line="480" w:lineRule="auto"/>
        <w:jc w:val="center"/>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Lecturer: Yohan Mendis </w:t>
      </w:r>
    </w:p>
    <w:p w14:paraId="21003C3A" w14:textId="7598CA4E" w:rsidR="008567D9" w:rsidRPr="00CE0D48" w:rsidRDefault="008567D9" w:rsidP="008567D9">
      <w:pPr>
        <w:spacing w:after="0" w:line="480" w:lineRule="auto"/>
        <w:jc w:val="center"/>
        <w:rPr>
          <w:rFonts w:ascii="Times New Roman" w:hAnsi="Times New Roman" w:cs="Times New Roman"/>
          <w:color w:val="000000" w:themeColor="text1"/>
          <w:sz w:val="24"/>
          <w:szCs w:val="24"/>
        </w:rPr>
      </w:pPr>
    </w:p>
    <w:p w14:paraId="21134D8C"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 </w:t>
      </w:r>
    </w:p>
    <w:p w14:paraId="7C92AA7B"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br w:type="page"/>
      </w:r>
    </w:p>
    <w:p w14:paraId="21A31A7C"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093BCCCF"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Executive Summary</w:t>
      </w:r>
    </w:p>
    <w:p w14:paraId="562CD8CC"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This report suggests to the Vodafone board on a strategy to grow Vodafone UK following the establishment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The suggested approach includes 5G enterprise and customer-experience growth strategy (differentiated 5G approach). It utilizes enlarged network, spectrum scale and the savings of the merger to develop and construct high-end, dependable, and industries-oriented services to the consumers, SMEs, public services, transport, health, manufacturing, and smart-city partners. The analysis concludes that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has a unique opportunity to switch away the price-based mobile competition to value-based connectivity, limited by regulation, integration risk, inflation and cyber risk and customer anxiety about reduced number of UK mobile operators. Thus, coverage claims are not the only means to grow. It must rely on quantifiable quality of service, openness of prices, excellent stakeholder interaction and disciplined execution. The approach is appropriate since it aligns with the priorities of Vodafone of customer experience, simplicity, efficiency, investment, innovation, and sustainable growth. This can be possible provided that board stages investment, cushions fundamental tariffs, engages the regulator, and relates KPIs to customer achievement. The network availability, 5G standalone coverage, enterprise revenue, churn, NPS, complaint levels, synergy delivery, energy intensity and digital inclusion results should be used to monitor the plan.</w:t>
      </w:r>
    </w:p>
    <w:p w14:paraId="1185DB69"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Introduction to Vodafone</w:t>
      </w:r>
    </w:p>
    <w:p w14:paraId="573F01B1"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Vodafone is a large telecom Group that offers mobile, fixed broadband, IoT, cloud and digital connection services in various markets. Here the UK, its position in the strategy changed drastically as Vodafone UK and Three UK merged to become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which now has approximately 28.8 million mobile subscribers and has intentions of investing in UK digital </w:t>
      </w:r>
      <w:r w:rsidRPr="00CE0D48">
        <w:rPr>
          <w:rFonts w:ascii="Times New Roman" w:hAnsi="Times New Roman" w:cs="Times New Roman"/>
          <w:color w:val="000000" w:themeColor="text1"/>
          <w:sz w:val="24"/>
          <w:szCs w:val="24"/>
        </w:rPr>
        <w:lastRenderedPageBreak/>
        <w:t>infrastructure to the tune of 11 billion over a period of ten years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2025). Vodafone has the mission to reach people, businesses and communities via technology. Its strategic priorities include customer experience, easier operations, efficiency, investments, innovation and sustainable growth ( Vodafone, 2025b). Such priorities are important as customers of telecoms are becoming more and more critical of their provider not only because of the price, but also the reliability, speed, security, and the quality of digital services (Jang and Yeo, 2024).</w:t>
      </w:r>
    </w:p>
    <w:p w14:paraId="2730C622" w14:textId="77777777" w:rsidR="008567D9"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strategic issue that the board faces is not on how it will become larger upon the merger. The biggest difficulty is how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can turn scale to trusted advantage without the perception that less competition will be detrimental to the customers. The literature of research on mergers within mobile markets indicates that consolidation would enhance the quality of services in cases of proper utilization of spectrum and investment but would also lead to price and market power concerns (Brito and Vasconcelos, 2023; Grajek et al., 2019). This report analyzes the market environment, a comparison of strategic growth alternatives, suggests a concentrated strategy, and rationalizes and details how to implement it, stakeholder management, and monitoring.</w:t>
      </w:r>
    </w:p>
    <w:p w14:paraId="152DD03C" w14:textId="77777777" w:rsidR="008567D9" w:rsidRDefault="008567D9" w:rsidP="008567D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199A4506"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4E56A5A2"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Evaluation of Current Market Situation</w:t>
      </w:r>
    </w:p>
    <w:p w14:paraId="6D1D295E"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 xml:space="preserve">Visual Table 1: PESTEL Summary for </w:t>
      </w:r>
      <w:proofErr w:type="spellStart"/>
      <w:r w:rsidRPr="00CE0D48">
        <w:rPr>
          <w:rFonts w:ascii="Times New Roman" w:hAnsi="Times New Roman" w:cs="Times New Roman"/>
          <w:b/>
          <w:color w:val="000000" w:themeColor="text1"/>
          <w:sz w:val="24"/>
          <w:szCs w:val="24"/>
        </w:rPr>
        <w:t>VodafoneThree</w:t>
      </w:r>
      <w:proofErr w:type="spellEnd"/>
    </w:p>
    <w:tbl>
      <w:tblPr>
        <w:tblStyle w:val="TableGrid"/>
        <w:tblW w:w="0" w:type="auto"/>
        <w:tblLook w:val="04A0" w:firstRow="1" w:lastRow="0" w:firstColumn="1" w:lastColumn="0" w:noHBand="0" w:noVBand="1"/>
      </w:tblPr>
      <w:tblGrid>
        <w:gridCol w:w="3133"/>
        <w:gridCol w:w="3118"/>
        <w:gridCol w:w="3099"/>
      </w:tblGrid>
      <w:tr w:rsidR="008567D9" w:rsidRPr="00CE0D48" w14:paraId="18E4A397" w14:textId="77777777" w:rsidTr="004E3961">
        <w:tc>
          <w:tcPr>
            <w:tcW w:w="3360" w:type="dxa"/>
          </w:tcPr>
          <w:p w14:paraId="12C8DC1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Factor</w:t>
            </w:r>
          </w:p>
        </w:tc>
        <w:tc>
          <w:tcPr>
            <w:tcW w:w="3360" w:type="dxa"/>
          </w:tcPr>
          <w:p w14:paraId="3EB0D37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Main issue</w:t>
            </w:r>
          </w:p>
        </w:tc>
        <w:tc>
          <w:tcPr>
            <w:tcW w:w="3360" w:type="dxa"/>
          </w:tcPr>
          <w:p w14:paraId="20AC9BE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Strategic implication</w:t>
            </w:r>
          </w:p>
        </w:tc>
      </w:tr>
      <w:tr w:rsidR="008567D9" w:rsidRPr="00CE0D48" w14:paraId="329E652A" w14:textId="77777777" w:rsidTr="004E3961">
        <w:tc>
          <w:tcPr>
            <w:tcW w:w="3360" w:type="dxa"/>
          </w:tcPr>
          <w:p w14:paraId="166488B6"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Political/legal</w:t>
            </w:r>
          </w:p>
        </w:tc>
        <w:tc>
          <w:tcPr>
            <w:tcW w:w="3360" w:type="dxa"/>
          </w:tcPr>
          <w:p w14:paraId="29DD7214"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CMA approval includes binding commitments and regulatory scrutiny.</w:t>
            </w:r>
          </w:p>
        </w:tc>
        <w:tc>
          <w:tcPr>
            <w:tcW w:w="3360" w:type="dxa"/>
          </w:tcPr>
          <w:p w14:paraId="2F6E397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Treat compliance and transparent reporting as part of strategy.</w:t>
            </w:r>
          </w:p>
        </w:tc>
      </w:tr>
      <w:tr w:rsidR="008567D9" w:rsidRPr="00CE0D48" w14:paraId="3B8A3D89" w14:textId="77777777" w:rsidTr="004E3961">
        <w:tc>
          <w:tcPr>
            <w:tcW w:w="3360" w:type="dxa"/>
          </w:tcPr>
          <w:p w14:paraId="019BD02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Economic</w:t>
            </w:r>
          </w:p>
        </w:tc>
        <w:tc>
          <w:tcPr>
            <w:tcW w:w="3360" w:type="dxa"/>
          </w:tcPr>
          <w:p w14:paraId="518E38F8"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Large 5G investment is needed during a cost-sensitive market.</w:t>
            </w:r>
          </w:p>
        </w:tc>
        <w:tc>
          <w:tcPr>
            <w:tcW w:w="3360" w:type="dxa"/>
          </w:tcPr>
          <w:p w14:paraId="582C6E24"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Phase spending and prove customer value before premium pricing.</w:t>
            </w:r>
          </w:p>
        </w:tc>
      </w:tr>
      <w:tr w:rsidR="008567D9" w:rsidRPr="00CE0D48" w14:paraId="6C94CEFC" w14:textId="77777777" w:rsidTr="004E3961">
        <w:tc>
          <w:tcPr>
            <w:tcW w:w="3360" w:type="dxa"/>
          </w:tcPr>
          <w:p w14:paraId="41677E2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Social</w:t>
            </w:r>
          </w:p>
        </w:tc>
        <w:tc>
          <w:tcPr>
            <w:tcW w:w="3360" w:type="dxa"/>
          </w:tcPr>
          <w:p w14:paraId="3A6029D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Customers need reliable connectivity for work, services, and daily life.</w:t>
            </w:r>
          </w:p>
        </w:tc>
        <w:tc>
          <w:tcPr>
            <w:tcW w:w="3360" w:type="dxa"/>
          </w:tcPr>
          <w:p w14:paraId="1630E383"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Prioritize not-spots, transport routes, SMEs, and vulnerable users.</w:t>
            </w:r>
          </w:p>
        </w:tc>
      </w:tr>
      <w:tr w:rsidR="008567D9" w:rsidRPr="00CE0D48" w14:paraId="3750F8DC" w14:textId="77777777" w:rsidTr="004E3961">
        <w:tc>
          <w:tcPr>
            <w:tcW w:w="3360" w:type="dxa"/>
          </w:tcPr>
          <w:p w14:paraId="23D594C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Technological</w:t>
            </w:r>
          </w:p>
        </w:tc>
        <w:tc>
          <w:tcPr>
            <w:tcW w:w="3360" w:type="dxa"/>
          </w:tcPr>
          <w:p w14:paraId="53BA7508"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5G standalone, IoT, edge, and AI can create new services.</w:t>
            </w:r>
          </w:p>
        </w:tc>
        <w:tc>
          <w:tcPr>
            <w:tcW w:w="3360" w:type="dxa"/>
          </w:tcPr>
          <w:p w14:paraId="332897B6"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Build enterprise solutions, not only faster mobile plans.</w:t>
            </w:r>
          </w:p>
        </w:tc>
      </w:tr>
      <w:tr w:rsidR="008567D9" w:rsidRPr="00CE0D48" w14:paraId="75F23562" w14:textId="77777777" w:rsidTr="004E3961">
        <w:tc>
          <w:tcPr>
            <w:tcW w:w="3360" w:type="dxa"/>
          </w:tcPr>
          <w:p w14:paraId="3867DE4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Environmental</w:t>
            </w:r>
          </w:p>
        </w:tc>
        <w:tc>
          <w:tcPr>
            <w:tcW w:w="3360" w:type="dxa"/>
          </w:tcPr>
          <w:p w14:paraId="03C7E34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Network growth can raise energy demand.</w:t>
            </w:r>
          </w:p>
        </w:tc>
        <w:tc>
          <w:tcPr>
            <w:tcW w:w="3360" w:type="dxa"/>
          </w:tcPr>
          <w:p w14:paraId="2667C4B6"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Use efficient equipment, shared sites, and energy-intensity KPIs.</w:t>
            </w:r>
          </w:p>
        </w:tc>
      </w:tr>
    </w:tbl>
    <w:p w14:paraId="67F6E470"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has a pressurizing and an enabling environment. The UK telecoms market is highly regulated politically and legally, as the mobile networks are critical infrastructures in the country. The Vodafone and Three merger was only cleared by the CMA on legally binding conditions, such as delivery of investment and consumer protection as the merger led to a decrease in the number of leading UK mobile network operators to three instead of four (CMA, 2024). This </w:t>
      </w:r>
      <w:r w:rsidRPr="00CE0D48">
        <w:rPr>
          <w:rFonts w:ascii="Times New Roman" w:hAnsi="Times New Roman" w:cs="Times New Roman"/>
          <w:color w:val="000000" w:themeColor="text1"/>
          <w:sz w:val="24"/>
          <w:szCs w:val="24"/>
        </w:rPr>
        <w:lastRenderedPageBreak/>
        <w:t xml:space="preserve">has a strategic implication.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needs to consider compliance as a competitive strategy, rather than a specific legal obligation. When it is able to demonstrate that consolidation facilitates the coverage, resilience and quality of service provision, the merger turns out to be a basis of legitimacy. In case of increasing prices, but apparent quality improvement is not observed, then the merger becomes a reputational liability (Brito &amp; Vasconcelos, 2023).</w:t>
      </w:r>
    </w:p>
    <w:p w14:paraId="05A69600"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Vodafone Three has cost-sensitive customers economically and has high capital requirements. The intended infrastructure </w:t>
      </w:r>
      <w:proofErr w:type="spellStart"/>
      <w:r w:rsidRPr="00CE0D48">
        <w:rPr>
          <w:rFonts w:ascii="Times New Roman" w:hAnsi="Times New Roman" w:cs="Times New Roman"/>
          <w:color w:val="000000" w:themeColor="text1"/>
          <w:sz w:val="24"/>
          <w:szCs w:val="24"/>
        </w:rPr>
        <w:t>programme</w:t>
      </w:r>
      <w:proofErr w:type="spellEnd"/>
      <w:r w:rsidRPr="00CE0D48">
        <w:rPr>
          <w:rFonts w:ascii="Times New Roman" w:hAnsi="Times New Roman" w:cs="Times New Roman"/>
          <w:color w:val="000000" w:themeColor="text1"/>
          <w:sz w:val="24"/>
          <w:szCs w:val="24"/>
        </w:rPr>
        <w:t xml:space="preserve"> is massive (£11 billion), and because network utilities are not yet generating substantial revenues, it might be slow to see a payback due to the significant initial financing costs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2025). There will be anticipated synergies and network efficiencies that will be brought about by the merger, but the cost of integration, inflation, supplier contract and debt pressure is likely to constrain the flexibility of the managers. There is also evidence of mergers that indicate a trade-off between dynamic efficiency and a static efficiency: price and investment can go hand in hand, so regulators and customers could only accept visible benefits of an investment (Grajek et al., 2019). This renders open performance reporting significant.</w:t>
      </w:r>
    </w:p>
    <w:p w14:paraId="62D53465"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social tendencies endorse the necessity of improved online connection and wireless trustworthiness. Mobile data is used by customers to do banking, learn, access healthcare, work remotely, stream and even engage in trading in small businesses. Connected Nations reporting indicates that the UK has yet to close coverage, capacity, and experience service gaps in connectivity, whereas these areas lack coverage, especially in the most isolated communities and in popular places, as reported by Ofcom (Ofcom, 2025). The increased presence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will be able to cover more not-spots and enhance more resilience but it is lived experience, and </w:t>
      </w:r>
      <w:r w:rsidRPr="00CE0D48">
        <w:rPr>
          <w:rFonts w:ascii="Times New Roman" w:hAnsi="Times New Roman" w:cs="Times New Roman"/>
          <w:color w:val="000000" w:themeColor="text1"/>
          <w:sz w:val="24"/>
          <w:szCs w:val="24"/>
        </w:rPr>
        <w:lastRenderedPageBreak/>
        <w:t>not the announcements around investment, which will determine the social value of that. Customer proposition should thus be at the strongest relating to reliability, fairness and access to the digital.</w:t>
      </w:r>
    </w:p>
    <w:p w14:paraId="284801F3"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most powerful motivator of growth is technology. 5G standalone and IoT as well as edge computing, private networks and Artificial intelligence running networks have the potential of generating new revenue that goes beyond conventional mobile subscriptions. Studies of 5G business models caution, though, that operators find it challenging when trying to market merely higher speed connectivity as opposed to industry-solutions (Jang &amp; Yeo, 2024; </w:t>
      </w:r>
      <w:proofErr w:type="spellStart"/>
      <w:r w:rsidRPr="00CE0D48">
        <w:rPr>
          <w:rFonts w:ascii="Times New Roman" w:hAnsi="Times New Roman" w:cs="Times New Roman"/>
          <w:color w:val="000000" w:themeColor="text1"/>
          <w:sz w:val="24"/>
          <w:szCs w:val="24"/>
        </w:rPr>
        <w:t>Moqaddamerad</w:t>
      </w:r>
      <w:proofErr w:type="spellEnd"/>
      <w:r w:rsidRPr="00CE0D48">
        <w:rPr>
          <w:rFonts w:ascii="Times New Roman" w:hAnsi="Times New Roman" w:cs="Times New Roman"/>
          <w:color w:val="000000" w:themeColor="text1"/>
          <w:sz w:val="24"/>
          <w:szCs w:val="24"/>
        </w:rPr>
        <w:t>, 2020). Vodafone already boasts of credibility in IoT and enterprise connectivity, and merger ought to be exploited to develop bundles solutions to logistics, healthcare, construction, utilities and local government. This is a premium route compared to the one on which they have to compete solely on unlimited data tariffs.</w:t>
      </w:r>
    </w:p>
    <w:p w14:paraId="6D7F9965" w14:textId="77777777" w:rsidR="008567D9" w:rsidRPr="00CE0D48" w:rsidRDefault="008567D9" w:rsidP="00DE7738">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There are also environmental factors that are strategic. Telecom networks consume power, and densification of networks may add more electricity requirements without ensuring efficiency is incorporated in the implementation process. The sustainability commitments of Vodafone develop the necessity to connect the progression with the decrease in the energy-intensive nature, clean electricity, protracted life of equipment, and responsible suppliers (Vodafone, 2025a). This goes beyond being an ethical issue. Energy saving would lower the operating expenses and bolster the argument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to the state agencies that desire transformation to digital without further increased carbon footprint. The environmental opportunity is the best in cases of AI network optimization, shared sites, combined with the use of modern radio equipment minimizing waste production.</w:t>
      </w:r>
    </w:p>
    <w:p w14:paraId="0F936C2D" w14:textId="077DD037" w:rsidR="008567D9" w:rsidRDefault="00DE7738" w:rsidP="00DE7738">
      <w:pPr>
        <w:spacing w:line="480" w:lineRule="auto"/>
        <w:jc w:val="both"/>
        <w:rPr>
          <w:rFonts w:ascii="Times New Roman" w:hAnsi="Times New Roman" w:cs="Times New Roman"/>
          <w:color w:val="000000" w:themeColor="text1"/>
          <w:sz w:val="24"/>
          <w:szCs w:val="24"/>
        </w:rPr>
      </w:pPr>
      <w:r w:rsidRPr="00DE7738">
        <w:rPr>
          <w:rFonts w:ascii="Times New Roman" w:hAnsi="Times New Roman" w:cs="Times New Roman"/>
          <w:color w:val="000000" w:themeColor="text1"/>
          <w:sz w:val="24"/>
          <w:szCs w:val="24"/>
        </w:rPr>
        <w:t xml:space="preserve">Porter's five forces indicate that Vodafone Three will be in a good but challenging industry after the merger. Firstly, there is already fierce competition due to the presence of EE, Virgin Media </w:t>
      </w:r>
      <w:r w:rsidRPr="00DE7738">
        <w:rPr>
          <w:rFonts w:ascii="Times New Roman" w:hAnsi="Times New Roman" w:cs="Times New Roman"/>
          <w:color w:val="000000" w:themeColor="text1"/>
          <w:sz w:val="24"/>
          <w:szCs w:val="24"/>
        </w:rPr>
        <w:lastRenderedPageBreak/>
        <w:t xml:space="preserve">O2, MVNOs, broadband and digital service sites all competing with each other based on price, coverage, bundles and service quality. Merkin of </w:t>
      </w:r>
      <w:proofErr w:type="spellStart"/>
      <w:r w:rsidRPr="00DE7738">
        <w:rPr>
          <w:rFonts w:ascii="Times New Roman" w:hAnsi="Times New Roman" w:cs="Times New Roman"/>
          <w:color w:val="000000" w:themeColor="text1"/>
          <w:sz w:val="24"/>
          <w:szCs w:val="24"/>
        </w:rPr>
        <w:t>VodafoneThree</w:t>
      </w:r>
      <w:proofErr w:type="spellEnd"/>
      <w:r w:rsidRPr="00DE7738">
        <w:rPr>
          <w:rFonts w:ascii="Times New Roman" w:hAnsi="Times New Roman" w:cs="Times New Roman"/>
          <w:color w:val="000000" w:themeColor="text1"/>
          <w:sz w:val="24"/>
          <w:szCs w:val="24"/>
        </w:rPr>
        <w:t xml:space="preserve"> becomes larger with the merger, but there is no elimination of competition, since the customers can continue to compare deals and switch to different companies. Second, there is high buyer power in the consumer mobile market. It is comparatively simple to switch; price exposure is heightened by the comparison websites, and consumers will be quick to contest an increase in tariffs that is not balanced with an enhancement of reliability, coverage, and service. Third, the power of the supplier is medium-high since the suppliers of network equipment, cloud service providers, accessing spectrums, planning authorities and providers of cyber-security determine the speed of rollout, its cost, and technical quality. This implies that </w:t>
      </w:r>
      <w:proofErr w:type="spellStart"/>
      <w:r w:rsidRPr="00DE7738">
        <w:rPr>
          <w:rFonts w:ascii="Times New Roman" w:hAnsi="Times New Roman" w:cs="Times New Roman"/>
          <w:color w:val="000000" w:themeColor="text1"/>
          <w:sz w:val="24"/>
          <w:szCs w:val="24"/>
        </w:rPr>
        <w:t>VodafoneThree</w:t>
      </w:r>
      <w:proofErr w:type="spellEnd"/>
      <w:r w:rsidRPr="00DE7738">
        <w:rPr>
          <w:rFonts w:ascii="Times New Roman" w:hAnsi="Times New Roman" w:cs="Times New Roman"/>
          <w:color w:val="000000" w:themeColor="text1"/>
          <w:sz w:val="24"/>
          <w:szCs w:val="24"/>
        </w:rPr>
        <w:t xml:space="preserve"> has to carefully deal with its suppliers and try to avoid excessive reliance on the few technology providers that are vital to the company. Fourth, the threat of substitutes is not high. Mobile voice and messaging is no longer relied upon with Wi-Fi calling, fixed broadband, satellite access and over-the-top services like WhatsApp, Teams and FaceTime. Thus, </w:t>
      </w:r>
      <w:proofErr w:type="spellStart"/>
      <w:r w:rsidRPr="00DE7738">
        <w:rPr>
          <w:rFonts w:ascii="Times New Roman" w:hAnsi="Times New Roman" w:cs="Times New Roman"/>
          <w:color w:val="000000" w:themeColor="text1"/>
          <w:sz w:val="24"/>
          <w:szCs w:val="24"/>
        </w:rPr>
        <w:t>VodafoneThree</w:t>
      </w:r>
      <w:proofErr w:type="spellEnd"/>
      <w:r w:rsidRPr="00DE7738">
        <w:rPr>
          <w:rFonts w:ascii="Times New Roman" w:hAnsi="Times New Roman" w:cs="Times New Roman"/>
          <w:color w:val="000000" w:themeColor="text1"/>
          <w:sz w:val="24"/>
          <w:szCs w:val="24"/>
        </w:rPr>
        <w:t xml:space="preserve"> needs to peddle reliable digital access, not mere mobile connectivity. Fifth, entry barriers are not high due to the fact that the national mobile networks are very costly in terms of capital investment and spectrum </w:t>
      </w:r>
      <w:proofErr w:type="spellStart"/>
      <w:r w:rsidRPr="00DE7738">
        <w:rPr>
          <w:rFonts w:ascii="Times New Roman" w:hAnsi="Times New Roman" w:cs="Times New Roman"/>
          <w:color w:val="000000" w:themeColor="text1"/>
          <w:sz w:val="24"/>
          <w:szCs w:val="24"/>
        </w:rPr>
        <w:t>licences</w:t>
      </w:r>
      <w:proofErr w:type="spellEnd"/>
      <w:r w:rsidRPr="00DE7738">
        <w:rPr>
          <w:rFonts w:ascii="Times New Roman" w:hAnsi="Times New Roman" w:cs="Times New Roman"/>
          <w:color w:val="000000" w:themeColor="text1"/>
          <w:sz w:val="24"/>
          <w:szCs w:val="24"/>
        </w:rPr>
        <w:t xml:space="preserve">, infrastructure, regulatory licenses and technical skills. All in all, there is no need to use size as the sole option at </w:t>
      </w:r>
      <w:proofErr w:type="spellStart"/>
      <w:r w:rsidRPr="00DE7738">
        <w:rPr>
          <w:rFonts w:ascii="Times New Roman" w:hAnsi="Times New Roman" w:cs="Times New Roman"/>
          <w:color w:val="000000" w:themeColor="text1"/>
          <w:sz w:val="24"/>
          <w:szCs w:val="24"/>
        </w:rPr>
        <w:t>VodafoneThree</w:t>
      </w:r>
      <w:proofErr w:type="spellEnd"/>
      <w:r w:rsidRPr="00DE7738">
        <w:rPr>
          <w:rFonts w:ascii="Times New Roman" w:hAnsi="Times New Roman" w:cs="Times New Roman"/>
          <w:color w:val="000000" w:themeColor="text1"/>
          <w:sz w:val="24"/>
          <w:szCs w:val="24"/>
        </w:rPr>
        <w:t xml:space="preserve"> based on the Five Forces. The key requirements of sustainable growth involve the adoption of the merger scale in achieving quantifiable quality of network, equitable pricing, security of enterprise services and trusted experience by the consumers. This will also enhance legitimacy among regulators and communities (OECD, 2021; </w:t>
      </w:r>
      <w:proofErr w:type="spellStart"/>
      <w:r w:rsidRPr="00DE7738">
        <w:rPr>
          <w:rFonts w:ascii="Times New Roman" w:hAnsi="Times New Roman" w:cs="Times New Roman"/>
          <w:color w:val="000000" w:themeColor="text1"/>
          <w:sz w:val="24"/>
          <w:szCs w:val="24"/>
        </w:rPr>
        <w:t>VodafoneThree</w:t>
      </w:r>
      <w:proofErr w:type="spellEnd"/>
      <w:r w:rsidRPr="00DE7738">
        <w:rPr>
          <w:rFonts w:ascii="Times New Roman" w:hAnsi="Times New Roman" w:cs="Times New Roman"/>
          <w:color w:val="000000" w:themeColor="text1"/>
          <w:sz w:val="24"/>
          <w:szCs w:val="24"/>
        </w:rPr>
        <w:t>, 2025).</w:t>
      </w:r>
      <w:r w:rsidR="008567D9">
        <w:rPr>
          <w:rFonts w:ascii="Times New Roman" w:hAnsi="Times New Roman" w:cs="Times New Roman"/>
          <w:color w:val="000000" w:themeColor="text1"/>
          <w:sz w:val="24"/>
          <w:szCs w:val="24"/>
        </w:rPr>
        <w:br w:type="page"/>
      </w:r>
    </w:p>
    <w:p w14:paraId="25A9AD3A"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0058FA22"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Timing is of significance because in a PESTEL could be seen a summary. The policy backing of a national digital infrastructure provides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with a good policy narrative, but the government will expect its benefits to be accrued nationally, and not exclusively in the lucrative urban areas. Due to economic conditions, households as well as small firms is still price sensitive and as such the premium claim in service is bound to be combined with equitable entry-level claims. Socially customers desire to be connected in a manner that makes them feel reliable in their everyday life such as transport routes, homes, places of work and in rural societies. The 5G standalone can only be of value technologically in synergy with applications, data security and capability of partners. Network modernization should have environmental effects in which it should minimize wastage of energy as the data traffic increases. Merger commitments, the consumer law, and data protection, planning rules, and cyber-security obligations establish a firm operating boundary, legally. The combination of these factors infers that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needs to compete based on trusted performance but not poorly defined and ambiguous language of innovation (CMA, 2024; Ofcom, 2025;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2025).</w:t>
      </w:r>
    </w:p>
    <w:p w14:paraId="7080A4F1"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Competitor benchmarking lends credence to the conclusion. EE enjoys a good reputation on the quality of their networks, Virgin Media O2 has converged both the fixed and mobile reach and the MVNOs continue to pressure on cost-effective plans.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should not imagine that loyalty will just be generated when he becomes the largest mobile operator. Customers also have the option of ditching the companies in case of increase in bills, ambiguity of service messages, or even non-delivery of the promise on coverage. The company must thus leverage off the merger to come up with visible service moments encompassing better rail and road coverage, swifter response to support issues, diminishing blackspots and customized business continuity products to </w:t>
      </w:r>
      <w:r w:rsidRPr="00CE0D48">
        <w:rPr>
          <w:rFonts w:ascii="Times New Roman" w:hAnsi="Times New Roman" w:cs="Times New Roman"/>
          <w:color w:val="000000" w:themeColor="text1"/>
          <w:sz w:val="24"/>
          <w:szCs w:val="24"/>
        </w:rPr>
        <w:lastRenderedPageBreak/>
        <w:t>SMEs. Customers can more easily comprehend these results in comparison with technical assertion of spectrum or network architecture (OECD, 2021; Ofcom, 2025).</w:t>
      </w:r>
    </w:p>
    <w:p w14:paraId="1244B368"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internal capability is also a concern. The merger produces a bigger base of assets which value is determined by the speed upon which managers combine the systems, manage cultures, data, stores, digital channels, and network groups. Inadequate integration may harm customer experience even upon having a good strategic concept. One of the dynamic-capability perspectives implies that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needs to feel the changes in the market, grab opportunities of 5G and must reorganize assets quicker than competitors. This implies that the integration discipline rather than the new technology should be financed by the board (</w:t>
      </w:r>
      <w:proofErr w:type="spellStart"/>
      <w:r w:rsidRPr="00CE0D48">
        <w:rPr>
          <w:rFonts w:ascii="Times New Roman" w:hAnsi="Times New Roman" w:cs="Times New Roman"/>
          <w:color w:val="000000" w:themeColor="text1"/>
          <w:sz w:val="24"/>
          <w:szCs w:val="24"/>
        </w:rPr>
        <w:t>Moqaddamerad</w:t>
      </w:r>
      <w:proofErr w:type="spellEnd"/>
      <w:r w:rsidRPr="00CE0D48">
        <w:rPr>
          <w:rFonts w:ascii="Times New Roman" w:hAnsi="Times New Roman" w:cs="Times New Roman"/>
          <w:color w:val="000000" w:themeColor="text1"/>
          <w:sz w:val="24"/>
          <w:szCs w:val="24"/>
        </w:rPr>
        <w:t>, 2020; Vodafone, 2025a).</w:t>
      </w:r>
    </w:p>
    <w:p w14:paraId="70A35666"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market is not only lucrative but it is also merciless. An increase in credible window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is only possible when it is clear to the board that network quality, price fairness, data security and stakeholder confidence are elements of the same strategy. Without trust, expansion would be welcomed by churn, and regulatory challenge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&amp;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 CMA, 2024). This is an explicit discipline that ought to help in making every decision.</w:t>
      </w:r>
    </w:p>
    <w:p w14:paraId="45367B0B"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Strategic Growth Options and Proposed Strategy</w:t>
      </w:r>
    </w:p>
    <w:p w14:paraId="561B35BA"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Visual Table 3: Ansoff Growth Options</w:t>
      </w:r>
    </w:p>
    <w:tbl>
      <w:tblPr>
        <w:tblStyle w:val="TableGrid"/>
        <w:tblW w:w="0" w:type="auto"/>
        <w:tblLook w:val="04A0" w:firstRow="1" w:lastRow="0" w:firstColumn="1" w:lastColumn="0" w:noHBand="0" w:noVBand="1"/>
      </w:tblPr>
      <w:tblGrid>
        <w:gridCol w:w="2370"/>
        <w:gridCol w:w="2398"/>
        <w:gridCol w:w="2262"/>
        <w:gridCol w:w="2320"/>
      </w:tblGrid>
      <w:tr w:rsidR="008567D9" w:rsidRPr="00CE0D48" w14:paraId="2965EE68" w14:textId="77777777" w:rsidTr="004E3961">
        <w:tc>
          <w:tcPr>
            <w:tcW w:w="2520" w:type="dxa"/>
          </w:tcPr>
          <w:p w14:paraId="6CE90D83"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Option</w:t>
            </w:r>
          </w:p>
        </w:tc>
        <w:tc>
          <w:tcPr>
            <w:tcW w:w="2520" w:type="dxa"/>
          </w:tcPr>
          <w:p w14:paraId="43B85ED7"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proofErr w:type="spellStart"/>
            <w:r w:rsidRPr="00CE0D48">
              <w:rPr>
                <w:rFonts w:ascii="Times New Roman" w:hAnsi="Times New Roman" w:cs="Times New Roman"/>
                <w:b/>
                <w:color w:val="000000" w:themeColor="text1"/>
                <w:sz w:val="24"/>
                <w:szCs w:val="24"/>
              </w:rPr>
              <w:t>VodafoneThree</w:t>
            </w:r>
            <w:proofErr w:type="spellEnd"/>
            <w:r w:rsidRPr="00CE0D48">
              <w:rPr>
                <w:rFonts w:ascii="Times New Roman" w:hAnsi="Times New Roman" w:cs="Times New Roman"/>
                <w:b/>
                <w:color w:val="000000" w:themeColor="text1"/>
                <w:sz w:val="24"/>
                <w:szCs w:val="24"/>
              </w:rPr>
              <w:t xml:space="preserve"> example</w:t>
            </w:r>
          </w:p>
        </w:tc>
        <w:tc>
          <w:tcPr>
            <w:tcW w:w="2520" w:type="dxa"/>
          </w:tcPr>
          <w:p w14:paraId="131B2883"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Risk level</w:t>
            </w:r>
          </w:p>
        </w:tc>
        <w:tc>
          <w:tcPr>
            <w:tcW w:w="2520" w:type="dxa"/>
          </w:tcPr>
          <w:p w14:paraId="13EDEB3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Judgment</w:t>
            </w:r>
          </w:p>
        </w:tc>
      </w:tr>
      <w:tr w:rsidR="008567D9" w:rsidRPr="00CE0D48" w14:paraId="25D24C1A" w14:textId="77777777" w:rsidTr="004E3961">
        <w:tc>
          <w:tcPr>
            <w:tcW w:w="2520" w:type="dxa"/>
          </w:tcPr>
          <w:p w14:paraId="4677D98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Market penetration</w:t>
            </w:r>
          </w:p>
        </w:tc>
        <w:tc>
          <w:tcPr>
            <w:tcW w:w="2520" w:type="dxa"/>
          </w:tcPr>
          <w:p w14:paraId="7EE20B4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Bundles, loyalty offers, and churn reduction.</w:t>
            </w:r>
          </w:p>
        </w:tc>
        <w:tc>
          <w:tcPr>
            <w:tcW w:w="2520" w:type="dxa"/>
          </w:tcPr>
          <w:p w14:paraId="40D6A15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Low</w:t>
            </w:r>
          </w:p>
        </w:tc>
        <w:tc>
          <w:tcPr>
            <w:tcW w:w="2520" w:type="dxa"/>
          </w:tcPr>
          <w:p w14:paraId="04F77F1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Useful but may deepen price rivalry.</w:t>
            </w:r>
          </w:p>
        </w:tc>
      </w:tr>
      <w:tr w:rsidR="008567D9" w:rsidRPr="00CE0D48" w14:paraId="35D942C6" w14:textId="77777777" w:rsidTr="004E3961">
        <w:tc>
          <w:tcPr>
            <w:tcW w:w="2520" w:type="dxa"/>
          </w:tcPr>
          <w:p w14:paraId="0FBE394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lastRenderedPageBreak/>
              <w:t>Market development</w:t>
            </w:r>
          </w:p>
        </w:tc>
        <w:tc>
          <w:tcPr>
            <w:tcW w:w="2520" w:type="dxa"/>
          </w:tcPr>
          <w:p w14:paraId="0FA7CBE9"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Use stronger network reach for underserved regions and public bodies.</w:t>
            </w:r>
          </w:p>
        </w:tc>
        <w:tc>
          <w:tcPr>
            <w:tcW w:w="2520" w:type="dxa"/>
          </w:tcPr>
          <w:p w14:paraId="334653D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Medium</w:t>
            </w:r>
          </w:p>
        </w:tc>
        <w:tc>
          <w:tcPr>
            <w:tcW w:w="2520" w:type="dxa"/>
          </w:tcPr>
          <w:p w14:paraId="2C0ACFF9"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Strong support for inclusion and legitimacy.</w:t>
            </w:r>
          </w:p>
        </w:tc>
      </w:tr>
      <w:tr w:rsidR="008567D9" w:rsidRPr="00CE0D48" w14:paraId="5EA10960" w14:textId="77777777" w:rsidTr="004E3961">
        <w:tc>
          <w:tcPr>
            <w:tcW w:w="2520" w:type="dxa"/>
          </w:tcPr>
          <w:p w14:paraId="6AE36C0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Product development</w:t>
            </w:r>
          </w:p>
        </w:tc>
        <w:tc>
          <w:tcPr>
            <w:tcW w:w="2520" w:type="dxa"/>
          </w:tcPr>
          <w:p w14:paraId="31B57C4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Private 5G, IoT, cyber, edge, and managed SME solutions.</w:t>
            </w:r>
          </w:p>
        </w:tc>
        <w:tc>
          <w:tcPr>
            <w:tcW w:w="2520" w:type="dxa"/>
          </w:tcPr>
          <w:p w14:paraId="1A6C866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Medium</w:t>
            </w:r>
          </w:p>
        </w:tc>
        <w:tc>
          <w:tcPr>
            <w:tcW w:w="2520" w:type="dxa"/>
          </w:tcPr>
          <w:p w14:paraId="506C1CF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Best fit with merger capabilities.</w:t>
            </w:r>
          </w:p>
        </w:tc>
      </w:tr>
      <w:tr w:rsidR="008567D9" w:rsidRPr="00CE0D48" w14:paraId="15884BD6" w14:textId="77777777" w:rsidTr="004E3961">
        <w:tc>
          <w:tcPr>
            <w:tcW w:w="2520" w:type="dxa"/>
          </w:tcPr>
          <w:p w14:paraId="62F17E3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Diversification</w:t>
            </w:r>
          </w:p>
        </w:tc>
        <w:tc>
          <w:tcPr>
            <w:tcW w:w="2520" w:type="dxa"/>
          </w:tcPr>
          <w:p w14:paraId="6583013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Move further into unrelated digital platforms or media.</w:t>
            </w:r>
          </w:p>
        </w:tc>
        <w:tc>
          <w:tcPr>
            <w:tcW w:w="2520" w:type="dxa"/>
          </w:tcPr>
          <w:p w14:paraId="6DD30FB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High</w:t>
            </w:r>
          </w:p>
        </w:tc>
        <w:tc>
          <w:tcPr>
            <w:tcW w:w="2520" w:type="dxa"/>
          </w:tcPr>
          <w:p w14:paraId="550E02A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Less focused and harder to justify now.</w:t>
            </w:r>
          </w:p>
        </w:tc>
      </w:tr>
    </w:tbl>
    <w:p w14:paraId="28D206B1"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In the Ansoff Matrix there are four possible development directions. The penetration in the market would make more of the existing mobile and broadband products reach the existing customers via bundles and offerings in terms of loyalty. This is not very risky, and potentially increases price competition. The merger network would be used to leverage the underserved areas and new customers in the public sector to grow in the market. Product development would produce separate 5G, IoT, security, edge and controlled across linkage facilities to enterprise customers. Diversification would be more financial towards the cloud platform, smart-city systems or digital media. In the case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market development with product development is a good first step since the actual benefit of the merger is the network accessibility and reach to customers and not the expansion of tariffs (Jang and Yeo, 2024; </w:t>
      </w:r>
      <w:proofErr w:type="spellStart"/>
      <w:r w:rsidRPr="00CE0D48">
        <w:rPr>
          <w:rFonts w:ascii="Times New Roman" w:hAnsi="Times New Roman" w:cs="Times New Roman"/>
          <w:color w:val="000000" w:themeColor="text1"/>
          <w:sz w:val="24"/>
          <w:szCs w:val="24"/>
        </w:rPr>
        <w:t>Moqaddamerad</w:t>
      </w:r>
      <w:proofErr w:type="spellEnd"/>
      <w:r w:rsidRPr="00CE0D48">
        <w:rPr>
          <w:rFonts w:ascii="Times New Roman" w:hAnsi="Times New Roman" w:cs="Times New Roman"/>
          <w:color w:val="000000" w:themeColor="text1"/>
          <w:sz w:val="24"/>
          <w:szCs w:val="24"/>
        </w:rPr>
        <w:t>, 2020).</w:t>
      </w:r>
    </w:p>
    <w:p w14:paraId="1C5785C0"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needs to shun a pure cost-leadership strategy using the Porters generic strategies. Scale has the potential of reducing unit costs; however, the UK market is already enjoying good competition on prices and there is regulatory interest that consumers may be </w:t>
      </w:r>
      <w:r w:rsidRPr="00CE0D48">
        <w:rPr>
          <w:rFonts w:ascii="Times New Roman" w:hAnsi="Times New Roman" w:cs="Times New Roman"/>
          <w:color w:val="000000" w:themeColor="text1"/>
          <w:sz w:val="24"/>
          <w:szCs w:val="24"/>
        </w:rPr>
        <w:lastRenderedPageBreak/>
        <w:t xml:space="preserve">harmed. It may also jeopardize the finances required to invest in the networks when a low-price approach is employed. Differentiation that is disciplined cost-effectiveness is the best choice.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ought to guarantee quantifiable reliability, increased 5G standalone, enhanced indoor and transport coverage, secure business services, and easy customer support. This corresponds with the priorities of Vodafone as it interconnects customer experience and simplicity in operations and investments as the basis of growth (Vodafone, 2025b;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and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w:t>
      </w:r>
    </w:p>
    <w:p w14:paraId="64B2DB3C"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strategy suggested here is hence termed as Connected Advantage 2030. It expects to transform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to be the most reliable 5G development associate to consumers, small-tiered companies, and infrastructure-heavy organizations, in the UK. The three pillars to the strategy are as follows. To begin with, create a quality-based mobile network, with viewable coverage milestones and independent reporting. Second, design industry solutions in the areas of SMEs, logistics, healthcare, education, utilities, and local government with 5G, IoT, security, and analytics bundles, privately. Third, make easy customer onboarding, reasonable pricing, on-boarding digital, active fault communication and vulnerable user human assistance. This is a combination of business expansion and trust of the stakeholders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and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 Mahajan et al., 2023).</w:t>
      </w:r>
    </w:p>
    <w:p w14:paraId="3C916763" w14:textId="77777777" w:rsidR="008567D9"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This suggestion is more powerful than high diversification approach as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does not compete based on its ability to become some general technology conglomerate. The ability to scale across scarce spectrum and network assets, customer relationships and enterprise partnerships is its strength. Such considerations of 5G business models indicate that telecom operators can generate greater value by becoming coordinators of sector-specific solutions and no longer playing the role of cogs in connectivity networks (</w:t>
      </w:r>
      <w:proofErr w:type="spellStart"/>
      <w:r w:rsidRPr="00CE0D48">
        <w:rPr>
          <w:rFonts w:ascii="Times New Roman" w:hAnsi="Times New Roman" w:cs="Times New Roman"/>
          <w:color w:val="000000" w:themeColor="text1"/>
          <w:sz w:val="24"/>
          <w:szCs w:val="24"/>
        </w:rPr>
        <w:t>Moqaddamerad</w:t>
      </w:r>
      <w:proofErr w:type="spellEnd"/>
      <w:r w:rsidRPr="00CE0D48">
        <w:rPr>
          <w:rFonts w:ascii="Times New Roman" w:hAnsi="Times New Roman" w:cs="Times New Roman"/>
          <w:color w:val="000000" w:themeColor="text1"/>
          <w:sz w:val="24"/>
          <w:szCs w:val="24"/>
        </w:rPr>
        <w:t xml:space="preserve">, 2020). The board ought to thus invest </w:t>
      </w:r>
      <w:r w:rsidRPr="00CE0D48">
        <w:rPr>
          <w:rFonts w:ascii="Times New Roman" w:hAnsi="Times New Roman" w:cs="Times New Roman"/>
          <w:color w:val="000000" w:themeColor="text1"/>
          <w:sz w:val="24"/>
          <w:szCs w:val="24"/>
        </w:rPr>
        <w:lastRenderedPageBreak/>
        <w:t>in enterprise co-creation teams, partner initiatives, and outcome-based and contracts whilst preserving consumer faith as the basis of the brand.</w:t>
      </w:r>
    </w:p>
    <w:p w14:paraId="31380B98" w14:textId="77777777" w:rsidR="008567D9" w:rsidRDefault="008567D9" w:rsidP="008567D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E219CC3"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7A87B6CF"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Strategy Evaluation</w:t>
      </w:r>
    </w:p>
    <w:p w14:paraId="437D1876"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Visual Table 4: SFA Evaluation of Connected Advantage 2030</w:t>
      </w:r>
    </w:p>
    <w:tbl>
      <w:tblPr>
        <w:tblStyle w:val="TableGrid"/>
        <w:tblW w:w="0" w:type="auto"/>
        <w:tblLook w:val="04A0" w:firstRow="1" w:lastRow="0" w:firstColumn="1" w:lastColumn="0" w:noHBand="0" w:noVBand="1"/>
      </w:tblPr>
      <w:tblGrid>
        <w:gridCol w:w="3126"/>
        <w:gridCol w:w="3131"/>
        <w:gridCol w:w="3093"/>
      </w:tblGrid>
      <w:tr w:rsidR="008567D9" w:rsidRPr="00CE0D48" w14:paraId="16AE231F" w14:textId="77777777" w:rsidTr="004E3961">
        <w:tc>
          <w:tcPr>
            <w:tcW w:w="3360" w:type="dxa"/>
          </w:tcPr>
          <w:p w14:paraId="31204B0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Criterion</w:t>
            </w:r>
          </w:p>
        </w:tc>
        <w:tc>
          <w:tcPr>
            <w:tcW w:w="3360" w:type="dxa"/>
          </w:tcPr>
          <w:p w14:paraId="3EEBDF94"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Evidence</w:t>
            </w:r>
          </w:p>
        </w:tc>
        <w:tc>
          <w:tcPr>
            <w:tcW w:w="3360" w:type="dxa"/>
          </w:tcPr>
          <w:p w14:paraId="79ED10E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Board judgment</w:t>
            </w:r>
          </w:p>
        </w:tc>
      </w:tr>
      <w:tr w:rsidR="008567D9" w:rsidRPr="00CE0D48" w14:paraId="2A192F20" w14:textId="77777777" w:rsidTr="004E3961">
        <w:tc>
          <w:tcPr>
            <w:tcW w:w="3360" w:type="dxa"/>
          </w:tcPr>
          <w:p w14:paraId="31860E8A"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Suitability</w:t>
            </w:r>
          </w:p>
        </w:tc>
        <w:tc>
          <w:tcPr>
            <w:tcW w:w="3360" w:type="dxa"/>
          </w:tcPr>
          <w:p w14:paraId="7EE89966"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Fits 5G demand, enterprise digitalization, coverage gaps, and Vodafone priorities.</w:t>
            </w:r>
          </w:p>
        </w:tc>
        <w:tc>
          <w:tcPr>
            <w:tcW w:w="3360" w:type="dxa"/>
          </w:tcPr>
          <w:p w14:paraId="3C51D30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High</w:t>
            </w:r>
          </w:p>
        </w:tc>
      </w:tr>
      <w:tr w:rsidR="008567D9" w:rsidRPr="00CE0D48" w14:paraId="41F0D382" w14:textId="77777777" w:rsidTr="004E3961">
        <w:tc>
          <w:tcPr>
            <w:tcW w:w="3360" w:type="dxa"/>
          </w:tcPr>
          <w:p w14:paraId="23319CF8"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Feasibility</w:t>
            </w:r>
          </w:p>
        </w:tc>
        <w:tc>
          <w:tcPr>
            <w:tcW w:w="3360" w:type="dxa"/>
          </w:tcPr>
          <w:p w14:paraId="415F8E5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Needs phased capital spending, integration discipline, supplier capacity, and skills.</w:t>
            </w:r>
          </w:p>
        </w:tc>
        <w:tc>
          <w:tcPr>
            <w:tcW w:w="3360" w:type="dxa"/>
          </w:tcPr>
          <w:p w14:paraId="09E56F7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Moderate to high</w:t>
            </w:r>
          </w:p>
        </w:tc>
      </w:tr>
      <w:tr w:rsidR="008567D9" w:rsidRPr="00CE0D48" w14:paraId="43F82164" w14:textId="77777777" w:rsidTr="004E3961">
        <w:tc>
          <w:tcPr>
            <w:tcW w:w="3360" w:type="dxa"/>
          </w:tcPr>
          <w:p w14:paraId="4EEF086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Acceptability</w:t>
            </w:r>
          </w:p>
        </w:tc>
        <w:tc>
          <w:tcPr>
            <w:tcW w:w="3360" w:type="dxa"/>
          </w:tcPr>
          <w:p w14:paraId="4323348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Supports shareholders, customers, regulators, employees, and communities if benefits are proven.</w:t>
            </w:r>
          </w:p>
        </w:tc>
        <w:tc>
          <w:tcPr>
            <w:tcW w:w="3360" w:type="dxa"/>
          </w:tcPr>
          <w:p w14:paraId="38A2432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High with safeguards</w:t>
            </w:r>
          </w:p>
        </w:tc>
      </w:tr>
    </w:tbl>
    <w:p w14:paraId="2125BF77"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The suggested strategy can be supported by the SFA framework. The fit is excellent due to the direct responsiveness of Connected Advantage 2030 to the market drivers: increased data demand, the potential of 5G standalone, enterprise digitalization, regulatory push and frustration of customers with disrupted coverage. It also tries to deal with the shortcomings of the merger as it transforms integration to service enhancement. This strategy is suitable concerning the values of Vodafone, as it is customer oriented, driven by innovation, and socially beneficial (Vodafone, 2025a; Vodafone, 2025b). Its major strategic rationale is that quality which is trusted can provide a stronger defensive of the margin than hard-selling.</w:t>
      </w:r>
    </w:p>
    <w:p w14:paraId="402EEC4E"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lastRenderedPageBreak/>
        <w:t xml:space="preserve">The possible viability is moderate to high, depending, however, on strict conditions. It is assumed in this report that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will be able to spread investment over a decade, provide synergies without a significant disruption in services, keep the important engineering talent, and obtain supplier capacity. It further presumes that the reporting with milestones is welcomed by regulators and that enterprise customers are willing to pay to get the reliable and secure 5G solutions managed. These are not necessarily but realistic assumptions. Delays in network integrations, constraints in planning, cyber threats, and lack of strong adoption by the enterprise are the biggest risks to feasibility. The mitigation strategies that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can implement to minimize these risks are pilot projects, the diversification of vendors, the effective governance of the strong </w:t>
      </w:r>
      <w:proofErr w:type="spellStart"/>
      <w:r w:rsidRPr="00CE0D48">
        <w:rPr>
          <w:rFonts w:ascii="Times New Roman" w:hAnsi="Times New Roman" w:cs="Times New Roman"/>
          <w:color w:val="000000" w:themeColor="text1"/>
          <w:sz w:val="24"/>
          <w:szCs w:val="24"/>
        </w:rPr>
        <w:t>programme</w:t>
      </w:r>
      <w:proofErr w:type="spellEnd"/>
      <w:r w:rsidRPr="00CE0D48">
        <w:rPr>
          <w:rFonts w:ascii="Times New Roman" w:hAnsi="Times New Roman" w:cs="Times New Roman"/>
          <w:color w:val="000000" w:themeColor="text1"/>
          <w:sz w:val="24"/>
          <w:szCs w:val="24"/>
        </w:rPr>
        <w:t>, and staged investment gates (CMA, 2024; Ofcom, 2025).</w:t>
      </w:r>
    </w:p>
    <w:p w14:paraId="632C4F64" w14:textId="77777777" w:rsidR="008567D9"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The positive one is acceptability but it needs a strong stakeholder management. The shareholders ought to appreciate a strategy, which promotes growth of revenue in the long term and to harness synergy. The customers are to enjoy enhanced coverage and easier customer service. There should be open execution of the promises of mergers by regulators. The strategy can be favored by workers when they feel some investment in the development of skills and not just on cost reduction. However, its acceptability would plummet readily in case of price increase, job losses which cannot be explained, and not even the rural citizenry would see the benefits. The board is also expected to relate the executive incentives to customer and regulatory, as well as sustainability KPIs, and not financial results alone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and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 Mahajan et al., 2023).</w:t>
      </w:r>
    </w:p>
    <w:p w14:paraId="35EE8E1D" w14:textId="77777777" w:rsidR="008567D9" w:rsidRDefault="008567D9" w:rsidP="008567D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1BCEBFC3"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659F4B6B"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Stakeholder Analysis</w:t>
      </w:r>
    </w:p>
    <w:p w14:paraId="2B1D2ED3"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Visual Table 5: Stakeholder Engagement Plan</w:t>
      </w:r>
    </w:p>
    <w:tbl>
      <w:tblPr>
        <w:tblStyle w:val="TableGrid"/>
        <w:tblW w:w="0" w:type="auto"/>
        <w:tblLook w:val="04A0" w:firstRow="1" w:lastRow="0" w:firstColumn="1" w:lastColumn="0" w:noHBand="0" w:noVBand="1"/>
      </w:tblPr>
      <w:tblGrid>
        <w:gridCol w:w="2333"/>
        <w:gridCol w:w="2370"/>
        <w:gridCol w:w="2316"/>
        <w:gridCol w:w="2331"/>
      </w:tblGrid>
      <w:tr w:rsidR="008567D9" w:rsidRPr="00CE0D48" w14:paraId="49B18F20" w14:textId="77777777" w:rsidTr="004E3961">
        <w:tc>
          <w:tcPr>
            <w:tcW w:w="2520" w:type="dxa"/>
          </w:tcPr>
          <w:p w14:paraId="199A1E29"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Stakeholder</w:t>
            </w:r>
          </w:p>
        </w:tc>
        <w:tc>
          <w:tcPr>
            <w:tcW w:w="2520" w:type="dxa"/>
          </w:tcPr>
          <w:p w14:paraId="4883C5A3"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Power/interest</w:t>
            </w:r>
          </w:p>
        </w:tc>
        <w:tc>
          <w:tcPr>
            <w:tcW w:w="2520" w:type="dxa"/>
          </w:tcPr>
          <w:p w14:paraId="0241E7A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Likely concern</w:t>
            </w:r>
          </w:p>
        </w:tc>
        <w:tc>
          <w:tcPr>
            <w:tcW w:w="2520" w:type="dxa"/>
          </w:tcPr>
          <w:p w14:paraId="356047D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Engagement action</w:t>
            </w:r>
          </w:p>
        </w:tc>
      </w:tr>
      <w:tr w:rsidR="008567D9" w:rsidRPr="00CE0D48" w14:paraId="0FA1FED8" w14:textId="77777777" w:rsidTr="004E3961">
        <w:tc>
          <w:tcPr>
            <w:tcW w:w="2520" w:type="dxa"/>
          </w:tcPr>
          <w:p w14:paraId="3BCCA50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CMA and Ofcom</w:t>
            </w:r>
          </w:p>
        </w:tc>
        <w:tc>
          <w:tcPr>
            <w:tcW w:w="2520" w:type="dxa"/>
          </w:tcPr>
          <w:p w14:paraId="34E4C92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High/high</w:t>
            </w:r>
          </w:p>
        </w:tc>
        <w:tc>
          <w:tcPr>
            <w:tcW w:w="2520" w:type="dxa"/>
          </w:tcPr>
          <w:p w14:paraId="48069AF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Prices, competition, investment delivery.</w:t>
            </w:r>
          </w:p>
        </w:tc>
        <w:tc>
          <w:tcPr>
            <w:tcW w:w="2520" w:type="dxa"/>
          </w:tcPr>
          <w:p w14:paraId="4072CFF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Quarterly evidence reports and compliance meetings.</w:t>
            </w:r>
          </w:p>
        </w:tc>
      </w:tr>
      <w:tr w:rsidR="008567D9" w:rsidRPr="00CE0D48" w14:paraId="49269EBA" w14:textId="77777777" w:rsidTr="004E3961">
        <w:tc>
          <w:tcPr>
            <w:tcW w:w="2520" w:type="dxa"/>
          </w:tcPr>
          <w:p w14:paraId="54BA6774"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Customers</w:t>
            </w:r>
          </w:p>
        </w:tc>
        <w:tc>
          <w:tcPr>
            <w:tcW w:w="2520" w:type="dxa"/>
          </w:tcPr>
          <w:p w14:paraId="0E1FB5D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Medium/high</w:t>
            </w:r>
          </w:p>
        </w:tc>
        <w:tc>
          <w:tcPr>
            <w:tcW w:w="2520" w:type="dxa"/>
          </w:tcPr>
          <w:p w14:paraId="718EE33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Tariffs, service quality, complaints.</w:t>
            </w:r>
          </w:p>
        </w:tc>
        <w:tc>
          <w:tcPr>
            <w:tcW w:w="2520" w:type="dxa"/>
          </w:tcPr>
          <w:p w14:paraId="11B0DD4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Clear updates, fair plans, proactive outage messages.</w:t>
            </w:r>
          </w:p>
        </w:tc>
      </w:tr>
      <w:tr w:rsidR="008567D9" w:rsidRPr="00CE0D48" w14:paraId="17598F29" w14:textId="77777777" w:rsidTr="004E3961">
        <w:tc>
          <w:tcPr>
            <w:tcW w:w="2520" w:type="dxa"/>
          </w:tcPr>
          <w:p w14:paraId="69A4118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Employees</w:t>
            </w:r>
          </w:p>
        </w:tc>
        <w:tc>
          <w:tcPr>
            <w:tcW w:w="2520" w:type="dxa"/>
          </w:tcPr>
          <w:p w14:paraId="564208B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Medium/high</w:t>
            </w:r>
          </w:p>
        </w:tc>
        <w:tc>
          <w:tcPr>
            <w:tcW w:w="2520" w:type="dxa"/>
          </w:tcPr>
          <w:p w14:paraId="3E56358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Job security, skills, integration.</w:t>
            </w:r>
          </w:p>
        </w:tc>
        <w:tc>
          <w:tcPr>
            <w:tcW w:w="2520" w:type="dxa"/>
          </w:tcPr>
          <w:p w14:paraId="0C50EB2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Briefings, training, transparent change management.</w:t>
            </w:r>
          </w:p>
        </w:tc>
      </w:tr>
      <w:tr w:rsidR="008567D9" w:rsidRPr="00CE0D48" w14:paraId="15543F26" w14:textId="77777777" w:rsidTr="004E3961">
        <w:tc>
          <w:tcPr>
            <w:tcW w:w="2520" w:type="dxa"/>
          </w:tcPr>
          <w:p w14:paraId="61D5CB8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Enterprise clients</w:t>
            </w:r>
          </w:p>
        </w:tc>
        <w:tc>
          <w:tcPr>
            <w:tcW w:w="2520" w:type="dxa"/>
          </w:tcPr>
          <w:p w14:paraId="61ED8CE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High/high</w:t>
            </w:r>
          </w:p>
        </w:tc>
        <w:tc>
          <w:tcPr>
            <w:tcW w:w="2520" w:type="dxa"/>
          </w:tcPr>
          <w:p w14:paraId="7144313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Reliability, security, ROI.</w:t>
            </w:r>
          </w:p>
        </w:tc>
        <w:tc>
          <w:tcPr>
            <w:tcW w:w="2520" w:type="dxa"/>
          </w:tcPr>
          <w:p w14:paraId="60220CD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Sector pilots and outcome-based proposals.</w:t>
            </w:r>
          </w:p>
        </w:tc>
      </w:tr>
      <w:tr w:rsidR="008567D9" w:rsidRPr="00CE0D48" w14:paraId="281C28D4" w14:textId="77777777" w:rsidTr="004E3961">
        <w:tc>
          <w:tcPr>
            <w:tcW w:w="2520" w:type="dxa"/>
          </w:tcPr>
          <w:p w14:paraId="5C074582"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Communities</w:t>
            </w:r>
          </w:p>
        </w:tc>
        <w:tc>
          <w:tcPr>
            <w:tcW w:w="2520" w:type="dxa"/>
          </w:tcPr>
          <w:p w14:paraId="1E02689E"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Low/high</w:t>
            </w:r>
          </w:p>
        </w:tc>
        <w:tc>
          <w:tcPr>
            <w:tcW w:w="2520" w:type="dxa"/>
          </w:tcPr>
          <w:p w14:paraId="5D742773"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Coverage, mast planning, inclusion.</w:t>
            </w:r>
          </w:p>
        </w:tc>
        <w:tc>
          <w:tcPr>
            <w:tcW w:w="2520" w:type="dxa"/>
          </w:tcPr>
          <w:p w14:paraId="4C1A4D8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Local consultation and coverage progress maps.</w:t>
            </w:r>
          </w:p>
        </w:tc>
      </w:tr>
    </w:tbl>
    <w:p w14:paraId="5B57141F"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stakeholder theory is applicable since the successful performance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relies on collaboration between its customers, regulators, staff, suppliers, localities, enterprise partners and shareholders. The power of regulators, shareholders and the large clients of the enterprise are high and so show high interest in the matrix by Mendelow and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needs to address them </w:t>
      </w:r>
      <w:r w:rsidRPr="00CE0D48">
        <w:rPr>
          <w:rFonts w:ascii="Times New Roman" w:hAnsi="Times New Roman" w:cs="Times New Roman"/>
          <w:color w:val="000000" w:themeColor="text1"/>
          <w:sz w:val="24"/>
          <w:szCs w:val="24"/>
        </w:rPr>
        <w:lastRenderedPageBreak/>
        <w:t>closely by providing evidence, consulting and reporting. Interest is keen among consumers and the communities yet the power of the individual consumer and the communities remains low hence these consumers and communities must be informed and provided easy avenues to air out complaints and update on their services. The power of suppliers at rollout is high, which must be controlled and planned by the contract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and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 Mahajan et al., 2023).</w:t>
      </w:r>
    </w:p>
    <w:p w14:paraId="36ABD190" w14:textId="77777777" w:rsidR="008567D9"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The plan of engagement needs to be viable. Quarterly coverage, quality of service, investment and price commitment reports should be submitted to Ofcom as well as the CMA. The clients ought to be given transparent updates on mergers, explanations of tariffs, network-upgrade locations, and proactive notifications on outages. Integration briefings, reskilling and honest communication regarding role changes should be provided to employees. The sector workshops and pilot projects should be used to engage enterprise customers. Discussions on mast-planning should involve local communities in which improvements on cover to place, access and visual issues are concerned. This strategy transforms the creation of value to defendants of PR instead of the management of stakeholders (CMA, 2024; Ofcom, 2025).</w:t>
      </w:r>
    </w:p>
    <w:p w14:paraId="78935527" w14:textId="77777777" w:rsidR="008567D9" w:rsidRDefault="008567D9" w:rsidP="008567D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736C330"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
    <w:p w14:paraId="1AEAD265"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Implementation and Monitoring</w:t>
      </w:r>
    </w:p>
    <w:p w14:paraId="3D962AE2"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Visual Table 6: Implementation Roadmap and KPIs</w:t>
      </w:r>
    </w:p>
    <w:tbl>
      <w:tblPr>
        <w:tblStyle w:val="TableGrid"/>
        <w:tblW w:w="0" w:type="auto"/>
        <w:tblLook w:val="04A0" w:firstRow="1" w:lastRow="0" w:firstColumn="1" w:lastColumn="0" w:noHBand="0" w:noVBand="1"/>
      </w:tblPr>
      <w:tblGrid>
        <w:gridCol w:w="2327"/>
        <w:gridCol w:w="2306"/>
        <w:gridCol w:w="2353"/>
        <w:gridCol w:w="2364"/>
      </w:tblGrid>
      <w:tr w:rsidR="008567D9" w:rsidRPr="00CE0D48" w14:paraId="5A53904E" w14:textId="77777777" w:rsidTr="004E3961">
        <w:tc>
          <w:tcPr>
            <w:tcW w:w="2520" w:type="dxa"/>
          </w:tcPr>
          <w:p w14:paraId="44F7F0C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Phase</w:t>
            </w:r>
          </w:p>
        </w:tc>
        <w:tc>
          <w:tcPr>
            <w:tcW w:w="2520" w:type="dxa"/>
          </w:tcPr>
          <w:p w14:paraId="76DDB3F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Timing</w:t>
            </w:r>
          </w:p>
        </w:tc>
        <w:tc>
          <w:tcPr>
            <w:tcW w:w="2520" w:type="dxa"/>
          </w:tcPr>
          <w:p w14:paraId="324F417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Main actions</w:t>
            </w:r>
          </w:p>
        </w:tc>
        <w:tc>
          <w:tcPr>
            <w:tcW w:w="2520" w:type="dxa"/>
          </w:tcPr>
          <w:p w14:paraId="258E2CA6"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b/>
                <w:color w:val="000000" w:themeColor="text1"/>
                <w:sz w:val="24"/>
                <w:szCs w:val="24"/>
              </w:rPr>
              <w:t>KPIs</w:t>
            </w:r>
          </w:p>
        </w:tc>
      </w:tr>
      <w:tr w:rsidR="008567D9" w:rsidRPr="00CE0D48" w14:paraId="570AC581" w14:textId="77777777" w:rsidTr="004E3961">
        <w:tc>
          <w:tcPr>
            <w:tcW w:w="2520" w:type="dxa"/>
          </w:tcPr>
          <w:p w14:paraId="52D3DC6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Stabilize</w:t>
            </w:r>
          </w:p>
        </w:tc>
        <w:tc>
          <w:tcPr>
            <w:tcW w:w="2520" w:type="dxa"/>
          </w:tcPr>
          <w:p w14:paraId="24BBFE24"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0-6 months</w:t>
            </w:r>
          </w:p>
        </w:tc>
        <w:tc>
          <w:tcPr>
            <w:tcW w:w="2520" w:type="dxa"/>
          </w:tcPr>
          <w:p w14:paraId="5B117BED"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Protect service, set baseline, plan priority zones.</w:t>
            </w:r>
          </w:p>
        </w:tc>
        <w:tc>
          <w:tcPr>
            <w:tcW w:w="2520" w:type="dxa"/>
          </w:tcPr>
          <w:p w14:paraId="48CC0C90"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Complaints, churn, NPS, outage rate.</w:t>
            </w:r>
          </w:p>
        </w:tc>
      </w:tr>
      <w:tr w:rsidR="008567D9" w:rsidRPr="00CE0D48" w14:paraId="238B8AEA" w14:textId="77777777" w:rsidTr="004E3961">
        <w:tc>
          <w:tcPr>
            <w:tcW w:w="2520" w:type="dxa"/>
          </w:tcPr>
          <w:p w14:paraId="5347D3D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Integrate</w:t>
            </w:r>
          </w:p>
        </w:tc>
        <w:tc>
          <w:tcPr>
            <w:tcW w:w="2520" w:type="dxa"/>
          </w:tcPr>
          <w:p w14:paraId="05976B47"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6-18 months</w:t>
            </w:r>
          </w:p>
        </w:tc>
        <w:tc>
          <w:tcPr>
            <w:tcW w:w="2520" w:type="dxa"/>
          </w:tcPr>
          <w:p w14:paraId="1CFB39C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Shared network access, quick coverage wins, pilots.</w:t>
            </w:r>
          </w:p>
        </w:tc>
        <w:tc>
          <w:tcPr>
            <w:tcW w:w="2520" w:type="dxa"/>
          </w:tcPr>
          <w:p w14:paraId="6CE4E0A8"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Coverage gains, speed, pilot adoption.</w:t>
            </w:r>
          </w:p>
        </w:tc>
      </w:tr>
      <w:tr w:rsidR="008567D9" w:rsidRPr="00CE0D48" w14:paraId="37AE8B53" w14:textId="77777777" w:rsidTr="004E3961">
        <w:tc>
          <w:tcPr>
            <w:tcW w:w="2520" w:type="dxa"/>
          </w:tcPr>
          <w:p w14:paraId="3B5CEC7A"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Scale</w:t>
            </w:r>
          </w:p>
        </w:tc>
        <w:tc>
          <w:tcPr>
            <w:tcW w:w="2520" w:type="dxa"/>
          </w:tcPr>
          <w:p w14:paraId="76E8EA5F"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18-36 months</w:t>
            </w:r>
          </w:p>
        </w:tc>
        <w:tc>
          <w:tcPr>
            <w:tcW w:w="2520" w:type="dxa"/>
          </w:tcPr>
          <w:p w14:paraId="6074277C"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5G standalone, private networks, digital support.</w:t>
            </w:r>
          </w:p>
        </w:tc>
        <w:tc>
          <w:tcPr>
            <w:tcW w:w="2520" w:type="dxa"/>
          </w:tcPr>
          <w:p w14:paraId="631BAC51"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Enterprise revenue, SME adoption, response time.</w:t>
            </w:r>
          </w:p>
        </w:tc>
      </w:tr>
      <w:tr w:rsidR="008567D9" w:rsidRPr="00CE0D48" w14:paraId="6370055B" w14:textId="77777777" w:rsidTr="004E3961">
        <w:tc>
          <w:tcPr>
            <w:tcW w:w="2520" w:type="dxa"/>
          </w:tcPr>
          <w:p w14:paraId="3E23B835"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Optimize</w:t>
            </w:r>
          </w:p>
        </w:tc>
        <w:tc>
          <w:tcPr>
            <w:tcW w:w="2520" w:type="dxa"/>
          </w:tcPr>
          <w:p w14:paraId="7B5EA6E9"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Years 3-5</w:t>
            </w:r>
          </w:p>
        </w:tc>
        <w:tc>
          <w:tcPr>
            <w:tcW w:w="2520" w:type="dxa"/>
          </w:tcPr>
          <w:p w14:paraId="79363ACB"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Ecosystem growth, assurance, strategy review.</w:t>
            </w:r>
          </w:p>
        </w:tc>
        <w:tc>
          <w:tcPr>
            <w:tcW w:w="2520" w:type="dxa"/>
          </w:tcPr>
          <w:p w14:paraId="307A6B38" w14:textId="77777777" w:rsidR="008567D9" w:rsidRPr="00CE0D48" w:rsidRDefault="008567D9" w:rsidP="004E3961">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Synergies, energy per TB, inclusion outcomes.</w:t>
            </w:r>
          </w:p>
        </w:tc>
      </w:tr>
    </w:tbl>
    <w:p w14:paraId="5B8A4EDF"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There should be 4 stages of implementation. The first phase (months 0 to 6) will have to stabilize integration, secure customer service, release baseline KPIs, and also find priority coverage gaps. Months 6-18, phase two, should see a general access to a network, fast-win coverage enhancements, as well as pilots across three areas of the enterprise. Months 18-36 was phase three and should include scaling 5G standalone, private-network offers, and digital customer support. Phase four (years 3-5) will scale up national enterprise ecosystems and reevaluate the strategy in </w:t>
      </w:r>
      <w:r w:rsidRPr="00CE0D48">
        <w:rPr>
          <w:rFonts w:ascii="Times New Roman" w:hAnsi="Times New Roman" w:cs="Times New Roman"/>
          <w:color w:val="000000" w:themeColor="text1"/>
          <w:sz w:val="24"/>
          <w:szCs w:val="24"/>
        </w:rPr>
        <w:lastRenderedPageBreak/>
        <w:t>the light of financial, customer, regulatory, sustainability outcomes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2025; Jang and Yeo, 2024).</w:t>
      </w:r>
    </w:p>
    <w:p w14:paraId="6400A08B"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The monitoring should be evidence-based and at board level. The core KPIs may be: 5G standalone population coverage, number of dropped calls, average data speed in priority coverage, NPS, complaints/100,000 customers, churn, enterprise 5G revenue, building adoption SME solutions, delivering synergy, capital expenditure, energy per terabyte, response time to cyber incidence, and digital inclusivity outcomes. A quarterly strategy dashboard is supposed to compare the targets and actual performance and should give reasons why corrective action is to be taken. External assurance of merger promises should also be employed by the board since trust will be at the level of legitimacy of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(CMA, 2024; Ofcom, 2025; Vodafone, 2025a).</w:t>
      </w:r>
    </w:p>
    <w:p w14:paraId="071BE50B" w14:textId="77777777" w:rsidR="008567D9" w:rsidRPr="00CE0D48" w:rsidRDefault="008567D9" w:rsidP="008567D9">
      <w:pPr>
        <w:spacing w:after="0" w:line="480" w:lineRule="auto"/>
        <w:jc w:val="both"/>
        <w:rPr>
          <w:rFonts w:ascii="Times New Roman" w:hAnsi="Times New Roman" w:cs="Times New Roman"/>
          <w:b/>
          <w:bCs/>
          <w:color w:val="000000" w:themeColor="text1"/>
          <w:sz w:val="24"/>
          <w:szCs w:val="24"/>
        </w:rPr>
      </w:pPr>
      <w:r w:rsidRPr="00CE0D48">
        <w:rPr>
          <w:rFonts w:ascii="Times New Roman" w:hAnsi="Times New Roman" w:cs="Times New Roman"/>
          <w:b/>
          <w:bCs/>
          <w:color w:val="000000" w:themeColor="text1"/>
          <w:sz w:val="24"/>
          <w:szCs w:val="24"/>
        </w:rPr>
        <w:t>Conclusion</w:t>
      </w:r>
    </w:p>
    <w:p w14:paraId="542E83BA" w14:textId="77777777" w:rsidR="008567D9" w:rsidRPr="00CE0D48" w:rsidRDefault="008567D9" w:rsidP="008567D9">
      <w:pPr>
        <w:spacing w:after="0" w:line="480" w:lineRule="auto"/>
        <w:jc w:val="both"/>
        <w:rPr>
          <w:rFonts w:ascii="Times New Roman" w:hAnsi="Times New Roman" w:cs="Times New Roman"/>
          <w:color w:val="000000" w:themeColor="text1"/>
          <w:sz w:val="24"/>
          <w:szCs w:val="24"/>
        </w:rPr>
      </w:pP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will provide Vodafone UK with a scanty growth platform, but size would not generate sustainable advantage. The UK market is competitive, regulated and capital intensive and is sensitive to customer trust. Another strategic option is the differentiated 5G enterprise and customer-experience strategy with Connected Advantage 2030 as the most strategic way to go. The merger approach relies on scale to enhance quality of the network, create industry solutions, advance digital inclusion and ensure map confidence among the stakeholders. It is appropriate, practical under disciplined management and acceptable provided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demonstrates advantages using transparent KPIs. The strategy should be accepted by the board, followed with investments spread across the phases, and customer trust to become the key growth indicator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2025; </w:t>
      </w: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and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2022; Mahajan et al., 2023).</w:t>
      </w:r>
    </w:p>
    <w:p w14:paraId="17806145" w14:textId="77777777" w:rsidR="008567D9" w:rsidRPr="00CE0D48" w:rsidRDefault="008567D9" w:rsidP="008567D9">
      <w:pPr>
        <w:pStyle w:val="Heading1"/>
        <w:spacing w:before="0" w:line="480" w:lineRule="auto"/>
        <w:jc w:val="both"/>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lastRenderedPageBreak/>
        <w:t>References</w:t>
      </w:r>
    </w:p>
    <w:p w14:paraId="332060B8"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proofErr w:type="spellStart"/>
      <w:r w:rsidRPr="00CE0D48">
        <w:rPr>
          <w:rFonts w:ascii="Times New Roman" w:hAnsi="Times New Roman" w:cs="Times New Roman"/>
          <w:color w:val="000000" w:themeColor="text1"/>
          <w:sz w:val="24"/>
          <w:szCs w:val="24"/>
        </w:rPr>
        <w:t>Bridoux</w:t>
      </w:r>
      <w:proofErr w:type="spellEnd"/>
      <w:r w:rsidRPr="00CE0D48">
        <w:rPr>
          <w:rFonts w:ascii="Times New Roman" w:hAnsi="Times New Roman" w:cs="Times New Roman"/>
          <w:color w:val="000000" w:themeColor="text1"/>
          <w:sz w:val="24"/>
          <w:szCs w:val="24"/>
        </w:rPr>
        <w:t xml:space="preserve">, F., &amp; </w:t>
      </w:r>
      <w:proofErr w:type="spellStart"/>
      <w:r w:rsidRPr="00CE0D48">
        <w:rPr>
          <w:rFonts w:ascii="Times New Roman" w:hAnsi="Times New Roman" w:cs="Times New Roman"/>
          <w:color w:val="000000" w:themeColor="text1"/>
          <w:sz w:val="24"/>
          <w:szCs w:val="24"/>
        </w:rPr>
        <w:t>Stoelhorst</w:t>
      </w:r>
      <w:proofErr w:type="spellEnd"/>
      <w:r w:rsidRPr="00CE0D48">
        <w:rPr>
          <w:rFonts w:ascii="Times New Roman" w:hAnsi="Times New Roman" w:cs="Times New Roman"/>
          <w:color w:val="000000" w:themeColor="text1"/>
          <w:sz w:val="24"/>
          <w:szCs w:val="24"/>
        </w:rPr>
        <w:t xml:space="preserve">, J. W. (2022). Stakeholder theory, strategy, and organization: Past, present, and future. Strategic Organization, 20(4), 797-809. </w:t>
      </w:r>
      <w:hyperlink r:id="rId6">
        <w:r w:rsidRPr="00CE0D48">
          <w:rPr>
            <w:rFonts w:ascii="Times New Roman" w:hAnsi="Times New Roman" w:cs="Times New Roman"/>
            <w:color w:val="000000" w:themeColor="text1"/>
            <w:sz w:val="24"/>
            <w:szCs w:val="24"/>
            <w:u w:val="single"/>
          </w:rPr>
          <w:t>https://doi.org/10.1177/14761270221127628</w:t>
        </w:r>
      </w:hyperlink>
    </w:p>
    <w:p w14:paraId="7C2B45B6"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Brito, D., &amp; Vasconcelos, H. (2023). Competitive effects of mergers and of spectrum divestment remedies in mobile telecommunication markets. Telecommunications Policy, 47(10), 102626. </w:t>
      </w:r>
      <w:hyperlink r:id="rId7">
        <w:r w:rsidRPr="00CE0D48">
          <w:rPr>
            <w:rFonts w:ascii="Times New Roman" w:hAnsi="Times New Roman" w:cs="Times New Roman"/>
            <w:color w:val="000000" w:themeColor="text1"/>
            <w:sz w:val="24"/>
            <w:szCs w:val="24"/>
            <w:u w:val="single"/>
          </w:rPr>
          <w:t>https://doi.org/10.1016/j.telpol.2023.102626</w:t>
        </w:r>
      </w:hyperlink>
    </w:p>
    <w:p w14:paraId="231E5347"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Grajek, M., Gugler, K., Kretschmer, T., &amp; </w:t>
      </w:r>
      <w:proofErr w:type="spellStart"/>
      <w:r w:rsidRPr="00CE0D48">
        <w:rPr>
          <w:rFonts w:ascii="Times New Roman" w:hAnsi="Times New Roman" w:cs="Times New Roman"/>
          <w:color w:val="000000" w:themeColor="text1"/>
          <w:sz w:val="24"/>
          <w:szCs w:val="24"/>
        </w:rPr>
        <w:t>Mişcişin</w:t>
      </w:r>
      <w:proofErr w:type="spellEnd"/>
      <w:r w:rsidRPr="00CE0D48">
        <w:rPr>
          <w:rFonts w:ascii="Times New Roman" w:hAnsi="Times New Roman" w:cs="Times New Roman"/>
          <w:color w:val="000000" w:themeColor="text1"/>
          <w:sz w:val="24"/>
          <w:szCs w:val="24"/>
        </w:rPr>
        <w:t xml:space="preserve">, I. (2019). Static or dynamic efficiency: Horizontal merger effects in the wireless telecommunications industry. Review of Industrial Organization, 55, 375-402. </w:t>
      </w:r>
      <w:hyperlink r:id="rId8">
        <w:r w:rsidRPr="00CE0D48">
          <w:rPr>
            <w:rFonts w:ascii="Times New Roman" w:hAnsi="Times New Roman" w:cs="Times New Roman"/>
            <w:color w:val="000000" w:themeColor="text1"/>
            <w:sz w:val="24"/>
            <w:szCs w:val="24"/>
            <w:u w:val="single"/>
          </w:rPr>
          <w:t>https://doi.org/10.1007/s11151-019-09723-4</w:t>
        </w:r>
      </w:hyperlink>
    </w:p>
    <w:p w14:paraId="5D6D7D85"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Jang, H.-S., &amp; Yeo, J. (2024). Current status analysis of 5G mobile communication services industry using business model canvas in South Korea. Asia Pacific Management Review. </w:t>
      </w:r>
      <w:hyperlink r:id="rId9">
        <w:r w:rsidRPr="00CE0D48">
          <w:rPr>
            <w:rFonts w:ascii="Times New Roman" w:hAnsi="Times New Roman" w:cs="Times New Roman"/>
            <w:color w:val="000000" w:themeColor="text1"/>
            <w:sz w:val="24"/>
            <w:szCs w:val="24"/>
            <w:u w:val="single"/>
          </w:rPr>
          <w:t>https://doi.org/10.1016/j.apmrv.2024.11.002</w:t>
        </w:r>
      </w:hyperlink>
    </w:p>
    <w:p w14:paraId="4C753008"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Mahajan, R., Lim, W. M., Sareen, M., Kumar, S., &amp; Panwar, R. (2023). Stakeholder theory. Journal of Business Research, 166, 114104. </w:t>
      </w:r>
      <w:hyperlink r:id="rId10">
        <w:r w:rsidRPr="00CE0D48">
          <w:rPr>
            <w:rFonts w:ascii="Times New Roman" w:hAnsi="Times New Roman" w:cs="Times New Roman"/>
            <w:color w:val="000000" w:themeColor="text1"/>
            <w:sz w:val="24"/>
            <w:szCs w:val="24"/>
            <w:u w:val="single"/>
          </w:rPr>
          <w:t>https://doi.org/10.1016/j.jbusres.2023.114104</w:t>
        </w:r>
      </w:hyperlink>
    </w:p>
    <w:p w14:paraId="46C07F25"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proofErr w:type="spellStart"/>
      <w:r w:rsidRPr="00CE0D48">
        <w:rPr>
          <w:rFonts w:ascii="Times New Roman" w:hAnsi="Times New Roman" w:cs="Times New Roman"/>
          <w:color w:val="000000" w:themeColor="text1"/>
          <w:sz w:val="24"/>
          <w:szCs w:val="24"/>
        </w:rPr>
        <w:t>Moqaddamerad</w:t>
      </w:r>
      <w:proofErr w:type="spellEnd"/>
      <w:r w:rsidRPr="00CE0D48">
        <w:rPr>
          <w:rFonts w:ascii="Times New Roman" w:hAnsi="Times New Roman" w:cs="Times New Roman"/>
          <w:color w:val="000000" w:themeColor="text1"/>
          <w:sz w:val="24"/>
          <w:szCs w:val="24"/>
        </w:rPr>
        <w:t xml:space="preserve">, S. (2020). Visioning business model innovation for emerging 5G mobile communications networks. Technology Innovation Management Review, 10(12), 4-18. </w:t>
      </w:r>
      <w:hyperlink r:id="rId11">
        <w:r w:rsidRPr="00CE0D48">
          <w:rPr>
            <w:rFonts w:ascii="Times New Roman" w:hAnsi="Times New Roman" w:cs="Times New Roman"/>
            <w:color w:val="000000" w:themeColor="text1"/>
            <w:sz w:val="24"/>
            <w:szCs w:val="24"/>
            <w:u w:val="single"/>
          </w:rPr>
          <w:t>https://doi.org/10.22215/timreview/1406</w:t>
        </w:r>
      </w:hyperlink>
    </w:p>
    <w:p w14:paraId="61DA78EB"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Competition and Markets Authority. (2024). Vodafone / CK Hutchison JV merger inquiry: Final report.  </w:t>
      </w:r>
    </w:p>
    <w:p w14:paraId="155DBE58"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OECD. (2021). Emerging trends in communication market competition. OECD Digital Economy Papers, No. 316.  </w:t>
      </w:r>
    </w:p>
    <w:p w14:paraId="485BE9D2"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Ofcom. (2025). Connected Nations 2025: UK report.  </w:t>
      </w:r>
    </w:p>
    <w:p w14:paraId="0925EB71"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lastRenderedPageBreak/>
        <w:t xml:space="preserve">Vodafone. (2025a). Vodafone Group Plc annual report 2025.  </w:t>
      </w:r>
    </w:p>
    <w:p w14:paraId="0EC612D7"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r w:rsidRPr="00CE0D48">
        <w:rPr>
          <w:rFonts w:ascii="Times New Roman" w:hAnsi="Times New Roman" w:cs="Times New Roman"/>
          <w:color w:val="000000" w:themeColor="text1"/>
          <w:sz w:val="24"/>
          <w:szCs w:val="24"/>
        </w:rPr>
        <w:t xml:space="preserve">Vodafone. (2025b). Our strategic priorities.  </w:t>
      </w:r>
    </w:p>
    <w:p w14:paraId="5FCD6BD7" w14:textId="77777777" w:rsidR="008567D9" w:rsidRPr="00CE0D48" w:rsidRDefault="008567D9" w:rsidP="008567D9">
      <w:pPr>
        <w:spacing w:after="0" w:line="480" w:lineRule="auto"/>
        <w:ind w:left="360" w:hanging="360"/>
        <w:rPr>
          <w:rFonts w:ascii="Times New Roman" w:hAnsi="Times New Roman" w:cs="Times New Roman"/>
          <w:color w:val="000000" w:themeColor="text1"/>
          <w:sz w:val="24"/>
          <w:szCs w:val="24"/>
        </w:rPr>
      </w:pP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(2025). </w:t>
      </w:r>
      <w:proofErr w:type="spellStart"/>
      <w:r w:rsidRPr="00CE0D48">
        <w:rPr>
          <w:rFonts w:ascii="Times New Roman" w:hAnsi="Times New Roman" w:cs="Times New Roman"/>
          <w:color w:val="000000" w:themeColor="text1"/>
          <w:sz w:val="24"/>
          <w:szCs w:val="24"/>
        </w:rPr>
        <w:t>VodafoneThree</w:t>
      </w:r>
      <w:proofErr w:type="spellEnd"/>
      <w:r w:rsidRPr="00CE0D48">
        <w:rPr>
          <w:rFonts w:ascii="Times New Roman" w:hAnsi="Times New Roman" w:cs="Times New Roman"/>
          <w:color w:val="000000" w:themeColor="text1"/>
          <w:sz w:val="24"/>
          <w:szCs w:val="24"/>
        </w:rPr>
        <w:t xml:space="preserve"> begins a new era of connectivity for the UK.  </w:t>
      </w:r>
    </w:p>
    <w:p w14:paraId="059BCA66" w14:textId="77777777" w:rsidR="00C970C8" w:rsidRDefault="00C970C8"/>
    <w:sectPr w:rsidR="00C970C8" w:rsidSect="008567D9">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910FB" w14:textId="77777777" w:rsidR="004B593A" w:rsidRDefault="004B593A">
      <w:pPr>
        <w:spacing w:after="0" w:line="240" w:lineRule="auto"/>
      </w:pPr>
      <w:r>
        <w:separator/>
      </w:r>
    </w:p>
  </w:endnote>
  <w:endnote w:type="continuationSeparator" w:id="0">
    <w:p w14:paraId="6E16CF94" w14:textId="77777777" w:rsidR="004B593A" w:rsidRDefault="004B59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EF79C" w14:textId="77777777" w:rsidR="008567D9" w:rsidRDefault="008567D9">
    <w:pPr>
      <w:pStyle w:val="Footer"/>
      <w:jc w:val="center"/>
    </w:pPr>
    <w:r>
      <w:t xml:space="preserve">Page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321BF" w14:textId="77777777" w:rsidR="004B593A" w:rsidRDefault="004B593A">
      <w:pPr>
        <w:spacing w:after="0" w:line="240" w:lineRule="auto"/>
      </w:pPr>
      <w:r>
        <w:separator/>
      </w:r>
    </w:p>
  </w:footnote>
  <w:footnote w:type="continuationSeparator" w:id="0">
    <w:p w14:paraId="6A01512A" w14:textId="77777777" w:rsidR="004B593A" w:rsidRDefault="004B59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7D9"/>
    <w:rsid w:val="000111B0"/>
    <w:rsid w:val="0003402A"/>
    <w:rsid w:val="00083C89"/>
    <w:rsid w:val="001262DC"/>
    <w:rsid w:val="001E5CCC"/>
    <w:rsid w:val="00423EDF"/>
    <w:rsid w:val="004B593A"/>
    <w:rsid w:val="004F721E"/>
    <w:rsid w:val="00506296"/>
    <w:rsid w:val="00793DE5"/>
    <w:rsid w:val="007C346F"/>
    <w:rsid w:val="008567D9"/>
    <w:rsid w:val="00A97D10"/>
    <w:rsid w:val="00C970C8"/>
    <w:rsid w:val="00DE7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72C0"/>
  <w15:chartTrackingRefBased/>
  <w15:docId w15:val="{9A2C1A37-B22E-4344-A67B-D26DDCCE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7D9"/>
    <w:pPr>
      <w:spacing w:after="200" w:line="276" w:lineRule="auto"/>
    </w:pPr>
    <w:rPr>
      <w:rFonts w:ascii="Arial" w:eastAsia="Arial" w:hAnsi="Arial"/>
      <w:kern w:val="0"/>
      <w:sz w:val="22"/>
      <w:szCs w:val="22"/>
      <w14:ligatures w14:val="none"/>
    </w:rPr>
  </w:style>
  <w:style w:type="paragraph" w:styleId="Heading1">
    <w:name w:val="heading 1"/>
    <w:basedOn w:val="Normal"/>
    <w:next w:val="Normal"/>
    <w:link w:val="Heading1Char"/>
    <w:uiPriority w:val="9"/>
    <w:qFormat/>
    <w:rsid w:val="000111B0"/>
    <w:pPr>
      <w:keepNext/>
      <w:keepLines/>
      <w:spacing w:before="360" w:after="80" w:line="278" w:lineRule="auto"/>
      <w:outlineLvl w:val="0"/>
    </w:pPr>
    <w:rPr>
      <w:rFonts w:asciiTheme="majorHAnsi" w:eastAsiaTheme="majorEastAsia" w:hAnsiTheme="majorHAnsi" w:cstheme="majorBidi"/>
      <w:b/>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83C89"/>
    <w:pPr>
      <w:keepNext/>
      <w:keepLines/>
      <w:spacing w:before="160" w:after="80" w:line="278" w:lineRule="auto"/>
      <w:outlineLvl w:val="1"/>
    </w:pPr>
    <w:rPr>
      <w:rFonts w:asciiTheme="majorHAnsi" w:eastAsiaTheme="majorEastAsia" w:hAnsiTheme="majorHAnsi" w:cstheme="majorBidi"/>
      <w:b/>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567D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567D9"/>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567D9"/>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567D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567D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567D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567D9"/>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1B0"/>
    <w:rPr>
      <w:rFonts w:asciiTheme="majorHAnsi" w:eastAsiaTheme="majorEastAsia" w:hAnsiTheme="majorHAnsi" w:cstheme="majorBidi"/>
      <w:b/>
      <w:color w:val="0F4761" w:themeColor="accent1" w:themeShade="BF"/>
      <w:sz w:val="40"/>
      <w:szCs w:val="40"/>
    </w:rPr>
  </w:style>
  <w:style w:type="character" w:customStyle="1" w:styleId="Heading2Char">
    <w:name w:val="Heading 2 Char"/>
    <w:basedOn w:val="DefaultParagraphFont"/>
    <w:link w:val="Heading2"/>
    <w:uiPriority w:val="9"/>
    <w:semiHidden/>
    <w:rsid w:val="00083C89"/>
    <w:rPr>
      <w:rFonts w:asciiTheme="majorHAnsi" w:eastAsiaTheme="majorEastAsia" w:hAnsiTheme="majorHAnsi" w:cstheme="majorBidi"/>
      <w:b/>
      <w:color w:val="0F4761" w:themeColor="accent1" w:themeShade="BF"/>
      <w:sz w:val="32"/>
      <w:szCs w:val="32"/>
    </w:rPr>
  </w:style>
  <w:style w:type="character" w:customStyle="1" w:styleId="Heading3Char">
    <w:name w:val="Heading 3 Char"/>
    <w:basedOn w:val="DefaultParagraphFont"/>
    <w:link w:val="Heading3"/>
    <w:uiPriority w:val="9"/>
    <w:semiHidden/>
    <w:rsid w:val="008567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7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7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7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7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7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7D9"/>
    <w:rPr>
      <w:rFonts w:eastAsiaTheme="majorEastAsia" w:cstheme="majorBidi"/>
      <w:color w:val="272727" w:themeColor="text1" w:themeTint="D8"/>
    </w:rPr>
  </w:style>
  <w:style w:type="paragraph" w:styleId="Title">
    <w:name w:val="Title"/>
    <w:basedOn w:val="Normal"/>
    <w:next w:val="Normal"/>
    <w:link w:val="TitleChar"/>
    <w:uiPriority w:val="10"/>
    <w:qFormat/>
    <w:rsid w:val="008567D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567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7D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567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7D9"/>
    <w:pPr>
      <w:spacing w:before="160" w:after="160" w:line="278" w:lineRule="auto"/>
      <w:jc w:val="center"/>
    </w:pPr>
    <w:rPr>
      <w:rFonts w:asciiTheme="minorHAnsi" w:eastAsiaTheme="minorHAnsi" w:hAnsi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567D9"/>
    <w:rPr>
      <w:i/>
      <w:iCs/>
      <w:color w:val="404040" w:themeColor="text1" w:themeTint="BF"/>
    </w:rPr>
  </w:style>
  <w:style w:type="paragraph" w:styleId="ListParagraph">
    <w:name w:val="List Paragraph"/>
    <w:basedOn w:val="Normal"/>
    <w:uiPriority w:val="34"/>
    <w:qFormat/>
    <w:rsid w:val="008567D9"/>
    <w:pPr>
      <w:spacing w:after="160" w:line="278" w:lineRule="auto"/>
      <w:ind w:left="720"/>
      <w:contextualSpacing/>
    </w:pPr>
    <w:rPr>
      <w:rFonts w:asciiTheme="minorHAnsi" w:eastAsiaTheme="minorHAnsi" w:hAnsiTheme="minorHAnsi"/>
      <w:kern w:val="2"/>
      <w:sz w:val="24"/>
      <w:szCs w:val="24"/>
      <w14:ligatures w14:val="standardContextual"/>
    </w:rPr>
  </w:style>
  <w:style w:type="character" w:styleId="IntenseEmphasis">
    <w:name w:val="Intense Emphasis"/>
    <w:basedOn w:val="DefaultParagraphFont"/>
    <w:uiPriority w:val="21"/>
    <w:qFormat/>
    <w:rsid w:val="008567D9"/>
    <w:rPr>
      <w:i/>
      <w:iCs/>
      <w:color w:val="0F4761" w:themeColor="accent1" w:themeShade="BF"/>
    </w:rPr>
  </w:style>
  <w:style w:type="paragraph" w:styleId="IntenseQuote">
    <w:name w:val="Intense Quote"/>
    <w:basedOn w:val="Normal"/>
    <w:next w:val="Normal"/>
    <w:link w:val="IntenseQuoteChar"/>
    <w:uiPriority w:val="30"/>
    <w:qFormat/>
    <w:rsid w:val="008567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567D9"/>
    <w:rPr>
      <w:i/>
      <w:iCs/>
      <w:color w:val="0F4761" w:themeColor="accent1" w:themeShade="BF"/>
    </w:rPr>
  </w:style>
  <w:style w:type="character" w:styleId="IntenseReference">
    <w:name w:val="Intense Reference"/>
    <w:basedOn w:val="DefaultParagraphFont"/>
    <w:uiPriority w:val="32"/>
    <w:qFormat/>
    <w:rsid w:val="008567D9"/>
    <w:rPr>
      <w:b/>
      <w:bCs/>
      <w:smallCaps/>
      <w:color w:val="0F4761" w:themeColor="accent1" w:themeShade="BF"/>
      <w:spacing w:val="5"/>
    </w:rPr>
  </w:style>
  <w:style w:type="paragraph" w:styleId="Footer">
    <w:name w:val="footer"/>
    <w:basedOn w:val="Normal"/>
    <w:link w:val="FooterChar"/>
    <w:uiPriority w:val="99"/>
    <w:unhideWhenUsed/>
    <w:rsid w:val="00856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7D9"/>
    <w:rPr>
      <w:rFonts w:ascii="Arial" w:eastAsia="Arial" w:hAnsi="Arial"/>
      <w:kern w:val="0"/>
      <w:sz w:val="22"/>
      <w:szCs w:val="22"/>
      <w14:ligatures w14:val="none"/>
    </w:rPr>
  </w:style>
  <w:style w:type="table" w:styleId="TableGrid">
    <w:name w:val="Table Grid"/>
    <w:basedOn w:val="TableNormal"/>
    <w:uiPriority w:val="59"/>
    <w:rsid w:val="008567D9"/>
    <w:pPr>
      <w:spacing w:after="0" w:line="240" w:lineRule="auto"/>
    </w:pPr>
    <w:rPr>
      <w:rFonts w:eastAsiaTheme="minorEastAsia"/>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51-019-09723-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16/j.telpol.2023.102626"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14761270221127628" TargetMode="External"/><Relationship Id="rId11" Type="http://schemas.openxmlformats.org/officeDocument/2006/relationships/hyperlink" Target="https://doi.org/10.22215/timreview/1406" TargetMode="External"/><Relationship Id="rId5" Type="http://schemas.openxmlformats.org/officeDocument/2006/relationships/endnotes" Target="endnotes.xml"/><Relationship Id="rId10" Type="http://schemas.openxmlformats.org/officeDocument/2006/relationships/hyperlink" Target="https://doi.org/10.1016/j.jbusres.2023.114104" TargetMode="External"/><Relationship Id="rId4" Type="http://schemas.openxmlformats.org/officeDocument/2006/relationships/footnotes" Target="footnotes.xml"/><Relationship Id="rId9" Type="http://schemas.openxmlformats.org/officeDocument/2006/relationships/hyperlink" Target="https://doi.org/10.1016/j.apmrv.2024.11.00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4262</Words>
  <Characters>24297</Characters>
  <Application>Microsoft Office Word</Application>
  <DocSecurity>0</DocSecurity>
  <Lines>202</Lines>
  <Paragraphs>57</Paragraphs>
  <ScaleCrop>false</ScaleCrop>
  <Company/>
  <LinksUpToDate>false</LinksUpToDate>
  <CharactersWithSpaces>28502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habib afaq</dc:creator>
  <cp:keywords/>
  <dc:description/>
  <cp:lastModifiedBy>habib afaq</cp:lastModifiedBy>
  <cp:revision>3</cp:revision>
  <dcterms:created xsi:type="dcterms:W3CDTF">2026-06-03T04:39:00Z</dcterms:created>
  <dcterms:modified xsi:type="dcterms:W3CDTF">2026-06-07T11:25:00Z</dcterms:modified>
</cp:coreProperties>
</file>