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6ADCAEC" w:rsidP="4C70F40C" w:rsidRDefault="76ADCAEC" w14:paraId="54E151E3" w14:textId="1127A1DC">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Scenario assignment 2</w:t>
      </w:r>
    </w:p>
    <w:p w:rsidR="76ADCAEC" w:rsidP="4C70F40C" w:rsidRDefault="76ADCAEC" w14:paraId="7256DB77" w14:textId="5E479955">
      <w:pPr>
        <w:spacing w:before="240" w:beforeAutospacing="off" w:after="240" w:afterAutospacing="off" w:line="480" w:lineRule="auto"/>
        <w:jc w:val="both"/>
        <w:rPr>
          <w:rFonts w:ascii="Arial" w:hAnsi="Arial" w:eastAsia="Arial" w:cs="Arial"/>
          <w:sz w:val="24"/>
          <w:szCs w:val="24"/>
        </w:rPr>
      </w:pPr>
    </w:p>
    <w:p w:rsidR="76ADCAEC" w:rsidP="4C70F40C" w:rsidRDefault="76ADCAEC" w14:paraId="633CCCED" w14:textId="50FBF58F">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Student id- 2305658</w:t>
      </w:r>
    </w:p>
    <w:p w:rsidR="76ADCAEC" w:rsidP="4C70F40C" w:rsidRDefault="76ADCAEC" w14:paraId="717AA880" w14:textId="35E65F75">
      <w:pPr>
        <w:spacing w:before="240" w:beforeAutospacing="off" w:after="240" w:afterAutospacing="off" w:line="480" w:lineRule="auto"/>
        <w:jc w:val="both"/>
        <w:rPr>
          <w:rFonts w:ascii="Arial" w:hAnsi="Arial" w:eastAsia="Arial" w:cs="Arial"/>
          <w:sz w:val="24"/>
          <w:szCs w:val="24"/>
        </w:rPr>
      </w:pPr>
    </w:p>
    <w:p w:rsidR="76ADCAEC" w:rsidP="4C70F40C" w:rsidRDefault="76ADCAEC" w14:paraId="6C38DE80" w14:textId="12370AAA">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In this assignment, I will be assessing the criminal law that I have learnt throughout the course, this will be by discussing the criminal liability Carly could be faced with while discussing the emotional state and confession that was brought upon in </w:t>
      </w:r>
      <w:r w:rsidRPr="4C70F40C" w:rsidR="0F9EB077">
        <w:rPr>
          <w:rFonts w:ascii="Arial" w:hAnsi="Arial" w:eastAsia="Arial" w:cs="Arial"/>
          <w:i w:val="0"/>
          <w:iCs w:val="0"/>
          <w:noProof w:val="0"/>
          <w:color w:val="000000" w:themeColor="text1" w:themeTint="FF" w:themeShade="FF"/>
          <w:sz w:val="24"/>
          <w:szCs w:val="24"/>
          <w:lang w:val="en-US"/>
        </w:rPr>
        <w:t>a heated argument</w:t>
      </w:r>
      <w:r w:rsidRPr="4C70F40C" w:rsidR="0F9EB077">
        <w:rPr>
          <w:rFonts w:ascii="Arial" w:hAnsi="Arial" w:eastAsia="Arial" w:cs="Arial"/>
          <w:i w:val="0"/>
          <w:iCs w:val="0"/>
          <w:noProof w:val="0"/>
          <w:color w:val="000000" w:themeColor="text1" w:themeTint="FF" w:themeShade="FF"/>
          <w:sz w:val="24"/>
          <w:szCs w:val="24"/>
          <w:lang w:val="en-US"/>
        </w:rPr>
        <w:t xml:space="preserve"> by Jamie. I will also be </w:t>
      </w:r>
      <w:r w:rsidRPr="4C70F40C" w:rsidR="0F9EB077">
        <w:rPr>
          <w:rFonts w:ascii="Arial" w:hAnsi="Arial" w:eastAsia="Arial" w:cs="Arial"/>
          <w:i w:val="0"/>
          <w:iCs w:val="0"/>
          <w:noProof w:val="0"/>
          <w:color w:val="000000" w:themeColor="text1" w:themeTint="FF" w:themeShade="FF"/>
          <w:sz w:val="24"/>
          <w:szCs w:val="24"/>
          <w:lang w:val="en-US"/>
        </w:rPr>
        <w:t>demonstrating</w:t>
      </w:r>
      <w:r w:rsidRPr="4C70F40C" w:rsidR="0F9EB077">
        <w:rPr>
          <w:rFonts w:ascii="Arial" w:hAnsi="Arial" w:eastAsia="Arial" w:cs="Arial"/>
          <w:i w:val="0"/>
          <w:iCs w:val="0"/>
          <w:noProof w:val="0"/>
          <w:color w:val="000000" w:themeColor="text1" w:themeTint="FF" w:themeShade="FF"/>
          <w:sz w:val="24"/>
          <w:szCs w:val="24"/>
          <w:lang w:val="en-US"/>
        </w:rPr>
        <w:t xml:space="preserve"> an understanding of the general principles of criminal liability, and I will also be </w:t>
      </w:r>
      <w:r w:rsidRPr="4C70F40C" w:rsidR="0F9EB077">
        <w:rPr>
          <w:rFonts w:ascii="Arial" w:hAnsi="Arial" w:eastAsia="Arial" w:cs="Arial"/>
          <w:i w:val="0"/>
          <w:iCs w:val="0"/>
          <w:noProof w:val="0"/>
          <w:color w:val="000000" w:themeColor="text1" w:themeTint="FF" w:themeShade="FF"/>
          <w:sz w:val="24"/>
          <w:szCs w:val="24"/>
          <w:lang w:val="en-US"/>
        </w:rPr>
        <w:t>demonstrating</w:t>
      </w:r>
      <w:r w:rsidRPr="4C70F40C" w:rsidR="0F9EB077">
        <w:rPr>
          <w:rFonts w:ascii="Arial" w:hAnsi="Arial" w:eastAsia="Arial" w:cs="Arial"/>
          <w:i w:val="0"/>
          <w:iCs w:val="0"/>
          <w:noProof w:val="0"/>
          <w:color w:val="000000" w:themeColor="text1" w:themeTint="FF" w:themeShade="FF"/>
          <w:sz w:val="24"/>
          <w:szCs w:val="24"/>
          <w:lang w:val="en-US"/>
        </w:rPr>
        <w:t xml:space="preserve"> a working knowledge of the philosophical, moral, ethical, and social issues that underpin criminal law, as well as the </w:t>
      </w:r>
      <w:r w:rsidRPr="4C70F40C" w:rsidR="0F9EB077">
        <w:rPr>
          <w:rFonts w:ascii="Arial" w:hAnsi="Arial" w:eastAsia="Arial" w:cs="Arial"/>
          <w:i w:val="0"/>
          <w:iCs w:val="0"/>
          <w:noProof w:val="0"/>
          <w:color w:val="000000" w:themeColor="text1" w:themeTint="FF" w:themeShade="FF"/>
          <w:sz w:val="24"/>
          <w:szCs w:val="24"/>
          <w:lang w:val="en-US"/>
        </w:rPr>
        <w:t>capacity</w:t>
      </w:r>
      <w:r w:rsidRPr="4C70F40C" w:rsidR="0F9EB077">
        <w:rPr>
          <w:rFonts w:ascii="Arial" w:hAnsi="Arial" w:eastAsia="Arial" w:cs="Arial"/>
          <w:i w:val="0"/>
          <w:iCs w:val="0"/>
          <w:noProof w:val="0"/>
          <w:color w:val="000000" w:themeColor="text1" w:themeTint="FF" w:themeShade="FF"/>
          <w:sz w:val="24"/>
          <w:szCs w:val="24"/>
          <w:lang w:val="en-US"/>
        </w:rPr>
        <w:t xml:space="preserve"> to discuss those issues considering broader ethical frameworks.</w:t>
      </w:r>
    </w:p>
    <w:p w:rsidR="76ADCAEC" w:rsidP="4C70F40C" w:rsidRDefault="76ADCAEC" w14:paraId="72FDC10C" w14:textId="175DFAD8">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In the scenario Carly is being charged with </w:t>
      </w:r>
      <w:r w:rsidRPr="4C70F40C" w:rsidR="06B0151E">
        <w:rPr>
          <w:rFonts w:ascii="Arial" w:hAnsi="Arial" w:eastAsia="Arial" w:cs="Arial"/>
          <w:i w:val="0"/>
          <w:iCs w:val="0"/>
          <w:noProof w:val="0"/>
          <w:color w:val="000000" w:themeColor="text1" w:themeTint="FF" w:themeShade="FF"/>
          <w:sz w:val="24"/>
          <w:szCs w:val="24"/>
          <w:lang w:val="en-US"/>
        </w:rPr>
        <w:t>intent of GBH (</w:t>
      </w:r>
      <w:r w:rsidRPr="4C70F40C" w:rsidR="06B0151E">
        <w:rPr>
          <w:rFonts w:ascii="Arial" w:hAnsi="Arial" w:eastAsia="Arial" w:cs="Arial"/>
          <w:i w:val="0"/>
          <w:iCs w:val="0"/>
          <w:noProof w:val="0"/>
          <w:color w:val="000000" w:themeColor="text1" w:themeTint="FF" w:themeShade="FF"/>
          <w:sz w:val="24"/>
          <w:szCs w:val="24"/>
          <w:lang w:val="en-US"/>
        </w:rPr>
        <w:t>grievous</w:t>
      </w:r>
      <w:r w:rsidRPr="4C70F40C" w:rsidR="06B0151E">
        <w:rPr>
          <w:rFonts w:ascii="Arial" w:hAnsi="Arial" w:eastAsia="Arial" w:cs="Arial"/>
          <w:i w:val="0"/>
          <w:iCs w:val="0"/>
          <w:noProof w:val="0"/>
          <w:color w:val="000000" w:themeColor="text1" w:themeTint="FF" w:themeShade="FF"/>
          <w:sz w:val="24"/>
          <w:szCs w:val="24"/>
          <w:lang w:val="en-US"/>
        </w:rPr>
        <w:t xml:space="preserve"> bodily harm)</w:t>
      </w:r>
      <w:r w:rsidRPr="4C70F40C" w:rsidR="0F9EB077">
        <w:rPr>
          <w:rFonts w:ascii="Arial" w:hAnsi="Arial" w:eastAsia="Arial" w:cs="Arial"/>
          <w:i w:val="0"/>
          <w:iCs w:val="0"/>
          <w:noProof w:val="0"/>
          <w:color w:val="000000" w:themeColor="text1" w:themeTint="FF" w:themeShade="FF"/>
          <w:sz w:val="24"/>
          <w:szCs w:val="24"/>
          <w:lang w:val="en-US"/>
        </w:rPr>
        <w:t xml:space="preserve"> of her husband Jamie. Jamie was very intoxicated after coming home from a night out, this got Carly angry and confronted the husband as he has a serious drinking problem and his excessive neglect of their relationship. While arguing Jamie admits to cheating on Carly with his co-worker Emma, this caused serious anger and depression, and in her anger, she lashes out at Jamie by stabbing him in the chest with a knife from the kitchen. </w:t>
      </w:r>
    </w:p>
    <w:p w:rsidR="76ADCAEC" w:rsidP="4C70F40C" w:rsidRDefault="76ADCAEC" w14:paraId="261BD0A3" w14:textId="14EA1055">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In the realms of society, crime is a contentious and convoluted concept. Crime is usually a symptom of reactions to society's structure, highlighting a myriad of emotions amongst people. This essay seeks to reflect on the case and looking at similar cases in the UK such as Deborah Rose, an individual who admitted stabbing her two-timing husband, John Rose, ROSE (2018) to dissect the reasons, outcomes, and moral implications of this act in context.</w:t>
      </w:r>
    </w:p>
    <w:p w:rsidR="76ADCAEC" w:rsidP="4C70F40C" w:rsidRDefault="76ADCAEC" w14:paraId="7ECF6A7C" w14:textId="3C93BBDE">
      <w:pPr>
        <w:spacing w:before="240" w:beforeAutospacing="off" w:after="240" w:afterAutospacing="off" w:line="480" w:lineRule="auto"/>
        <w:jc w:val="both"/>
        <w:rPr>
          <w:rFonts w:ascii="Arial" w:hAnsi="Arial" w:eastAsia="Arial" w:cs="Arial"/>
          <w:sz w:val="24"/>
          <w:szCs w:val="24"/>
        </w:rPr>
      </w:pPr>
    </w:p>
    <w:p w:rsidR="76ADCAEC" w:rsidP="4C70F40C" w:rsidRDefault="76ADCAEC" w14:paraId="1EE4E597" w14:textId="2E43D93F">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Deborah Rose's case has gained noteworthy recognition and sparked controversy in recent years (Dodd, 2020). Owing to the severity and consequence of crime, the act of stabbing, albeit performed in the wake of emotional turbulence, must be evaluated critically. Considering this, Rose’s actions awaken questions about the morality of violent actions, their roots, and the emotional aspect behind such transgressions.</w:t>
      </w:r>
    </w:p>
    <w:p w:rsidR="76ADCAEC" w:rsidP="4C70F40C" w:rsidRDefault="76ADCAEC" w14:paraId="4F0F3351" w14:textId="40F08349">
      <w:pPr>
        <w:spacing w:before="240" w:beforeAutospacing="off" w:after="240" w:afterAutospacing="off" w:line="480" w:lineRule="auto"/>
        <w:jc w:val="both"/>
        <w:rPr>
          <w:rFonts w:ascii="Arial" w:hAnsi="Arial" w:eastAsia="Arial" w:cs="Arial"/>
          <w:sz w:val="24"/>
          <w:szCs w:val="24"/>
        </w:rPr>
      </w:pPr>
    </w:p>
    <w:p w:rsidR="76ADCAEC" w:rsidP="4C70F40C" w:rsidRDefault="76ADCAEC" w14:paraId="5B061587" w14:textId="21184F1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Renowned crime theorists argue that violent crimes often have </w:t>
      </w:r>
      <w:r w:rsidRPr="4C70F40C" w:rsidR="4179ED3E">
        <w:rPr>
          <w:rFonts w:ascii="Arial" w:hAnsi="Arial" w:eastAsia="Arial" w:cs="Arial"/>
          <w:i w:val="0"/>
          <w:iCs w:val="0"/>
          <w:noProof w:val="0"/>
          <w:color w:val="000000" w:themeColor="text1" w:themeTint="FF" w:themeShade="FF"/>
          <w:sz w:val="24"/>
          <w:szCs w:val="24"/>
          <w:lang w:val="en-US"/>
        </w:rPr>
        <w:t>a grounding</w:t>
      </w:r>
      <w:r w:rsidRPr="4C70F40C" w:rsidR="0F9EB077">
        <w:rPr>
          <w:rFonts w:ascii="Arial" w:hAnsi="Arial" w:eastAsia="Arial" w:cs="Arial"/>
          <w:i w:val="0"/>
          <w:iCs w:val="0"/>
          <w:noProof w:val="0"/>
          <w:color w:val="000000" w:themeColor="text1" w:themeTint="FF" w:themeShade="FF"/>
          <w:sz w:val="24"/>
          <w:szCs w:val="24"/>
          <w:lang w:val="en-US"/>
        </w:rPr>
        <w:t xml:space="preserve"> in deep-seated emotional disturbances (Agnew, 1992). Could it be that Carla found herself in the clutches of emotional agony, caused by her husband's disloyalty, pushing her to commit an act so drastic? Multiple sources </w:t>
      </w:r>
      <w:r w:rsidRPr="4C70F40C" w:rsidR="6586AEDD">
        <w:rPr>
          <w:rFonts w:ascii="Arial" w:hAnsi="Arial" w:eastAsia="Arial" w:cs="Arial"/>
          <w:i w:val="0"/>
          <w:iCs w:val="0"/>
          <w:noProof w:val="0"/>
          <w:color w:val="000000" w:themeColor="text1" w:themeTint="FF" w:themeShade="FF"/>
          <w:sz w:val="24"/>
          <w:szCs w:val="24"/>
          <w:lang w:val="en-US"/>
        </w:rPr>
        <w:t>support</w:t>
      </w:r>
      <w:r w:rsidRPr="4C70F40C" w:rsidR="0F9EB077">
        <w:rPr>
          <w:rFonts w:ascii="Arial" w:hAnsi="Arial" w:eastAsia="Arial" w:cs="Arial"/>
          <w:i w:val="0"/>
          <w:iCs w:val="0"/>
          <w:noProof w:val="0"/>
          <w:color w:val="000000" w:themeColor="text1" w:themeTint="FF" w:themeShade="FF"/>
          <w:sz w:val="24"/>
          <w:szCs w:val="24"/>
          <w:lang w:val="en-US"/>
        </w:rPr>
        <w:t xml:space="preserve"> that her partner was indeed relishing an extramarital affair, which provoked Carla to resort to such disturbing measures (Johnson, 2021). </w:t>
      </w:r>
      <w:r w:rsidRPr="4C70F40C" w:rsidR="3B249E7D">
        <w:rPr>
          <w:rFonts w:ascii="Arial" w:hAnsi="Arial" w:eastAsia="Arial" w:cs="Arial"/>
          <w:i w:val="0"/>
          <w:iCs w:val="0"/>
          <w:noProof w:val="0"/>
          <w:color w:val="000000" w:themeColor="text1" w:themeTint="FF" w:themeShade="FF"/>
          <w:sz w:val="24"/>
          <w:szCs w:val="24"/>
          <w:lang w:val="en-US"/>
        </w:rPr>
        <w:t>Our societal fabric often places relationships on a pedestal, making their downfall harder.</w:t>
      </w:r>
      <w:r w:rsidRPr="4C70F40C" w:rsidR="0F9EB077">
        <w:rPr>
          <w:rFonts w:ascii="Arial" w:hAnsi="Arial" w:eastAsia="Arial" w:cs="Arial"/>
          <w:i w:val="0"/>
          <w:iCs w:val="0"/>
          <w:noProof w:val="0"/>
          <w:color w:val="000000" w:themeColor="text1" w:themeTint="FF" w:themeShade="FF"/>
          <w:sz w:val="24"/>
          <w:szCs w:val="24"/>
          <w:lang w:val="en-US"/>
        </w:rPr>
        <w:t xml:space="preserve"> Carla </w:t>
      </w:r>
      <w:bookmarkStart w:name="_Int_doVl0CdI" w:id="1581379060"/>
      <w:r w:rsidRPr="4C70F40C" w:rsidR="0F9EB077">
        <w:rPr>
          <w:rFonts w:ascii="Arial" w:hAnsi="Arial" w:eastAsia="Arial" w:cs="Arial"/>
          <w:i w:val="0"/>
          <w:iCs w:val="0"/>
          <w:noProof w:val="0"/>
          <w:color w:val="000000" w:themeColor="text1" w:themeTint="FF" w:themeShade="FF"/>
          <w:sz w:val="24"/>
          <w:szCs w:val="24"/>
          <w:lang w:val="en-US"/>
        </w:rPr>
        <w:t>arguably experienced</w:t>
      </w:r>
      <w:bookmarkEnd w:id="1581379060"/>
      <w:r w:rsidRPr="4C70F40C" w:rsidR="0F9EB077">
        <w:rPr>
          <w:rFonts w:ascii="Arial" w:hAnsi="Arial" w:eastAsia="Arial" w:cs="Arial"/>
          <w:i w:val="0"/>
          <w:iCs w:val="0"/>
          <w:noProof w:val="0"/>
          <w:color w:val="000000" w:themeColor="text1" w:themeTint="FF" w:themeShade="FF"/>
          <w:sz w:val="24"/>
          <w:szCs w:val="24"/>
          <w:lang w:val="en-US"/>
        </w:rPr>
        <w:t xml:space="preserve"> the bitter aftermath of betrayal, which could have thrown her into a state of emotional turmoil. This, however, is not a justification for stabbing, and laws across the globe vindicate this stance</w:t>
      </w:r>
      <w:r w:rsidRPr="4C70F40C" w:rsidR="1DC4FDAB">
        <w:rPr>
          <w:rFonts w:ascii="Arial" w:hAnsi="Arial" w:eastAsia="Arial" w:cs="Arial"/>
          <w:i w:val="0"/>
          <w:iCs w:val="0"/>
          <w:noProof w:val="0"/>
          <w:color w:val="000000" w:themeColor="text1" w:themeTint="FF" w:themeShade="FF"/>
          <w:sz w:val="24"/>
          <w:szCs w:val="24"/>
          <w:lang w:val="en-US"/>
        </w:rPr>
        <w:t xml:space="preserve"> clearly</w:t>
      </w:r>
      <w:r w:rsidRPr="4C70F40C" w:rsidR="0F9EB077">
        <w:rPr>
          <w:rFonts w:ascii="Arial" w:hAnsi="Arial" w:eastAsia="Arial" w:cs="Arial"/>
          <w:i w:val="0"/>
          <w:iCs w:val="0"/>
          <w:noProof w:val="0"/>
          <w:color w:val="000000" w:themeColor="text1" w:themeTint="FF" w:themeShade="FF"/>
          <w:sz w:val="24"/>
          <w:szCs w:val="24"/>
          <w:lang w:val="en-US"/>
        </w:rPr>
        <w:t xml:space="preserve"> (Home Office, 2020).</w:t>
      </w:r>
    </w:p>
    <w:p w:rsidR="76ADCAEC" w:rsidP="4C70F40C" w:rsidRDefault="76ADCAEC" w14:paraId="112CE5DD" w14:textId="56BA3AAF">
      <w:pPr>
        <w:spacing w:before="240" w:beforeAutospacing="off" w:after="240" w:afterAutospacing="off" w:line="480" w:lineRule="auto"/>
        <w:jc w:val="both"/>
        <w:rPr>
          <w:rFonts w:ascii="Arial" w:hAnsi="Arial" w:eastAsia="Arial" w:cs="Arial"/>
          <w:sz w:val="24"/>
          <w:szCs w:val="24"/>
        </w:rPr>
      </w:pPr>
    </w:p>
    <w:p w:rsidR="76ADCAEC" w:rsidP="4C70F40C" w:rsidRDefault="76ADCAEC" w14:paraId="4382802A" w14:textId="7968136E">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A crucial aspect to be </w:t>
      </w:r>
      <w:r w:rsidRPr="4C70F40C" w:rsidR="0F9EB077">
        <w:rPr>
          <w:rFonts w:ascii="Arial" w:hAnsi="Arial" w:eastAsia="Arial" w:cs="Arial"/>
          <w:i w:val="0"/>
          <w:iCs w:val="0"/>
          <w:noProof w:val="0"/>
          <w:color w:val="000000" w:themeColor="text1" w:themeTint="FF" w:themeShade="FF"/>
          <w:sz w:val="24"/>
          <w:szCs w:val="24"/>
          <w:lang w:val="en-US"/>
        </w:rPr>
        <w:t>analysed</w:t>
      </w:r>
      <w:r w:rsidRPr="4C70F40C" w:rsidR="0F9EB077">
        <w:rPr>
          <w:rFonts w:ascii="Arial" w:hAnsi="Arial" w:eastAsia="Arial" w:cs="Arial"/>
          <w:i w:val="0"/>
          <w:iCs w:val="0"/>
          <w:noProof w:val="0"/>
          <w:color w:val="000000" w:themeColor="text1" w:themeTint="FF" w:themeShade="FF"/>
          <w:sz w:val="24"/>
          <w:szCs w:val="24"/>
          <w:lang w:val="en-US"/>
        </w:rPr>
        <w:t xml:space="preserve"> when discussing Carly or Deborah Rose's case is the concept of morality. From a Kantian perspective, her actions can be asserted as inherently immoral, subjecting the victim to her emotional whims with complete disregard to his freedom and autonomy (Johnson &amp; Cureton, 2019). However, from a utilitarian perspective, judgement becomes </w:t>
      </w:r>
      <w:r w:rsidRPr="4C70F40C" w:rsidR="2DDF237A">
        <w:rPr>
          <w:rFonts w:ascii="Arial" w:hAnsi="Arial" w:eastAsia="Arial" w:cs="Arial"/>
          <w:i w:val="0"/>
          <w:iCs w:val="0"/>
          <w:noProof w:val="0"/>
          <w:color w:val="000000" w:themeColor="text1" w:themeTint="FF" w:themeShade="FF"/>
          <w:sz w:val="24"/>
          <w:szCs w:val="24"/>
          <w:lang w:val="en-US"/>
        </w:rPr>
        <w:t>unclear</w:t>
      </w:r>
      <w:r w:rsidRPr="4C70F40C" w:rsidR="0F9EB077">
        <w:rPr>
          <w:rFonts w:ascii="Arial" w:hAnsi="Arial" w:eastAsia="Arial" w:cs="Arial"/>
          <w:i w:val="0"/>
          <w:iCs w:val="0"/>
          <w:noProof w:val="0"/>
          <w:color w:val="000000" w:themeColor="text1" w:themeTint="FF" w:themeShade="FF"/>
          <w:sz w:val="24"/>
          <w:szCs w:val="24"/>
          <w:lang w:val="en-US"/>
        </w:rPr>
        <w:t xml:space="preserve">. This view argues that morality is defined by the </w:t>
      </w:r>
      <w:r w:rsidRPr="4C70F40C" w:rsidR="0F9EB077">
        <w:rPr>
          <w:rFonts w:ascii="Arial" w:hAnsi="Arial" w:eastAsia="Arial" w:cs="Arial"/>
          <w:i w:val="0"/>
          <w:iCs w:val="0"/>
          <w:noProof w:val="0"/>
          <w:color w:val="000000" w:themeColor="text1" w:themeTint="FF" w:themeShade="FF"/>
          <w:sz w:val="24"/>
          <w:szCs w:val="24"/>
          <w:lang w:val="en-US"/>
        </w:rPr>
        <w:t>maximisation</w:t>
      </w:r>
      <w:r w:rsidRPr="4C70F40C" w:rsidR="0F9EB077">
        <w:rPr>
          <w:rFonts w:ascii="Arial" w:hAnsi="Arial" w:eastAsia="Arial" w:cs="Arial"/>
          <w:i w:val="0"/>
          <w:iCs w:val="0"/>
          <w:noProof w:val="0"/>
          <w:color w:val="000000" w:themeColor="text1" w:themeTint="FF" w:themeShade="FF"/>
          <w:sz w:val="24"/>
          <w:szCs w:val="24"/>
          <w:lang w:val="en-US"/>
        </w:rPr>
        <w:t xml:space="preserve"> of pleasure and </w:t>
      </w:r>
      <w:r w:rsidRPr="4C70F40C" w:rsidR="0F9EB077">
        <w:rPr>
          <w:rFonts w:ascii="Arial" w:hAnsi="Arial" w:eastAsia="Arial" w:cs="Arial"/>
          <w:i w:val="0"/>
          <w:iCs w:val="0"/>
          <w:noProof w:val="0"/>
          <w:color w:val="000000" w:themeColor="text1" w:themeTint="FF" w:themeShade="FF"/>
          <w:sz w:val="24"/>
          <w:szCs w:val="24"/>
          <w:lang w:val="en-US"/>
        </w:rPr>
        <w:t>minimisation</w:t>
      </w:r>
      <w:r w:rsidRPr="4C70F40C" w:rsidR="0F9EB077">
        <w:rPr>
          <w:rFonts w:ascii="Arial" w:hAnsi="Arial" w:eastAsia="Arial" w:cs="Arial"/>
          <w:i w:val="0"/>
          <w:iCs w:val="0"/>
          <w:noProof w:val="0"/>
          <w:color w:val="000000" w:themeColor="text1" w:themeTint="FF" w:themeShade="FF"/>
          <w:sz w:val="24"/>
          <w:szCs w:val="24"/>
          <w:lang w:val="en-US"/>
        </w:rPr>
        <w:t xml:space="preserve"> of pain. Therefore, if Deborah's action </w:t>
      </w:r>
      <w:r w:rsidRPr="4C70F40C" w:rsidR="0F9EB077">
        <w:rPr>
          <w:rFonts w:ascii="Arial" w:hAnsi="Arial" w:eastAsia="Arial" w:cs="Arial"/>
          <w:i w:val="0"/>
          <w:iCs w:val="0"/>
          <w:noProof w:val="0"/>
          <w:color w:val="000000" w:themeColor="text1" w:themeTint="FF" w:themeShade="FF"/>
          <w:sz w:val="24"/>
          <w:szCs w:val="24"/>
          <w:lang w:val="en-US"/>
        </w:rPr>
        <w:t>was</w:t>
      </w:r>
      <w:r w:rsidRPr="4C70F40C" w:rsidR="0F9EB077">
        <w:rPr>
          <w:rFonts w:ascii="Arial" w:hAnsi="Arial" w:eastAsia="Arial" w:cs="Arial"/>
          <w:i w:val="0"/>
          <w:iCs w:val="0"/>
          <w:noProof w:val="0"/>
          <w:color w:val="000000" w:themeColor="text1" w:themeTint="FF" w:themeShade="FF"/>
          <w:sz w:val="24"/>
          <w:szCs w:val="24"/>
          <w:lang w:val="en-US"/>
        </w:rPr>
        <w:t xml:space="preserve"> driven by the desire to relieve the deep-seated pain from her husband's betrayal, the action could, </w:t>
      </w:r>
      <w:r w:rsidRPr="4C70F40C" w:rsidR="0F9EB077">
        <w:rPr>
          <w:rFonts w:ascii="Arial" w:hAnsi="Arial" w:eastAsia="Arial" w:cs="Arial"/>
          <w:i w:val="0"/>
          <w:iCs w:val="0"/>
          <w:noProof w:val="0"/>
          <w:color w:val="000000" w:themeColor="text1" w:themeTint="FF" w:themeShade="FF"/>
          <w:sz w:val="24"/>
          <w:szCs w:val="24"/>
          <w:lang w:val="en-US"/>
        </w:rPr>
        <w:t>perhaps controversially</w:t>
      </w:r>
      <w:r w:rsidRPr="4C70F40C" w:rsidR="0F9EB077">
        <w:rPr>
          <w:rFonts w:ascii="Arial" w:hAnsi="Arial" w:eastAsia="Arial" w:cs="Arial"/>
          <w:i w:val="0"/>
          <w:iCs w:val="0"/>
          <w:noProof w:val="0"/>
          <w:color w:val="000000" w:themeColor="text1" w:themeTint="FF" w:themeShade="FF"/>
          <w:sz w:val="24"/>
          <w:szCs w:val="24"/>
          <w:lang w:val="en-US"/>
        </w:rPr>
        <w:t xml:space="preserve">, be seen to have a semblance of morality (Benn, 2018). Further argument to this would be Carly’s purpose to kill or to cause grievous bodily harm thus being direct intent, and second, where Carly primary purpose is not to kill or cause grievous bodily harm but to foresee that result as a </w:t>
      </w:r>
      <w:r w:rsidRPr="4C70F40C" w:rsidR="0F9EB077">
        <w:rPr>
          <w:rFonts w:ascii="Arial" w:hAnsi="Arial" w:eastAsia="Arial" w:cs="Arial"/>
          <w:i w:val="0"/>
          <w:iCs w:val="0"/>
          <w:noProof w:val="0"/>
          <w:color w:val="000000" w:themeColor="text1" w:themeTint="FF" w:themeShade="FF"/>
          <w:sz w:val="24"/>
          <w:szCs w:val="24"/>
          <w:lang w:val="en-US"/>
        </w:rPr>
        <w:t>virtually certain</w:t>
      </w:r>
      <w:r w:rsidRPr="4C70F40C" w:rsidR="0F9EB077">
        <w:rPr>
          <w:rFonts w:ascii="Arial" w:hAnsi="Arial" w:eastAsia="Arial" w:cs="Arial"/>
          <w:i w:val="0"/>
          <w:iCs w:val="0"/>
          <w:noProof w:val="0"/>
          <w:color w:val="000000" w:themeColor="text1" w:themeTint="FF" w:themeShade="FF"/>
          <w:sz w:val="24"/>
          <w:szCs w:val="24"/>
          <w:lang w:val="en-US"/>
        </w:rPr>
        <w:t xml:space="preserve"> consequence of her act known as indirect intent. Simon Parsons (2023) argues the courts in the United Kingdom have experienced great difficulty in deciding when a defendant intends a consequence this can be made clear in the effect of the House of Lords in case of </w:t>
      </w:r>
      <w:r w:rsidRPr="4C70F40C" w:rsidR="0F9EB077">
        <w:rPr>
          <w:rFonts w:ascii="Arial" w:hAnsi="Arial" w:eastAsia="Arial" w:cs="Arial"/>
          <w:i w:val="0"/>
          <w:iCs w:val="0"/>
          <w:noProof w:val="0"/>
          <w:color w:val="000000" w:themeColor="text1" w:themeTint="FF" w:themeShade="FF"/>
          <w:sz w:val="24"/>
          <w:szCs w:val="24"/>
          <w:lang w:val="en-US"/>
        </w:rPr>
        <w:t>Woollin</w:t>
      </w:r>
      <w:r w:rsidRPr="4C70F40C" w:rsidR="0F9EB077">
        <w:rPr>
          <w:rFonts w:ascii="Arial" w:hAnsi="Arial" w:eastAsia="Arial" w:cs="Arial"/>
          <w:i w:val="0"/>
          <w:iCs w:val="0"/>
          <w:noProof w:val="0"/>
          <w:color w:val="000000" w:themeColor="text1" w:themeTint="FF" w:themeShade="FF"/>
          <w:sz w:val="24"/>
          <w:szCs w:val="24"/>
          <w:lang w:val="en-US"/>
        </w:rPr>
        <w:t xml:space="preserve"> (1998). By entitling a jury to find or not to find cases of indirect intent the result of the </w:t>
      </w:r>
      <w:r w:rsidRPr="4C70F40C" w:rsidR="0F9EB077">
        <w:rPr>
          <w:rFonts w:ascii="Arial" w:hAnsi="Arial" w:eastAsia="Arial" w:cs="Arial"/>
          <w:i w:val="0"/>
          <w:iCs w:val="0"/>
          <w:noProof w:val="0"/>
          <w:color w:val="000000" w:themeColor="text1" w:themeTint="FF" w:themeShade="FF"/>
          <w:sz w:val="24"/>
          <w:szCs w:val="24"/>
          <w:lang w:val="en-US"/>
        </w:rPr>
        <w:t>Woollin</w:t>
      </w:r>
      <w:r w:rsidRPr="4C70F40C" w:rsidR="0F9EB077">
        <w:rPr>
          <w:rFonts w:ascii="Arial" w:hAnsi="Arial" w:eastAsia="Arial" w:cs="Arial"/>
          <w:i w:val="0"/>
          <w:iCs w:val="0"/>
          <w:noProof w:val="0"/>
          <w:color w:val="000000" w:themeColor="text1" w:themeTint="FF" w:themeShade="FF"/>
          <w:sz w:val="24"/>
          <w:szCs w:val="24"/>
          <w:lang w:val="en-US"/>
        </w:rPr>
        <w:t xml:space="preserve"> direction is the question of the meaning of intention will be decided as an issue of fact, it should </w:t>
      </w:r>
      <w:r w:rsidRPr="4C70F40C" w:rsidR="0F9EB077">
        <w:rPr>
          <w:rFonts w:ascii="Arial" w:hAnsi="Arial" w:eastAsia="Arial" w:cs="Arial"/>
          <w:i w:val="0"/>
          <w:iCs w:val="0"/>
          <w:noProof w:val="0"/>
          <w:color w:val="000000" w:themeColor="text1" w:themeTint="FF" w:themeShade="FF"/>
          <w:sz w:val="24"/>
          <w:szCs w:val="24"/>
          <w:lang w:val="en-US"/>
        </w:rPr>
        <w:t>al</w:t>
      </w:r>
      <w:r w:rsidRPr="4C70F40C" w:rsidR="6AB8E426">
        <w:rPr>
          <w:rFonts w:ascii="Arial" w:hAnsi="Arial" w:eastAsia="Arial" w:cs="Arial"/>
          <w:i w:val="0"/>
          <w:iCs w:val="0"/>
          <w:noProof w:val="0"/>
          <w:color w:val="000000" w:themeColor="text1" w:themeTint="FF" w:themeShade="FF"/>
          <w:sz w:val="24"/>
          <w:szCs w:val="24"/>
          <w:lang w:val="en-US"/>
        </w:rPr>
        <w:t>s</w:t>
      </w:r>
      <w:r w:rsidRPr="4C70F40C" w:rsidR="0F9EB077">
        <w:rPr>
          <w:rFonts w:ascii="Arial" w:hAnsi="Arial" w:eastAsia="Arial" w:cs="Arial"/>
          <w:i w:val="0"/>
          <w:iCs w:val="0"/>
          <w:noProof w:val="0"/>
          <w:color w:val="000000" w:themeColor="text1" w:themeTint="FF" w:themeShade="FF"/>
          <w:sz w:val="24"/>
          <w:szCs w:val="24"/>
          <w:lang w:val="en-US"/>
        </w:rPr>
        <w:t>o</w:t>
      </w:r>
      <w:r w:rsidRPr="4C70F40C" w:rsidR="0F9EB077">
        <w:rPr>
          <w:rFonts w:ascii="Arial" w:hAnsi="Arial" w:eastAsia="Arial" w:cs="Arial"/>
          <w:i w:val="0"/>
          <w:iCs w:val="0"/>
          <w:noProof w:val="0"/>
          <w:color w:val="000000" w:themeColor="text1" w:themeTint="FF" w:themeShade="FF"/>
          <w:sz w:val="24"/>
          <w:szCs w:val="24"/>
          <w:lang w:val="en-US"/>
        </w:rPr>
        <w:t xml:space="preserve"> be noted that most murders or attempted murders involve cases of direct intent where </w:t>
      </w:r>
      <w:r w:rsidRPr="4C70F40C" w:rsidR="0F9EB077">
        <w:rPr>
          <w:rFonts w:ascii="Arial" w:hAnsi="Arial" w:eastAsia="Arial" w:cs="Arial"/>
          <w:i w:val="0"/>
          <w:iCs w:val="0"/>
          <w:noProof w:val="0"/>
          <w:color w:val="000000" w:themeColor="text1" w:themeTint="FF" w:themeShade="FF"/>
          <w:sz w:val="24"/>
          <w:szCs w:val="24"/>
          <w:lang w:val="en-US"/>
        </w:rPr>
        <w:t>Woollin</w:t>
      </w:r>
      <w:r w:rsidRPr="4C70F40C" w:rsidR="0F9EB077">
        <w:rPr>
          <w:rFonts w:ascii="Arial" w:hAnsi="Arial" w:eastAsia="Arial" w:cs="Arial"/>
          <w:i w:val="0"/>
          <w:iCs w:val="0"/>
          <w:noProof w:val="0"/>
          <w:color w:val="000000" w:themeColor="text1" w:themeTint="FF" w:themeShade="FF"/>
          <w:sz w:val="24"/>
          <w:szCs w:val="24"/>
          <w:lang w:val="en-US"/>
        </w:rPr>
        <w:t xml:space="preserve"> direction is unnecessary. Parsons (2023)</w:t>
      </w:r>
    </w:p>
    <w:p w:rsidR="76ADCAEC" w:rsidP="4C70F40C" w:rsidRDefault="76ADCAEC" w14:paraId="3AD63BD4" w14:textId="15B13D9B">
      <w:pPr>
        <w:spacing w:before="240" w:beforeAutospacing="off" w:after="240" w:afterAutospacing="off" w:line="480" w:lineRule="auto"/>
        <w:jc w:val="both"/>
        <w:rPr>
          <w:rFonts w:ascii="Arial" w:hAnsi="Arial" w:eastAsia="Arial" w:cs="Arial"/>
          <w:sz w:val="24"/>
          <w:szCs w:val="24"/>
        </w:rPr>
      </w:pPr>
    </w:p>
    <w:p w:rsidR="76ADCAEC" w:rsidP="4C70F40C" w:rsidRDefault="76ADCAEC" w14:paraId="1EE028CD" w14:textId="1280C37B">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The action, nonetheless, cannot be deemed justifiable. As held by criminal law, punishable actions are not excused on the grounds of emotional distress unless it can be proven that the emotional state was extreme to the point that the person lost control of their own mental </w:t>
      </w:r>
      <w:r w:rsidRPr="4C70F40C" w:rsidR="26319AB3">
        <w:rPr>
          <w:rFonts w:ascii="Arial" w:hAnsi="Arial" w:eastAsia="Arial" w:cs="Arial"/>
          <w:i w:val="0"/>
          <w:iCs w:val="0"/>
          <w:noProof w:val="0"/>
          <w:color w:val="000000" w:themeColor="text1" w:themeTint="FF" w:themeShade="FF"/>
          <w:sz w:val="24"/>
          <w:szCs w:val="24"/>
          <w:lang w:val="en-US"/>
        </w:rPr>
        <w:t>capabilities</w:t>
      </w:r>
      <w:r w:rsidRPr="4C70F40C" w:rsidR="0F9EB077">
        <w:rPr>
          <w:rFonts w:ascii="Arial" w:hAnsi="Arial" w:eastAsia="Arial" w:cs="Arial"/>
          <w:i w:val="0"/>
          <w:iCs w:val="0"/>
          <w:noProof w:val="0"/>
          <w:color w:val="000000" w:themeColor="text1" w:themeTint="FF" w:themeShade="FF"/>
          <w:sz w:val="24"/>
          <w:szCs w:val="24"/>
          <w:lang w:val="en-US"/>
        </w:rPr>
        <w:t xml:space="preserve"> (Sanders &amp; Young, 2007). This restitution is both moral and just. The principle of actus reus </w:t>
      </w:r>
      <w:r w:rsidRPr="4C70F40C" w:rsidR="0F9EB077">
        <w:rPr>
          <w:rFonts w:ascii="Arial" w:hAnsi="Arial" w:eastAsia="Arial" w:cs="Arial"/>
          <w:i w:val="0"/>
          <w:iCs w:val="0"/>
          <w:noProof w:val="0"/>
          <w:color w:val="000000" w:themeColor="text1" w:themeTint="FF" w:themeShade="FF"/>
          <w:sz w:val="24"/>
          <w:szCs w:val="24"/>
          <w:lang w:val="en-US"/>
        </w:rPr>
        <w:t>emphasises</w:t>
      </w:r>
      <w:r w:rsidRPr="4C70F40C" w:rsidR="0F9EB077">
        <w:rPr>
          <w:rFonts w:ascii="Arial" w:hAnsi="Arial" w:eastAsia="Arial" w:cs="Arial"/>
          <w:i w:val="0"/>
          <w:iCs w:val="0"/>
          <w:noProof w:val="0"/>
          <w:color w:val="000000" w:themeColor="text1" w:themeTint="FF" w:themeShade="FF"/>
          <w:sz w:val="24"/>
          <w:szCs w:val="24"/>
          <w:lang w:val="en-US"/>
        </w:rPr>
        <w:t xml:space="preserve"> that there must be a criminal act or unlawful occurrence brought about by an offender's voluntary conduct (McKendrick, 2013). In the Deborah Rose case, the actus reus can be clearly </w:t>
      </w:r>
      <w:r w:rsidRPr="4C70F40C" w:rsidR="0F9EB077">
        <w:rPr>
          <w:rFonts w:ascii="Arial" w:hAnsi="Arial" w:eastAsia="Arial" w:cs="Arial"/>
          <w:i w:val="0"/>
          <w:iCs w:val="0"/>
          <w:noProof w:val="0"/>
          <w:color w:val="000000" w:themeColor="text1" w:themeTint="FF" w:themeShade="FF"/>
          <w:sz w:val="24"/>
          <w:szCs w:val="24"/>
          <w:lang w:val="en-US"/>
        </w:rPr>
        <w:t>identified</w:t>
      </w:r>
      <w:r w:rsidRPr="4C70F40C" w:rsidR="0F9EB077">
        <w:rPr>
          <w:rFonts w:ascii="Arial" w:hAnsi="Arial" w:eastAsia="Arial" w:cs="Arial"/>
          <w:i w:val="0"/>
          <w:iCs w:val="0"/>
          <w:noProof w:val="0"/>
          <w:color w:val="000000" w:themeColor="text1" w:themeTint="FF" w:themeShade="FF"/>
          <w:sz w:val="24"/>
          <w:szCs w:val="24"/>
          <w:lang w:val="en-US"/>
        </w:rPr>
        <w:t xml:space="preserve">. This could also be argued in the case </w:t>
      </w:r>
      <w:r w:rsidRPr="4C70F40C" w:rsidR="0F9EB077">
        <w:rPr>
          <w:rFonts w:ascii="Arial" w:hAnsi="Arial" w:eastAsia="Arial" w:cs="Arial"/>
          <w:i w:val="0"/>
          <w:iCs w:val="0"/>
          <w:noProof w:val="0"/>
          <w:color w:val="000000" w:themeColor="text1" w:themeTint="FF" w:themeShade="FF"/>
          <w:sz w:val="24"/>
          <w:szCs w:val="24"/>
          <w:lang w:val="en-US"/>
        </w:rPr>
        <w:t>for</w:t>
      </w:r>
      <w:r w:rsidRPr="4C70F40C" w:rsidR="0F9EB077">
        <w:rPr>
          <w:rFonts w:ascii="Arial" w:hAnsi="Arial" w:eastAsia="Arial" w:cs="Arial"/>
          <w:i w:val="0"/>
          <w:iCs w:val="0"/>
          <w:noProof w:val="0"/>
          <w:color w:val="000000" w:themeColor="text1" w:themeTint="FF" w:themeShade="FF"/>
          <w:sz w:val="24"/>
          <w:szCs w:val="24"/>
          <w:lang w:val="en-US"/>
        </w:rPr>
        <w:t xml:space="preserve"> Carly.</w:t>
      </w:r>
    </w:p>
    <w:p w:rsidR="76ADCAEC" w:rsidP="4C70F40C" w:rsidRDefault="76ADCAEC" w14:paraId="0021CCC8" w14:textId="49DC3C3B">
      <w:pPr>
        <w:spacing w:before="240" w:beforeAutospacing="off" w:after="240" w:afterAutospacing="off" w:line="480" w:lineRule="auto"/>
        <w:jc w:val="both"/>
        <w:rPr>
          <w:rFonts w:ascii="Arial" w:hAnsi="Arial" w:eastAsia="Arial" w:cs="Arial"/>
          <w:sz w:val="24"/>
          <w:szCs w:val="24"/>
        </w:rPr>
      </w:pPr>
    </w:p>
    <w:p w:rsidR="76ADCAEC" w:rsidP="4C70F40C" w:rsidRDefault="76ADCAEC" w14:paraId="0998EF6A" w14:textId="527F54AB">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The incorporation of the legal principles of 'actus reus' and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are key factors in English criminal law. These Latin terminologies, meaning 'guilty act' and 'guilty mind' respectively, are not only intrinsic in criminal justice proceedings within the UK but also globally. The case of Deborah Rose follows suit in this perspective, catching our attention for its complexity and incisive </w:t>
      </w:r>
      <w:r w:rsidRPr="4C70F40C" w:rsidR="0F9EB077">
        <w:rPr>
          <w:rFonts w:ascii="Arial" w:hAnsi="Arial" w:eastAsia="Arial" w:cs="Arial"/>
          <w:i w:val="0"/>
          <w:iCs w:val="0"/>
          <w:noProof w:val="0"/>
          <w:color w:val="000000" w:themeColor="text1" w:themeTint="FF" w:themeShade="FF"/>
          <w:sz w:val="24"/>
          <w:szCs w:val="24"/>
          <w:lang w:val="en-US"/>
        </w:rPr>
        <w:t>capacity</w:t>
      </w:r>
      <w:r w:rsidRPr="4C70F40C" w:rsidR="0F9EB077">
        <w:rPr>
          <w:rFonts w:ascii="Arial" w:hAnsi="Arial" w:eastAsia="Arial" w:cs="Arial"/>
          <w:i w:val="0"/>
          <w:iCs w:val="0"/>
          <w:noProof w:val="0"/>
          <w:color w:val="000000" w:themeColor="text1" w:themeTint="FF" w:themeShade="FF"/>
          <w:sz w:val="24"/>
          <w:szCs w:val="24"/>
          <w:lang w:val="en-US"/>
        </w:rPr>
        <w:t xml:space="preserve"> to unravel the discourse on the theory-laden topics of actus reus and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Deborah Rose, interweaved within a complex web of domestic abuse and despair, was arrested for stabbing her husband, John Rose, in 2017 (BBC, 2017</w:t>
      </w:r>
      <w:r w:rsidRPr="4C70F40C" w:rsidR="0F9EB077">
        <w:rPr>
          <w:rFonts w:ascii="Arial" w:hAnsi="Arial" w:eastAsia="Arial" w:cs="Arial"/>
          <w:i w:val="0"/>
          <w:iCs w:val="0"/>
          <w:noProof w:val="0"/>
          <w:color w:val="000000" w:themeColor="text1" w:themeTint="FF" w:themeShade="FF"/>
          <w:sz w:val="24"/>
          <w:szCs w:val="24"/>
          <w:lang w:val="en-US"/>
        </w:rPr>
        <w:t>)  This</w:t>
      </w:r>
      <w:r w:rsidRPr="4C70F40C" w:rsidR="0F9EB077">
        <w:rPr>
          <w:rFonts w:ascii="Arial" w:hAnsi="Arial" w:eastAsia="Arial" w:cs="Arial"/>
          <w:i w:val="0"/>
          <w:iCs w:val="0"/>
          <w:noProof w:val="0"/>
          <w:color w:val="000000" w:themeColor="text1" w:themeTint="FF" w:themeShade="FF"/>
          <w:sz w:val="24"/>
          <w:szCs w:val="24"/>
          <w:lang w:val="en-US"/>
        </w:rPr>
        <w:t xml:space="preserve"> offers an ideal platform to </w:t>
      </w:r>
      <w:r w:rsidRPr="4C70F40C" w:rsidR="0F9EB077">
        <w:rPr>
          <w:rFonts w:ascii="Arial" w:hAnsi="Arial" w:eastAsia="Arial" w:cs="Arial"/>
          <w:i w:val="0"/>
          <w:iCs w:val="0"/>
          <w:noProof w:val="0"/>
          <w:color w:val="000000" w:themeColor="text1" w:themeTint="FF" w:themeShade="FF"/>
          <w:sz w:val="24"/>
          <w:szCs w:val="24"/>
          <w:lang w:val="en-US"/>
        </w:rPr>
        <w:t>scrutinise</w:t>
      </w:r>
      <w:r w:rsidRPr="4C70F40C" w:rsidR="0F9EB077">
        <w:rPr>
          <w:rFonts w:ascii="Arial" w:hAnsi="Arial" w:eastAsia="Arial" w:cs="Arial"/>
          <w:i w:val="0"/>
          <w:iCs w:val="0"/>
          <w:noProof w:val="0"/>
          <w:color w:val="000000" w:themeColor="text1" w:themeTint="FF" w:themeShade="FF"/>
          <w:sz w:val="24"/>
          <w:szCs w:val="24"/>
          <w:lang w:val="en-US"/>
        </w:rPr>
        <w:t xml:space="preserve"> the place of actus rea and men’s </w:t>
      </w:r>
      <w:r w:rsidRPr="4C70F40C" w:rsidR="0F9EB077">
        <w:rPr>
          <w:rFonts w:ascii="Arial" w:hAnsi="Arial" w:eastAsia="Arial" w:cs="Arial"/>
          <w:i w:val="0"/>
          <w:iCs w:val="0"/>
          <w:noProof w:val="0"/>
          <w:color w:val="000000" w:themeColor="text1" w:themeTint="FF" w:themeShade="FF"/>
          <w:sz w:val="24"/>
          <w:szCs w:val="24"/>
          <w:lang w:val="en-US"/>
        </w:rPr>
        <w:t>reas</w:t>
      </w:r>
      <w:r w:rsidRPr="4C70F40C" w:rsidR="0F9EB077">
        <w:rPr>
          <w:rFonts w:ascii="Arial" w:hAnsi="Arial" w:eastAsia="Arial" w:cs="Arial"/>
          <w:i w:val="0"/>
          <w:iCs w:val="0"/>
          <w:noProof w:val="0"/>
          <w:color w:val="000000" w:themeColor="text1" w:themeTint="FF" w:themeShade="FF"/>
          <w:sz w:val="24"/>
          <w:szCs w:val="24"/>
          <w:lang w:val="en-US"/>
        </w:rPr>
        <w:t xml:space="preserve"> in the British legal framework.</w:t>
      </w:r>
    </w:p>
    <w:p w:rsidR="76ADCAEC" w:rsidP="4C70F40C" w:rsidRDefault="76ADCAEC" w14:paraId="2ACA4C7F" w14:textId="22C12B8E">
      <w:pPr>
        <w:spacing w:before="240" w:beforeAutospacing="off" w:after="240" w:afterAutospacing="off" w:line="480" w:lineRule="auto"/>
        <w:jc w:val="both"/>
        <w:rPr>
          <w:rFonts w:ascii="Arial" w:hAnsi="Arial" w:eastAsia="Arial" w:cs="Arial"/>
          <w:sz w:val="24"/>
          <w:szCs w:val="24"/>
        </w:rPr>
      </w:pPr>
    </w:p>
    <w:p w:rsidR="76ADCAEC" w:rsidP="4C70F40C" w:rsidRDefault="76ADCAEC" w14:paraId="2D33A1EA" w14:textId="0B9022CA">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The actus reus in this case is clear; Deborah and Carly committed the physical act of stabbing her husband. There is no dispute </w:t>
      </w:r>
      <w:r w:rsidRPr="4C70F40C" w:rsidR="0F9EB077">
        <w:rPr>
          <w:rFonts w:ascii="Arial" w:hAnsi="Arial" w:eastAsia="Arial" w:cs="Arial"/>
          <w:i w:val="0"/>
          <w:iCs w:val="0"/>
          <w:noProof w:val="0"/>
          <w:color w:val="000000" w:themeColor="text1" w:themeTint="FF" w:themeShade="FF"/>
          <w:sz w:val="24"/>
          <w:szCs w:val="24"/>
          <w:lang w:val="en-US"/>
        </w:rPr>
        <w:t>regarding</w:t>
      </w:r>
      <w:r w:rsidRPr="4C70F40C" w:rsidR="0F9EB077">
        <w:rPr>
          <w:rFonts w:ascii="Arial" w:hAnsi="Arial" w:eastAsia="Arial" w:cs="Arial"/>
          <w:i w:val="0"/>
          <w:iCs w:val="0"/>
          <w:noProof w:val="0"/>
          <w:color w:val="000000" w:themeColor="text1" w:themeTint="FF" w:themeShade="FF"/>
          <w:sz w:val="24"/>
          <w:szCs w:val="24"/>
          <w:lang w:val="en-US"/>
        </w:rPr>
        <w:t xml:space="preserve"> the physical nature of the act, leaving the point of contention to lie in the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or the mental aspect of wrongdoing involved. In any crime, the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pertains to the defendant’s mental state or intent at the time the crime was committed (Criminal Law Cases &amp; Materials, 7th Edition, 2015). Thus, the next step in my analysis is to examine the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in Deborah’s case, linking and </w:t>
      </w:r>
      <w:r w:rsidRPr="4C70F40C" w:rsidR="0F9EB077">
        <w:rPr>
          <w:rFonts w:ascii="Arial" w:hAnsi="Arial" w:eastAsia="Arial" w:cs="Arial"/>
          <w:i w:val="0"/>
          <w:iCs w:val="0"/>
          <w:noProof w:val="0"/>
          <w:color w:val="000000" w:themeColor="text1" w:themeTint="FF" w:themeShade="FF"/>
          <w:sz w:val="24"/>
          <w:szCs w:val="24"/>
          <w:lang w:val="en-US"/>
        </w:rPr>
        <w:t>analysing</w:t>
      </w:r>
      <w:r w:rsidRPr="4C70F40C" w:rsidR="0F9EB077">
        <w:rPr>
          <w:rFonts w:ascii="Arial" w:hAnsi="Arial" w:eastAsia="Arial" w:cs="Arial"/>
          <w:i w:val="0"/>
          <w:iCs w:val="0"/>
          <w:noProof w:val="0"/>
          <w:color w:val="000000" w:themeColor="text1" w:themeTint="FF" w:themeShade="FF"/>
          <w:sz w:val="24"/>
          <w:szCs w:val="24"/>
          <w:lang w:val="en-US"/>
        </w:rPr>
        <w:t xml:space="preserve"> the peculiarity of her mental state, the intention and why it was, in her circumstances, </w:t>
      </w:r>
      <w:r w:rsidRPr="4C70F40C" w:rsidR="0F9EB077">
        <w:rPr>
          <w:rFonts w:ascii="Arial" w:hAnsi="Arial" w:eastAsia="Arial" w:cs="Arial"/>
          <w:i w:val="0"/>
          <w:iCs w:val="0"/>
          <w:noProof w:val="0"/>
          <w:color w:val="000000" w:themeColor="text1" w:themeTint="FF" w:themeShade="FF"/>
          <w:sz w:val="24"/>
          <w:szCs w:val="24"/>
          <w:lang w:val="en-US"/>
        </w:rPr>
        <w:t>deemed</w:t>
      </w:r>
      <w:r w:rsidRPr="4C70F40C" w:rsidR="0F9EB077">
        <w:rPr>
          <w:rFonts w:ascii="Arial" w:hAnsi="Arial" w:eastAsia="Arial" w:cs="Arial"/>
          <w:i w:val="0"/>
          <w:iCs w:val="0"/>
          <w:noProof w:val="0"/>
          <w:color w:val="000000" w:themeColor="text1" w:themeTint="FF" w:themeShade="FF"/>
          <w:sz w:val="24"/>
          <w:szCs w:val="24"/>
          <w:lang w:val="en-US"/>
        </w:rPr>
        <w:t xml:space="preserve"> justified.</w:t>
      </w:r>
    </w:p>
    <w:p w:rsidR="76ADCAEC" w:rsidP="4C70F40C" w:rsidRDefault="76ADCAEC" w14:paraId="0E1B14F3" w14:textId="4E07E9A6">
      <w:pPr>
        <w:spacing w:before="240" w:beforeAutospacing="off" w:after="240" w:afterAutospacing="off" w:line="480" w:lineRule="auto"/>
        <w:jc w:val="both"/>
        <w:rPr>
          <w:rFonts w:ascii="Arial" w:hAnsi="Arial" w:eastAsia="Arial" w:cs="Arial"/>
          <w:sz w:val="24"/>
          <w:szCs w:val="24"/>
        </w:rPr>
      </w:pPr>
    </w:p>
    <w:p w:rsidR="76ADCAEC" w:rsidP="4C70F40C" w:rsidRDefault="76ADCAEC" w14:paraId="0E9B69E4" w14:textId="21A8DC9C">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Crown Prosecution Services (CPS) guidance </w:t>
      </w:r>
      <w:r w:rsidRPr="4C70F40C" w:rsidR="0F9EB077">
        <w:rPr>
          <w:rFonts w:ascii="Arial" w:hAnsi="Arial" w:eastAsia="Arial" w:cs="Arial"/>
          <w:i w:val="0"/>
          <w:iCs w:val="0"/>
          <w:noProof w:val="0"/>
          <w:color w:val="000000" w:themeColor="text1" w:themeTint="FF" w:themeShade="FF"/>
          <w:sz w:val="24"/>
          <w:szCs w:val="24"/>
          <w:lang w:val="en-US"/>
        </w:rPr>
        <w:t>provides</w:t>
      </w:r>
      <w:r w:rsidRPr="4C70F40C" w:rsidR="0F9EB077">
        <w:rPr>
          <w:rFonts w:ascii="Arial" w:hAnsi="Arial" w:eastAsia="Arial" w:cs="Arial"/>
          <w:i w:val="0"/>
          <w:iCs w:val="0"/>
          <w:noProof w:val="0"/>
          <w:color w:val="000000" w:themeColor="text1" w:themeTint="FF" w:themeShade="FF"/>
          <w:sz w:val="24"/>
          <w:szCs w:val="24"/>
          <w:lang w:val="en-US"/>
        </w:rPr>
        <w:t xml:space="preserve"> an illuminating insight into how the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of intention can be evaluated, depending on whether the defendant foresaw that the consequences of their act were </w:t>
      </w:r>
      <w:r w:rsidRPr="4C70F40C" w:rsidR="0F9EB077">
        <w:rPr>
          <w:rFonts w:ascii="Arial" w:hAnsi="Arial" w:eastAsia="Arial" w:cs="Arial"/>
          <w:i w:val="0"/>
          <w:iCs w:val="0"/>
          <w:noProof w:val="0"/>
          <w:color w:val="000000" w:themeColor="text1" w:themeTint="FF" w:themeShade="FF"/>
          <w:sz w:val="24"/>
          <w:szCs w:val="24"/>
          <w:lang w:val="en-US"/>
        </w:rPr>
        <w:t>virtually certain</w:t>
      </w:r>
      <w:r w:rsidRPr="4C70F40C" w:rsidR="0F9EB077">
        <w:rPr>
          <w:rFonts w:ascii="Arial" w:hAnsi="Arial" w:eastAsia="Arial" w:cs="Arial"/>
          <w:i w:val="0"/>
          <w:iCs w:val="0"/>
          <w:noProof w:val="0"/>
          <w:color w:val="000000" w:themeColor="text1" w:themeTint="FF" w:themeShade="FF"/>
          <w:sz w:val="24"/>
          <w:szCs w:val="24"/>
          <w:lang w:val="en-US"/>
        </w:rPr>
        <w:t xml:space="preserve">, </w:t>
      </w:r>
      <w:r w:rsidRPr="4C70F40C" w:rsidR="0F9EB077">
        <w:rPr>
          <w:rFonts w:ascii="Arial" w:hAnsi="Arial" w:eastAsia="Arial" w:cs="Arial"/>
          <w:i w:val="0"/>
          <w:iCs w:val="0"/>
          <w:noProof w:val="0"/>
          <w:color w:val="000000" w:themeColor="text1" w:themeTint="FF" w:themeShade="FF"/>
          <w:sz w:val="24"/>
          <w:szCs w:val="24"/>
          <w:lang w:val="en-US"/>
        </w:rPr>
        <w:t>notwithstanding</w:t>
      </w:r>
      <w:r w:rsidRPr="4C70F40C" w:rsidR="0F9EB077">
        <w:rPr>
          <w:rFonts w:ascii="Arial" w:hAnsi="Arial" w:eastAsia="Arial" w:cs="Arial"/>
          <w:i w:val="0"/>
          <w:iCs w:val="0"/>
          <w:noProof w:val="0"/>
          <w:color w:val="000000" w:themeColor="text1" w:themeTint="FF" w:themeShade="FF"/>
          <w:sz w:val="24"/>
          <w:szCs w:val="24"/>
          <w:lang w:val="en-US"/>
        </w:rPr>
        <w:t xml:space="preserve"> whether they wanted to bring about those consequences or not (CPS, 2021). Deborah’s and Carly’s </w:t>
      </w:r>
      <w:r w:rsidRPr="4C70F40C" w:rsidR="0F9EB077">
        <w:rPr>
          <w:rFonts w:ascii="Arial" w:hAnsi="Arial" w:eastAsia="Arial" w:cs="Arial"/>
          <w:i w:val="0"/>
          <w:iCs w:val="0"/>
          <w:noProof w:val="0"/>
          <w:color w:val="000000" w:themeColor="text1" w:themeTint="FF" w:themeShade="FF"/>
          <w:sz w:val="24"/>
          <w:szCs w:val="24"/>
          <w:lang w:val="en-US"/>
        </w:rPr>
        <w:t>defence</w:t>
      </w:r>
      <w:r w:rsidRPr="4C70F40C" w:rsidR="0F9EB077">
        <w:rPr>
          <w:rFonts w:ascii="Arial" w:hAnsi="Arial" w:eastAsia="Arial" w:cs="Arial"/>
          <w:i w:val="0"/>
          <w:iCs w:val="0"/>
          <w:noProof w:val="0"/>
          <w:color w:val="000000" w:themeColor="text1" w:themeTint="FF" w:themeShade="FF"/>
          <w:sz w:val="24"/>
          <w:szCs w:val="24"/>
          <w:lang w:val="en-US"/>
        </w:rPr>
        <w:t xml:space="preserve"> argued </w:t>
      </w:r>
      <w:r w:rsidRPr="4C70F40C" w:rsidR="7ED127E4">
        <w:rPr>
          <w:rFonts w:ascii="Arial" w:hAnsi="Arial" w:eastAsia="Arial" w:cs="Arial"/>
          <w:i w:val="0"/>
          <w:iCs w:val="0"/>
          <w:noProof w:val="0"/>
          <w:color w:val="000000" w:themeColor="text1" w:themeTint="FF" w:themeShade="FF"/>
          <w:sz w:val="24"/>
          <w:szCs w:val="24"/>
          <w:lang w:val="en-US"/>
        </w:rPr>
        <w:t>weakening</w:t>
      </w:r>
      <w:r w:rsidRPr="4C70F40C" w:rsidR="0F9EB077">
        <w:rPr>
          <w:rFonts w:ascii="Arial" w:hAnsi="Arial" w:eastAsia="Arial" w:cs="Arial"/>
          <w:i w:val="0"/>
          <w:iCs w:val="0"/>
          <w:noProof w:val="0"/>
          <w:color w:val="000000" w:themeColor="text1" w:themeTint="FF" w:themeShade="FF"/>
          <w:sz w:val="24"/>
          <w:szCs w:val="24"/>
          <w:lang w:val="en-US"/>
        </w:rPr>
        <w:t xml:space="preserve"> circumstances that she acted out of fear and desperation, owing to a history of domestic abuse by her husband (BBC, 2017). From an academic perspective, arguing such a </w:t>
      </w:r>
      <w:r w:rsidRPr="4C70F40C" w:rsidR="0F9EB077">
        <w:rPr>
          <w:rFonts w:ascii="Arial" w:hAnsi="Arial" w:eastAsia="Arial" w:cs="Arial"/>
          <w:i w:val="0"/>
          <w:iCs w:val="0"/>
          <w:noProof w:val="0"/>
          <w:color w:val="000000" w:themeColor="text1" w:themeTint="FF" w:themeShade="FF"/>
          <w:sz w:val="24"/>
          <w:szCs w:val="24"/>
          <w:lang w:val="en-US"/>
        </w:rPr>
        <w:t>defence</w:t>
      </w:r>
      <w:r w:rsidRPr="4C70F40C" w:rsidR="0F9EB077">
        <w:rPr>
          <w:rFonts w:ascii="Arial" w:hAnsi="Arial" w:eastAsia="Arial" w:cs="Arial"/>
          <w:i w:val="0"/>
          <w:iCs w:val="0"/>
          <w:noProof w:val="0"/>
          <w:color w:val="000000" w:themeColor="text1" w:themeTint="FF" w:themeShade="FF"/>
          <w:sz w:val="24"/>
          <w:szCs w:val="24"/>
          <w:lang w:val="en-US"/>
        </w:rPr>
        <w:t xml:space="preserve"> unveils the contradiction between the automatisms of the human instinct for self-preservation and the </w:t>
      </w:r>
      <w:r w:rsidRPr="4C70F40C" w:rsidR="45BAAF5E">
        <w:rPr>
          <w:rFonts w:ascii="Arial" w:hAnsi="Arial" w:eastAsia="Arial" w:cs="Arial"/>
          <w:i w:val="0"/>
          <w:iCs w:val="0"/>
          <w:noProof w:val="0"/>
          <w:color w:val="000000" w:themeColor="text1" w:themeTint="FF" w:themeShade="FF"/>
          <w:sz w:val="24"/>
          <w:szCs w:val="24"/>
          <w:lang w:val="en-US"/>
        </w:rPr>
        <w:t>intended</w:t>
      </w:r>
      <w:r w:rsidRPr="4C70F40C" w:rsidR="0F9EB077">
        <w:rPr>
          <w:rFonts w:ascii="Arial" w:hAnsi="Arial" w:eastAsia="Arial" w:cs="Arial"/>
          <w:i w:val="0"/>
          <w:iCs w:val="0"/>
          <w:noProof w:val="0"/>
          <w:color w:val="000000" w:themeColor="text1" w:themeTint="FF" w:themeShade="FF"/>
          <w:sz w:val="24"/>
          <w:szCs w:val="24"/>
          <w:lang w:val="en-US"/>
        </w:rPr>
        <w:t xml:space="preserve"> cognitive functions tied to acts of violence. Although there is no dispute on the actual stabbing, the intention, </w:t>
      </w:r>
      <w:r w:rsidRPr="4C70F40C" w:rsidR="0F9EB077">
        <w:rPr>
          <w:rFonts w:ascii="Arial" w:hAnsi="Arial" w:eastAsia="Arial" w:cs="Arial"/>
          <w:i w:val="0"/>
          <w:iCs w:val="0"/>
          <w:noProof w:val="0"/>
          <w:color w:val="000000" w:themeColor="text1" w:themeTint="FF" w:themeShade="FF"/>
          <w:sz w:val="24"/>
          <w:szCs w:val="24"/>
          <w:lang w:val="en-US"/>
        </w:rPr>
        <w:t>rendered</w:t>
      </w:r>
      <w:r w:rsidRPr="4C70F40C" w:rsidR="0F9EB077">
        <w:rPr>
          <w:rFonts w:ascii="Arial" w:hAnsi="Arial" w:eastAsia="Arial" w:cs="Arial"/>
          <w:i w:val="0"/>
          <w:iCs w:val="0"/>
          <w:noProof w:val="0"/>
          <w:color w:val="000000" w:themeColor="text1" w:themeTint="FF" w:themeShade="FF"/>
          <w:sz w:val="24"/>
          <w:szCs w:val="24"/>
          <w:lang w:val="en-US"/>
        </w:rPr>
        <w:t xml:space="preserve"> clouded by these circumstances, is left for judicial scrutiny.</w:t>
      </w:r>
    </w:p>
    <w:p w:rsidR="76ADCAEC" w:rsidP="4C70F40C" w:rsidRDefault="76ADCAEC" w14:paraId="09F84A9D" w14:textId="1FFE8C48">
      <w:pPr>
        <w:spacing w:before="240" w:beforeAutospacing="off" w:after="240" w:afterAutospacing="off" w:line="480" w:lineRule="auto"/>
        <w:jc w:val="both"/>
        <w:rPr>
          <w:rFonts w:ascii="Arial" w:hAnsi="Arial" w:eastAsia="Arial" w:cs="Arial"/>
          <w:sz w:val="24"/>
          <w:szCs w:val="24"/>
        </w:rPr>
      </w:pPr>
    </w:p>
    <w:p w:rsidR="76ADCAEC" w:rsidP="4C70F40C" w:rsidRDefault="76ADCAEC" w14:paraId="3C931E36" w14:textId="4105D5FC">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As such, Deborah and Carly’s case delivers a multitude of intricate reactions and reflections highlighting legal enlightenment and societal contemplations, notably in terms of the moral dimensions of domestic violence. Consequently, this query raises significant considerations </w:t>
      </w:r>
      <w:r w:rsidRPr="4C70F40C" w:rsidR="0F9EB077">
        <w:rPr>
          <w:rFonts w:ascii="Arial" w:hAnsi="Arial" w:eastAsia="Arial" w:cs="Arial"/>
          <w:i w:val="0"/>
          <w:iCs w:val="0"/>
          <w:noProof w:val="0"/>
          <w:color w:val="000000" w:themeColor="text1" w:themeTint="FF" w:themeShade="FF"/>
          <w:sz w:val="24"/>
          <w:szCs w:val="24"/>
          <w:lang w:val="en-US"/>
        </w:rPr>
        <w:t>regarding</w:t>
      </w:r>
      <w:r w:rsidRPr="4C70F40C" w:rsidR="0F9EB077">
        <w:rPr>
          <w:rFonts w:ascii="Arial" w:hAnsi="Arial" w:eastAsia="Arial" w:cs="Arial"/>
          <w:i w:val="0"/>
          <w:iCs w:val="0"/>
          <w:noProof w:val="0"/>
          <w:color w:val="000000" w:themeColor="text1" w:themeTint="FF" w:themeShade="FF"/>
          <w:sz w:val="24"/>
          <w:szCs w:val="24"/>
          <w:lang w:val="en-US"/>
        </w:rPr>
        <w:t xml:space="preserve"> the boundaries of criminal laws, which </w:t>
      </w:r>
      <w:r w:rsidRPr="4C70F40C" w:rsidR="5A1F421F">
        <w:rPr>
          <w:rFonts w:ascii="Arial" w:hAnsi="Arial" w:eastAsia="Arial" w:cs="Arial"/>
          <w:i w:val="0"/>
          <w:iCs w:val="0"/>
          <w:noProof w:val="0"/>
          <w:color w:val="000000" w:themeColor="text1" w:themeTint="FF" w:themeShade="FF"/>
          <w:sz w:val="24"/>
          <w:szCs w:val="24"/>
          <w:lang w:val="en-US"/>
        </w:rPr>
        <w:t>led to</w:t>
      </w:r>
      <w:r w:rsidRPr="4C70F40C" w:rsidR="0F9EB077">
        <w:rPr>
          <w:rFonts w:ascii="Arial" w:hAnsi="Arial" w:eastAsia="Arial" w:cs="Arial"/>
          <w:i w:val="0"/>
          <w:iCs w:val="0"/>
          <w:noProof w:val="0"/>
          <w:color w:val="000000" w:themeColor="text1" w:themeTint="FF" w:themeShade="FF"/>
          <w:sz w:val="24"/>
          <w:szCs w:val="24"/>
          <w:lang w:val="en-US"/>
        </w:rPr>
        <w:t xml:space="preserve"> Deborah’s act from a straightforward illegal actus reus to an exploration of a contentious mens rea (Jefferies, 2017).</w:t>
      </w:r>
    </w:p>
    <w:p w:rsidR="76ADCAEC" w:rsidP="4C70F40C" w:rsidRDefault="76ADCAEC" w14:paraId="62F5CD19" w14:textId="62BBAABC">
      <w:pPr>
        <w:spacing w:before="240" w:beforeAutospacing="off" w:after="240" w:afterAutospacing="off" w:line="480" w:lineRule="auto"/>
        <w:jc w:val="both"/>
        <w:rPr>
          <w:rFonts w:ascii="Arial" w:hAnsi="Arial" w:eastAsia="Arial" w:cs="Arial"/>
          <w:sz w:val="24"/>
          <w:szCs w:val="24"/>
        </w:rPr>
      </w:pPr>
    </w:p>
    <w:p w:rsidR="76ADCAEC" w:rsidP="4C70F40C" w:rsidRDefault="76ADCAEC" w14:paraId="596AFD85" w14:textId="50D148C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Ultimately, the</w:t>
      </w:r>
      <w:r w:rsidRPr="4C70F40C" w:rsidR="0F9EB077">
        <w:rPr>
          <w:rFonts w:ascii="Arial" w:hAnsi="Arial" w:eastAsia="Arial" w:cs="Arial"/>
          <w:i w:val="0"/>
          <w:iCs w:val="0"/>
          <w:noProof w:val="0"/>
          <w:color w:val="000000" w:themeColor="text1" w:themeTint="FF" w:themeShade="FF"/>
          <w:sz w:val="24"/>
          <w:szCs w:val="24"/>
          <w:lang w:val="en-US"/>
        </w:rPr>
        <w:t xml:space="preserve"> case spotlights the intensely multifaceted study of actus reus and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Both legal concepts are meant to ensure that guilty individuals are rightfully convicted, and innocent individuals are rightly acquitted. Balancing both principles – actus reus and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 is crucial in the administration of justice (Ashworth and </w:t>
      </w:r>
      <w:r w:rsidRPr="4C70F40C" w:rsidR="0F9EB077">
        <w:rPr>
          <w:rFonts w:ascii="Arial" w:hAnsi="Arial" w:eastAsia="Arial" w:cs="Arial"/>
          <w:i w:val="0"/>
          <w:iCs w:val="0"/>
          <w:noProof w:val="0"/>
          <w:color w:val="000000" w:themeColor="text1" w:themeTint="FF" w:themeShade="FF"/>
          <w:sz w:val="24"/>
          <w:szCs w:val="24"/>
          <w:lang w:val="en-US"/>
        </w:rPr>
        <w:t>Horder</w:t>
      </w:r>
      <w:r w:rsidRPr="4C70F40C" w:rsidR="0F9EB077">
        <w:rPr>
          <w:rFonts w:ascii="Arial" w:hAnsi="Arial" w:eastAsia="Arial" w:cs="Arial"/>
          <w:i w:val="0"/>
          <w:iCs w:val="0"/>
          <w:noProof w:val="0"/>
          <w:color w:val="000000" w:themeColor="text1" w:themeTint="FF" w:themeShade="FF"/>
          <w:sz w:val="24"/>
          <w:szCs w:val="24"/>
          <w:lang w:val="en-US"/>
        </w:rPr>
        <w:t>, Principles of Criminal Law, 7th edition, 2013)</w:t>
      </w:r>
    </w:p>
    <w:p w:rsidR="76ADCAEC" w:rsidP="4C70F40C" w:rsidRDefault="76ADCAEC" w14:paraId="3A16C2AE" w14:textId="12161E16">
      <w:pPr>
        <w:spacing w:before="240" w:beforeAutospacing="off" w:after="240" w:afterAutospacing="off" w:line="480" w:lineRule="auto"/>
        <w:jc w:val="both"/>
        <w:rPr>
          <w:rFonts w:ascii="Arial" w:hAnsi="Arial" w:eastAsia="Arial" w:cs="Arial"/>
          <w:sz w:val="24"/>
          <w:szCs w:val="24"/>
        </w:rPr>
      </w:pPr>
    </w:p>
    <w:p w:rsidR="76ADCAEC" w:rsidP="4C70F40C" w:rsidRDefault="76ADCAEC" w14:paraId="524C0CDF" w14:textId="69C018FD">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 xml:space="preserve">In conclusion, Carly and Ben’s case presents </w:t>
      </w:r>
      <w:r w:rsidRPr="4C70F40C" w:rsidR="74663922">
        <w:rPr>
          <w:rFonts w:ascii="Arial" w:hAnsi="Arial" w:eastAsia="Arial" w:cs="Arial"/>
          <w:i w:val="0"/>
          <w:iCs w:val="0"/>
          <w:noProof w:val="0"/>
          <w:color w:val="000000" w:themeColor="text1" w:themeTint="FF" w:themeShade="FF"/>
          <w:sz w:val="24"/>
          <w:szCs w:val="24"/>
          <w:lang w:val="en-US"/>
        </w:rPr>
        <w:t>a</w:t>
      </w:r>
      <w:r w:rsidRPr="4C70F40C" w:rsidR="0F9EB077">
        <w:rPr>
          <w:rFonts w:ascii="Arial" w:hAnsi="Arial" w:eastAsia="Arial" w:cs="Arial"/>
          <w:i w:val="0"/>
          <w:iCs w:val="0"/>
          <w:noProof w:val="0"/>
          <w:color w:val="000000" w:themeColor="text1" w:themeTint="FF" w:themeShade="FF"/>
          <w:sz w:val="24"/>
          <w:szCs w:val="24"/>
          <w:lang w:val="en-US"/>
        </w:rPr>
        <w:t xml:space="preserve"> </w:t>
      </w:r>
      <w:r w:rsidRPr="4C70F40C" w:rsidR="6E84E44D">
        <w:rPr>
          <w:rFonts w:ascii="Arial" w:hAnsi="Arial" w:eastAsia="Arial" w:cs="Arial"/>
          <w:i w:val="0"/>
          <w:iCs w:val="0"/>
          <w:noProof w:val="0"/>
          <w:color w:val="000000" w:themeColor="text1" w:themeTint="FF" w:themeShade="FF"/>
          <w:sz w:val="24"/>
          <w:szCs w:val="24"/>
          <w:lang w:val="en-US"/>
        </w:rPr>
        <w:t>complex</w:t>
      </w:r>
      <w:r w:rsidRPr="4C70F40C" w:rsidR="0F9EB077">
        <w:rPr>
          <w:rFonts w:ascii="Arial" w:hAnsi="Arial" w:eastAsia="Arial" w:cs="Arial"/>
          <w:i w:val="0"/>
          <w:iCs w:val="0"/>
          <w:noProof w:val="0"/>
          <w:color w:val="000000" w:themeColor="text1" w:themeTint="FF" w:themeShade="FF"/>
          <w:sz w:val="24"/>
          <w:szCs w:val="24"/>
          <w:lang w:val="en-US"/>
        </w:rPr>
        <w:t xml:space="preserve"> </w:t>
      </w:r>
      <w:r w:rsidRPr="4C70F40C" w:rsidR="6B569593">
        <w:rPr>
          <w:rFonts w:ascii="Arial" w:hAnsi="Arial" w:eastAsia="Arial" w:cs="Arial"/>
          <w:i w:val="0"/>
          <w:iCs w:val="0"/>
          <w:noProof w:val="0"/>
          <w:color w:val="000000" w:themeColor="text1" w:themeTint="FF" w:themeShade="FF"/>
          <w:sz w:val="24"/>
          <w:szCs w:val="24"/>
          <w:lang w:val="en-US"/>
        </w:rPr>
        <w:t>mixture</w:t>
      </w:r>
      <w:r w:rsidRPr="4C70F40C" w:rsidR="0F9EB077">
        <w:rPr>
          <w:rFonts w:ascii="Arial" w:hAnsi="Arial" w:eastAsia="Arial" w:cs="Arial"/>
          <w:i w:val="0"/>
          <w:iCs w:val="0"/>
          <w:noProof w:val="0"/>
          <w:color w:val="000000" w:themeColor="text1" w:themeTint="FF" w:themeShade="FF"/>
          <w:sz w:val="24"/>
          <w:szCs w:val="24"/>
          <w:lang w:val="en-US"/>
        </w:rPr>
        <w:t xml:space="preserve"> of emotional turmoil, betrayal, and crime. The legal and ethical aspects revolve around concepts of morality in context, and the nature of the crime committed. Stabbing, regardless of the emotional background, is illegal and deserving of punishment. This case highlights the need for deeper comprehension and research of the emotional impact of</w:t>
      </w:r>
      <w:r w:rsidRPr="4C70F40C" w:rsidR="2FDEEFAF">
        <w:rPr>
          <w:rFonts w:ascii="Arial" w:hAnsi="Arial" w:eastAsia="Arial" w:cs="Arial"/>
          <w:i w:val="0"/>
          <w:iCs w:val="0"/>
          <w:noProof w:val="0"/>
          <w:color w:val="000000" w:themeColor="text1" w:themeTint="FF" w:themeShade="FF"/>
          <w:sz w:val="24"/>
          <w:szCs w:val="24"/>
          <w:lang w:val="en-US"/>
        </w:rPr>
        <w:t xml:space="preserve"> disloyalty </w:t>
      </w:r>
      <w:r w:rsidRPr="4C70F40C" w:rsidR="0F9EB077">
        <w:rPr>
          <w:rFonts w:ascii="Arial" w:hAnsi="Arial" w:eastAsia="Arial" w:cs="Arial"/>
          <w:i w:val="0"/>
          <w:iCs w:val="0"/>
          <w:noProof w:val="0"/>
          <w:color w:val="000000" w:themeColor="text1" w:themeTint="FF" w:themeShade="FF"/>
          <w:sz w:val="24"/>
          <w:szCs w:val="24"/>
          <w:lang w:val="en-US"/>
        </w:rPr>
        <w:t xml:space="preserve">and the need for effective coping mechanisms. The essay touched upon the intent or direct intent as well as the understanding of actus reus and </w:t>
      </w:r>
      <w:r w:rsidRPr="4C70F40C" w:rsidR="0F9EB077">
        <w:rPr>
          <w:rFonts w:ascii="Arial" w:hAnsi="Arial" w:eastAsia="Arial" w:cs="Arial"/>
          <w:i w:val="0"/>
          <w:iCs w:val="0"/>
          <w:noProof w:val="0"/>
          <w:color w:val="000000" w:themeColor="text1" w:themeTint="FF" w:themeShade="FF"/>
          <w:sz w:val="24"/>
          <w:szCs w:val="24"/>
          <w:lang w:val="en-US"/>
        </w:rPr>
        <w:t>mens</w:t>
      </w:r>
      <w:r w:rsidRPr="4C70F40C" w:rsidR="0F9EB077">
        <w:rPr>
          <w:rFonts w:ascii="Arial" w:hAnsi="Arial" w:eastAsia="Arial" w:cs="Arial"/>
          <w:i w:val="0"/>
          <w:iCs w:val="0"/>
          <w:noProof w:val="0"/>
          <w:color w:val="000000" w:themeColor="text1" w:themeTint="FF" w:themeShade="FF"/>
          <w:sz w:val="24"/>
          <w:szCs w:val="24"/>
          <w:lang w:val="en-US"/>
        </w:rPr>
        <w:t xml:space="preserve"> rea of the case. As we delve deeper into societal actions, our understanding must extend beyond the </w:t>
      </w:r>
      <w:r w:rsidRPr="4C70F40C" w:rsidR="5CD577BC">
        <w:rPr>
          <w:rFonts w:ascii="Arial" w:hAnsi="Arial" w:eastAsia="Arial" w:cs="Arial"/>
          <w:i w:val="0"/>
          <w:iCs w:val="0"/>
          <w:noProof w:val="0"/>
          <w:color w:val="000000" w:themeColor="text1" w:themeTint="FF" w:themeShade="FF"/>
          <w:sz w:val="24"/>
          <w:szCs w:val="24"/>
          <w:lang w:val="en-US"/>
        </w:rPr>
        <w:t>surface</w:t>
      </w:r>
      <w:r w:rsidRPr="4C70F40C" w:rsidR="0F9EB077">
        <w:rPr>
          <w:rFonts w:ascii="Arial" w:hAnsi="Arial" w:eastAsia="Arial" w:cs="Arial"/>
          <w:i w:val="0"/>
          <w:iCs w:val="0"/>
          <w:noProof w:val="0"/>
          <w:color w:val="000000" w:themeColor="text1" w:themeTint="FF" w:themeShade="FF"/>
          <w:sz w:val="24"/>
          <w:szCs w:val="24"/>
          <w:lang w:val="en-US"/>
        </w:rPr>
        <w:t xml:space="preserve"> to where causes are not merely evaluated but assessed </w:t>
      </w:r>
      <w:r w:rsidRPr="4C70F40C" w:rsidR="5D296F53">
        <w:rPr>
          <w:rFonts w:ascii="Arial" w:hAnsi="Arial" w:eastAsia="Arial" w:cs="Arial"/>
          <w:i w:val="0"/>
          <w:iCs w:val="0"/>
          <w:noProof w:val="0"/>
          <w:color w:val="000000" w:themeColor="text1" w:themeTint="FF" w:themeShade="FF"/>
          <w:sz w:val="24"/>
          <w:szCs w:val="24"/>
          <w:lang w:val="en-US"/>
        </w:rPr>
        <w:t>deeply</w:t>
      </w:r>
      <w:r w:rsidRPr="4C70F40C" w:rsidR="0F9EB077">
        <w:rPr>
          <w:rFonts w:ascii="Arial" w:hAnsi="Arial" w:eastAsia="Arial" w:cs="Arial"/>
          <w:i w:val="0"/>
          <w:iCs w:val="0"/>
          <w:noProof w:val="0"/>
          <w:color w:val="000000" w:themeColor="text1" w:themeTint="FF" w:themeShade="FF"/>
          <w:sz w:val="24"/>
          <w:szCs w:val="24"/>
          <w:lang w:val="en-US"/>
        </w:rPr>
        <w:t xml:space="preserve"> for their roots in systemic structures and mental processes, such as section 6 of the criminal justice act 1967, the proof of intent, thus to decide whether Carly did intend or foresee that result by reference to all the evidence, drawing such references from evidence as appear proper in circumstanc</w:t>
      </w:r>
      <w:r w:rsidRPr="4C70F40C" w:rsidR="519F7ACA">
        <w:rPr>
          <w:rFonts w:ascii="Arial" w:hAnsi="Arial" w:eastAsia="Arial" w:cs="Arial"/>
          <w:i w:val="0"/>
          <w:iCs w:val="0"/>
          <w:noProof w:val="0"/>
          <w:color w:val="000000" w:themeColor="text1" w:themeTint="FF" w:themeShade="FF"/>
          <w:sz w:val="24"/>
          <w:szCs w:val="24"/>
          <w:lang w:val="en-US"/>
        </w:rPr>
        <w:t>es.</w:t>
      </w:r>
    </w:p>
    <w:p w:rsidR="76ADCAEC" w:rsidP="4C70F40C" w:rsidRDefault="76ADCAEC" w14:paraId="674E8B16" w14:textId="726250C2">
      <w:pPr>
        <w:spacing w:before="195" w:beforeAutospacing="off" w:after="195" w:afterAutospacing="off"/>
        <w:jc w:val="both"/>
      </w:pPr>
      <w:r w:rsidR="09DC43C3">
        <w:rPr/>
        <w:t xml:space="preserve">Case list </w:t>
      </w:r>
    </w:p>
    <w:p w:rsidR="76ADCAEC" w:rsidP="4C70F40C" w:rsidRDefault="76ADCAEC" w14:paraId="04299D68" w14:textId="4A6EFF73">
      <w:pPr>
        <w:pStyle w:val="Normal"/>
        <w:spacing w:before="195" w:beforeAutospacing="off" w:after="195" w:afterAutospacing="off"/>
        <w:jc w:val="both"/>
      </w:pPr>
      <w:r w:rsidR="09DC43C3">
        <w:rPr/>
        <w:t>Deborah Rose v John Rose (2023)</w:t>
      </w:r>
    </w:p>
    <w:p w:rsidR="76ADCAEC" w:rsidP="4C70F40C" w:rsidRDefault="76ADCAEC" w14:paraId="6090A97A" w14:textId="4303AF42">
      <w:pPr>
        <w:pStyle w:val="Normal"/>
        <w:spacing w:before="195" w:beforeAutospacing="off" w:after="195" w:afterAutospacing="off"/>
        <w:jc w:val="both"/>
      </w:pPr>
      <w:r w:rsidR="6F1F53B7">
        <w:rPr/>
        <w:t>Regina v Woolin (1998)</w:t>
      </w:r>
    </w:p>
    <w:p w:rsidR="76ADCAEC" w:rsidP="4C70F40C" w:rsidRDefault="76ADCAEC" w14:paraId="614C2E7B" w14:textId="3BD18F58">
      <w:pPr>
        <w:pStyle w:val="Normal"/>
        <w:spacing w:before="195" w:beforeAutospacing="off" w:after="195" w:afterAutospacing="off"/>
        <w:jc w:val="both"/>
      </w:pPr>
    </w:p>
    <w:p w:rsidR="76ADCAEC" w:rsidP="4C70F40C" w:rsidRDefault="76ADCAEC" w14:paraId="00C8AC86" w14:textId="1703A41D">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References</w:t>
      </w:r>
    </w:p>
    <w:p w:rsidR="76ADCAEC" w:rsidP="4C70F40C" w:rsidRDefault="76ADCAEC" w14:paraId="33BA3541" w14:textId="2F84C5C5">
      <w:pPr>
        <w:spacing w:before="195" w:beforeAutospacing="off" w:after="195" w:afterAutospacing="off"/>
        <w:jc w:val="both"/>
      </w:pPr>
    </w:p>
    <w:p w:rsidR="76ADCAEC" w:rsidP="4C70F40C" w:rsidRDefault="76ADCAEC" w14:paraId="5884C503" w14:textId="0884B72D">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Ashworth, A. Horder, J. Principles of Criminal Law, (2009) 7</w:t>
      </w:r>
      <w:r w:rsidRPr="4C70F40C" w:rsidR="0F9EB077">
        <w:rPr>
          <w:rFonts w:ascii="Helvetica" w:hAnsi="Helvetica" w:eastAsia="Helvetica" w:cs="Helvetica"/>
          <w:i w:val="0"/>
          <w:iCs w:val="0"/>
          <w:noProof w:val="0"/>
          <w:color w:val="000000" w:themeColor="text1" w:themeTint="FF" w:themeShade="FF"/>
          <w:sz w:val="13"/>
          <w:szCs w:val="13"/>
          <w:vertAlign w:val="superscript"/>
          <w:lang w:val="en-US"/>
        </w:rPr>
        <w:t>th</w:t>
      </w:r>
      <w:r w:rsidRPr="4C70F40C" w:rsidR="0F9EB077">
        <w:rPr>
          <w:rFonts w:ascii="Helvetica" w:hAnsi="Helvetica" w:eastAsia="Helvetica" w:cs="Helvetica"/>
          <w:i w:val="0"/>
          <w:iCs w:val="0"/>
          <w:noProof w:val="0"/>
          <w:color w:val="000000" w:themeColor="text1" w:themeTint="FF" w:themeShade="FF"/>
          <w:sz w:val="19"/>
          <w:szCs w:val="19"/>
          <w:lang w:val="en-US"/>
        </w:rPr>
        <w:t xml:space="preserve"> ED, Oxford University Press</w:t>
      </w:r>
    </w:p>
    <w:p w:rsidR="76ADCAEC" w:rsidP="4C70F40C" w:rsidRDefault="76ADCAEC" w14:paraId="0F86EC01" w14:textId="6B693EAF">
      <w:pPr>
        <w:spacing w:before="195" w:beforeAutospacing="off" w:after="195" w:afterAutospacing="off"/>
        <w:jc w:val="both"/>
      </w:pPr>
    </w:p>
    <w:p w:rsidR="76ADCAEC" w:rsidP="4C70F40C" w:rsidRDefault="76ADCAEC" w14:paraId="6834B83B" w14:textId="4CEB02A9">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Benn, Piers. "Utilitarianism." Routledge Encyclopaedia of Philosophy. (2018). [Online] Available at: </w:t>
      </w:r>
      <w:hyperlink r:id="Raeb3a797218149fb">
        <w:r w:rsidRPr="4C70F40C" w:rsidR="0F9EB077">
          <w:rPr>
            <w:rStyle w:val="Hyperlink"/>
            <w:rFonts w:ascii="Helvetica" w:hAnsi="Helvetica" w:eastAsia="Helvetica" w:cs="Helvetica"/>
            <w:i w:val="0"/>
            <w:iCs w:val="0"/>
            <w:strike w:val="0"/>
            <w:dstrike w:val="0"/>
            <w:noProof w:val="0"/>
            <w:sz w:val="19"/>
            <w:szCs w:val="19"/>
            <w:lang w:val="en-US"/>
          </w:rPr>
          <w:t>https://www.rep.routledge.com/articles/thematic/utilitarianism/v-1</w:t>
        </w:r>
      </w:hyperlink>
    </w:p>
    <w:p w:rsidR="76ADCAEC" w:rsidP="4C70F40C" w:rsidRDefault="76ADCAEC" w14:paraId="27C3FFE6" w14:textId="75040651">
      <w:pPr>
        <w:spacing w:before="195" w:beforeAutospacing="off" w:after="195" w:afterAutospacing="off"/>
        <w:jc w:val="both"/>
      </w:pPr>
    </w:p>
    <w:p w:rsidR="76ADCAEC" w:rsidP="4C70F40C" w:rsidRDefault="76ADCAEC" w14:paraId="2D229EDA" w14:textId="1B89138F">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Dodd, Vikram. "Woman admits stabbing two-timing husband". The Guardian. (2020). [Online] Available at: </w:t>
      </w:r>
      <w:hyperlink r:id="Rac0cce0d29c7442c">
        <w:r w:rsidRPr="4C70F40C" w:rsidR="0F9EB077">
          <w:rPr>
            <w:rStyle w:val="Hyperlink"/>
            <w:rFonts w:ascii="Helvetica" w:hAnsi="Helvetica" w:eastAsia="Helvetica" w:cs="Helvetica"/>
            <w:i w:val="0"/>
            <w:iCs w:val="0"/>
            <w:strike w:val="0"/>
            <w:dstrike w:val="0"/>
            <w:noProof w:val="0"/>
            <w:sz w:val="19"/>
            <w:szCs w:val="19"/>
            <w:lang w:val="en-US"/>
          </w:rPr>
          <w:t>https://www.theguardian.com/</w:t>
        </w:r>
      </w:hyperlink>
    </w:p>
    <w:p w:rsidR="76ADCAEC" w:rsidP="4C70F40C" w:rsidRDefault="76ADCAEC" w14:paraId="742F4181" w14:textId="42FAED22">
      <w:pPr>
        <w:spacing w:before="195" w:beforeAutospacing="off" w:after="195" w:afterAutospacing="off"/>
        <w:jc w:val="both"/>
      </w:pPr>
    </w:p>
    <w:p w:rsidR="76ADCAEC" w:rsidP="4C70F40C" w:rsidRDefault="76ADCAEC" w14:paraId="3089A343" w14:textId="05822B1C">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 Agnew, Robert. "Foundation for a general strain theory of crime and delinquency." Criminology,  (1992): 47-87.</w:t>
      </w:r>
    </w:p>
    <w:p w:rsidR="76ADCAEC" w:rsidP="4C70F40C" w:rsidRDefault="76ADCAEC" w14:paraId="682546BC" w14:textId="34541914">
      <w:pPr>
        <w:spacing w:before="195" w:beforeAutospacing="off" w:after="195" w:afterAutospacing="off"/>
        <w:jc w:val="both"/>
      </w:pPr>
    </w:p>
    <w:p w:rsidR="76ADCAEC" w:rsidP="4C70F40C" w:rsidRDefault="76ADCAEC" w14:paraId="25E3FAF3" w14:textId="121C9817">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Johnson, Sarah. "The aftermath of an affair: A case study." The Sydney Morning Herald. (2021). </w:t>
      </w:r>
    </w:p>
    <w:p w:rsidR="76ADCAEC" w:rsidP="4C70F40C" w:rsidRDefault="76ADCAEC" w14:paraId="120260BD" w14:textId="2C8C886F">
      <w:pPr>
        <w:spacing w:before="195" w:beforeAutospacing="off" w:after="195" w:afterAutospacing="off"/>
        <w:jc w:val="both"/>
      </w:pPr>
    </w:p>
    <w:p w:rsidR="76ADCAEC" w:rsidP="4C70F40C" w:rsidRDefault="76ADCAEC" w14:paraId="13F94B8B" w14:textId="66AE462A">
      <w:pPr>
        <w:spacing w:before="195" w:beforeAutospacing="off" w:after="195" w:afterAutospacing="off"/>
        <w:jc w:val="both"/>
      </w:pPr>
      <w:r w:rsidRPr="24888299" w:rsidR="0F9EB077">
        <w:rPr>
          <w:rFonts w:ascii="Helvetica" w:hAnsi="Helvetica" w:eastAsia="Helvetica" w:cs="Helvetica"/>
          <w:i w:val="0"/>
          <w:iCs w:val="0"/>
          <w:noProof w:val="0"/>
          <w:color w:val="000000" w:themeColor="text1" w:themeTint="FF" w:themeShade="FF"/>
          <w:sz w:val="19"/>
          <w:szCs w:val="19"/>
          <w:lang w:val="en-US"/>
        </w:rPr>
        <w:t>Home Office. “Offences against the Person Act</w:t>
      </w:r>
      <w:r w:rsidRPr="24888299" w:rsidR="0F9EB077">
        <w:rPr>
          <w:rFonts w:ascii="Helvetica" w:hAnsi="Helvetica" w:eastAsia="Helvetica" w:cs="Helvetica"/>
          <w:i w:val="0"/>
          <w:iCs w:val="0"/>
          <w:noProof w:val="0"/>
          <w:color w:val="000000" w:themeColor="text1" w:themeTint="FF" w:themeShade="FF"/>
          <w:sz w:val="19"/>
          <w:szCs w:val="19"/>
          <w:lang w:val="en-US"/>
        </w:rPr>
        <w:t>”.</w:t>
      </w:r>
      <w:r w:rsidRPr="24888299" w:rsidR="0F9EB077">
        <w:rPr>
          <w:rFonts w:ascii="Helvetica" w:hAnsi="Helvetica" w:eastAsia="Helvetica" w:cs="Helvetica"/>
          <w:i w:val="0"/>
          <w:iCs w:val="0"/>
          <w:noProof w:val="0"/>
          <w:color w:val="000000" w:themeColor="text1" w:themeTint="FF" w:themeShade="FF"/>
          <w:sz w:val="19"/>
          <w:szCs w:val="19"/>
          <w:lang w:val="en-US"/>
        </w:rPr>
        <w:t xml:space="preserve"> </w:t>
      </w:r>
      <w:r w:rsidRPr="24888299" w:rsidR="0F9EB077">
        <w:rPr>
          <w:rFonts w:ascii="Helvetica" w:hAnsi="Helvetica" w:eastAsia="Helvetica" w:cs="Helvetica"/>
          <w:i w:val="0"/>
          <w:iCs w:val="0"/>
          <w:strike w:val="0"/>
          <w:dstrike w:val="0"/>
          <w:noProof w:val="0"/>
          <w:color w:val="000000" w:themeColor="text1" w:themeTint="FF" w:themeShade="FF"/>
          <w:sz w:val="19"/>
          <w:szCs w:val="19"/>
          <w:u w:val="single"/>
          <w:lang w:val="en-US"/>
        </w:rPr>
        <w:t>legislation.gov.uk</w:t>
      </w:r>
      <w:r w:rsidRPr="24888299" w:rsidR="0F9EB077">
        <w:rPr>
          <w:rFonts w:ascii="Helvetica" w:hAnsi="Helvetica" w:eastAsia="Helvetica" w:cs="Helvetica"/>
          <w:i w:val="0"/>
          <w:iCs w:val="0"/>
          <w:noProof w:val="0"/>
          <w:color w:val="000000" w:themeColor="text1" w:themeTint="FF" w:themeShade="FF"/>
          <w:sz w:val="19"/>
          <w:szCs w:val="19"/>
          <w:lang w:val="en-US"/>
        </w:rPr>
        <w:t xml:space="preserve">. (2020). [Online] </w:t>
      </w:r>
      <w:r w:rsidRPr="24888299" w:rsidR="0B6F0847">
        <w:rPr>
          <w:rFonts w:ascii="Helvetica" w:hAnsi="Helvetica" w:eastAsia="Helvetica" w:cs="Helvetica"/>
          <w:i w:val="0"/>
          <w:iCs w:val="0"/>
          <w:noProof w:val="0"/>
          <w:color w:val="000000" w:themeColor="text1" w:themeTint="FF" w:themeShade="FF"/>
          <w:sz w:val="19"/>
          <w:szCs w:val="19"/>
          <w:lang w:val="en-US"/>
        </w:rPr>
        <w:t>Available at</w:t>
      </w:r>
      <w:r w:rsidRPr="24888299" w:rsidR="0F9EB077">
        <w:rPr>
          <w:rFonts w:ascii="Helvetica" w:hAnsi="Helvetica" w:eastAsia="Helvetica" w:cs="Helvetica"/>
          <w:i w:val="0"/>
          <w:iCs w:val="0"/>
          <w:noProof w:val="0"/>
          <w:color w:val="000000" w:themeColor="text1" w:themeTint="FF" w:themeShade="FF"/>
          <w:sz w:val="19"/>
          <w:szCs w:val="19"/>
          <w:lang w:val="en-US"/>
        </w:rPr>
        <w:t xml:space="preserve">: </w:t>
      </w:r>
      <w:hyperlink r:id="R5d40c714801440de">
        <w:r w:rsidRPr="24888299" w:rsidR="0F9EB077">
          <w:rPr>
            <w:rStyle w:val="Hyperlink"/>
            <w:rFonts w:ascii="Helvetica" w:hAnsi="Helvetica" w:eastAsia="Helvetica" w:cs="Helvetica"/>
            <w:i w:val="0"/>
            <w:iCs w:val="0"/>
            <w:strike w:val="0"/>
            <w:dstrike w:val="0"/>
            <w:noProof w:val="0"/>
            <w:sz w:val="19"/>
            <w:szCs w:val="19"/>
            <w:lang w:val="en-US"/>
          </w:rPr>
          <w:t>https://www.legislation.gov.uk/ukpga/1861/100/pdfs/ukpga_1861100_en.pdf</w:t>
        </w:r>
      </w:hyperlink>
    </w:p>
    <w:p w:rsidR="76ADCAEC" w:rsidP="4C70F40C" w:rsidRDefault="76ADCAEC" w14:paraId="01FA85D6" w14:textId="048378DB">
      <w:pPr>
        <w:spacing w:before="195" w:beforeAutospacing="off" w:after="195" w:afterAutospacing="off"/>
        <w:jc w:val="both"/>
      </w:pPr>
    </w:p>
    <w:p w:rsidR="76ADCAEC" w:rsidP="4C70F40C" w:rsidRDefault="76ADCAEC" w14:paraId="5EEED3CF" w14:textId="56060E0C">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Jefferies, J. (2017) Criminal Law, London: Palgrave Macmillan.</w:t>
      </w:r>
    </w:p>
    <w:p w:rsidR="76ADCAEC" w:rsidP="4C70F40C" w:rsidRDefault="76ADCAEC" w14:paraId="0017A332" w14:textId="57CBAC61">
      <w:pPr>
        <w:spacing w:before="195" w:beforeAutospacing="off" w:after="195" w:afterAutospacing="off"/>
        <w:jc w:val="both"/>
      </w:pPr>
    </w:p>
    <w:p w:rsidR="76ADCAEC" w:rsidP="4C70F40C" w:rsidRDefault="76ADCAEC" w14:paraId="6C1AE186" w14:textId="60DFCAE3">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Johnson, Robert and Cureton, Adam. "Kant’s Moral Philosophy." Stanford Encyclopaedia of Philosophy. (2019). [Online] Available at: </w:t>
      </w:r>
      <w:hyperlink r:id="R73ee1bd3565d46cf">
        <w:r w:rsidRPr="4C70F40C" w:rsidR="0F9EB077">
          <w:rPr>
            <w:rStyle w:val="Hyperlink"/>
            <w:rFonts w:ascii="Helvetica" w:hAnsi="Helvetica" w:eastAsia="Helvetica" w:cs="Helvetica"/>
            <w:i w:val="0"/>
            <w:iCs w:val="0"/>
            <w:noProof w:val="0"/>
            <w:color w:val="0B4CB4"/>
            <w:sz w:val="19"/>
            <w:szCs w:val="19"/>
            <w:lang w:val="en-US"/>
          </w:rPr>
          <w:t>https://plato.stanford.edu/entries/kant-moral/</w:t>
        </w:r>
      </w:hyperlink>
    </w:p>
    <w:p w:rsidR="76ADCAEC" w:rsidP="4C70F40C" w:rsidRDefault="76ADCAEC" w14:paraId="3C50D969" w14:textId="2EC4BD88">
      <w:pPr>
        <w:spacing w:before="195" w:beforeAutospacing="off" w:after="195" w:afterAutospacing="off"/>
        <w:jc w:val="both"/>
      </w:pPr>
    </w:p>
    <w:p w:rsidR="76ADCAEC" w:rsidP="4C70F40C" w:rsidRDefault="76ADCAEC" w14:paraId="408A5FF7" w14:textId="75A89D6B">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Parsons, S. (2013) The Meaning of Criminal Law (online) at </w:t>
      </w:r>
      <w:hyperlink r:id="R3e77021698904b78">
        <w:r w:rsidRPr="4C70F40C" w:rsidR="0F9EB077">
          <w:rPr>
            <w:rStyle w:val="Hyperlink"/>
            <w:rFonts w:ascii="Helvetica" w:hAnsi="Helvetica" w:eastAsia="Helvetica" w:cs="Helvetica"/>
            <w:i w:val="0"/>
            <w:iCs w:val="0"/>
            <w:noProof w:val="0"/>
            <w:color w:val="000000" w:themeColor="text1" w:themeTint="FF" w:themeShade="FF"/>
            <w:sz w:val="19"/>
            <w:szCs w:val="19"/>
            <w:lang w:val="en-US"/>
          </w:rPr>
          <w:t>https://pure.solent.ac.uk/ws/portalfiles/portal/24357421/Intention_article_LEJ_..doc.pdf</w:t>
        </w:r>
      </w:hyperlink>
    </w:p>
    <w:p w:rsidR="76ADCAEC" w:rsidP="4C70F40C" w:rsidRDefault="76ADCAEC" w14:paraId="6CCECC33" w14:textId="572FF34A">
      <w:pPr>
        <w:spacing w:before="195" w:beforeAutospacing="off" w:after="195" w:afterAutospacing="off"/>
        <w:jc w:val="both"/>
      </w:pPr>
    </w:p>
    <w:p w:rsidR="76ADCAEC" w:rsidP="4C70F40C" w:rsidRDefault="76ADCAEC" w14:paraId="2565B050" w14:textId="1CBF2FD0">
      <w:pPr>
        <w:spacing w:before="195" w:beforeAutospacing="off" w:after="195" w:afterAutospacing="off"/>
        <w:jc w:val="both"/>
      </w:pPr>
    </w:p>
    <w:p w:rsidR="76ADCAEC" w:rsidP="4C70F40C" w:rsidRDefault="76ADCAEC" w14:paraId="547F247E" w14:textId="354982B3">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Sanders, Andrew, and Young, Richard. "Criminal Justice." Oxford University Press. (2007).</w:t>
      </w:r>
    </w:p>
    <w:p w:rsidR="76ADCAEC" w:rsidP="4C70F40C" w:rsidRDefault="76ADCAEC" w14:paraId="2F683693" w14:textId="7A524902">
      <w:pPr>
        <w:spacing w:before="0" w:beforeAutospacing="off" w:after="0" w:afterAutospacing="off"/>
      </w:pPr>
    </w:p>
    <w:p w:rsidR="76ADCAEC" w:rsidP="76ADCAEC" w:rsidRDefault="76ADCAEC" w14:paraId="28EE4CCF" w14:textId="5E6664DA">
      <w:pPr>
        <w:pStyle w:val="Normal"/>
      </w:pPr>
    </w:p>
    <w:p w:rsidR="76ADCAEC" w:rsidP="76ADCAEC" w:rsidRDefault="76ADCAEC" w14:paraId="7AD34AB4" w14:textId="096847A8">
      <w:pPr>
        <w:pStyle w:val="Normal"/>
      </w:pPr>
    </w:p>
    <w:p w:rsidR="76ADCAEC" w:rsidP="76ADCAEC" w:rsidRDefault="76ADCAEC" w14:paraId="749F3697" w14:textId="2E5ACE7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Oqpe4RFXrRYns1" int2:id="PCy0qmMr">
      <int2:state int2:type="AugLoop_Text_Critique" int2:value="Rejected"/>
    </int2:textHash>
    <int2:textHash int2:hashCode="wtKSqYmrO8qHMS" int2:id="A1CdivlX">
      <int2:state int2:type="AugLoop_Text_Critique" int2:value="Rejected"/>
    </int2:textHash>
    <int2:bookmark int2:bookmarkName="_Int_doVl0CdI" int2:invalidationBookmarkName="" int2:hashCode="WYVbrhbJ8MZ1tH" int2:id="l2fnnCGt">
      <int2:state int2:type="AugLoop_Text_Critique" int2:value="Rejected"/>
    </int2:bookmark>
    <int2:bookmark int2:bookmarkName="_Int_k7m78naS" int2:invalidationBookmarkName="" int2:hashCode="66QKAgzsrSTeEx" int2:id="si7YzfT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92CFC"/>
    <w:rsid w:val="00FD1FDE"/>
    <w:rsid w:val="017ED63C"/>
    <w:rsid w:val="0287BC8E"/>
    <w:rsid w:val="0409C179"/>
    <w:rsid w:val="05281E56"/>
    <w:rsid w:val="0538F72A"/>
    <w:rsid w:val="06B0151E"/>
    <w:rsid w:val="06FD4017"/>
    <w:rsid w:val="09350EBD"/>
    <w:rsid w:val="09DC43C3"/>
    <w:rsid w:val="0B6F0847"/>
    <w:rsid w:val="0D268D7A"/>
    <w:rsid w:val="0E1326D7"/>
    <w:rsid w:val="0EB4F9C0"/>
    <w:rsid w:val="0ED6EE22"/>
    <w:rsid w:val="0F7EFB90"/>
    <w:rsid w:val="0F9EB077"/>
    <w:rsid w:val="10C502DE"/>
    <w:rsid w:val="1126A9C9"/>
    <w:rsid w:val="1403CDF8"/>
    <w:rsid w:val="14812A15"/>
    <w:rsid w:val="14D14C9E"/>
    <w:rsid w:val="1584CF97"/>
    <w:rsid w:val="172B9942"/>
    <w:rsid w:val="173EB6A7"/>
    <w:rsid w:val="17D0DC25"/>
    <w:rsid w:val="185B1D27"/>
    <w:rsid w:val="1864A80B"/>
    <w:rsid w:val="186CCE28"/>
    <w:rsid w:val="186E543A"/>
    <w:rsid w:val="1CD53C41"/>
    <w:rsid w:val="1DC4FDAB"/>
    <w:rsid w:val="1E710CA2"/>
    <w:rsid w:val="1F169A83"/>
    <w:rsid w:val="1F4AE3A6"/>
    <w:rsid w:val="1FA8EAB8"/>
    <w:rsid w:val="1FC597F9"/>
    <w:rsid w:val="208D4954"/>
    <w:rsid w:val="209BC214"/>
    <w:rsid w:val="21A8AD64"/>
    <w:rsid w:val="22011943"/>
    <w:rsid w:val="247C5BDB"/>
    <w:rsid w:val="24888299"/>
    <w:rsid w:val="249636D0"/>
    <w:rsid w:val="25586945"/>
    <w:rsid w:val="26319AB3"/>
    <w:rsid w:val="270A1967"/>
    <w:rsid w:val="27EAADE3"/>
    <w:rsid w:val="28873CB1"/>
    <w:rsid w:val="296E8EC8"/>
    <w:rsid w:val="2A8B6DC1"/>
    <w:rsid w:val="2B0A5F29"/>
    <w:rsid w:val="2B62245C"/>
    <w:rsid w:val="2CA9363B"/>
    <w:rsid w:val="2DDF237A"/>
    <w:rsid w:val="2E0A15C4"/>
    <w:rsid w:val="2E41FFEB"/>
    <w:rsid w:val="2EBC5AA8"/>
    <w:rsid w:val="2FBB1D0B"/>
    <w:rsid w:val="2FDEEFAF"/>
    <w:rsid w:val="2FE995D0"/>
    <w:rsid w:val="3179A0AD"/>
    <w:rsid w:val="328DAD73"/>
    <w:rsid w:val="34B1416F"/>
    <w:rsid w:val="3571832D"/>
    <w:rsid w:val="35A92CFC"/>
    <w:rsid w:val="35BFF28D"/>
    <w:rsid w:val="362A5E8F"/>
    <w:rsid w:val="373C727D"/>
    <w:rsid w:val="38D13E80"/>
    <w:rsid w:val="39A86914"/>
    <w:rsid w:val="3B249E7D"/>
    <w:rsid w:val="3C2725AD"/>
    <w:rsid w:val="3DC2F60E"/>
    <w:rsid w:val="3DD7006F"/>
    <w:rsid w:val="40AFCCE2"/>
    <w:rsid w:val="4122CEF5"/>
    <w:rsid w:val="4148DC0B"/>
    <w:rsid w:val="4179ED3E"/>
    <w:rsid w:val="44056CE3"/>
    <w:rsid w:val="4409361F"/>
    <w:rsid w:val="44323792"/>
    <w:rsid w:val="445A6FB7"/>
    <w:rsid w:val="45BAAF5E"/>
    <w:rsid w:val="48B0FE17"/>
    <w:rsid w:val="4A7EED16"/>
    <w:rsid w:val="4BEAFFB5"/>
    <w:rsid w:val="4C70F40C"/>
    <w:rsid w:val="4C8AC4F4"/>
    <w:rsid w:val="50C1FF35"/>
    <w:rsid w:val="519F7ACA"/>
    <w:rsid w:val="51CFC556"/>
    <w:rsid w:val="51E9DA86"/>
    <w:rsid w:val="534F32E5"/>
    <w:rsid w:val="5648EE62"/>
    <w:rsid w:val="564E0176"/>
    <w:rsid w:val="5720B96E"/>
    <w:rsid w:val="5732C675"/>
    <w:rsid w:val="574FC5EB"/>
    <w:rsid w:val="59792CA5"/>
    <w:rsid w:val="59A99EA0"/>
    <w:rsid w:val="5A1F421F"/>
    <w:rsid w:val="5A3F6810"/>
    <w:rsid w:val="5A5A1597"/>
    <w:rsid w:val="5A96962A"/>
    <w:rsid w:val="5B693603"/>
    <w:rsid w:val="5BBA1313"/>
    <w:rsid w:val="5CD577BC"/>
    <w:rsid w:val="5D296F53"/>
    <w:rsid w:val="5DCB2304"/>
    <w:rsid w:val="5E35E4DA"/>
    <w:rsid w:val="603CA726"/>
    <w:rsid w:val="60A5FE74"/>
    <w:rsid w:val="60C58B7E"/>
    <w:rsid w:val="60E01085"/>
    <w:rsid w:val="635C3411"/>
    <w:rsid w:val="63AC9F47"/>
    <w:rsid w:val="63CD1B7C"/>
    <w:rsid w:val="65101849"/>
    <w:rsid w:val="6586AEDD"/>
    <w:rsid w:val="65F9EB6B"/>
    <w:rsid w:val="66ABE8AA"/>
    <w:rsid w:val="66FAA975"/>
    <w:rsid w:val="6847B90B"/>
    <w:rsid w:val="6878A804"/>
    <w:rsid w:val="69318C2D"/>
    <w:rsid w:val="69C2CA75"/>
    <w:rsid w:val="69E2577F"/>
    <w:rsid w:val="6AB8E426"/>
    <w:rsid w:val="6B569593"/>
    <w:rsid w:val="6D4C1927"/>
    <w:rsid w:val="6DDD5CA3"/>
    <w:rsid w:val="6E84E44D"/>
    <w:rsid w:val="6F1F53B7"/>
    <w:rsid w:val="70128B94"/>
    <w:rsid w:val="7038EFFB"/>
    <w:rsid w:val="713292A4"/>
    <w:rsid w:val="72ABA337"/>
    <w:rsid w:val="73576860"/>
    <w:rsid w:val="73C7D63D"/>
    <w:rsid w:val="74663922"/>
    <w:rsid w:val="767E0BDA"/>
    <w:rsid w:val="76ADCAEC"/>
    <w:rsid w:val="76C9F9FA"/>
    <w:rsid w:val="77770813"/>
    <w:rsid w:val="779C101D"/>
    <w:rsid w:val="77E053DC"/>
    <w:rsid w:val="7865CA5B"/>
    <w:rsid w:val="7A7EFBAC"/>
    <w:rsid w:val="7AFB2E91"/>
    <w:rsid w:val="7EB8DCD1"/>
    <w:rsid w:val="7ED127E4"/>
    <w:rsid w:val="7F7BC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CFC"/>
  <w15:chartTrackingRefBased/>
  <w15:docId w15:val="{AB412A32-D687-47EB-A809-6B10171936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6d5126706b34785" /><Relationship Type="http://schemas.openxmlformats.org/officeDocument/2006/relationships/hyperlink" Target="https://www.rep.routledge.com/articles/thematic/utilitarianism/v-1" TargetMode="External" Id="Raeb3a797218149fb" /><Relationship Type="http://schemas.openxmlformats.org/officeDocument/2006/relationships/hyperlink" Target="https://www.theguardian.com/" TargetMode="External" Id="Rac0cce0d29c7442c" /><Relationship Type="http://schemas.openxmlformats.org/officeDocument/2006/relationships/hyperlink" Target="https://plato.stanford.edu/entries/kant-moral/" TargetMode="External" Id="R73ee1bd3565d46cf" /><Relationship Type="http://schemas.openxmlformats.org/officeDocument/2006/relationships/hyperlink" Target="https://pure.solent.ac.uk/ws/portalfiles/portal/24357421/Intention_article_LEJ_..doc.pdf" TargetMode="External" Id="R3e77021698904b78" /><Relationship Type="http://schemas.openxmlformats.org/officeDocument/2006/relationships/hyperlink" Target="https://www.legislation.gov.uk/ukpga/1861/100/pdfs/ukpga_1861100_en.pdf" TargetMode="External" Id="R5d40c714801440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2024-01-09T16:25:57.2322647Z</dcterms:created>
  <dcterms:modified xsi:type="dcterms:W3CDTF">2024-01-12T23:16:44.8591803Z</dcterms:modified>
  <dc:creator>Matthew Collier (2305658)</dc:creator>
  <lastModifiedBy>Matthew Collier (2305658)</lastModifiedBy>
</coreProperties>
</file>