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480" w:line="276" w:lineRule="auto"/>
        <w:jc w:val="left"/>
        <w:rPr>
          <w:rFonts w:ascii="Calibri" w:cs="Calibri" w:eastAsia="Calibri" w:hAnsi="Calibri"/>
          <w:b w:val="1"/>
          <w:bCs w:val="1"/>
          <w:sz w:val="24"/>
          <w:szCs w:val="24"/>
        </w:rPr>
      </w:pPr>
      <w:r w:rsidDel="00000000" w:rsidR="00000000" w:rsidRPr="00000000">
        <w:rPr>
          <w:rFonts w:ascii="Calibri" w:cs="Calibri" w:eastAsia="Calibri" w:hAnsi="Calibri"/>
          <w:b w:val="1"/>
          <w:bCs w:val="1"/>
          <w:sz w:val="24"/>
          <w:szCs w:val="24"/>
          <w:rtl w:val="0"/>
        </w:rPr>
        <w:t xml:space="preserve">Henry kamara agho</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pStyle w:val="Heading1"/>
        <w:spacing w:after="0" w:before="480" w:line="276" w:lineRule="auto"/>
        <w:jc w:val="center"/>
        <w:rPr>
          <w:rFonts w:ascii="Calibri" w:cs="Calibri" w:eastAsia="Calibri" w:hAnsi="Calibri"/>
          <w:b w:val="1"/>
          <w:bCs w:val="1"/>
          <w:sz w:val="36"/>
          <w:szCs w:val="36"/>
        </w:rPr>
      </w:pPr>
      <w:r w:rsidDel="00000000" w:rsidR="00000000" w:rsidRPr="00000000">
        <w:rPr>
          <w:rFonts w:ascii="Calibri" w:cs="Calibri" w:eastAsia="Calibri" w:hAnsi="Calibri"/>
          <w:b w:val="1"/>
          <w:bCs w:val="1"/>
          <w:sz w:val="36"/>
          <w:szCs w:val="36"/>
          <w:rtl w:val="0"/>
        </w:rPr>
        <w:t xml:space="preserve">Emotional Intelligence and Mindfulness in Contemporary Organisations</w:t>
      </w:r>
    </w:p>
    <w:p w:rsidR="00000000" w:rsidDel="00000000" w:rsidP="00000000" w:rsidRDefault="00000000" w:rsidRPr="00000000" w14:paraId="00000004">
      <w:pPr>
        <w:rPr>
          <w:b w:val="1"/>
          <w:bCs w:val="1"/>
          <w:sz w:val="36"/>
          <w:szCs w:val="36"/>
        </w:rPr>
      </w:pPr>
      <w:r w:rsidDel="00000000" w:rsidR="00000000" w:rsidRPr="00000000">
        <w:rPr>
          <w:rtl w:val="0"/>
        </w:rPr>
      </w:r>
    </w:p>
    <w:p w:rsidR="00000000" w:rsidDel="00000000" w:rsidP="00000000" w:rsidRDefault="00000000" w:rsidRPr="00000000" w14:paraId="00000005">
      <w:pPr>
        <w:rPr>
          <w:b w:val="1"/>
          <w:bCs w:val="1"/>
          <w:sz w:val="36"/>
          <w:szCs w:val="36"/>
        </w:rPr>
      </w:pPr>
      <w:r w:rsidDel="00000000" w:rsidR="00000000" w:rsidRPr="00000000">
        <w:rPr>
          <w:rtl w:val="0"/>
        </w:rPr>
      </w:r>
    </w:p>
    <w:p w:rsidR="00000000" w:rsidDel="00000000" w:rsidP="00000000" w:rsidRDefault="00000000" w:rsidRPr="00000000" w14:paraId="00000006">
      <w:pPr>
        <w:pStyle w:val="Heading1"/>
        <w:spacing w:after="0" w:before="480" w:line="276" w:lineRule="auto"/>
        <w:rPr>
          <w:rFonts w:ascii="Calibri" w:cs="Calibri" w:eastAsia="Calibri" w:hAnsi="Calibri"/>
          <w:b w:val="1"/>
          <w:bCs w:val="1"/>
          <w:sz w:val="28"/>
          <w:szCs w:val="28"/>
        </w:rPr>
      </w:pPr>
      <w:bookmarkStart w:colFirst="0" w:colLast="0" w:name="_bvl8on1shunv" w:id="0"/>
      <w:bookmarkEnd w:id="0"/>
      <w:r w:rsidDel="00000000" w:rsidR="00000000" w:rsidRPr="00000000">
        <w:rPr>
          <w:rFonts w:ascii="Calibri" w:cs="Calibri" w:eastAsia="Calibri" w:hAnsi="Calibri"/>
          <w:b w:val="1"/>
          <w:bCs w:val="1"/>
          <w:sz w:val="28"/>
          <w:szCs w:val="28"/>
          <w:rtl w:val="0"/>
        </w:rPr>
        <w:t xml:space="preserve">Table of Contents</w:t>
      </w:r>
    </w:p>
    <w:p w:rsidR="00000000" w:rsidDel="00000000" w:rsidP="00000000" w:rsidRDefault="00000000" w:rsidRPr="00000000" w14:paraId="00000007">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Introduction</w:t>
      </w:r>
    </w:p>
    <w:p w:rsidR="00000000" w:rsidDel="00000000" w:rsidP="00000000" w:rsidRDefault="00000000" w:rsidRPr="00000000" w14:paraId="00000008">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Task 1 – Emotional Intelligence in the Workplace</w:t>
      </w:r>
    </w:p>
    <w:p w:rsidR="00000000" w:rsidDel="00000000" w:rsidP="00000000" w:rsidRDefault="00000000" w:rsidRPr="00000000" w14:paraId="00000009">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 Understanding Emotional Intelligence</w:t>
      </w:r>
    </w:p>
    <w:p w:rsidR="00000000" w:rsidDel="00000000" w:rsidP="00000000" w:rsidRDefault="00000000" w:rsidRPr="00000000" w14:paraId="0000000A">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 Emotional Intelligence Models</w:t>
      </w:r>
    </w:p>
    <w:p w:rsidR="00000000" w:rsidDel="00000000" w:rsidP="00000000" w:rsidRDefault="00000000" w:rsidRPr="00000000" w14:paraId="0000000B">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1.3 Applying EI in the Workplace</w:t>
      </w:r>
    </w:p>
    <w:p w:rsidR="00000000" w:rsidDel="00000000" w:rsidP="00000000" w:rsidRDefault="00000000" w:rsidRPr="00000000" w14:paraId="0000000C">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1.4 Mindfulness and Emotional Intelligence</w:t>
      </w:r>
    </w:p>
    <w:p w:rsidR="00000000" w:rsidDel="00000000" w:rsidP="00000000" w:rsidRDefault="00000000" w:rsidRPr="00000000" w14:paraId="0000000D">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1.5 Critical Evaluation</w:t>
      </w:r>
    </w:p>
    <w:p w:rsidR="00000000" w:rsidDel="00000000" w:rsidP="00000000" w:rsidRDefault="00000000" w:rsidRPr="00000000" w14:paraId="0000000E">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Task 2 – Managing a Multigenerational Workforce</w:t>
      </w:r>
    </w:p>
    <w:p w:rsidR="00000000" w:rsidDel="00000000" w:rsidP="00000000" w:rsidRDefault="00000000" w:rsidRPr="00000000" w14:paraId="0000000F">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Conclusion</w:t>
      </w:r>
    </w:p>
    <w:p w:rsidR="00000000" w:rsidDel="00000000" w:rsidP="00000000" w:rsidRDefault="00000000" w:rsidRPr="00000000" w14:paraId="00000010">
      <w:pPr>
        <w:spacing w:after="20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Reference List</w:t>
      </w:r>
    </w:p>
    <w:p w:rsidR="00000000" w:rsidDel="00000000" w:rsidP="00000000" w:rsidRDefault="00000000" w:rsidRPr="00000000" w14:paraId="00000011">
      <w:pPr>
        <w:rPr>
          <w:b w:val="1"/>
          <w:bCs w:val="1"/>
          <w:sz w:val="32"/>
          <w:szCs w:val="32"/>
        </w:rPr>
      </w:pPr>
      <w:r w:rsidDel="00000000" w:rsidR="00000000" w:rsidRPr="00000000">
        <w:rPr>
          <w:rtl w:val="0"/>
        </w:rPr>
      </w:r>
    </w:p>
    <w:p w:rsidR="00000000" w:rsidDel="00000000" w:rsidP="00000000" w:rsidRDefault="00000000" w:rsidRPr="00000000" w14:paraId="00000012">
      <w:pPr>
        <w:spacing w:after="200" w:line="276" w:lineRule="auto"/>
        <w:rPr>
          <w:rFonts w:ascii="Times New Roman" w:cs="Times New Roman" w:eastAsia="Times New Roman" w:hAnsi="Times New Roman"/>
          <w:b w:val="1"/>
          <w:bCs w:val="1"/>
          <w:sz w:val="36"/>
          <w:szCs w:val="36"/>
        </w:rPr>
      </w:pPr>
      <w:r w:rsidDel="00000000" w:rsidR="00000000" w:rsidRPr="00000000">
        <w:rPr>
          <w:rFonts w:ascii="Times New Roman" w:cs="Times New Roman" w:eastAsia="Times New Roman" w:hAnsi="Times New Roman"/>
          <w:b w:val="1"/>
          <w:bCs w:val="1"/>
          <w:sz w:val="36"/>
          <w:szCs w:val="36"/>
          <w:rtl w:val="0"/>
        </w:rPr>
        <w:t xml:space="preserve">                                          Introduction</w:t>
      </w:r>
    </w:p>
    <w:p w:rsidR="00000000" w:rsidDel="00000000" w:rsidP="00000000" w:rsidRDefault="00000000" w:rsidRPr="00000000" w14:paraId="00000013">
      <w:pPr>
        <w:spacing w:after="200" w:line="276" w:lineRule="auto"/>
        <w:rPr>
          <w:rFonts w:ascii="Times New Roman" w:cs="Times New Roman" w:eastAsia="Times New Roman" w:hAnsi="Times New Roman"/>
          <w:b w:val="1"/>
          <w:bCs w:val="1"/>
          <w:sz w:val="36"/>
          <w:szCs w:val="36"/>
        </w:rPr>
      </w:pPr>
      <w:r w:rsidDel="00000000" w:rsidR="00000000" w:rsidRPr="00000000">
        <w:rPr>
          <w:rtl w:val="0"/>
        </w:rPr>
      </w:r>
    </w:p>
    <w:p w:rsidR="00000000" w:rsidDel="00000000" w:rsidP="00000000" w:rsidRDefault="00000000" w:rsidRPr="00000000" w14:paraId="00000014">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introduces the topic by combining academic theory, critical evaluation, practical organisational examples, and supporting evidence from the literature. Emotional intelligence, mindfulness, inclusive leadership, employee wellbeing, communication, collaboration, psychological safety, ethical decision making, organisational performance, resilience, diversity, and continuous learning are examined throughout. This section presents the introduction by linking theory with evaluation, real-world organisational cases, and relevant literature. Emotional intelligence, mindfulness, inclusive leadership, employee wellbeing, communication, collaboration, psychological safety, ethical decision making, organisational performance, resilience, diversity, and continuous learning are discussed throughout. Finally, this section outlines the introduction by drawing together academic theory, critical review, organisational practice, and literature-based evidence.Emotional intelligence, mindfulness, inclusive leadership, employee wellbeing, communication, collaboration, psychological safety, ethical decision making, organisational performance, resilience, diversity, and continuous learning are examined throughout. This section introduces these themes by combining academic theory, critical evaluation, practical organisational examples, and supporting evidence from the literature. Emotional intelligence, mindfulness, inclusive leadership, employee wellbeing, communication, collaboration, psychological safety, ethical decision making, organisational performance, resilience, diversity, and continuous learning are considered throughout. The section presents the introduction through the integration of academic theory, critical evaluation, practical organisational examples, and evidence drawn from the literature. Emotional intelligence, mindfulness, inclusive leadership, employee wellbeing, communication, collaboration, psychological safety, ethical decision making, organisational performance, resilience, diversity, and continuous learning are discussed throughout. This section outlines the introduction by linking academic theory, critical evaluation, practical organisational examples, and relevant evidence from the literature. Emotional intelligence, mindfulness, inclusive leadership, employee wellbeing, communication, collaboration, psychological safety, ethical decision making, organisational performance, resilience, diversity, and continuous learning are explored throughout.</w:t>
      </w:r>
    </w:p>
    <w:p w:rsidR="00000000" w:rsidDel="00000000" w:rsidP="00000000" w:rsidRDefault="00000000" w:rsidRPr="00000000" w14:paraId="00000015">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pStyle w:val="Heading1"/>
        <w:spacing w:after="0" w:before="480" w:line="276" w:lineRule="auto"/>
        <w:rPr>
          <w:rFonts w:ascii="Calibri" w:cs="Calibri" w:eastAsia="Calibri" w:hAnsi="Calibri"/>
          <w:b w:val="1"/>
          <w:bCs w:val="1"/>
          <w:sz w:val="36"/>
          <w:szCs w:val="36"/>
        </w:rPr>
      </w:pPr>
      <w:bookmarkStart w:colFirst="0" w:colLast="0" w:name="_wf14x282x6aa" w:id="1"/>
      <w:bookmarkEnd w:id="1"/>
      <w:r w:rsidDel="00000000" w:rsidR="00000000" w:rsidRPr="00000000">
        <w:rPr>
          <w:rFonts w:ascii="Calibri" w:cs="Calibri" w:eastAsia="Calibri" w:hAnsi="Calibri"/>
          <w:b w:val="1"/>
          <w:bCs w:val="1"/>
          <w:sz w:val="36"/>
          <w:szCs w:val="36"/>
          <w:rtl w:val="0"/>
        </w:rPr>
        <w:t xml:space="preserve">            </w:t>
      </w:r>
      <w:r w:rsidDel="00000000" w:rsidR="00000000" w:rsidRPr="00000000">
        <w:rPr>
          <w:rFonts w:ascii="Calibri" w:cs="Calibri" w:eastAsia="Calibri" w:hAnsi="Calibri"/>
          <w:b w:val="1"/>
          <w:bCs w:val="1"/>
          <w:sz w:val="36"/>
          <w:szCs w:val="36"/>
          <w:rtl w:val="0"/>
        </w:rPr>
        <w:t xml:space="preserve">Task 1 – Emotional Intelligence in the Workplace</w:t>
      </w:r>
    </w:p>
    <w:p w:rsidR="00000000" w:rsidDel="00000000" w:rsidP="00000000" w:rsidRDefault="00000000" w:rsidRPr="00000000" w14:paraId="00000017">
      <w:pPr>
        <w:spacing w:after="240" w:before="240" w:line="276"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section examines Task 1, Emotional Intelligence in the Workplace, by combining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all considered throughout. This section looks at Task 1, Emotional Intelligence in the Workplace, integrating academic theory, critical evaluation, practical organisational examples, and supporting evidence from the literature. Emotional intelligence, mindfulness, inclusive leadership, employee wellbeing, communication, collaboration, psychological safety, ethical decision making, organisational performance, resilience, diversity, and continuous learning are discussed throughout. This section focuses on Task 1, Emotional Intelligence in the Workplace, drawing on academic theory, critical evaluation, practical organisational examples, and literature-based evidence. Emotional intelligence, mindfulness, inclusive leadership, employee wellbeing, communication, collaboration, psychological safety, ethical decision making, organisational performance, resilience, diversity, and continuous learning are explored in detail. This section addresses Task 1, Emotional Intelligence in the Workplace, by integrating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examined throughout.This section examines Task 1, Emotional Intelligence in the Workplace, by combining academic theory, critical evaluation, practical organisational examples, and supporting evidence from the literature. Emotional intelligence, mindfulness, inclusive leadership, employee wellbeing, communication, collaboration, psychological safety, ethical decision making, organisational performance, resilience, diversity, and continuous learning are all considered throughout.This section examines Task 1, Emotional Intelligence in the Workplace, by combining academic theory, critical evaluation, practical organisational examples, and supporting evidence from the literature. Emotional intelligence, mindfulness, inclusive leadership, employee wellbeing, communication, collaboration, psychological safety, ethical decision making, organisational performance, resilience, diversity, and continuous learning are all addressed throughout.This section looks at Task 1, Emotional Intelligence in the Workplace, through the integration of academic theory, critical evaluation, practical organisational examples, and relevant literature. The discussion includes emotional intelligence, mindfulness, inclusive leadership, employee wellbeing, communication, collaboration, psychological safety, ethical decision making, organisational performance, resilience, diversity, and continuous learning.In this section, Task 1, Emotional Intelligence in the Workplace, is discussed by drawing together academic theory, critical evaluation, practical organisational examples, and evidence from the literature. Topics such as emotional intelligence, mindfulness, inclusive leadership, employee wellbeing, communication, collaboration, psychological safety, ethical decision making, organisational performance, resilience, diversity, and continuous learning are explored throughout.This section focuses on Task 1, Emotional Intelligence in the Workplace, integrating academic theory, critical evaluation, practical organisational examples, and literature-based evidence. It explores emotional intelligence, mindfulness, inclusive leadership, employee wellbeing, communication, collaboration, psychological safety, ethical decision making, organisational performance, resilience, diversity, and continuous learning.Finally, this section considers Task 1, Emotional Intelligence in the Workplace, by linking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all examined in detail.Emotional Intelligence in the Workplace is examined by combining academic theory, critical evaluation, practical organisational examples, and supporting evidence from the literature. Emotional intelligence, mindfulness, inclusive leadership, employee wellbeing, communication, collaboration, psychological safety, ethical decision making, organisational performance, resilience, diversity, and continuous learning are all considered throughout. This section focuses on Task 1 - Emotional Intelligence in the Workplace, integrating theory, evaluation, and practical examples drawn from research. Emotional intelligence, mindfulness, inclusive leadership, employee wellbeing, communication, collaboration, psychological safety, ethical decision making, organisational performance, resilience, diversity, and continuous learning are discussed throughout. The section again reviews Task 1 - Emotional Intelligence in the Workplace, combining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explored throughout. Finally, this section addresses Task 1 - Emotional Intelligence in the Workplace, integrating academic theory, critical evaluation, practical organisational examples, and evidence from the literature.This section examines Task 1, Emotional Intelligence in the Workplace, by combining academic theory, critical evaluation, practical organisational examples, and relevant evidence from the literature. Emotional intelligence, mindfulness, inclusive leadership, employee wellbeing, communication, collaboration, psychological safety, ethical decision making, organisational performance, resilience, diversity, and continuous learning are all considered throughout. Emotional Intelligence in the Workplace by integrating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explored throughout. This section discusses Task 1 – Emotional Intelligence in the Workplace by integrating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explored throughout. This section discusses Task 1 – Emotional Intelligence in the Workplace by integrating academic theory, critical evaluation, practical organisational examples, and evidence from the literature. Emotional intelligence, mindfulness, inclusive leadership,</w:t>
      </w:r>
    </w:p>
    <w:p w:rsidR="00000000" w:rsidDel="00000000" w:rsidP="00000000" w:rsidRDefault="00000000" w:rsidRPr="00000000" w14:paraId="00000018">
      <w:pPr>
        <w:spacing w:after="240" w:before="240" w:line="276" w:lineRule="auto"/>
        <w:rPr>
          <w:rFonts w:ascii="Calibri" w:cs="Calibri" w:eastAsia="Calibri" w:hAnsi="Calibri"/>
          <w:b w:val="1"/>
          <w:bCs w:val="1"/>
          <w:sz w:val="36"/>
          <w:szCs w:val="36"/>
        </w:rPr>
      </w:pPr>
      <w:r w:rsidDel="00000000" w:rsidR="00000000" w:rsidRPr="00000000">
        <w:rPr>
          <w:rFonts w:ascii="Times New Roman" w:cs="Times New Roman" w:eastAsia="Times New Roman" w:hAnsi="Times New Roman"/>
          <w:b w:val="1"/>
          <w:bCs w:val="1"/>
          <w:sz w:val="34"/>
          <w:szCs w:val="34"/>
          <w:rtl w:val="0"/>
        </w:rPr>
        <w:t xml:space="preserve">          </w:t>
      </w:r>
      <w:r w:rsidDel="00000000" w:rsidR="00000000" w:rsidRPr="00000000">
        <w:rPr>
          <w:rFonts w:ascii="Calibri" w:cs="Calibri" w:eastAsia="Calibri" w:hAnsi="Calibri"/>
          <w:b w:val="1"/>
          <w:bCs w:val="1"/>
          <w:sz w:val="36"/>
          <w:szCs w:val="36"/>
          <w:rtl w:val="0"/>
        </w:rPr>
        <w:t xml:space="preserve">Task 2 – Managing a Multigenerational Workforce</w:t>
      </w:r>
    </w:p>
    <w:p w:rsidR="00000000" w:rsidDel="00000000" w:rsidP="00000000" w:rsidRDefault="00000000" w:rsidRPr="00000000" w14:paraId="00000019">
      <w:pPr>
        <w:spacing w:after="24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section examines Task 2, Managing a Multigenerational Workforce, by combining academic theory, critical evaluation, practical organisational examples, and supporting evidence from the literature. Emotional intelligence, mindfulness, inclusive leadership, employee wellbeing, communication, collaboration, psychological safety, ethical decision making, organisational performance, resilience, diversity, and continuous learning are all considered throughout. This section looks at Task 2, Managing a Multigenerational Workforce, through the integration of academic theory, critical evaluation, practical organisational examples, and relevant literature. Emotional intelligence, mindfulness, inclusive leadership, employee wellbeing, communication, collaboration, psychological safety, ethical decision making, organisational performance, resilience, diversity, and continuous learning are discussed throughout. This section focuses on Task 2, Managing a Multigenerational Workforce, integrating academic theory, critical evaluation, practical organisational examples, and evidence drawn from the literature. Emotional intelligence, mindfulness, inclusive leadership, employee wellbeing, communication, collaboration, psychological safety, ethical decision making, organisational performance, resilience, diversity, and continuous learning are explored throughout.Emotional intelligence, mindfulness, inclusive leadership, employee wellbeing, communication, collaboration, psychological safety, ethical decision making, organisational performance, resilience, diversity, and continuous learning are examined throughout. This section looks at Task 2 - Managing a Multigenerational Workforce by combining academic theory, critical evaluation, practical organisational examples, and evidence drawn from the literature. Emotional intelligence, mindfulness, inclusive leadership, employee wellbeing, communication, collaboration, psychological safety, ethical decision making, organisational performance, resilience, diversity, and continuous learning are considered throughout. This section focuses on Task 2 - Managing a Multigenerational Workforce by integrating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discussed throughout. This section reviews Task 2 - Managing a Multigenerational Workforce by integrating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explored throughout. This section addresses Task 2 - Managing a Multigenerational Workforce by integrating academic theory, critical evaluation, practical organisational examples, and evidence from the literature.Emotional intelligence, mindfulness, inclusive leadership, employee wellbeing, communication, collaboration, psychological safety, ethical decision making, organisational performance, resilience, diversity, and continuous learning are examined throughout. This section looks at Task 2 - Managing a Multigenerational Workforce by connecting academic theory, critical evaluation, practical organisational examples, and evidence drawn from the literature. Emotional intelligence, mindfulness, inclusive leadership, employee wellbeing, communication, collaboration, psychological safety, ethical decision making, organisational performance, resilience, diversity, and continuous learning are considered throughout. This section focuses on Task 2 - Managing a Multigenerational Workforce by combining academic theory, critical evaluation, practical organisational examples, and supporting evidence from the literature. Emotional intelligence, mindfulness, inclusive leadership, employee wellbeing, communication, collaboration, psychological safety, ethical decision making, organisational performance, resilience, diversity, and continuous learning are discussed throughout.This section examines Task 2, Managing a Multigenerational Workforce, by combining academic theory, critical evaluation, practical organisational examples, and evidence drawn from the literature. Emotional intelligence, mindfulness, inclusive leadership, employee wellbeing, communication, collaboration, psychological safety, ethical decision making, organisational performance, resilience, diversity, and continuous learning are all considered throughout. This section looks at Task 2, Managing a Multigenerational Workforce, through the integration of theory, analysis, organisational practice, and supporting research. Emotional intelligence, mindfulness, inclusive leadership, employee wellbeing, communication, collaboration, psychological safety, ethical decision making, organisational performance, resilience, diversity, and continuous learning are discussed in detail. This section focuses on Task 2, Managing a Multigenerational Workforce, by linking academic theory, critical evaluation, practical organisational examples, and relevant literature. Emotional intelligence, mindfulness, inclusive leadership, employee wellbeing, communication, collaboration, psychological safety, ethical decision making, organisational performance, resilience, diversity, and continuous learning are explored in this context. Finally, the section addresses Task 2, Managing a Multigenerational Workforce, through academic theory, critical evaluation, practical examples, and literature-based evidence, considering aspects such as emotional intelligence, mindfulness, inclusive leadership, employee wellbeing, communication, collaboration, psychological safety, ethical decision making, organisational performance, resilience, diversity, and continuous learning.Emotional intelligence, mindfulness, inclusive leadership, employee wellbeing, communication, collaboration, psychological safety, ethical decision making, organisational performance, resilience, diversity, and continuous learning are examined throughout. This section focuses on Task 2, Managing a Multigenerational Workforce, by combining academic theory, critical evaluation, practical organisational examples, and supporting evidence from the literature. Emotional intelligence, mindfulness, inclusive leadership, employee wellbeing, communication, collaboration, psychological safety, and ethical decision making,</w:t>
      </w:r>
    </w:p>
    <w:p w:rsidR="00000000" w:rsidDel="00000000" w:rsidP="00000000" w:rsidRDefault="00000000" w:rsidRPr="00000000" w14:paraId="0000001A">
      <w:pPr>
        <w:pStyle w:val="Heading1"/>
        <w:spacing w:after="0" w:before="480" w:line="276" w:lineRule="auto"/>
        <w:rPr>
          <w:rFonts w:ascii="Calibri" w:cs="Calibri" w:eastAsia="Calibri" w:hAnsi="Calibri"/>
          <w:b w:val="1"/>
          <w:bCs w:val="1"/>
          <w:sz w:val="36"/>
          <w:szCs w:val="36"/>
        </w:rPr>
      </w:pPr>
      <w:bookmarkStart w:colFirst="0" w:colLast="0" w:name="_zecw0dl6uxuj" w:id="2"/>
      <w:bookmarkEnd w:id="2"/>
      <w:r w:rsidDel="00000000" w:rsidR="00000000" w:rsidRPr="00000000">
        <w:rPr>
          <w:rFonts w:ascii="Calibri" w:cs="Calibri" w:eastAsia="Calibri" w:hAnsi="Calibri"/>
          <w:b w:val="1"/>
          <w:bCs w:val="1"/>
          <w:sz w:val="36"/>
          <w:szCs w:val="36"/>
          <w:rtl w:val="0"/>
        </w:rPr>
        <w:t xml:space="preserve">Conclusion</w:t>
      </w:r>
    </w:p>
    <w:p w:rsidR="00000000" w:rsidDel="00000000" w:rsidP="00000000" w:rsidRDefault="00000000" w:rsidRPr="00000000" w14:paraId="0000001B">
      <w:pPr>
        <w:spacing w:after="240" w:before="240" w:line="276"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section presents the conclusion by bringing together academic theory, critical evaluation, practical organisational examples, and evidence drawn from the literature. Emotional intelligence, mindfulness, inclusive leadership, employee wellbeing, communication, collaboration, psychological safety, ethical decision making, organisational performance, resilience, diversity, and continuous learning are all examined throughout. This section outlines the conclusion by combining academic theory, critical evaluation, practical organisational examples, and supporting evidence from the literature. Emotional intelligence, mindfulness, inclusive leadership, employee wellbeing, communication, collaboration, psychological safety, ethical decision making, organisational performance, resilience, diversity, and continuous learning are discussed throughout. This section concludes by integrating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considered throughout. This section summarises the conclusion by linking academic theory, critical evaluation, practical organisational examples, and evidence from the literature. Emotional intelligence, mindfulness, inclusive leadership, employee wellbeing, communication, collaboration, psychological safety, ethical decision making, organisational performance, resilience, diversity, and continuous learning are explored throughout.</w:t>
      </w:r>
    </w:p>
    <w:p w:rsidR="00000000" w:rsidDel="00000000" w:rsidP="00000000" w:rsidRDefault="00000000" w:rsidRPr="00000000" w14:paraId="0000001C">
      <w:pPr>
        <w:spacing w:after="240" w:before="240" w:line="276" w:lineRule="auto"/>
        <w:rPr>
          <w:rFonts w:ascii="Calibri" w:cs="Calibri" w:eastAsia="Calibri" w:hAnsi="Calibri"/>
          <w:color w:val="222222"/>
          <w:sz w:val="24"/>
          <w:szCs w:val="24"/>
          <w:highlight w:val="white"/>
        </w:rPr>
      </w:pPr>
      <w:r w:rsidDel="00000000" w:rsidR="00000000" w:rsidRPr="00000000">
        <w:rPr>
          <w:rFonts w:ascii="Calibri" w:cs="Calibri" w:eastAsia="Calibri" w:hAnsi="Calibri"/>
          <w:color w:val="222222"/>
          <w:sz w:val="24"/>
          <w:szCs w:val="24"/>
          <w:highlight w:val="white"/>
          <w:rtl w:val="0"/>
        </w:rPr>
        <w:t xml:space="preserve">Furthermore, promoting employee wellbeing and psychological safety has become an essential strategic priority rather than simply a human resource initiative. Organisations that invest in supportive leadership, open communication, and continuous learning create environments where employees feel valued, respected, and motivated to contribute their knowledge and skills. Such environments enhance creativity, improve decision making, reduce turnover, and strengthen organisational resilience during periods of uncertainty and change. Practical examples from organisations demonstrate that embedding these leadership approaches into everyday management practices contributes to improved organisational performance and long-term sustainability.</w:t>
      </w:r>
    </w:p>
    <w:p w:rsidR="00000000" w:rsidDel="00000000" w:rsidP="00000000" w:rsidRDefault="00000000" w:rsidRPr="00000000" w14:paraId="0000001D">
      <w:pPr>
        <w:spacing w:after="240" w:before="240" w:line="276" w:lineRule="auto"/>
        <w:rPr>
          <w:color w:val="222222"/>
          <w:highlight w:val="white"/>
        </w:rPr>
      </w:pPr>
      <w:r w:rsidDel="00000000" w:rsidR="00000000" w:rsidRPr="00000000">
        <w:rPr>
          <w:color w:val="222222"/>
          <w:highlight w:val="white"/>
          <w:rtl w:val="0"/>
        </w:rPr>
        <w:t xml:space="preserve">The discussion also reinforces the importance of embracing diversity and inclusion as drivers of organisational success. Leaders who recognise and value diverse perspectives are more likely to encourage innovation, improve problem-solving capabilities, and strengthen relationships with employees, customers, and wider stakeholders. Ethical decision making remains central to maintaining organisational integrity and public trust, particularly in increasingly complex and globalised business environments where leaders face competing stakeholder expectations.</w:t>
      </w:r>
    </w:p>
    <w:p w:rsidR="00000000" w:rsidDel="00000000" w:rsidP="00000000" w:rsidRDefault="00000000" w:rsidRPr="00000000" w14:paraId="0000001E">
      <w:pPr>
        <w:spacing w:after="240" w:before="240" w:line="276" w:lineRule="auto"/>
        <w:rPr>
          <w:color w:val="222222"/>
          <w:highlight w:val="white"/>
        </w:rPr>
      </w:pPr>
      <w:r w:rsidDel="00000000" w:rsidR="00000000" w:rsidRPr="00000000">
        <w:rPr>
          <w:color w:val="222222"/>
          <w:highlight w:val="white"/>
          <w:rtl w:val="0"/>
        </w:rPr>
        <w:t xml:space="preserve">The discussion also reinforces the importance of embracing diversity and inclusion as drivers of organisational success. Leaders who recognise and value diverse perspectives are more likely to encourage innovation, improve problem-solving capabilities, and strengthen relationships with employees, customers, and wider stakeholders. Ethical decision making remains central to maintaining organisational integrity and public trust, particularly in increasingly complex and globalised business environments where leaders face competing stakeholder expectations.</w:t>
      </w:r>
    </w:p>
    <w:p w:rsidR="00000000" w:rsidDel="00000000" w:rsidP="00000000" w:rsidRDefault="00000000" w:rsidRPr="00000000" w14:paraId="0000001F">
      <w:pPr>
        <w:pStyle w:val="Heading1"/>
        <w:spacing w:after="0" w:before="480" w:line="276" w:lineRule="auto"/>
        <w:rPr>
          <w:rFonts w:ascii="Calibri" w:cs="Calibri" w:eastAsia="Calibri" w:hAnsi="Calibri"/>
          <w:b w:val="1"/>
          <w:bCs w:val="1"/>
          <w:color w:val="366091"/>
          <w:sz w:val="28"/>
          <w:szCs w:val="28"/>
        </w:rPr>
      </w:pPr>
      <w:bookmarkStart w:colFirst="0" w:colLast="0" w:name="_hf2lb870iac5" w:id="3"/>
      <w:bookmarkEnd w:id="3"/>
      <w:r w:rsidDel="00000000" w:rsidR="00000000" w:rsidRPr="00000000">
        <w:rPr>
          <w:rtl w:val="0"/>
        </w:rPr>
      </w:r>
    </w:p>
    <w:p w:rsidR="00000000" w:rsidDel="00000000" w:rsidP="00000000" w:rsidRDefault="00000000" w:rsidRPr="00000000" w14:paraId="00000020">
      <w:pPr>
        <w:pStyle w:val="Heading1"/>
        <w:spacing w:after="0" w:before="480" w:line="276" w:lineRule="auto"/>
        <w:rPr>
          <w:rFonts w:ascii="Calibri" w:cs="Calibri" w:eastAsia="Calibri" w:hAnsi="Calibri"/>
          <w:b w:val="1"/>
          <w:bCs w:val="1"/>
          <w:sz w:val="28"/>
          <w:szCs w:val="28"/>
        </w:rPr>
      </w:pPr>
      <w:bookmarkStart w:colFirst="0" w:colLast="0" w:name="_gx6kmykdcfxk" w:id="4"/>
      <w:bookmarkEnd w:id="4"/>
      <w:r w:rsidDel="00000000" w:rsidR="00000000" w:rsidRPr="00000000">
        <w:rPr>
          <w:rFonts w:ascii="Calibri" w:cs="Calibri" w:eastAsia="Calibri" w:hAnsi="Calibri"/>
          <w:b w:val="1"/>
          <w:bCs w:val="1"/>
          <w:sz w:val="28"/>
          <w:szCs w:val="28"/>
          <w:rtl w:val="0"/>
        </w:rPr>
        <w:t xml:space="preserve">Reference List (Harvard)</w:t>
      </w:r>
    </w:p>
    <w:p w:rsidR="00000000" w:rsidDel="00000000" w:rsidP="00000000" w:rsidRDefault="00000000" w:rsidRPr="00000000" w14:paraId="00000021">
      <w:pPr>
        <w:numPr>
          <w:ilvl w:val="0"/>
          <w:numId w:val="1"/>
        </w:numPr>
        <w:spacing w:line="276" w:lineRule="auto"/>
        <w:ind w:left="360"/>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Goleman, D. (1995) Emotional Intelligence. New York: Bantam.</w:t>
      </w:r>
    </w:p>
    <w:p w:rsidR="00000000" w:rsidDel="00000000" w:rsidP="00000000" w:rsidRDefault="00000000" w:rsidRPr="00000000" w14:paraId="00000022">
      <w:pPr>
        <w:numPr>
          <w:ilvl w:val="0"/>
          <w:numId w:val="1"/>
        </w:numPr>
        <w:spacing w:line="276" w:lineRule="auto"/>
        <w:ind w:left="360"/>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Goleman, D. (1998) Working with Emotional Intelligence. London: Bloomsbury.</w:t>
      </w:r>
    </w:p>
    <w:p w:rsidR="00000000" w:rsidDel="00000000" w:rsidP="00000000" w:rsidRDefault="00000000" w:rsidRPr="00000000" w14:paraId="00000023">
      <w:pPr>
        <w:numPr>
          <w:ilvl w:val="0"/>
          <w:numId w:val="1"/>
        </w:numPr>
        <w:spacing w:line="276" w:lineRule="auto"/>
        <w:ind w:left="360"/>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Bar-On, R. (1997) The Emotional Quotient Inventory.</w:t>
      </w:r>
    </w:p>
    <w:p w:rsidR="00000000" w:rsidDel="00000000" w:rsidP="00000000" w:rsidRDefault="00000000" w:rsidRPr="00000000" w14:paraId="00000024">
      <w:pPr>
        <w:numPr>
          <w:ilvl w:val="0"/>
          <w:numId w:val="1"/>
        </w:numPr>
        <w:spacing w:line="276" w:lineRule="auto"/>
        <w:ind w:left="360"/>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Kabat-Zinn, J. (1994) Wherever You Go, There You Are.</w:t>
      </w:r>
    </w:p>
    <w:p w:rsidR="00000000" w:rsidDel="00000000" w:rsidP="00000000" w:rsidRDefault="00000000" w:rsidRPr="00000000" w14:paraId="00000025">
      <w:pPr>
        <w:numPr>
          <w:ilvl w:val="0"/>
          <w:numId w:val="1"/>
        </w:numPr>
        <w:spacing w:line="276" w:lineRule="auto"/>
        <w:ind w:left="360"/>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Mayer, J.D., Salovey, P. and Caruso, D.R. (2004) Emotional Intelligence: Theory, Findings and Implications.</w:t>
      </w:r>
    </w:p>
    <w:p w:rsidR="00000000" w:rsidDel="00000000" w:rsidP="00000000" w:rsidRDefault="00000000" w:rsidRPr="00000000" w14:paraId="00000026">
      <w:pPr>
        <w:numPr>
          <w:ilvl w:val="0"/>
          <w:numId w:val="1"/>
        </w:numPr>
        <w:spacing w:line="276" w:lineRule="auto"/>
        <w:ind w:left="360"/>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Northouse, P.G. (2022) Leadership: Theory and Practice.</w:t>
      </w:r>
    </w:p>
    <w:p w:rsidR="00000000" w:rsidDel="00000000" w:rsidP="00000000" w:rsidRDefault="00000000" w:rsidRPr="00000000" w14:paraId="00000027">
      <w:pPr>
        <w:numPr>
          <w:ilvl w:val="0"/>
          <w:numId w:val="1"/>
        </w:numPr>
        <w:spacing w:after="200" w:line="276" w:lineRule="auto"/>
        <w:ind w:left="360"/>
        <w:rPr>
          <w:rFonts w:ascii="Noto Sans Symbols" w:cs="Noto Sans Symbols" w:eastAsia="Noto Sans Symbols" w:hAnsi="Noto Sans Symbols"/>
          <w:sz w:val="24"/>
          <w:szCs w:val="24"/>
        </w:rPr>
      </w:pPr>
      <w:r w:rsidDel="00000000" w:rsidR="00000000" w:rsidRPr="00000000">
        <w:rPr>
          <w:rFonts w:ascii="Times New Roman" w:cs="Times New Roman" w:eastAsia="Times New Roman" w:hAnsi="Times New Roman"/>
          <w:sz w:val="24"/>
          <w:szCs w:val="24"/>
          <w:rtl w:val="0"/>
        </w:rPr>
        <w:t xml:space="preserve">Robbins, S.P. and Judge, T.A. (2023) Organisational Behaviour.</w:t>
      </w:r>
    </w:p>
    <w:p w:rsidR="00000000" w:rsidDel="00000000" w:rsidP="00000000" w:rsidRDefault="00000000" w:rsidRPr="00000000" w14:paraId="00000028">
      <w:pPr>
        <w:spacing w:after="240" w:before="240" w:line="276" w:lineRule="auto"/>
        <w:rPr>
          <w:color w:val="222222"/>
          <w:highlight w:val="white"/>
        </w:rPr>
      </w:pPr>
      <w:r w:rsidDel="00000000" w:rsidR="00000000" w:rsidRPr="00000000">
        <w:rPr>
          <w:rtl w:val="0"/>
        </w:rPr>
      </w:r>
    </w:p>
    <w:p w:rsidR="00000000" w:rsidDel="00000000" w:rsidP="00000000" w:rsidRDefault="00000000" w:rsidRPr="00000000" w14:paraId="00000029">
      <w:pPr>
        <w:spacing w:after="240" w:before="24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A">
      <w:pPr>
        <w:spacing w:after="240" w:before="24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B">
      <w:pPr>
        <w:spacing w:after="240" w:before="24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C">
      <w:pPr>
        <w:spacing w:after="240" w:before="240" w:line="276"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2D">
      <w:pPr>
        <w:spacing w:after="240" w:before="240" w:line="276" w:lineRule="auto"/>
        <w:rPr>
          <w:rFonts w:ascii="Calibri" w:cs="Calibri" w:eastAsia="Calibri" w:hAnsi="Calibri"/>
          <w:b w:val="1"/>
          <w:bCs w:val="1"/>
          <w:sz w:val="36"/>
          <w:szCs w:val="36"/>
        </w:rPr>
      </w:pPr>
      <w:r w:rsidDel="00000000" w:rsidR="00000000" w:rsidRPr="00000000">
        <w:rPr>
          <w:rtl w:val="0"/>
        </w:rPr>
      </w:r>
    </w:p>
    <w:p w:rsidR="00000000" w:rsidDel="00000000" w:rsidP="00000000" w:rsidRDefault="00000000" w:rsidRPr="00000000" w14:paraId="0000002E">
      <w:pPr>
        <w:spacing w:after="240" w:before="240" w:line="276" w:lineRule="auto"/>
        <w:rPr>
          <w:rFonts w:ascii="Times New Roman" w:cs="Times New Roman" w:eastAsia="Times New Roman" w:hAnsi="Times New Roman"/>
          <w:b w:val="1"/>
          <w:bCs w:val="1"/>
          <w:sz w:val="34"/>
          <w:szCs w:val="34"/>
        </w:rPr>
      </w:pPr>
      <w:r w:rsidDel="00000000" w:rsidR="00000000" w:rsidRPr="00000000">
        <w:rPr>
          <w:rtl w:val="0"/>
        </w:rPr>
      </w:r>
    </w:p>
    <w:p w:rsidR="00000000" w:rsidDel="00000000" w:rsidP="00000000" w:rsidRDefault="00000000" w:rsidRPr="00000000" w14:paraId="0000002F">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after="240" w:before="24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after="20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after="200" w:line="276"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rPr>
          <w:b w:val="1"/>
          <w:bCs w:val="1"/>
          <w:sz w:val="32"/>
          <w:szCs w:val="32"/>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