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43F32" w14:textId="77777777"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50"/>
                              <w:gridCol w:w="3246"/>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3214A5F9" w:rsidR="00CD71D3" w:rsidRPr="00F2338F" w:rsidRDefault="00CA66F2" w:rsidP="00F0505E">
                                      <w:pPr>
                                        <w:pStyle w:val="NoSpacing"/>
                                        <w:spacing w:line="312" w:lineRule="auto"/>
                                        <w:jc w:val="center"/>
                                        <w:rPr>
                                          <w:rFonts w:ascii="Arial" w:hAnsi="Arial" w:cs="Arial"/>
                                          <w:caps/>
                                          <w:sz w:val="70"/>
                                          <w:szCs w:val="70"/>
                                        </w:rPr>
                                      </w:pPr>
                                      <w:r w:rsidRPr="00F2338F">
                                        <w:rPr>
                                          <w:rFonts w:eastAsiaTheme="minorHAnsi"/>
                                          <w:caps/>
                                          <w:sz w:val="70"/>
                                          <w:szCs w:val="70"/>
                                        </w:rPr>
                                        <w:t>HYBRID/FLEXIBLE WORKING</w:t>
                                      </w:r>
                                    </w:p>
                                  </w:sdtContent>
                                </w:sdt>
                                <w:sdt>
                                  <w:sdtPr>
                                    <w:rPr>
                                      <w:i/>
                                      <w:color w:val="000000" w:themeColor="text1"/>
                                      <w:sz w:val="60"/>
                                      <w:szCs w:val="6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58CD8BD1" w:rsidR="00CD71D3" w:rsidRPr="00CD71D3" w:rsidRDefault="00CA66F2" w:rsidP="00CD71D3">
                                      <w:pPr>
                                        <w:jc w:val="center"/>
                                        <w:rPr>
                                          <w:sz w:val="40"/>
                                          <w:szCs w:val="40"/>
                                        </w:rPr>
                                      </w:pPr>
                                      <w:r w:rsidRPr="00F2338F">
                                        <w:rPr>
                                          <w:i/>
                                          <w:color w:val="000000" w:themeColor="text1"/>
                                          <w:sz w:val="60"/>
                                          <w:szCs w:val="60"/>
                                        </w:rPr>
                                        <w:t>Managing people</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80F0518"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w:t>
                                      </w:r>
                                      <w:r w:rsidR="00CA66F2">
                                        <w:rPr>
                                          <w:rFonts w:ascii="Arial" w:hAnsi="Arial" w:cs="Arial"/>
                                          <w:sz w:val="32"/>
                                          <w:szCs w:val="32"/>
                                        </w:rPr>
                                        <w:t>5</w:t>
                                      </w:r>
                                      <w:r w:rsidRPr="00F0505E">
                                        <w:rPr>
                                          <w:rFonts w:ascii="Arial" w:hAnsi="Arial" w:cs="Arial"/>
                                          <w:sz w:val="32"/>
                                          <w:szCs w:val="32"/>
                                        </w:rPr>
                                        <w:t>00</w:t>
                                      </w:r>
                                      <w:r w:rsidR="00CA66F2">
                                        <w:rPr>
                                          <w:rFonts w:ascii="Arial" w:hAnsi="Arial" w:cs="Arial"/>
                                          <w:sz w:val="32"/>
                                          <w:szCs w:val="32"/>
                                        </w:rPr>
                                        <w:t>4</w:t>
                                      </w:r>
                                      <w:r w:rsidRPr="00F0505E">
                                        <w:rPr>
                                          <w:rFonts w:ascii="Arial" w:hAnsi="Arial" w:cs="Arial"/>
                                          <w:sz w:val="32"/>
                                          <w:szCs w:val="32"/>
                                        </w:rPr>
                                        <w:t xml:space="preserve">_BIRM        </w:t>
                                      </w:r>
                                      <w:r w:rsidR="00C04508">
                                        <w:rPr>
                                          <w:rFonts w:ascii="Arial" w:hAnsi="Arial" w:cs="Arial"/>
                                          <w:sz w:val="32"/>
                                          <w:szCs w:val="32"/>
                                        </w:rPr>
                                        <w:t xml:space="preserve">Dr </w:t>
                                      </w:r>
                                      <w:r w:rsidR="00CA66F2">
                                        <w:rPr>
                                          <w:rFonts w:ascii="Arial" w:hAnsi="Arial" w:cs="Arial"/>
                                          <w:sz w:val="32"/>
                                          <w:szCs w:val="32"/>
                                        </w:rPr>
                                        <w:t>Imo Enang</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50"/>
                        <w:gridCol w:w="3246"/>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3214A5F9" w:rsidR="00CD71D3" w:rsidRPr="00F2338F" w:rsidRDefault="00CA66F2" w:rsidP="00F0505E">
                                <w:pPr>
                                  <w:pStyle w:val="NoSpacing"/>
                                  <w:spacing w:line="312" w:lineRule="auto"/>
                                  <w:jc w:val="center"/>
                                  <w:rPr>
                                    <w:rFonts w:ascii="Arial" w:hAnsi="Arial" w:cs="Arial"/>
                                    <w:caps/>
                                    <w:sz w:val="70"/>
                                    <w:szCs w:val="70"/>
                                  </w:rPr>
                                </w:pPr>
                                <w:r w:rsidRPr="00F2338F">
                                  <w:rPr>
                                    <w:rFonts w:eastAsiaTheme="minorHAnsi"/>
                                    <w:caps/>
                                    <w:sz w:val="70"/>
                                    <w:szCs w:val="70"/>
                                  </w:rPr>
                                  <w:t>HYBRID/FLEXIBLE WORKING</w:t>
                                </w:r>
                              </w:p>
                            </w:sdtContent>
                          </w:sdt>
                          <w:sdt>
                            <w:sdtPr>
                              <w:rPr>
                                <w:i/>
                                <w:color w:val="000000" w:themeColor="text1"/>
                                <w:sz w:val="60"/>
                                <w:szCs w:val="6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58CD8BD1" w:rsidR="00CD71D3" w:rsidRPr="00CD71D3" w:rsidRDefault="00CA66F2" w:rsidP="00CD71D3">
                                <w:pPr>
                                  <w:jc w:val="center"/>
                                  <w:rPr>
                                    <w:sz w:val="40"/>
                                    <w:szCs w:val="40"/>
                                  </w:rPr>
                                </w:pPr>
                                <w:r w:rsidRPr="00F2338F">
                                  <w:rPr>
                                    <w:i/>
                                    <w:color w:val="000000" w:themeColor="text1"/>
                                    <w:sz w:val="60"/>
                                    <w:szCs w:val="60"/>
                                  </w:rPr>
                                  <w:t>Managing people</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480F0518"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w:t>
                                </w:r>
                                <w:r w:rsidR="00CA66F2">
                                  <w:rPr>
                                    <w:rFonts w:ascii="Arial" w:hAnsi="Arial" w:cs="Arial"/>
                                    <w:sz w:val="32"/>
                                    <w:szCs w:val="32"/>
                                  </w:rPr>
                                  <w:t>5</w:t>
                                </w:r>
                                <w:r w:rsidRPr="00F0505E">
                                  <w:rPr>
                                    <w:rFonts w:ascii="Arial" w:hAnsi="Arial" w:cs="Arial"/>
                                    <w:sz w:val="32"/>
                                    <w:szCs w:val="32"/>
                                  </w:rPr>
                                  <w:t>00</w:t>
                                </w:r>
                                <w:r w:rsidR="00CA66F2">
                                  <w:rPr>
                                    <w:rFonts w:ascii="Arial" w:hAnsi="Arial" w:cs="Arial"/>
                                    <w:sz w:val="32"/>
                                    <w:szCs w:val="32"/>
                                  </w:rPr>
                                  <w:t>4</w:t>
                                </w:r>
                                <w:r w:rsidRPr="00F0505E">
                                  <w:rPr>
                                    <w:rFonts w:ascii="Arial" w:hAnsi="Arial" w:cs="Arial"/>
                                    <w:sz w:val="32"/>
                                    <w:szCs w:val="32"/>
                                  </w:rPr>
                                  <w:t xml:space="preserve">_BIRM        </w:t>
                                </w:r>
                                <w:r w:rsidR="00C04508">
                                  <w:rPr>
                                    <w:rFonts w:ascii="Arial" w:hAnsi="Arial" w:cs="Arial"/>
                                    <w:sz w:val="32"/>
                                    <w:szCs w:val="32"/>
                                  </w:rPr>
                                  <w:t xml:space="preserve">Dr </w:t>
                                </w:r>
                                <w:r w:rsidR="00CA66F2">
                                  <w:rPr>
                                    <w:rFonts w:ascii="Arial" w:hAnsi="Arial" w:cs="Arial"/>
                                    <w:sz w:val="32"/>
                                    <w:szCs w:val="32"/>
                                  </w:rPr>
                                  <w:t>Imo Enang</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p w14:paraId="17E00DA8" w14:textId="77777777" w:rsidR="009F6403" w:rsidRDefault="009F6403" w:rsidP="009F6403">
      <w:pPr>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lastRenderedPageBreak/>
        <w:t xml:space="preserve">Abstract </w:t>
      </w:r>
    </w:p>
    <w:p w14:paraId="28F73662" w14:textId="77777777" w:rsidR="009F6403" w:rsidRPr="009F6403" w:rsidRDefault="009F6403" w:rsidP="009F6403">
      <w:pPr>
        <w:spacing w:after="0" w:line="360" w:lineRule="auto"/>
        <w:ind w:firstLine="720"/>
        <w:jc w:val="both"/>
        <w:rPr>
          <w:rFonts w:ascii="Arial" w:hAnsi="Arial" w:cs="Arial"/>
          <w:b/>
          <w:i/>
          <w:kern w:val="2"/>
          <w14:ligatures w14:val="standardContextual"/>
        </w:rPr>
      </w:pPr>
    </w:p>
    <w:p w14:paraId="0978A1C1"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COVID-19 pandemic required a large-scale transformation of organizations’ processes. A documented increase in the demand for both hybrid and flexible types of labor has emerged in several industries recently, and there are many reasons attributed to this tendency. As a result of such change, employees are now more likely to request more flexible working hours. As the new Human Resource Manager in </w:t>
      </w:r>
      <w:proofErr w:type="spellStart"/>
      <w:r w:rsidRPr="009F6403">
        <w:rPr>
          <w:rFonts w:ascii="Arial" w:hAnsi="Arial" w:cs="Arial"/>
        </w:rPr>
        <w:t>AgroTools</w:t>
      </w:r>
      <w:proofErr w:type="spellEnd"/>
      <w:r w:rsidRPr="009F6403">
        <w:rPr>
          <w:rFonts w:ascii="Arial" w:hAnsi="Arial" w:cs="Arial"/>
        </w:rPr>
        <w:t xml:space="preserve">, a West Midlands company which manufactures and supplies agricultural equipment to farmers, one of my key roles is to develop an extensive report that gives recommendations on </w:t>
      </w:r>
      <w:proofErr w:type="spellStart"/>
      <w:r w:rsidRPr="009F6403">
        <w:rPr>
          <w:rFonts w:ascii="Arial" w:hAnsi="Arial" w:cs="Arial"/>
        </w:rPr>
        <w:t>flexitime</w:t>
      </w:r>
      <w:proofErr w:type="spellEnd"/>
      <w:r w:rsidRPr="009F6403">
        <w:rPr>
          <w:rFonts w:ascii="Arial" w:hAnsi="Arial" w:cs="Arial"/>
        </w:rPr>
        <w:t xml:space="preserve"> system </w:t>
      </w:r>
      <w:proofErr w:type="spellStart"/>
      <w:r w:rsidRPr="009F6403">
        <w:rPr>
          <w:rFonts w:ascii="Arial" w:hAnsi="Arial" w:cs="Arial"/>
        </w:rPr>
        <w:t>implementation.This</w:t>
      </w:r>
      <w:proofErr w:type="spellEnd"/>
      <w:r w:rsidRPr="009F6403">
        <w:rPr>
          <w:rFonts w:ascii="Arial" w:hAnsi="Arial" w:cs="Arial"/>
        </w:rPr>
        <w:t xml:space="preserve"> report outlines the benefits of implementing flexible work arrangements for </w:t>
      </w:r>
      <w:proofErr w:type="spellStart"/>
      <w:r w:rsidRPr="009F6403">
        <w:rPr>
          <w:rFonts w:ascii="Arial" w:hAnsi="Arial" w:cs="Arial"/>
        </w:rPr>
        <w:t>AgroTools</w:t>
      </w:r>
      <w:proofErr w:type="spellEnd"/>
      <w:r w:rsidRPr="009F6403">
        <w:rPr>
          <w:rFonts w:ascii="Arial" w:hAnsi="Arial" w:cs="Arial"/>
        </w:rPr>
        <w:t xml:space="preserve">, considering the company’s multiple teams operating in three locations: a manufacturing site, a warehousing facility, and a sales and administrative office. Additionally, it will address the potential challenges and specific needs that may arise from such arrangements. Furthermore, it examines the feasibility of restructuring remuneration systems and evaluates various strategies that could be employed to foster employee engagement during this moment of change. The ultimate objective is to provide precise and practical advice tailored to the specific circumstances of </w:t>
      </w:r>
      <w:proofErr w:type="spellStart"/>
      <w:r w:rsidRPr="009F6403">
        <w:rPr>
          <w:rFonts w:ascii="Arial" w:hAnsi="Arial" w:cs="Arial"/>
        </w:rPr>
        <w:t>AgroTools</w:t>
      </w:r>
      <w:proofErr w:type="spellEnd"/>
      <w:r w:rsidRPr="009F6403">
        <w:rPr>
          <w:rFonts w:ascii="Arial" w:hAnsi="Arial" w:cs="Arial"/>
        </w:rPr>
        <w:t>.</w:t>
      </w:r>
    </w:p>
    <w:p w14:paraId="7A508A86" w14:textId="77777777" w:rsidR="009F6403" w:rsidRDefault="009F6403" w:rsidP="009F6403">
      <w:pPr>
        <w:spacing w:after="0" w:line="360" w:lineRule="auto"/>
        <w:ind w:firstLine="720"/>
        <w:jc w:val="both"/>
        <w:rPr>
          <w:rFonts w:ascii="Arial" w:hAnsi="Arial" w:cs="Arial"/>
        </w:rPr>
      </w:pPr>
    </w:p>
    <w:p w14:paraId="54E486DD" w14:textId="77777777" w:rsidR="009F6403" w:rsidRDefault="009F6403" w:rsidP="009F6403">
      <w:pPr>
        <w:spacing w:after="0" w:line="360" w:lineRule="auto"/>
        <w:ind w:firstLine="720"/>
        <w:jc w:val="both"/>
        <w:rPr>
          <w:rFonts w:ascii="Arial" w:hAnsi="Arial" w:cs="Arial"/>
        </w:rPr>
      </w:pPr>
    </w:p>
    <w:p w14:paraId="281212BA" w14:textId="77777777" w:rsidR="009F6403" w:rsidRDefault="009F6403" w:rsidP="009F6403">
      <w:pPr>
        <w:spacing w:after="0" w:line="360" w:lineRule="auto"/>
        <w:ind w:firstLine="720"/>
        <w:jc w:val="both"/>
        <w:rPr>
          <w:rFonts w:ascii="Arial" w:hAnsi="Arial" w:cs="Arial"/>
        </w:rPr>
      </w:pPr>
    </w:p>
    <w:p w14:paraId="3D6B00C0" w14:textId="77777777" w:rsidR="009F6403" w:rsidRDefault="009F6403" w:rsidP="009F6403">
      <w:pPr>
        <w:spacing w:after="0" w:line="360" w:lineRule="auto"/>
        <w:ind w:firstLine="720"/>
        <w:jc w:val="both"/>
        <w:rPr>
          <w:rFonts w:ascii="Arial" w:hAnsi="Arial" w:cs="Arial"/>
        </w:rPr>
      </w:pPr>
    </w:p>
    <w:p w14:paraId="5FF8E8DA" w14:textId="77777777" w:rsidR="009F6403" w:rsidRDefault="009F6403" w:rsidP="009F6403">
      <w:pPr>
        <w:spacing w:after="0" w:line="360" w:lineRule="auto"/>
        <w:ind w:firstLine="720"/>
        <w:jc w:val="both"/>
        <w:rPr>
          <w:rFonts w:ascii="Arial" w:hAnsi="Arial" w:cs="Arial"/>
        </w:rPr>
      </w:pPr>
    </w:p>
    <w:p w14:paraId="74B2056B" w14:textId="77777777" w:rsidR="009F6403" w:rsidRDefault="009F6403" w:rsidP="009F6403">
      <w:pPr>
        <w:spacing w:after="0" w:line="360" w:lineRule="auto"/>
        <w:ind w:firstLine="720"/>
        <w:jc w:val="both"/>
        <w:rPr>
          <w:rFonts w:ascii="Arial" w:hAnsi="Arial" w:cs="Arial"/>
        </w:rPr>
      </w:pPr>
    </w:p>
    <w:p w14:paraId="0A57F473" w14:textId="77777777" w:rsidR="009F6403" w:rsidRDefault="009F6403" w:rsidP="009F6403">
      <w:pPr>
        <w:spacing w:after="0" w:line="360" w:lineRule="auto"/>
        <w:ind w:firstLine="720"/>
        <w:jc w:val="both"/>
        <w:rPr>
          <w:rFonts w:ascii="Arial" w:hAnsi="Arial" w:cs="Arial"/>
        </w:rPr>
      </w:pPr>
    </w:p>
    <w:p w14:paraId="0046FA6E" w14:textId="77777777" w:rsidR="009F6403" w:rsidRDefault="009F6403" w:rsidP="009F6403">
      <w:pPr>
        <w:spacing w:after="0" w:line="360" w:lineRule="auto"/>
        <w:ind w:firstLine="720"/>
        <w:jc w:val="both"/>
        <w:rPr>
          <w:rFonts w:ascii="Arial" w:hAnsi="Arial" w:cs="Arial"/>
        </w:rPr>
      </w:pPr>
    </w:p>
    <w:p w14:paraId="6AB69D1F" w14:textId="77777777" w:rsidR="009F6403" w:rsidRDefault="009F6403" w:rsidP="009F6403">
      <w:pPr>
        <w:spacing w:after="0" w:line="360" w:lineRule="auto"/>
        <w:ind w:firstLine="720"/>
        <w:jc w:val="both"/>
        <w:rPr>
          <w:rFonts w:ascii="Arial" w:hAnsi="Arial" w:cs="Arial"/>
        </w:rPr>
      </w:pPr>
    </w:p>
    <w:p w14:paraId="4BC32EC0" w14:textId="77777777" w:rsidR="009F6403" w:rsidRDefault="009F6403" w:rsidP="009F6403">
      <w:pPr>
        <w:spacing w:after="0" w:line="360" w:lineRule="auto"/>
        <w:ind w:firstLine="720"/>
        <w:jc w:val="both"/>
        <w:rPr>
          <w:rFonts w:ascii="Arial" w:hAnsi="Arial" w:cs="Arial"/>
        </w:rPr>
      </w:pPr>
    </w:p>
    <w:p w14:paraId="0CFD5FF2" w14:textId="77777777" w:rsidR="009F6403" w:rsidRDefault="009F6403" w:rsidP="009F6403">
      <w:pPr>
        <w:spacing w:after="0" w:line="360" w:lineRule="auto"/>
        <w:ind w:firstLine="720"/>
        <w:jc w:val="both"/>
        <w:rPr>
          <w:rFonts w:ascii="Arial" w:hAnsi="Arial" w:cs="Arial"/>
        </w:rPr>
      </w:pPr>
    </w:p>
    <w:p w14:paraId="655CCC15" w14:textId="77777777" w:rsidR="009F6403" w:rsidRDefault="009F6403" w:rsidP="009F6403">
      <w:pPr>
        <w:spacing w:after="0" w:line="360" w:lineRule="auto"/>
        <w:ind w:firstLine="720"/>
        <w:jc w:val="both"/>
        <w:rPr>
          <w:rFonts w:ascii="Arial" w:hAnsi="Arial" w:cs="Arial"/>
        </w:rPr>
      </w:pPr>
    </w:p>
    <w:p w14:paraId="1ECFFEC8" w14:textId="77777777" w:rsidR="009F6403" w:rsidRDefault="009F6403" w:rsidP="009F6403">
      <w:pPr>
        <w:spacing w:after="0" w:line="360" w:lineRule="auto"/>
        <w:ind w:firstLine="720"/>
        <w:jc w:val="both"/>
        <w:rPr>
          <w:rFonts w:ascii="Arial" w:hAnsi="Arial" w:cs="Arial"/>
        </w:rPr>
      </w:pPr>
    </w:p>
    <w:p w14:paraId="13C8F32D" w14:textId="77777777" w:rsidR="009F6403" w:rsidRDefault="009F6403" w:rsidP="009F6403">
      <w:pPr>
        <w:spacing w:after="0" w:line="360" w:lineRule="auto"/>
        <w:ind w:firstLine="720"/>
        <w:jc w:val="both"/>
        <w:rPr>
          <w:rFonts w:ascii="Arial" w:hAnsi="Arial" w:cs="Arial"/>
        </w:rPr>
      </w:pPr>
    </w:p>
    <w:p w14:paraId="093B19C5" w14:textId="77777777" w:rsidR="009F6403" w:rsidRDefault="009F6403" w:rsidP="009F6403">
      <w:pPr>
        <w:spacing w:after="0" w:line="360" w:lineRule="auto"/>
        <w:ind w:firstLine="720"/>
        <w:jc w:val="both"/>
        <w:rPr>
          <w:rFonts w:ascii="Arial" w:hAnsi="Arial" w:cs="Arial"/>
        </w:rPr>
      </w:pPr>
    </w:p>
    <w:p w14:paraId="478878B8" w14:textId="77777777" w:rsidR="009F6403" w:rsidRDefault="009F6403" w:rsidP="009F6403">
      <w:pPr>
        <w:spacing w:after="0" w:line="360" w:lineRule="auto"/>
        <w:ind w:firstLine="720"/>
        <w:jc w:val="both"/>
        <w:rPr>
          <w:rFonts w:ascii="Arial" w:hAnsi="Arial" w:cs="Arial"/>
        </w:rPr>
      </w:pPr>
    </w:p>
    <w:p w14:paraId="693B1AA9" w14:textId="77777777" w:rsidR="009F6403" w:rsidRDefault="009F6403" w:rsidP="009F6403">
      <w:pPr>
        <w:spacing w:after="0" w:line="360" w:lineRule="auto"/>
        <w:ind w:firstLine="720"/>
        <w:jc w:val="both"/>
        <w:rPr>
          <w:rFonts w:ascii="Arial" w:hAnsi="Arial" w:cs="Arial"/>
        </w:rPr>
      </w:pPr>
    </w:p>
    <w:p w14:paraId="4E9CA008" w14:textId="77777777" w:rsidR="009F6403" w:rsidRPr="009F6403" w:rsidRDefault="009F6403" w:rsidP="009F6403">
      <w:pPr>
        <w:spacing w:after="0" w:line="360" w:lineRule="auto"/>
        <w:ind w:firstLine="720"/>
        <w:jc w:val="both"/>
        <w:rPr>
          <w:rFonts w:ascii="Arial" w:hAnsi="Arial" w:cs="Arial"/>
        </w:rPr>
      </w:pPr>
    </w:p>
    <w:p w14:paraId="09D00E87" w14:textId="58229C3F" w:rsidR="009F6403" w:rsidRDefault="009F6403" w:rsidP="009F6403">
      <w:pPr>
        <w:tabs>
          <w:tab w:val="center" w:pos="5040"/>
          <w:tab w:val="right" w:pos="9360"/>
        </w:tabs>
        <w:spacing w:after="0" w:line="240" w:lineRule="auto"/>
        <w:ind w:firstLine="720"/>
        <w:rPr>
          <w:rFonts w:ascii="Times New Roman" w:hAnsi="Times New Roman" w:cs="Times New Roman"/>
          <w:b/>
          <w:bCs/>
          <w:sz w:val="24"/>
          <w:szCs w:val="24"/>
        </w:rPr>
      </w:pPr>
      <w:r w:rsidRPr="007E1B30">
        <w:rPr>
          <w:rFonts w:ascii="Times New Roman" w:hAnsi="Times New Roman" w:cs="Times New Roman"/>
          <w:b/>
          <w:bCs/>
          <w:sz w:val="24"/>
          <w:szCs w:val="24"/>
        </w:rPr>
        <w:lastRenderedPageBreak/>
        <w:t>DEVELOPING FLEXIBLE WORKING FRAMEWORKS FOR AGROTOOLS</w:t>
      </w:r>
      <w:r>
        <w:rPr>
          <w:rFonts w:ascii="Times New Roman" w:hAnsi="Times New Roman" w:cs="Times New Roman"/>
          <w:b/>
          <w:bCs/>
          <w:sz w:val="24"/>
          <w:szCs w:val="24"/>
        </w:rPr>
        <w:tab/>
      </w:r>
    </w:p>
    <w:p w14:paraId="1D635D11" w14:textId="77777777" w:rsidR="009F6403" w:rsidRDefault="009F6403" w:rsidP="009F6403">
      <w:pPr>
        <w:tabs>
          <w:tab w:val="center" w:pos="5040"/>
          <w:tab w:val="right" w:pos="9360"/>
        </w:tabs>
        <w:spacing w:after="0" w:line="240" w:lineRule="auto"/>
        <w:ind w:firstLine="720"/>
        <w:rPr>
          <w:rFonts w:ascii="Times New Roman" w:hAnsi="Times New Roman" w:cs="Times New Roman"/>
          <w:b/>
          <w:bCs/>
          <w:sz w:val="24"/>
          <w:szCs w:val="24"/>
        </w:rPr>
      </w:pPr>
    </w:p>
    <w:p w14:paraId="06043158" w14:textId="77777777" w:rsidR="009F6403" w:rsidRPr="000518CB" w:rsidRDefault="009F6403" w:rsidP="009F6403">
      <w:pPr>
        <w:tabs>
          <w:tab w:val="center" w:pos="5040"/>
          <w:tab w:val="right" w:pos="9360"/>
        </w:tabs>
        <w:spacing w:after="0" w:line="240" w:lineRule="auto"/>
        <w:ind w:firstLine="720"/>
        <w:rPr>
          <w:rFonts w:ascii="Times New Roman" w:hAnsi="Times New Roman" w:cs="Times New Roman"/>
          <w:b/>
          <w:bCs/>
          <w:sz w:val="24"/>
          <w:szCs w:val="24"/>
        </w:rPr>
      </w:pPr>
    </w:p>
    <w:p w14:paraId="0DC9F516" w14:textId="77777777" w:rsidR="009F6403" w:rsidRDefault="009F6403" w:rsidP="009F6403">
      <w:pPr>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 xml:space="preserve">Introduction </w:t>
      </w:r>
    </w:p>
    <w:p w14:paraId="4FEE8651" w14:textId="77777777" w:rsidR="00BB3FA5" w:rsidRPr="009F6403" w:rsidRDefault="00BB3FA5" w:rsidP="009F6403">
      <w:pPr>
        <w:spacing w:after="0" w:line="360" w:lineRule="auto"/>
        <w:ind w:firstLine="720"/>
        <w:jc w:val="both"/>
        <w:rPr>
          <w:rFonts w:ascii="Arial" w:hAnsi="Arial" w:cs="Arial"/>
          <w:b/>
          <w:i/>
          <w:kern w:val="2"/>
          <w14:ligatures w14:val="standardContextual"/>
        </w:rPr>
      </w:pPr>
    </w:p>
    <w:p w14:paraId="17CC0EA2"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The COVID-19 pandemic required a large-scale transformation of organizations’ processes. A documented increase in the demand for both hybrid and flexible types of labor has emerged in several industries recently, and many reasons are attributed to this tendency (Rysavy and Michalak 2020). As a result of such change, employees are now more likely to request more flexible working hours. As the new Human Resource Manager in </w:t>
      </w:r>
      <w:proofErr w:type="spellStart"/>
      <w:r w:rsidRPr="009F6403">
        <w:rPr>
          <w:rFonts w:ascii="Arial" w:hAnsi="Arial" w:cs="Arial"/>
        </w:rPr>
        <w:t>AgroTools</w:t>
      </w:r>
      <w:proofErr w:type="spellEnd"/>
      <w:r w:rsidRPr="009F6403">
        <w:rPr>
          <w:rFonts w:ascii="Arial" w:hAnsi="Arial" w:cs="Arial"/>
        </w:rPr>
        <w:t xml:space="preserve">, a West Midlands company that manufactures and supplies agricultural equipment to farmers, one of my key roles is to develop an extensive report that gives recommendations on </w:t>
      </w:r>
      <w:proofErr w:type="spellStart"/>
      <w:r w:rsidRPr="009F6403">
        <w:rPr>
          <w:rFonts w:ascii="Arial" w:hAnsi="Arial" w:cs="Arial"/>
        </w:rPr>
        <w:t>flexitime</w:t>
      </w:r>
      <w:proofErr w:type="spellEnd"/>
      <w:r w:rsidRPr="009F6403">
        <w:rPr>
          <w:rFonts w:ascii="Arial" w:hAnsi="Arial" w:cs="Arial"/>
        </w:rPr>
        <w:t xml:space="preserve"> system implementation. </w:t>
      </w:r>
      <w:proofErr w:type="spellStart"/>
      <w:r w:rsidRPr="009F6403">
        <w:rPr>
          <w:rFonts w:ascii="Arial" w:hAnsi="Arial" w:cs="Arial"/>
        </w:rPr>
        <w:t>AgroTools</w:t>
      </w:r>
      <w:proofErr w:type="spellEnd"/>
      <w:r w:rsidRPr="009F6403">
        <w:rPr>
          <w:rFonts w:ascii="Arial" w:hAnsi="Arial" w:cs="Arial"/>
        </w:rPr>
        <w:t xml:space="preserve">, a prominent manufacturer and dealer of agricultural machinery located in the West Midlands, is leading this transformation. The business operates from three locations: the production area, the warehouse, and the sales/admin divisions, each with its team. This allows the company to take advantage of flexible working arrangements and effectively manage the specific issues presented by its complex operational landscape. As the recently recruited Human Resource Manager, I consider it crucial to design a thorough strategy that incorporates the benefits of flexible work arrangements and tackles the possible drawbacks and factors relevant to </w:t>
      </w:r>
      <w:proofErr w:type="spellStart"/>
      <w:r w:rsidRPr="009F6403">
        <w:rPr>
          <w:rFonts w:ascii="Arial" w:hAnsi="Arial" w:cs="Arial"/>
        </w:rPr>
        <w:t>AgroTools</w:t>
      </w:r>
      <w:proofErr w:type="spellEnd"/>
      <w:r w:rsidRPr="009F6403">
        <w:rPr>
          <w:rFonts w:ascii="Arial" w:hAnsi="Arial" w:cs="Arial"/>
        </w:rPr>
        <w:t xml:space="preserve">’ business model (Hopkins and </w:t>
      </w:r>
      <w:proofErr w:type="spellStart"/>
      <w:r w:rsidRPr="009F6403">
        <w:rPr>
          <w:rFonts w:ascii="Arial" w:hAnsi="Arial" w:cs="Arial"/>
        </w:rPr>
        <w:t>Bardoel</w:t>
      </w:r>
      <w:proofErr w:type="spellEnd"/>
      <w:r w:rsidRPr="009F6403">
        <w:rPr>
          <w:rFonts w:ascii="Arial" w:hAnsi="Arial" w:cs="Arial"/>
        </w:rPr>
        <w:t xml:space="preserve"> 2023). This report will explore the benefits, critical factors for successful implementation, potential impact on pay structures, and strategies to foster employee engagement throughout this transformative process.</w:t>
      </w:r>
    </w:p>
    <w:p w14:paraId="58859731" w14:textId="77777777" w:rsidR="009F6403" w:rsidRPr="009F6403" w:rsidRDefault="009F6403" w:rsidP="009F6403">
      <w:pPr>
        <w:spacing w:after="0" w:line="360" w:lineRule="auto"/>
        <w:ind w:firstLine="720"/>
        <w:jc w:val="both"/>
        <w:rPr>
          <w:rFonts w:ascii="Arial" w:hAnsi="Arial" w:cs="Arial"/>
        </w:rPr>
      </w:pPr>
    </w:p>
    <w:p w14:paraId="0A5A14D4" w14:textId="77777777" w:rsidR="009F6403" w:rsidRPr="009F6403" w:rsidRDefault="009F6403" w:rsidP="009F6403">
      <w:pPr>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Main Body</w:t>
      </w:r>
    </w:p>
    <w:p w14:paraId="3CDDB06E" w14:textId="77777777" w:rsidR="009F6403" w:rsidRDefault="009F6403" w:rsidP="009F6403">
      <w:pPr>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Benefits of implementing flexible working strategies</w:t>
      </w:r>
    </w:p>
    <w:p w14:paraId="63ADE1B6" w14:textId="77777777" w:rsidR="009F6403" w:rsidRPr="009F6403" w:rsidRDefault="009F6403" w:rsidP="009F6403">
      <w:pPr>
        <w:spacing w:after="0" w:line="360" w:lineRule="auto"/>
        <w:ind w:firstLine="720"/>
        <w:jc w:val="both"/>
        <w:rPr>
          <w:rFonts w:ascii="Arial" w:hAnsi="Arial" w:cs="Arial"/>
          <w:b/>
          <w:i/>
          <w:kern w:val="2"/>
          <w14:ligatures w14:val="standardContextual"/>
        </w:rPr>
      </w:pPr>
    </w:p>
    <w:p w14:paraId="1FC63445"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Increasing the accessibility of remote work opportunities can significantly advantage organizations by providing employees with a more flexible work setting, leading to enhanced company outcomes. The main emphasis is on the employees’ welfare and the establishment of a favorable atmosphere that enables the attainment of an ideal work-life equilibrium. Granting workers increased autonomy in their job tasks and personal matters allows them to cope with stress, enhancing overall health successfully. Based on the study conducted by Rysavy and Michalak (2020), it has been shown that these effects contribute to an increase in employee satisfaction, positively impacting enterprises’ return on investment. Implementing flexible work arrangements is a critical component that can improve productivity and efficiency in the </w:t>
      </w:r>
      <w:proofErr w:type="spellStart"/>
      <w:r w:rsidRPr="009F6403">
        <w:rPr>
          <w:rFonts w:ascii="Arial" w:hAnsi="Arial" w:cs="Arial"/>
        </w:rPr>
        <w:lastRenderedPageBreak/>
        <w:t>organisation</w:t>
      </w:r>
      <w:proofErr w:type="spellEnd"/>
      <w:r w:rsidRPr="009F6403">
        <w:rPr>
          <w:rFonts w:ascii="Arial" w:hAnsi="Arial" w:cs="Arial"/>
        </w:rPr>
        <w:t xml:space="preserve">. Employees with autonomy to choose their desired work schedule, whether in the office or remotely, and who work in a supportive work environment that accommodates their requirements will exhibit increased alertness and motivation. Moreover, the decrease in travel duration and related costs would enhance productivity gains (Hopkins and </w:t>
      </w:r>
      <w:proofErr w:type="spellStart"/>
      <w:r w:rsidRPr="009F6403">
        <w:rPr>
          <w:rFonts w:ascii="Arial" w:hAnsi="Arial" w:cs="Arial"/>
        </w:rPr>
        <w:t>Bardoel</w:t>
      </w:r>
      <w:proofErr w:type="spellEnd"/>
      <w:r w:rsidRPr="009F6403">
        <w:rPr>
          <w:rFonts w:ascii="Arial" w:hAnsi="Arial" w:cs="Arial"/>
        </w:rPr>
        <w:t xml:space="preserve"> 2023). </w:t>
      </w:r>
    </w:p>
    <w:p w14:paraId="11CFF969"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Furthermore, reductions in significant expense categories are expected to achieve an effective operation method. Implementing a policy that permits a certain number of staff to telecommute can enhance the management of </w:t>
      </w:r>
      <w:proofErr w:type="spellStart"/>
      <w:r w:rsidRPr="009F6403">
        <w:rPr>
          <w:rFonts w:ascii="Arial" w:hAnsi="Arial" w:cs="Arial"/>
        </w:rPr>
        <w:t>AgroTechs</w:t>
      </w:r>
      <w:proofErr w:type="spellEnd"/>
      <w:r w:rsidRPr="009F6403">
        <w:rPr>
          <w:rFonts w:ascii="Arial" w:hAnsi="Arial" w:cs="Arial"/>
        </w:rPr>
        <w:t xml:space="preserve">. This reduces the cost of leasing office space and other related utilities such as energy. By investing in these expenditures, this resource effectively allocates financial resources, hence promoting the expansion of different businesses and encouraging the development of innovative solutions (Hopkins and </w:t>
      </w:r>
      <w:proofErr w:type="spellStart"/>
      <w:r w:rsidRPr="009F6403">
        <w:rPr>
          <w:rFonts w:ascii="Arial" w:hAnsi="Arial" w:cs="Arial"/>
        </w:rPr>
        <w:t>Bardoel</w:t>
      </w:r>
      <w:proofErr w:type="spellEnd"/>
      <w:r w:rsidRPr="009F6403">
        <w:rPr>
          <w:rFonts w:ascii="Arial" w:hAnsi="Arial" w:cs="Arial"/>
        </w:rPr>
        <w:t xml:space="preserve"> 2023). </w:t>
      </w:r>
      <w:proofErr w:type="spellStart"/>
      <w:r w:rsidRPr="009F6403">
        <w:rPr>
          <w:rFonts w:ascii="Arial" w:hAnsi="Arial" w:cs="Arial"/>
        </w:rPr>
        <w:t>AgroTool</w:t>
      </w:r>
      <w:proofErr w:type="spellEnd"/>
      <w:r w:rsidRPr="009F6403">
        <w:rPr>
          <w:rFonts w:ascii="Arial" w:hAnsi="Arial" w:cs="Arial"/>
        </w:rPr>
        <w:t xml:space="preserve"> can get a substantial competitive edge in the market by offering work flexibility solutions, which will help attract and retain highly skilled individuals. Presently, the significance of achieving a harmonious equilibrium between business and personal life and the ability to adapt one’s daily timetable has escalated. Employees choose their job opportunities based on these factors. Acquiring </w:t>
      </w:r>
      <w:proofErr w:type="spellStart"/>
      <w:r w:rsidRPr="009F6403">
        <w:rPr>
          <w:rFonts w:ascii="Arial" w:hAnsi="Arial" w:cs="Arial"/>
        </w:rPr>
        <w:t>AgroTools</w:t>
      </w:r>
      <w:proofErr w:type="spellEnd"/>
      <w:r w:rsidRPr="009F6403">
        <w:rPr>
          <w:rFonts w:ascii="Arial" w:hAnsi="Arial" w:cs="Arial"/>
        </w:rPr>
        <w:t xml:space="preserve"> could lead the organization to obtain highly proficient staff and develop efficient tactics to keep them, as these solutions are included in the agreement. By doing so, it transforms into a potential employer. </w:t>
      </w:r>
    </w:p>
    <w:p w14:paraId="3D894D3C" w14:textId="77777777" w:rsidR="009F6403" w:rsidRPr="009F6403" w:rsidRDefault="009F6403" w:rsidP="009F6403">
      <w:pPr>
        <w:spacing w:after="0" w:line="360" w:lineRule="auto"/>
        <w:ind w:firstLine="720"/>
        <w:jc w:val="both"/>
        <w:rPr>
          <w:rFonts w:ascii="Arial" w:hAnsi="Arial" w:cs="Arial"/>
        </w:rPr>
      </w:pPr>
    </w:p>
    <w:p w14:paraId="729FE96A" w14:textId="5764DA4D" w:rsidR="009F6403" w:rsidRDefault="009F6403" w:rsidP="009F6403">
      <w:pPr>
        <w:tabs>
          <w:tab w:val="left" w:pos="568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 xml:space="preserve">Considerations before implementation </w:t>
      </w:r>
      <w:r>
        <w:rPr>
          <w:rFonts w:ascii="Arial" w:hAnsi="Arial" w:cs="Arial"/>
          <w:b/>
          <w:i/>
          <w:kern w:val="2"/>
          <w14:ligatures w14:val="standardContextual"/>
        </w:rPr>
        <w:tab/>
      </w:r>
    </w:p>
    <w:p w14:paraId="4C1D0FC0" w14:textId="77777777" w:rsidR="009F6403" w:rsidRPr="009F6403" w:rsidRDefault="009F6403" w:rsidP="009F6403">
      <w:pPr>
        <w:tabs>
          <w:tab w:val="left" w:pos="5685"/>
        </w:tabs>
        <w:spacing w:after="0" w:line="360" w:lineRule="auto"/>
        <w:ind w:firstLine="720"/>
        <w:jc w:val="both"/>
        <w:rPr>
          <w:rFonts w:ascii="Arial" w:hAnsi="Arial" w:cs="Arial"/>
          <w:b/>
          <w:i/>
          <w:kern w:val="2"/>
          <w14:ligatures w14:val="standardContextual"/>
        </w:rPr>
      </w:pPr>
    </w:p>
    <w:p w14:paraId="7BCA7127"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Although flexible working offers numerous benefits, </w:t>
      </w:r>
      <w:proofErr w:type="spellStart"/>
      <w:r w:rsidRPr="009F6403">
        <w:rPr>
          <w:rFonts w:ascii="Arial" w:hAnsi="Arial" w:cs="Arial"/>
        </w:rPr>
        <w:t>AgroTools</w:t>
      </w:r>
      <w:proofErr w:type="spellEnd"/>
      <w:r w:rsidRPr="009F6403">
        <w:rPr>
          <w:rFonts w:ascii="Arial" w:hAnsi="Arial" w:cs="Arial"/>
        </w:rPr>
        <w:t xml:space="preserve"> should prioritize some critical factors before implementing a company-wide adoption of this method. Before implementing human work arrangements, it is necessary to determine the criteria for evaluating a job and a team of specific jobs (Rysavy, Michalak 2020). When considering certain positions that require physical presence in manufacturing or warehousing, it can be challenging to implement remote or flexible employment models as specific tasks may not be suitable for such techniques. Additionally, the consequences of implementing the flex-time working model may vary among </w:t>
      </w:r>
      <w:proofErr w:type="spellStart"/>
      <w:r w:rsidRPr="009F6403">
        <w:rPr>
          <w:rFonts w:ascii="Arial" w:hAnsi="Arial" w:cs="Arial"/>
        </w:rPr>
        <w:t>AgroTool’s</w:t>
      </w:r>
      <w:proofErr w:type="spellEnd"/>
      <w:r w:rsidRPr="009F6403">
        <w:rPr>
          <w:rFonts w:ascii="Arial" w:hAnsi="Arial" w:cs="Arial"/>
        </w:rPr>
        <w:t xml:space="preserve"> three locations: the manufacturing site, warehouse setup, and the office that houses sales and administrative operations. Expanding the on-site staff may be necessary to handle the manufacturing and warehousing transactions across a large area. However, the sales and administrative teams would likely continue with their current workplace setup, which includes remote or hybrid working. </w:t>
      </w:r>
    </w:p>
    <w:p w14:paraId="2063E9DE"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In addition to the implementation process, </w:t>
      </w:r>
      <w:proofErr w:type="spellStart"/>
      <w:r w:rsidRPr="009F6403">
        <w:rPr>
          <w:rFonts w:ascii="Arial" w:hAnsi="Arial" w:cs="Arial"/>
        </w:rPr>
        <w:t>AgroTools</w:t>
      </w:r>
      <w:proofErr w:type="spellEnd"/>
      <w:r w:rsidRPr="009F6403">
        <w:rPr>
          <w:rFonts w:ascii="Arial" w:hAnsi="Arial" w:cs="Arial"/>
        </w:rPr>
        <w:t xml:space="preserve"> would also assess the appropriateness of technical and infrastructural preparedness. Reliable communication tools, </w:t>
      </w:r>
      <w:r w:rsidRPr="009F6403">
        <w:rPr>
          <w:rFonts w:ascii="Arial" w:hAnsi="Arial" w:cs="Arial"/>
        </w:rPr>
        <w:lastRenderedPageBreak/>
        <w:t xml:space="preserve">secure remote access to organizational systems, and stable internet connections are essential for a work-from-home arrangement. To achieve uninterrupted communication and improve efficiency, the government must allocate resources to enhance the technology infrastructure (Rysavy and Michalak 2020). In addition, the HR department can improve its effectiveness by implementing consistent norms and standards for flexible working, preventing any potential inconsistencies or uncertainties. The subjects should pertain to the qualifying criteria, performance monitoring, cyber security procedures, and explicit expectations that need to be established between employees and management. Implementing and adhering to this binning technique requires strong collaboration through effective communication and training. </w:t>
      </w:r>
      <w:proofErr w:type="spellStart"/>
      <w:r w:rsidRPr="009F6403">
        <w:rPr>
          <w:rFonts w:ascii="Arial" w:hAnsi="Arial" w:cs="Arial"/>
        </w:rPr>
        <w:t>AgroTools</w:t>
      </w:r>
      <w:proofErr w:type="spellEnd"/>
      <w:r w:rsidRPr="009F6403">
        <w:rPr>
          <w:rFonts w:ascii="Arial" w:hAnsi="Arial" w:cs="Arial"/>
        </w:rPr>
        <w:t xml:space="preserve"> should establish processes to oversee off-site staff when their work schedule is flexible. This entails employing project management tools, conducting regular online discussions, and establishing performance evaluation criteria for the virtual work environment (</w:t>
      </w:r>
      <w:proofErr w:type="spellStart"/>
      <w:r w:rsidRPr="009F6403">
        <w:rPr>
          <w:rFonts w:ascii="Arial" w:hAnsi="Arial" w:cs="Arial"/>
        </w:rPr>
        <w:t>Williramson</w:t>
      </w:r>
      <w:proofErr w:type="spellEnd"/>
      <w:r w:rsidRPr="009F6403">
        <w:rPr>
          <w:rFonts w:ascii="Arial" w:hAnsi="Arial" w:cs="Arial"/>
        </w:rPr>
        <w:t xml:space="preserve"> et al. 2021). As role models and reliable leaders, managers will significantly foster a culture of trust, accountability, and transparent communication in creating relationships inside the organization. </w:t>
      </w:r>
    </w:p>
    <w:p w14:paraId="15C59088" w14:textId="77777777" w:rsidR="009F6403" w:rsidRPr="009F6403" w:rsidRDefault="009F6403" w:rsidP="009F6403">
      <w:pPr>
        <w:spacing w:after="0" w:line="360" w:lineRule="auto"/>
        <w:ind w:firstLine="720"/>
        <w:jc w:val="both"/>
        <w:rPr>
          <w:rFonts w:ascii="Arial" w:hAnsi="Arial" w:cs="Arial"/>
        </w:rPr>
      </w:pPr>
    </w:p>
    <w:p w14:paraId="340FB780" w14:textId="57467657" w:rsidR="009F6403" w:rsidRDefault="009F6403" w:rsidP="009F6403">
      <w:pPr>
        <w:tabs>
          <w:tab w:val="left" w:pos="565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 xml:space="preserve">Pay structure reconfiguration </w:t>
      </w:r>
      <w:r>
        <w:rPr>
          <w:rFonts w:ascii="Arial" w:hAnsi="Arial" w:cs="Arial"/>
          <w:b/>
          <w:i/>
          <w:kern w:val="2"/>
          <w14:ligatures w14:val="standardContextual"/>
        </w:rPr>
        <w:tab/>
      </w:r>
    </w:p>
    <w:p w14:paraId="64BB7524" w14:textId="77777777" w:rsidR="009F6403" w:rsidRPr="009F6403" w:rsidRDefault="009F6403" w:rsidP="009F6403">
      <w:pPr>
        <w:tabs>
          <w:tab w:val="left" w:pos="5655"/>
        </w:tabs>
        <w:spacing w:after="0" w:line="360" w:lineRule="auto"/>
        <w:ind w:firstLine="720"/>
        <w:jc w:val="both"/>
        <w:rPr>
          <w:rFonts w:ascii="Arial" w:hAnsi="Arial" w:cs="Arial"/>
          <w:b/>
          <w:i/>
          <w:kern w:val="2"/>
          <w14:ligatures w14:val="standardContextual"/>
        </w:rPr>
      </w:pPr>
    </w:p>
    <w:p w14:paraId="59FF78C6"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In order to ensure equity, adherence, and uniformity with the company’s mission goals, </w:t>
      </w:r>
      <w:proofErr w:type="spellStart"/>
      <w:r w:rsidRPr="009F6403">
        <w:rPr>
          <w:rFonts w:ascii="Arial" w:hAnsi="Arial" w:cs="Arial"/>
        </w:rPr>
        <w:t>AgroTools</w:t>
      </w:r>
      <w:proofErr w:type="spellEnd"/>
      <w:r w:rsidRPr="009F6403">
        <w:rPr>
          <w:rFonts w:ascii="Arial" w:hAnsi="Arial" w:cs="Arial"/>
        </w:rPr>
        <w:t xml:space="preserve"> may need to modify its remuneration approach while transitioning to a flexible work arrangement model (Williamson et al. 2021). Another factor that must be considered is the disparity between the remuneration of hourly workers and those who get a fixed income. Hourly employees should adopt the comprehensive time-tracking solution that assists in recording and compensating for the hours spent remotely. Additionally, </w:t>
      </w:r>
      <w:proofErr w:type="spellStart"/>
      <w:r w:rsidRPr="009F6403">
        <w:rPr>
          <w:rFonts w:ascii="Arial" w:hAnsi="Arial" w:cs="Arial"/>
        </w:rPr>
        <w:t>AgroTools</w:t>
      </w:r>
      <w:proofErr w:type="spellEnd"/>
      <w:r w:rsidRPr="009F6403">
        <w:rPr>
          <w:rFonts w:ascii="Arial" w:hAnsi="Arial" w:cs="Arial"/>
        </w:rPr>
        <w:t xml:space="preserve"> should explore providing remote employees with reimbursement for their expenses when working from home, such as Wi-Fi fees, utility charges, and office equipment costs. This can be accomplished by implementing allowances or reimbursement systems that prevent individuals from experiencing financial difficulties while working flexibly.</w:t>
      </w:r>
    </w:p>
    <w:p w14:paraId="38C92483"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An alternative strategy that could be examined is the implementation of incentive-based rewards or performance-based remuneration schemes. </w:t>
      </w:r>
      <w:proofErr w:type="spellStart"/>
      <w:r w:rsidRPr="009F6403">
        <w:rPr>
          <w:rFonts w:ascii="Arial" w:hAnsi="Arial" w:cs="Arial"/>
        </w:rPr>
        <w:t>AgroTools</w:t>
      </w:r>
      <w:proofErr w:type="spellEnd"/>
      <w:r w:rsidRPr="009F6403">
        <w:rPr>
          <w:rFonts w:ascii="Arial" w:hAnsi="Arial" w:cs="Arial"/>
        </w:rPr>
        <w:t xml:space="preserve"> prioritizes workers’ outcomes, potentially leading to a more systematic approach and a goal-oriented culture that disregards employees’ physical location or working hours. Formulating a valid key performance indicator that is transparent and tailored to the flexible work environment is regarded as necessary by most organizations. Whether with budgeting, segmentation, allocation, staffing, or project closing, each human resource rule from minimum wage to equal payment for equal jobs should be kept within </w:t>
      </w:r>
      <w:r w:rsidRPr="009F6403">
        <w:rPr>
          <w:rFonts w:ascii="Arial" w:hAnsi="Arial" w:cs="Arial"/>
        </w:rPr>
        <w:lastRenderedPageBreak/>
        <w:t>the agrotechnological area when resources are being allocated. Therefore, developing a strategic plan and bringing in legal experts for complex jobs will help tackle legal issues conveniently.</w:t>
      </w:r>
    </w:p>
    <w:p w14:paraId="58B5B9D1" w14:textId="77777777" w:rsidR="009F6403" w:rsidRPr="009F6403" w:rsidRDefault="009F6403" w:rsidP="009F6403">
      <w:pPr>
        <w:spacing w:after="0" w:line="360" w:lineRule="auto"/>
        <w:ind w:firstLine="720"/>
        <w:jc w:val="both"/>
        <w:rPr>
          <w:rFonts w:ascii="Arial" w:hAnsi="Arial" w:cs="Arial"/>
        </w:rPr>
      </w:pPr>
    </w:p>
    <w:p w14:paraId="178A949A" w14:textId="4EA67299"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Promoting employee engagement strategies</w:t>
      </w:r>
      <w:r>
        <w:rPr>
          <w:rFonts w:ascii="Arial" w:hAnsi="Arial" w:cs="Arial"/>
          <w:b/>
          <w:i/>
          <w:kern w:val="2"/>
          <w14:ligatures w14:val="standardContextual"/>
        </w:rPr>
        <w:tab/>
      </w:r>
    </w:p>
    <w:p w14:paraId="7799ACBD"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3A7397B6"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The efficacy of </w:t>
      </w:r>
      <w:proofErr w:type="spellStart"/>
      <w:r w:rsidRPr="009F6403">
        <w:rPr>
          <w:rFonts w:ascii="Arial" w:hAnsi="Arial" w:cs="Arial"/>
        </w:rPr>
        <w:t>AgroTools</w:t>
      </w:r>
      <w:proofErr w:type="spellEnd"/>
      <w:r w:rsidRPr="009F6403">
        <w:rPr>
          <w:rFonts w:ascii="Arial" w:hAnsi="Arial" w:cs="Arial"/>
        </w:rPr>
        <w:t xml:space="preserve">’ approach to addressing flexible working would heavily depend on implementing appropriate employee engagement strategies. To achieve effective remote working, it is crucial to integrate tools that improve communication and collaboration. These tools include video conferencing platforms, project management software, and instant messaging programs (Rysavy and Michalak 2020). These solutions would greatly facilitate the smooth and efficient connection, exchange of information, and collaboration across offices in different geographical locations. Therefore, the challenges that may arise due to the distance will be lessened. </w:t>
      </w:r>
      <w:proofErr w:type="spellStart"/>
      <w:r w:rsidRPr="009F6403">
        <w:rPr>
          <w:rFonts w:ascii="Arial" w:hAnsi="Arial" w:cs="Arial"/>
        </w:rPr>
        <w:t>AgroTools</w:t>
      </w:r>
      <w:proofErr w:type="spellEnd"/>
      <w:r w:rsidRPr="009F6403">
        <w:rPr>
          <w:rFonts w:ascii="Arial" w:hAnsi="Arial" w:cs="Arial"/>
        </w:rPr>
        <w:t xml:space="preserve"> should prioritize virtual team-building games or social gatherings to foster team spirit and camaraderie among employees, regardless of whether they work remotely or in the office. They coordinate and arrange recreational events such as virtual coffee breaks, online game gatherings, and group virtual training sessions led by experts. </w:t>
      </w:r>
    </w:p>
    <w:p w14:paraId="7F8FEAB1"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Implementing a well-defined recognition and rewards strategy designed explicitly for adaptable work settings is a strategic decision that should be given significant attention to employee engagement and morale. Aid programs should incorporate incentives and acknowledgments for individuals and organizations who have succeeded in persuading people to embrace the behavior and mindset that aligns with the ideas and aims of </w:t>
      </w:r>
      <w:proofErr w:type="spellStart"/>
      <w:r w:rsidRPr="009F6403">
        <w:rPr>
          <w:rFonts w:ascii="Arial" w:hAnsi="Arial" w:cs="Arial"/>
        </w:rPr>
        <w:t>AgroTools</w:t>
      </w:r>
      <w:proofErr w:type="spellEnd"/>
      <w:r w:rsidRPr="009F6403">
        <w:rPr>
          <w:rFonts w:ascii="Arial" w:hAnsi="Arial" w:cs="Arial"/>
        </w:rPr>
        <w:t xml:space="preserve"> (Ciric Lalic et al. 2022). Training and development are alternative approaches to enhance employee engagement initiatives through training. </w:t>
      </w:r>
      <w:proofErr w:type="spellStart"/>
      <w:r w:rsidRPr="009F6403">
        <w:rPr>
          <w:rFonts w:ascii="Arial" w:hAnsi="Arial" w:cs="Arial"/>
        </w:rPr>
        <w:t>AgroTools</w:t>
      </w:r>
      <w:proofErr w:type="spellEnd"/>
      <w:r w:rsidRPr="009F6403">
        <w:rPr>
          <w:rFonts w:ascii="Arial" w:hAnsi="Arial" w:cs="Arial"/>
        </w:rPr>
        <w:t xml:space="preserve"> can facilitate team members’ professional growth, especially in remote or hybrid work settings. This can be achieved through online learning platforms, webinars, and virtual coaching sessions, which are considered the most effective online tools. Furthermore, the growing problem of isolation and social separation in flexible job arrangements necessitates a significant response. Regularly scheduled formal and informal meetings with my immediate manager and other coworkers can help me address any difficulties I may have with fellow employees. Consequently, when workplaces have clearly defined limits and are specialized for work, people can maintain a healthy balance between their work and personal lives. </w:t>
      </w:r>
    </w:p>
    <w:p w14:paraId="16004762" w14:textId="77777777" w:rsidR="009F6403" w:rsidRDefault="009F6403" w:rsidP="009F6403">
      <w:pPr>
        <w:spacing w:after="0" w:line="360" w:lineRule="auto"/>
        <w:ind w:firstLine="720"/>
        <w:jc w:val="both"/>
        <w:rPr>
          <w:rFonts w:ascii="Arial" w:hAnsi="Arial" w:cs="Arial"/>
        </w:rPr>
      </w:pPr>
    </w:p>
    <w:p w14:paraId="7A686F23" w14:textId="77777777" w:rsidR="009F6403" w:rsidRDefault="009F6403" w:rsidP="009F6403">
      <w:pPr>
        <w:spacing w:after="0" w:line="360" w:lineRule="auto"/>
        <w:ind w:firstLine="720"/>
        <w:jc w:val="both"/>
        <w:rPr>
          <w:rFonts w:ascii="Arial" w:hAnsi="Arial" w:cs="Arial"/>
        </w:rPr>
      </w:pPr>
    </w:p>
    <w:p w14:paraId="00E4FF3D" w14:textId="77777777" w:rsidR="00BB3FA5" w:rsidRDefault="00BB3FA5" w:rsidP="009F6403">
      <w:pPr>
        <w:tabs>
          <w:tab w:val="left" w:pos="6945"/>
        </w:tabs>
        <w:spacing w:after="0" w:line="360" w:lineRule="auto"/>
        <w:ind w:firstLine="720"/>
        <w:jc w:val="both"/>
        <w:rPr>
          <w:rFonts w:ascii="Arial" w:hAnsi="Arial" w:cs="Arial"/>
        </w:rPr>
      </w:pPr>
    </w:p>
    <w:p w14:paraId="4F2B96BD" w14:textId="0CA3BF0D"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lastRenderedPageBreak/>
        <w:t xml:space="preserve">Exploring literature/sources </w:t>
      </w:r>
    </w:p>
    <w:p w14:paraId="388ECE32"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5642B609"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Several studies and case studies have shown that this makes workplaces more productive and more comfortable for workers. Harvard Business Review research from 2021 shows that hybrid working methods boost satisfaction, productivity, and retention (Goldberg et al. 2022). In 2021, </w:t>
      </w:r>
      <w:proofErr w:type="spellStart"/>
      <w:r w:rsidRPr="009F6403">
        <w:rPr>
          <w:rFonts w:ascii="Arial" w:hAnsi="Arial" w:cs="Arial"/>
        </w:rPr>
        <w:t>Dharmani</w:t>
      </w:r>
      <w:proofErr w:type="spellEnd"/>
      <w:r w:rsidRPr="009F6403">
        <w:rPr>
          <w:rFonts w:ascii="Arial" w:hAnsi="Arial" w:cs="Arial"/>
        </w:rPr>
        <w:t xml:space="preserve">, Das, and Prashar found that organizations that implemented flexible work practices had increased employee engagement and lower operating costs. Adaptable work styles are not without challenges. Mazumder et al. (2023) found that distance workers feel lonely and separated from their supervisors. They became disengaged and unproductive. An articulate corporate culture, communication channels, and an inclusive atmosphere for team members in all locations are needed. </w:t>
      </w:r>
    </w:p>
    <w:p w14:paraId="584E6E41"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Case studies in similar sectors will help you understand </w:t>
      </w:r>
      <w:proofErr w:type="spellStart"/>
      <w:r w:rsidRPr="009F6403">
        <w:rPr>
          <w:rFonts w:ascii="Arial" w:hAnsi="Arial" w:cs="Arial"/>
        </w:rPr>
        <w:t>AgroTools</w:t>
      </w:r>
      <w:proofErr w:type="spellEnd"/>
      <w:r w:rsidRPr="009F6403">
        <w:rPr>
          <w:rFonts w:ascii="Arial" w:hAnsi="Arial" w:cs="Arial"/>
        </w:rPr>
        <w:t xml:space="preserve">’ green industry, which includes manufacturing, storage, and sales/administration. Grzegorczyk’s (2021) adaptive work schedules worked in a vehicle manufacturing firm. The hybrid method allowed on-site/office-based personnel to follow the office’s flexible norms while manufacturing line workers worked in the factory. The company’s ability to do this allowed it to reap the infinite benefits of the new working style with minimum manufacturing impact. Rysavy and Michalak (2022) also investigated adaptable work methods in a large agricultural equipment manufacturer. The organization received financing for emergency information-sharing systems, Internet training, and home-based worker requirements. In addition, they built performance-based reward systems to meet production targets and maintain productivity. Additionally, workplace accountability will be fostered. Employees are happier, wealthier, and more productive now that the organization has a comprehensive plan budget. </w:t>
      </w:r>
    </w:p>
    <w:p w14:paraId="53E89E89"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Research and practice suggest that a specific and well-defined policy should manage </w:t>
      </w:r>
      <w:proofErr w:type="spellStart"/>
      <w:r w:rsidRPr="009F6403">
        <w:rPr>
          <w:rFonts w:ascii="Arial" w:hAnsi="Arial" w:cs="Arial"/>
        </w:rPr>
        <w:t>Agrotools</w:t>
      </w:r>
      <w:proofErr w:type="spellEnd"/>
      <w:r w:rsidRPr="009F6403">
        <w:rPr>
          <w:rFonts w:ascii="Arial" w:hAnsi="Arial" w:cs="Arial"/>
        </w:rPr>
        <w:t xml:space="preserve">’ recent use of flexible working conditions. </w:t>
      </w:r>
      <w:proofErr w:type="spellStart"/>
      <w:r w:rsidRPr="009F6403">
        <w:rPr>
          <w:rFonts w:ascii="Arial" w:hAnsi="Arial" w:cs="Arial"/>
        </w:rPr>
        <w:t>AgroTools</w:t>
      </w:r>
      <w:proofErr w:type="spellEnd"/>
      <w:r w:rsidRPr="009F6403">
        <w:rPr>
          <w:rFonts w:ascii="Arial" w:hAnsi="Arial" w:cs="Arial"/>
        </w:rPr>
        <w:t xml:space="preserve"> uses industry best practices and assistance from peers in other sectors to minimize limits and play to its strengths to implement creative transformation. </w:t>
      </w:r>
    </w:p>
    <w:p w14:paraId="10F672CC" w14:textId="77777777" w:rsidR="009F6403" w:rsidRPr="009F6403" w:rsidRDefault="009F6403" w:rsidP="009F6403">
      <w:pPr>
        <w:spacing w:after="0" w:line="360" w:lineRule="auto"/>
        <w:ind w:firstLine="720"/>
        <w:jc w:val="both"/>
        <w:rPr>
          <w:rFonts w:ascii="Arial" w:hAnsi="Arial" w:cs="Arial"/>
        </w:rPr>
      </w:pPr>
    </w:p>
    <w:p w14:paraId="1E16CF54"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Conclusion</w:t>
      </w:r>
    </w:p>
    <w:p w14:paraId="6C1C9005" w14:textId="77777777"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Summary of key points</w:t>
      </w:r>
    </w:p>
    <w:p w14:paraId="425809DF"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1ECE0D19"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Implementing flexible working arrangements at </w:t>
      </w:r>
      <w:proofErr w:type="spellStart"/>
      <w:r w:rsidRPr="009F6403">
        <w:rPr>
          <w:rFonts w:ascii="Arial" w:hAnsi="Arial" w:cs="Arial"/>
        </w:rPr>
        <w:t>AgroTools</w:t>
      </w:r>
      <w:proofErr w:type="spellEnd"/>
      <w:r w:rsidRPr="009F6403">
        <w:rPr>
          <w:rFonts w:ascii="Arial" w:hAnsi="Arial" w:cs="Arial"/>
        </w:rPr>
        <w:t xml:space="preserve"> enables the company to accomplish various significant objectives, including enhancing employee loyalty, increasing productivity and efficiency, and reducing operational expenses. Consequently, this positions the </w:t>
      </w:r>
      <w:r w:rsidRPr="009F6403">
        <w:rPr>
          <w:rFonts w:ascii="Arial" w:hAnsi="Arial" w:cs="Arial"/>
        </w:rPr>
        <w:lastRenderedPageBreak/>
        <w:t xml:space="preserve">company as an appealing employer in the highly competitive job market. Effectively handling the challenging hurdles that </w:t>
      </w:r>
      <w:proofErr w:type="spellStart"/>
      <w:r w:rsidRPr="009F6403">
        <w:rPr>
          <w:rFonts w:ascii="Arial" w:hAnsi="Arial" w:cs="Arial"/>
        </w:rPr>
        <w:t>AgroTools</w:t>
      </w:r>
      <w:proofErr w:type="spellEnd"/>
      <w:r w:rsidRPr="009F6403">
        <w:rPr>
          <w:rFonts w:ascii="Arial" w:hAnsi="Arial" w:cs="Arial"/>
        </w:rPr>
        <w:t xml:space="preserve"> encounters, such as production, warehousing, and sales/management offices, is paramount. Important factors include evaluating the appropriateness of jobs for remote labor, establishing a robust regulatory framework, modifying remuneration systems, and investing in technology and infrastructure to manage a remote workforce efficiently. </w:t>
      </w:r>
    </w:p>
    <w:p w14:paraId="4BBA476F" w14:textId="77777777" w:rsidR="009F6403" w:rsidRPr="009F6403" w:rsidRDefault="009F6403" w:rsidP="009F6403">
      <w:pPr>
        <w:spacing w:after="0" w:line="360" w:lineRule="auto"/>
        <w:ind w:firstLine="720"/>
        <w:jc w:val="both"/>
        <w:rPr>
          <w:rFonts w:ascii="Arial" w:hAnsi="Arial" w:cs="Arial"/>
        </w:rPr>
      </w:pPr>
    </w:p>
    <w:p w14:paraId="61D94688" w14:textId="77777777"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 xml:space="preserve">Implications for </w:t>
      </w:r>
      <w:proofErr w:type="spellStart"/>
      <w:r w:rsidRPr="009F6403">
        <w:rPr>
          <w:rFonts w:ascii="Arial" w:hAnsi="Arial" w:cs="Arial"/>
          <w:b/>
          <w:i/>
          <w:kern w:val="2"/>
          <w14:ligatures w14:val="standardContextual"/>
        </w:rPr>
        <w:t>AgroTools</w:t>
      </w:r>
      <w:proofErr w:type="spellEnd"/>
    </w:p>
    <w:p w14:paraId="4AC0FDB6"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6773B010" w14:textId="77777777" w:rsidR="009F6403" w:rsidRDefault="009F6403" w:rsidP="009F6403">
      <w:pPr>
        <w:spacing w:after="0" w:line="360" w:lineRule="auto"/>
        <w:ind w:firstLine="720"/>
        <w:jc w:val="both"/>
        <w:rPr>
          <w:rFonts w:ascii="Arial" w:hAnsi="Arial" w:cs="Arial"/>
        </w:rPr>
      </w:pPr>
      <w:r w:rsidRPr="009F6403">
        <w:rPr>
          <w:rFonts w:ascii="Arial" w:hAnsi="Arial" w:cs="Arial"/>
        </w:rPr>
        <w:t xml:space="preserve">The implementation of flexible working arrangements can have an impact on the company’s operations, both in principle and in practice. Three outcomes can occur: modifying the company’s organizational culture, fostering innovation, and enhancing competition in the agricultural equipment business. However, neglecting these issues could lead to decreased productivity, disengagement among personnel, and operational difficulties. </w:t>
      </w:r>
    </w:p>
    <w:p w14:paraId="5F912F70" w14:textId="77777777" w:rsidR="009F6403" w:rsidRPr="009F6403" w:rsidRDefault="009F6403" w:rsidP="009F6403">
      <w:pPr>
        <w:spacing w:after="0" w:line="360" w:lineRule="auto"/>
        <w:ind w:firstLine="720"/>
        <w:jc w:val="both"/>
        <w:rPr>
          <w:rFonts w:ascii="Arial" w:hAnsi="Arial" w:cs="Arial"/>
        </w:rPr>
      </w:pPr>
    </w:p>
    <w:p w14:paraId="5C363BCA" w14:textId="77777777"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 xml:space="preserve">Implementation recommendations </w:t>
      </w:r>
    </w:p>
    <w:p w14:paraId="4E93710D"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27A09664" w14:textId="77777777" w:rsidR="009F6403" w:rsidRDefault="009F6403" w:rsidP="009F6403">
      <w:pPr>
        <w:spacing w:after="0" w:line="360" w:lineRule="auto"/>
        <w:ind w:firstLine="720"/>
        <w:jc w:val="both"/>
        <w:rPr>
          <w:rFonts w:ascii="Arial" w:hAnsi="Arial" w:cs="Arial"/>
        </w:rPr>
      </w:pPr>
      <w:proofErr w:type="spellStart"/>
      <w:r w:rsidRPr="009F6403">
        <w:rPr>
          <w:rFonts w:ascii="Arial" w:hAnsi="Arial" w:cs="Arial"/>
        </w:rPr>
        <w:t>AgroTools</w:t>
      </w:r>
      <w:proofErr w:type="spellEnd"/>
      <w:r w:rsidRPr="009F6403">
        <w:rPr>
          <w:rFonts w:ascii="Arial" w:hAnsi="Arial" w:cs="Arial"/>
        </w:rPr>
        <w:t xml:space="preserve"> should use a gradual approach while establishing flexible working methods, as suggested in my report. An extensive examination of the organization’s preparedness, including a comprehensive audit, should be conducted. This should involve the creation of thorough policies and guidelines, as well as the allocation of funds for the acquisition of the required technological infrastructure (Verma et al. 2023). Furthermore, it is crucial to establish effective staff engagement procedures, performance measurement tools, and clear communication routes to ensure a seamless transition. </w:t>
      </w:r>
    </w:p>
    <w:p w14:paraId="7B4EEE40" w14:textId="77777777" w:rsidR="009F6403" w:rsidRPr="009F6403" w:rsidRDefault="009F6403" w:rsidP="009F6403">
      <w:pPr>
        <w:spacing w:after="0" w:line="360" w:lineRule="auto"/>
        <w:ind w:firstLine="720"/>
        <w:jc w:val="both"/>
        <w:rPr>
          <w:rFonts w:ascii="Arial" w:hAnsi="Arial" w:cs="Arial"/>
        </w:rPr>
      </w:pPr>
    </w:p>
    <w:p w14:paraId="56B64448" w14:textId="77777777" w:rsidR="009F6403" w:rsidRDefault="009F6403" w:rsidP="009F6403">
      <w:pPr>
        <w:tabs>
          <w:tab w:val="left" w:pos="6945"/>
        </w:tabs>
        <w:spacing w:after="0" w:line="360" w:lineRule="auto"/>
        <w:ind w:firstLine="720"/>
        <w:jc w:val="both"/>
        <w:rPr>
          <w:rFonts w:ascii="Arial" w:hAnsi="Arial" w:cs="Arial"/>
          <w:b/>
          <w:i/>
          <w:kern w:val="2"/>
          <w14:ligatures w14:val="standardContextual"/>
        </w:rPr>
      </w:pPr>
      <w:r w:rsidRPr="009F6403">
        <w:rPr>
          <w:rFonts w:ascii="Arial" w:hAnsi="Arial" w:cs="Arial"/>
          <w:b/>
          <w:i/>
          <w:kern w:val="2"/>
          <w14:ligatures w14:val="standardContextual"/>
        </w:rPr>
        <w:t>Limitations and future considerations</w:t>
      </w:r>
    </w:p>
    <w:p w14:paraId="3640A1BD" w14:textId="77777777" w:rsidR="009F6403" w:rsidRPr="009F6403" w:rsidRDefault="009F6403" w:rsidP="009F6403">
      <w:pPr>
        <w:tabs>
          <w:tab w:val="left" w:pos="6945"/>
        </w:tabs>
        <w:spacing w:after="0" w:line="360" w:lineRule="auto"/>
        <w:ind w:firstLine="720"/>
        <w:jc w:val="both"/>
        <w:rPr>
          <w:rFonts w:ascii="Arial" w:hAnsi="Arial" w:cs="Arial"/>
          <w:b/>
          <w:i/>
          <w:kern w:val="2"/>
          <w14:ligatures w14:val="standardContextual"/>
        </w:rPr>
      </w:pPr>
    </w:p>
    <w:p w14:paraId="296662B6" w14:textId="77777777" w:rsidR="009F6403" w:rsidRPr="009F6403" w:rsidRDefault="009F6403" w:rsidP="009F6403">
      <w:pPr>
        <w:spacing w:after="0" w:line="360" w:lineRule="auto"/>
        <w:ind w:firstLine="720"/>
        <w:jc w:val="both"/>
        <w:rPr>
          <w:rFonts w:ascii="Arial" w:hAnsi="Arial" w:cs="Arial"/>
        </w:rPr>
      </w:pPr>
      <w:r w:rsidRPr="009F6403">
        <w:rPr>
          <w:rFonts w:ascii="Arial" w:hAnsi="Arial" w:cs="Arial"/>
        </w:rPr>
        <w:t xml:space="preserve">Constraints and prospective factors must be taken into account in the future. While this report offers a thorough overview, it is crucial to identify any weaknesses and reassess the strategy as the circumstances vary. Potential future challenges may include evaluating emerging technology, monitoring existing trends, and adapting to employee preferences and market dynamics. </w:t>
      </w:r>
    </w:p>
    <w:p w14:paraId="57E5B0D0" w14:textId="77777777" w:rsidR="009F6403" w:rsidRPr="009F6403" w:rsidRDefault="009F6403" w:rsidP="009F6403">
      <w:pPr>
        <w:spacing w:after="0" w:line="360" w:lineRule="auto"/>
        <w:ind w:firstLine="720"/>
        <w:jc w:val="both"/>
        <w:rPr>
          <w:rFonts w:ascii="Arial" w:hAnsi="Arial" w:cs="Arial"/>
        </w:rPr>
      </w:pPr>
    </w:p>
    <w:p w14:paraId="21BD0D75" w14:textId="77777777" w:rsidR="009F6403" w:rsidRDefault="009F6403" w:rsidP="009F6403">
      <w:pPr>
        <w:rPr>
          <w:rFonts w:ascii="Times New Roman" w:hAnsi="Times New Roman" w:cs="Times New Roman"/>
          <w:sz w:val="24"/>
          <w:szCs w:val="24"/>
        </w:rPr>
      </w:pPr>
      <w:r>
        <w:rPr>
          <w:rFonts w:ascii="Times New Roman" w:hAnsi="Times New Roman" w:cs="Times New Roman"/>
          <w:sz w:val="24"/>
          <w:szCs w:val="24"/>
        </w:rPr>
        <w:br w:type="page"/>
      </w:r>
    </w:p>
    <w:p w14:paraId="17318DEF" w14:textId="77777777" w:rsidR="005156E3" w:rsidRPr="005156E3" w:rsidRDefault="005156E3" w:rsidP="005156E3">
      <w:pPr>
        <w:pBdr>
          <w:top w:val="single" w:sz="4" w:space="1" w:color="auto"/>
        </w:pBdr>
        <w:spacing w:after="0" w:line="360" w:lineRule="auto"/>
        <w:ind w:firstLine="720"/>
        <w:jc w:val="both"/>
        <w:rPr>
          <w:rFonts w:ascii="Arial" w:hAnsi="Arial" w:cs="Arial"/>
          <w:b/>
          <w:i/>
        </w:rPr>
      </w:pPr>
      <w:r w:rsidRPr="005156E3">
        <w:rPr>
          <w:rFonts w:ascii="Arial" w:hAnsi="Arial" w:cs="Arial"/>
          <w:b/>
          <w:i/>
        </w:rPr>
        <w:lastRenderedPageBreak/>
        <w:t>References</w:t>
      </w:r>
    </w:p>
    <w:p w14:paraId="31C5B299" w14:textId="08617638" w:rsidR="00C04508" w:rsidRDefault="00C04508" w:rsidP="00C04508">
      <w:pPr>
        <w:spacing w:after="0" w:line="360" w:lineRule="auto"/>
        <w:jc w:val="both"/>
        <w:rPr>
          <w:rFonts w:ascii="Arial" w:hAnsi="Arial" w:cs="Arial"/>
        </w:rPr>
      </w:pPr>
    </w:p>
    <w:p w14:paraId="271851DF"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 xml:space="preserve">Ciric Lalic, D., Lalic, B., </w:t>
      </w:r>
      <w:proofErr w:type="spellStart"/>
      <w:r w:rsidRPr="009F6403">
        <w:rPr>
          <w:rFonts w:ascii="Arial" w:hAnsi="Arial" w:cs="Arial"/>
        </w:rPr>
        <w:t>Delić</w:t>
      </w:r>
      <w:proofErr w:type="spellEnd"/>
      <w:r w:rsidRPr="009F6403">
        <w:rPr>
          <w:rFonts w:ascii="Arial" w:hAnsi="Arial" w:cs="Arial"/>
        </w:rPr>
        <w:t>, M., Gracanin, D. and Stefanovic, D., 2022. How project management approach impact project success? From traditional to agile. International Journal of Managing Projects in Business, 15(3), pp.494-521.</w:t>
      </w:r>
    </w:p>
    <w:p w14:paraId="6B09A45D"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proofErr w:type="spellStart"/>
      <w:r w:rsidRPr="009F6403">
        <w:rPr>
          <w:rFonts w:ascii="Arial" w:hAnsi="Arial" w:cs="Arial"/>
        </w:rPr>
        <w:t>Dharmani</w:t>
      </w:r>
      <w:proofErr w:type="spellEnd"/>
      <w:r w:rsidRPr="009F6403">
        <w:rPr>
          <w:rFonts w:ascii="Arial" w:hAnsi="Arial" w:cs="Arial"/>
        </w:rPr>
        <w:t>, P., Das, S. and Prashar, S., 2021. A bibliometric analysis of creative industries: Current trends and future directions. Journal of Business Research, 135, pp.252-267.</w:t>
      </w:r>
    </w:p>
    <w:p w14:paraId="6BF36125"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 xml:space="preserve">Grzegorczyk, M., Mariniello, M., Nurski, L. and </w:t>
      </w:r>
      <w:proofErr w:type="spellStart"/>
      <w:r w:rsidRPr="009F6403">
        <w:rPr>
          <w:rFonts w:ascii="Arial" w:hAnsi="Arial" w:cs="Arial"/>
        </w:rPr>
        <w:t>Schraepen</w:t>
      </w:r>
      <w:proofErr w:type="spellEnd"/>
      <w:r w:rsidRPr="009F6403">
        <w:rPr>
          <w:rFonts w:ascii="Arial" w:hAnsi="Arial" w:cs="Arial"/>
        </w:rPr>
        <w:t>, T., 2021. Blending the physical and virtual: a hybrid model for the future of work (No. 14/2021). Bruegel Policy Contribution.</w:t>
      </w:r>
    </w:p>
    <w:p w14:paraId="72E2AEDE"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 xml:space="preserve">Hopkins, J. and </w:t>
      </w:r>
      <w:proofErr w:type="spellStart"/>
      <w:r w:rsidRPr="009F6403">
        <w:rPr>
          <w:rFonts w:ascii="Arial" w:hAnsi="Arial" w:cs="Arial"/>
        </w:rPr>
        <w:t>Bardoel</w:t>
      </w:r>
      <w:proofErr w:type="spellEnd"/>
      <w:r w:rsidRPr="009F6403">
        <w:rPr>
          <w:rFonts w:ascii="Arial" w:hAnsi="Arial" w:cs="Arial"/>
        </w:rPr>
        <w:t xml:space="preserve">, A., 2023. The future is hybrid: how </w:t>
      </w:r>
      <w:proofErr w:type="spellStart"/>
      <w:r w:rsidRPr="009F6403">
        <w:rPr>
          <w:rFonts w:ascii="Arial" w:hAnsi="Arial" w:cs="Arial"/>
        </w:rPr>
        <w:t>organisations</w:t>
      </w:r>
      <w:proofErr w:type="spellEnd"/>
      <w:r w:rsidRPr="009F6403">
        <w:rPr>
          <w:rFonts w:ascii="Arial" w:hAnsi="Arial" w:cs="Arial"/>
        </w:rPr>
        <w:t xml:space="preserve"> are designing and supporting sustainable hybrid work models in post-pandemic Australia. Sustainability, 15(4), p.3086.</w:t>
      </w:r>
    </w:p>
    <w:p w14:paraId="7D5B602C"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Mazumder, A., Sahed, M.F., Tasneem, Z., Das, P., Badal, F.R., Ali, M.F., Ahamed, M.H., Abhi, S.H., Sarker, S.K., Das, S.K. and Hasan, M.M., 2023. Towards next generation digital twin in robotics: Trends, scopes, challenges, and future. </w:t>
      </w:r>
      <w:proofErr w:type="spellStart"/>
      <w:r w:rsidRPr="009F6403">
        <w:rPr>
          <w:rFonts w:ascii="Arial" w:hAnsi="Arial" w:cs="Arial"/>
        </w:rPr>
        <w:t>Heliyon</w:t>
      </w:r>
      <w:proofErr w:type="spellEnd"/>
      <w:r w:rsidRPr="009F6403">
        <w:rPr>
          <w:rFonts w:ascii="Arial" w:hAnsi="Arial" w:cs="Arial"/>
        </w:rPr>
        <w:t>, 9(2).</w:t>
      </w:r>
    </w:p>
    <w:p w14:paraId="35857CFC"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Rysavy, M.D. and Michalak, R., 2020. Working from home: How we managed our team remotely with technology. Journal of Library Administration, 60(5), pp.532-542.</w:t>
      </w:r>
    </w:p>
    <w:p w14:paraId="5D1892E8"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Verma, A., Venkatesan, M., Kumar, M. and Verma, J., 2023. The future of work post Covid-19: key perceived HR implications of hybrid workplaces in India. Journal of Management Development, 42(1), pp.13-28.</w:t>
      </w:r>
    </w:p>
    <w:p w14:paraId="12C8B370" w14:textId="77777777" w:rsidR="009F6403" w:rsidRPr="009F6403" w:rsidRDefault="009F6403" w:rsidP="009F6403">
      <w:pPr>
        <w:pStyle w:val="ListParagraph"/>
        <w:numPr>
          <w:ilvl w:val="0"/>
          <w:numId w:val="2"/>
        </w:numPr>
        <w:spacing w:after="0" w:line="360" w:lineRule="auto"/>
        <w:ind w:left="0" w:firstLine="720"/>
        <w:jc w:val="both"/>
        <w:rPr>
          <w:rFonts w:ascii="Arial" w:hAnsi="Arial" w:cs="Arial"/>
        </w:rPr>
      </w:pPr>
      <w:r w:rsidRPr="009F6403">
        <w:rPr>
          <w:rFonts w:ascii="Arial" w:hAnsi="Arial" w:cs="Arial"/>
        </w:rPr>
        <w:t>Williamson, S., Pearce, A., Dickinson, H., Weeratunga, V. and Bucknall, F., 2021. Future of work literature review: Emerging trends and issues.</w:t>
      </w:r>
    </w:p>
    <w:sectPr w:rsidR="009F6403" w:rsidRPr="009F6403" w:rsidSect="00392F63">
      <w:headerReference w:type="default" r:id="rId9"/>
      <w:footerReference w:type="default" r:id="rId1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2BE28F" w14:textId="77777777" w:rsidR="00392F63" w:rsidRDefault="00392F63">
      <w:pPr>
        <w:spacing w:after="0" w:line="240" w:lineRule="auto"/>
      </w:pPr>
      <w:r>
        <w:separator/>
      </w:r>
    </w:p>
  </w:endnote>
  <w:endnote w:type="continuationSeparator" w:id="0">
    <w:p w14:paraId="717DAD54" w14:textId="77777777" w:rsidR="00392F63" w:rsidRDefault="00392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7646D" w14:textId="77777777" w:rsidR="00392F63" w:rsidRDefault="00392F63">
      <w:pPr>
        <w:spacing w:after="0" w:line="240" w:lineRule="auto"/>
      </w:pPr>
      <w:r>
        <w:separator/>
      </w:r>
    </w:p>
  </w:footnote>
  <w:footnote w:type="continuationSeparator" w:id="0">
    <w:p w14:paraId="39440AE9" w14:textId="77777777" w:rsidR="00392F63" w:rsidRDefault="00392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110EA" w14:textId="77777777" w:rsidR="00C84F0F" w:rsidRDefault="00C84F0F">
    <w:pPr>
      <w:pStyle w:val="Header"/>
      <w:jc w:val="right"/>
    </w:pPr>
  </w:p>
  <w:p w14:paraId="6B52A9B0" w14:textId="77777777" w:rsidR="00C84F0F" w:rsidRDefault="00C84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0"/>
  </w:num>
  <w:num w:numId="2" w16cid:durableId="1614053347">
    <w:abstractNumId w:val="2"/>
  </w:num>
  <w:num w:numId="3" w16cid:durableId="174425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609FA"/>
    <w:rsid w:val="00071D32"/>
    <w:rsid w:val="00082318"/>
    <w:rsid w:val="000A2847"/>
    <w:rsid w:val="000C021E"/>
    <w:rsid w:val="000C10CE"/>
    <w:rsid w:val="000E01E1"/>
    <w:rsid w:val="00136F8A"/>
    <w:rsid w:val="0016666C"/>
    <w:rsid w:val="00171F93"/>
    <w:rsid w:val="001761CE"/>
    <w:rsid w:val="00176D04"/>
    <w:rsid w:val="001B117F"/>
    <w:rsid w:val="001E015B"/>
    <w:rsid w:val="002020D8"/>
    <w:rsid w:val="00220792"/>
    <w:rsid w:val="0022624A"/>
    <w:rsid w:val="002431CD"/>
    <w:rsid w:val="00281E0E"/>
    <w:rsid w:val="00324FB3"/>
    <w:rsid w:val="0032602D"/>
    <w:rsid w:val="00332472"/>
    <w:rsid w:val="00334D76"/>
    <w:rsid w:val="0034427D"/>
    <w:rsid w:val="00353A97"/>
    <w:rsid w:val="003826E4"/>
    <w:rsid w:val="00386155"/>
    <w:rsid w:val="00387C5B"/>
    <w:rsid w:val="00391826"/>
    <w:rsid w:val="00392F63"/>
    <w:rsid w:val="003C17C2"/>
    <w:rsid w:val="003F0DCA"/>
    <w:rsid w:val="00437386"/>
    <w:rsid w:val="00440854"/>
    <w:rsid w:val="004529FC"/>
    <w:rsid w:val="00485009"/>
    <w:rsid w:val="004C3C9D"/>
    <w:rsid w:val="004C7355"/>
    <w:rsid w:val="00505433"/>
    <w:rsid w:val="00515299"/>
    <w:rsid w:val="005156E3"/>
    <w:rsid w:val="005444EF"/>
    <w:rsid w:val="005570FC"/>
    <w:rsid w:val="00573018"/>
    <w:rsid w:val="005837BE"/>
    <w:rsid w:val="005A0089"/>
    <w:rsid w:val="005A41CB"/>
    <w:rsid w:val="005A6860"/>
    <w:rsid w:val="005D4FF9"/>
    <w:rsid w:val="005F418D"/>
    <w:rsid w:val="006020E3"/>
    <w:rsid w:val="00604DEE"/>
    <w:rsid w:val="00654BC0"/>
    <w:rsid w:val="0066706C"/>
    <w:rsid w:val="006750FA"/>
    <w:rsid w:val="006E1AC1"/>
    <w:rsid w:val="006E1B19"/>
    <w:rsid w:val="007056A1"/>
    <w:rsid w:val="00716444"/>
    <w:rsid w:val="00724D1C"/>
    <w:rsid w:val="00744540"/>
    <w:rsid w:val="00747450"/>
    <w:rsid w:val="007B1DCE"/>
    <w:rsid w:val="007C0159"/>
    <w:rsid w:val="007E3E14"/>
    <w:rsid w:val="0080562D"/>
    <w:rsid w:val="00805A26"/>
    <w:rsid w:val="00820D3F"/>
    <w:rsid w:val="008448B7"/>
    <w:rsid w:val="008672A0"/>
    <w:rsid w:val="00893581"/>
    <w:rsid w:val="00897E74"/>
    <w:rsid w:val="008F7CD3"/>
    <w:rsid w:val="00904673"/>
    <w:rsid w:val="0090795F"/>
    <w:rsid w:val="00913D35"/>
    <w:rsid w:val="0093386B"/>
    <w:rsid w:val="00944408"/>
    <w:rsid w:val="00977FA7"/>
    <w:rsid w:val="00991677"/>
    <w:rsid w:val="00995012"/>
    <w:rsid w:val="009B1C74"/>
    <w:rsid w:val="009B2A72"/>
    <w:rsid w:val="009C0F06"/>
    <w:rsid w:val="009F2987"/>
    <w:rsid w:val="009F5BB8"/>
    <w:rsid w:val="009F6403"/>
    <w:rsid w:val="00A20B8A"/>
    <w:rsid w:val="00A47998"/>
    <w:rsid w:val="00A544BD"/>
    <w:rsid w:val="00A60950"/>
    <w:rsid w:val="00AC5129"/>
    <w:rsid w:val="00AF5EA3"/>
    <w:rsid w:val="00B17038"/>
    <w:rsid w:val="00B72072"/>
    <w:rsid w:val="00B925AF"/>
    <w:rsid w:val="00BB3FA5"/>
    <w:rsid w:val="00BC4BC6"/>
    <w:rsid w:val="00BC7258"/>
    <w:rsid w:val="00BC7654"/>
    <w:rsid w:val="00BD2CB9"/>
    <w:rsid w:val="00BD4991"/>
    <w:rsid w:val="00C04508"/>
    <w:rsid w:val="00C419F6"/>
    <w:rsid w:val="00C41CBA"/>
    <w:rsid w:val="00C84F0F"/>
    <w:rsid w:val="00CA66F2"/>
    <w:rsid w:val="00CD36B7"/>
    <w:rsid w:val="00CD71D3"/>
    <w:rsid w:val="00CF5BA3"/>
    <w:rsid w:val="00D05069"/>
    <w:rsid w:val="00D1279A"/>
    <w:rsid w:val="00D1405E"/>
    <w:rsid w:val="00D20B79"/>
    <w:rsid w:val="00D55D12"/>
    <w:rsid w:val="00DD0E06"/>
    <w:rsid w:val="00DF1306"/>
    <w:rsid w:val="00DF53EF"/>
    <w:rsid w:val="00DF5917"/>
    <w:rsid w:val="00E3673C"/>
    <w:rsid w:val="00E43A5B"/>
    <w:rsid w:val="00E76C3F"/>
    <w:rsid w:val="00F0505E"/>
    <w:rsid w:val="00F2163C"/>
    <w:rsid w:val="00F2338F"/>
    <w:rsid w:val="00F34FC5"/>
    <w:rsid w:val="00F445E2"/>
    <w:rsid w:val="00F47081"/>
    <w:rsid w:val="00F75E83"/>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LCBB5004_BIRM        Dr Imo Enang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MANAGERS AND LEADERS HAVE DIFFERENT STYLES, AND THEY USE DIFFERENT APPROACHES TO DEVELOP ORGANISATIONAL CULTURE</vt:lpstr>
    </vt:vector>
  </TitlesOfParts>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HYBRID/FLEXIBLE WORKING</dc:title>
  <dc:subject>Managing people</dc:subject>
  <dc:creator/>
  <cp:lastModifiedBy/>
  <cp:revision>1</cp:revision>
  <dcterms:created xsi:type="dcterms:W3CDTF">2023-07-02T09:35:00Z</dcterms:created>
  <dcterms:modified xsi:type="dcterms:W3CDTF">2024-03-24T11:20:00Z</dcterms:modified>
  <cp:category>Georgi Dimitrov                    Student number 2230344</cp:category>
</cp:coreProperties>
</file>