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220278246"/>
        <w:docPartObj>
          <w:docPartGallery w:val="Cover Pages"/>
          <w:docPartUnique/>
        </w:docPartObj>
      </w:sdtPr>
      <w:sdtEndPr/>
      <w:sdtContent>
        <w:p w14:paraId="59876269" w14:textId="77777777" w:rsidR="002D45EC" w:rsidRPr="00502242" w:rsidRDefault="002D45EC">
          <w:pPr>
            <w:rPr>
              <w:rFonts w:ascii="Times New Roman" w:hAnsi="Times New Roman" w:cs="Times New Roman"/>
              <w:sz w:val="24"/>
              <w:szCs w:val="24"/>
            </w:rPr>
          </w:pPr>
          <w:r w:rsidRPr="00502242">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7F02696F" wp14:editId="1A93C1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AE584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502242">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3182C16A" wp14:editId="0042DB1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33FEEE" w14:textId="77777777" w:rsidR="002D45EC" w:rsidRDefault="005C58F1">
                                    <w:pPr>
                                      <w:pStyle w:val="NoSpacing"/>
                                      <w:jc w:val="right"/>
                                      <w:rPr>
                                        <w:color w:val="595959" w:themeColor="text1" w:themeTint="A6"/>
                                        <w:sz w:val="28"/>
                                        <w:szCs w:val="28"/>
                                      </w:rPr>
                                    </w:pPr>
                                    <w:r>
                                      <w:rPr>
                                        <w:color w:val="595959" w:themeColor="text1" w:themeTint="A6"/>
                                        <w:sz w:val="28"/>
                                        <w:szCs w:val="28"/>
                                      </w:rPr>
                                      <w:t>Nicole White (P126121)</w:t>
                                    </w:r>
                                  </w:p>
                                </w:sdtContent>
                              </w:sdt>
                              <w:p w14:paraId="55C7C9A0" w14:textId="0A6FC644" w:rsidR="002D45EC" w:rsidRDefault="00432CF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45EC">
                                      <w:rPr>
                                        <w:color w:val="595959" w:themeColor="text1" w:themeTint="A6"/>
                                        <w:sz w:val="18"/>
                                        <w:szCs w:val="18"/>
                                      </w:rPr>
                                      <w:t>Group 1</w:t>
                                    </w:r>
                                  </w:sdtContent>
                                </w:sdt>
                              </w:p>
                              <w:p w14:paraId="7D15E37C" w14:textId="42FBE340" w:rsidR="00CB44A5" w:rsidRDefault="00CB44A5">
                                <w:pPr>
                                  <w:pStyle w:val="NoSpacing"/>
                                  <w:jc w:val="right"/>
                                  <w:rPr>
                                    <w:color w:val="595959" w:themeColor="text1" w:themeTint="A6"/>
                                    <w:sz w:val="18"/>
                                    <w:szCs w:val="18"/>
                                  </w:rPr>
                                </w:pPr>
                                <w:r>
                                  <w:rPr>
                                    <w:color w:val="595959" w:themeColor="text1" w:themeTint="A6"/>
                                    <w:sz w:val="18"/>
                                    <w:szCs w:val="18"/>
                                  </w:rPr>
                                  <w:t>WORD COUNT:</w:t>
                                </w:r>
                                <w:r w:rsidR="00800264">
                                  <w:rPr>
                                    <w:color w:val="595959" w:themeColor="text1" w:themeTint="A6"/>
                                    <w:sz w:val="18"/>
                                    <w:szCs w:val="18"/>
                                  </w:rPr>
                                  <w:t xml:space="preserve"> </w:t>
                                </w:r>
                                <w:r w:rsidR="006A43CD">
                                  <w:rPr>
                                    <w:color w:val="595959" w:themeColor="text1" w:themeTint="A6"/>
                                    <w:sz w:val="18"/>
                                    <w:szCs w:val="18"/>
                                  </w:rPr>
                                  <w:t>6087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82C16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33FEEE" w14:textId="77777777" w:rsidR="002D45EC" w:rsidRDefault="005C58F1">
                              <w:pPr>
                                <w:pStyle w:val="NoSpacing"/>
                                <w:jc w:val="right"/>
                                <w:rPr>
                                  <w:color w:val="595959" w:themeColor="text1" w:themeTint="A6"/>
                                  <w:sz w:val="28"/>
                                  <w:szCs w:val="28"/>
                                </w:rPr>
                              </w:pPr>
                              <w:r>
                                <w:rPr>
                                  <w:color w:val="595959" w:themeColor="text1" w:themeTint="A6"/>
                                  <w:sz w:val="28"/>
                                  <w:szCs w:val="28"/>
                                </w:rPr>
                                <w:t>Nicole White (P126121)</w:t>
                              </w:r>
                            </w:p>
                          </w:sdtContent>
                        </w:sdt>
                        <w:p w14:paraId="55C7C9A0" w14:textId="0A6FC644" w:rsidR="002D45EC" w:rsidRDefault="00432CF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45EC">
                                <w:rPr>
                                  <w:color w:val="595959" w:themeColor="text1" w:themeTint="A6"/>
                                  <w:sz w:val="18"/>
                                  <w:szCs w:val="18"/>
                                </w:rPr>
                                <w:t>Group 1</w:t>
                              </w:r>
                            </w:sdtContent>
                          </w:sdt>
                        </w:p>
                        <w:p w14:paraId="7D15E37C" w14:textId="42FBE340" w:rsidR="00CB44A5" w:rsidRDefault="00CB44A5">
                          <w:pPr>
                            <w:pStyle w:val="NoSpacing"/>
                            <w:jc w:val="right"/>
                            <w:rPr>
                              <w:color w:val="595959" w:themeColor="text1" w:themeTint="A6"/>
                              <w:sz w:val="18"/>
                              <w:szCs w:val="18"/>
                            </w:rPr>
                          </w:pPr>
                          <w:r>
                            <w:rPr>
                              <w:color w:val="595959" w:themeColor="text1" w:themeTint="A6"/>
                              <w:sz w:val="18"/>
                              <w:szCs w:val="18"/>
                            </w:rPr>
                            <w:t>WORD COUNT:</w:t>
                          </w:r>
                          <w:r w:rsidR="00800264">
                            <w:rPr>
                              <w:color w:val="595959" w:themeColor="text1" w:themeTint="A6"/>
                              <w:sz w:val="18"/>
                              <w:szCs w:val="18"/>
                            </w:rPr>
                            <w:t xml:space="preserve"> </w:t>
                          </w:r>
                          <w:r w:rsidR="006A43CD">
                            <w:rPr>
                              <w:color w:val="595959" w:themeColor="text1" w:themeTint="A6"/>
                              <w:sz w:val="18"/>
                              <w:szCs w:val="18"/>
                            </w:rPr>
                            <w:t>6087</w:t>
                          </w:r>
                        </w:p>
                      </w:txbxContent>
                    </v:textbox>
                    <w10:wrap type="square" anchorx="page" anchory="page"/>
                  </v:shape>
                </w:pict>
              </mc:Fallback>
            </mc:AlternateContent>
          </w:r>
          <w:r w:rsidRPr="00502242">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1FDB1A08" wp14:editId="33826C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068351" w14:textId="77777777" w:rsidR="002D45EC" w:rsidRDefault="00432CF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5EC">
                                      <w:rPr>
                                        <w:caps/>
                                        <w:color w:val="5B9BD5" w:themeColor="accent1"/>
                                        <w:sz w:val="64"/>
                                        <w:szCs w:val="64"/>
                                      </w:rPr>
                                      <w:t>The Enquiring Teacher</w:t>
                                    </w:r>
                                  </w:sdtContent>
                                </w:sdt>
                              </w:p>
                              <w:sdt>
                                <w:sdtPr>
                                  <w:rPr>
                                    <w:color w:val="404040" w:themeColor="text1" w:themeTint="BF"/>
                                    <w:sz w:val="32"/>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E88547" w14:textId="77777777" w:rsidR="002D45EC" w:rsidRDefault="005C58F1">
                                    <w:pPr>
                                      <w:jc w:val="right"/>
                                      <w:rPr>
                                        <w:smallCaps/>
                                        <w:color w:val="404040" w:themeColor="text1" w:themeTint="BF"/>
                                        <w:sz w:val="36"/>
                                        <w:szCs w:val="36"/>
                                      </w:rPr>
                                    </w:pPr>
                                    <w:r>
                                      <w:rPr>
                                        <w:color w:val="404040" w:themeColor="text1" w:themeTint="BF"/>
                                        <w:sz w:val="32"/>
                                        <w:szCs w:val="36"/>
                                      </w:rPr>
                                      <w:t>Does child-generated success criteria have an impact on pupil engagement of an individual group of pupils?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DB1A0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0068351" w14:textId="77777777" w:rsidR="002D45EC" w:rsidRDefault="00432CF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45EC">
                                <w:rPr>
                                  <w:caps/>
                                  <w:color w:val="5B9BD5" w:themeColor="accent1"/>
                                  <w:sz w:val="64"/>
                                  <w:szCs w:val="64"/>
                                </w:rPr>
                                <w:t>The Enquiring Teacher</w:t>
                              </w:r>
                            </w:sdtContent>
                          </w:sdt>
                        </w:p>
                        <w:sdt>
                          <w:sdtPr>
                            <w:rPr>
                              <w:color w:val="404040" w:themeColor="text1" w:themeTint="BF"/>
                              <w:sz w:val="32"/>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E88547" w14:textId="77777777" w:rsidR="002D45EC" w:rsidRDefault="005C58F1">
                              <w:pPr>
                                <w:jc w:val="right"/>
                                <w:rPr>
                                  <w:smallCaps/>
                                  <w:color w:val="404040" w:themeColor="text1" w:themeTint="BF"/>
                                  <w:sz w:val="36"/>
                                  <w:szCs w:val="36"/>
                                </w:rPr>
                              </w:pPr>
                              <w:r>
                                <w:rPr>
                                  <w:color w:val="404040" w:themeColor="text1" w:themeTint="BF"/>
                                  <w:sz w:val="32"/>
                                  <w:szCs w:val="36"/>
                                </w:rPr>
                                <w:t>Does child-generated success criteria have an impact on pupil engagement of an individual group of pupils?</w:t>
                              </w:r>
                            </w:p>
                          </w:sdtContent>
                        </w:sdt>
                      </w:txbxContent>
                    </v:textbox>
                    <w10:wrap type="square" anchorx="page" anchory="page"/>
                  </v:shape>
                </w:pict>
              </mc:Fallback>
            </mc:AlternateContent>
          </w:r>
        </w:p>
        <w:p w14:paraId="39D7366E" w14:textId="77777777" w:rsidR="002D45EC" w:rsidRPr="00502242" w:rsidRDefault="002D45EC">
          <w:pPr>
            <w:rPr>
              <w:rFonts w:ascii="Times New Roman" w:hAnsi="Times New Roman" w:cs="Times New Roman"/>
              <w:sz w:val="24"/>
              <w:szCs w:val="24"/>
            </w:rPr>
          </w:pPr>
          <w:r w:rsidRPr="00502242">
            <w:rPr>
              <w:rFonts w:ascii="Times New Roman" w:hAnsi="Times New Roman" w:cs="Times New Roman"/>
              <w:sz w:val="24"/>
              <w:szCs w:val="24"/>
            </w:rPr>
            <w:br w:type="page"/>
          </w:r>
        </w:p>
      </w:sdtContent>
    </w:sdt>
    <w:p w14:paraId="3E02E4F4" w14:textId="77777777" w:rsidR="00FE6B74" w:rsidRPr="00502242" w:rsidRDefault="00FE6B74" w:rsidP="00FE6B7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lastRenderedPageBreak/>
        <w:t>Hall &amp; Burke (2004) suggest that learners raise their standards from assessment that progresses their own learning. This links in with the research question as this project looks into the assessment strategy of child-generated success criteria and how this strategy has an impact on pupil engagement. This is a topic that draws interest as a researcher as having previously worked within a school that uses teacher-generated success criteria, the impact that child-generated success criteria would have in contrast to teacher-generated on engagement levels is something that needs to be addressed and understood. The classes that were used only seemed to focus on using success criteria as a checklist for peer assessment or self-assessing work after writing tasks. This research project was an attempt to find out whether success criteria overall has an impact on engagement, and if the pupils generating the criteria has an impact on engagement as well.</w:t>
      </w:r>
    </w:p>
    <w:p w14:paraId="525F0D6F" w14:textId="77777777"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research project took place within the same school within two separate Year Six classes. To be able to complete a full research project into this topic, we worked with the two Year Six classes, observing three target children within each class and completed a focus group interview directly after the lesson had finished with these same three children. </w:t>
      </w:r>
    </w:p>
    <w:p w14:paraId="239344C0" w14:textId="64473725"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school is within a suburban area on the outskirts of the main city and is in an area of social deprivation. There are over 500 students within the school with over 18 languages being spoken across all the years. The school has two classes per each year and has adopted a growth mindset Assessment for Learning strategy that focuses on pupils choosing where they feel they are per activity on a scale from comfort zone, stretch zone and danger zone. The school has also adopted the idea of Everyone Plans In Class </w:t>
      </w:r>
      <w:r w:rsidR="00432CF0">
        <w:rPr>
          <w:rFonts w:ascii="Times New Roman" w:hAnsi="Times New Roman" w:cs="Times New Roman"/>
          <w:sz w:val="24"/>
          <w:szCs w:val="24"/>
        </w:rPr>
        <w:t>(</w:t>
      </w:r>
      <w:r w:rsidRPr="00502242">
        <w:rPr>
          <w:rFonts w:ascii="Times New Roman" w:hAnsi="Times New Roman" w:cs="Times New Roman"/>
          <w:sz w:val="24"/>
          <w:szCs w:val="24"/>
        </w:rPr>
        <w:t xml:space="preserve">EPIC) planning which affects and informs what each year group will learn within their topics in their classes. </w:t>
      </w:r>
    </w:p>
    <w:p w14:paraId="63C14307" w14:textId="77777777"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The research project ran one lesson study in each class that would look at the impact of child-generated success criteria on engagement. There was some discussion between the two researchers before settling on th</w:t>
      </w:r>
      <w:bookmarkStart w:id="0" w:name="_GoBack"/>
      <w:bookmarkEnd w:id="0"/>
      <w:r w:rsidRPr="00502242">
        <w:rPr>
          <w:rFonts w:ascii="Times New Roman" w:hAnsi="Times New Roman" w:cs="Times New Roman"/>
          <w:sz w:val="24"/>
          <w:szCs w:val="24"/>
        </w:rPr>
        <w:t xml:space="preserve">e final question as there was definitely interest within the field of Assessment for Learning and its impact, but a decision needed to be made on which strategy to focus on. The decision to look at success criteria was for two reasons. The first reason was that our experience was more solidified on success criteria as we had both used it before and were aware of how the strategy worked within a classroom setting. We wanted to see how the children creating their own success criteria had an impact on engagement as we had done this also with the class before and it seemed to work well with their interactions with the strategy. </w:t>
      </w:r>
    </w:p>
    <w:p w14:paraId="0835561D" w14:textId="77777777" w:rsidR="00B6468E" w:rsidRPr="00502242" w:rsidRDefault="00B6468E" w:rsidP="00B6468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second reason that we chose success criteria, and specifically child-generated success criteria, was because the class used success criteria on a daily basis that had been </w:t>
      </w:r>
      <w:r w:rsidRPr="00502242">
        <w:rPr>
          <w:rFonts w:ascii="Times New Roman" w:hAnsi="Times New Roman" w:cs="Times New Roman"/>
          <w:sz w:val="24"/>
          <w:szCs w:val="24"/>
        </w:rPr>
        <w:lastRenderedPageBreak/>
        <w:t xml:space="preserve">teacher-generated, and we felt that it would be interesting to delve into how the children felt about success criteria and whether they though this had an impact on their own learning as many didn’t focus on the success criteria, only ticking off the checklist. The pupils are also used to working with directing their own learning through growth mindset and EPIC planning, so we felt it would be impactful to give the pupils another way of deciding their own learning. </w:t>
      </w:r>
    </w:p>
    <w:p w14:paraId="3D9FD066" w14:textId="77777777" w:rsidR="00142D59" w:rsidRPr="00502242" w:rsidRDefault="00142D59" w:rsidP="00142D59">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It is important to consider the literature surrounding success criteria and what other authors have written about the impact that success criteria can have on engagement.  However, it is important to address the understanding of what assessment is and how it is not just about national testing, but also activities that are used as ‘feedback to modify teaching and learning activities’ (Black and Wiliam, 2010: 82). Welsh Assembly Government (2010: 25) draw attention also to the importance of assessment within learning and that it should be seen as a ‘positive part of the learning process, if used formatively’. Both these authors focus on the importance of using assessment, but primarily in a formative stance to help impact the learning and understanding of the students.</w:t>
      </w:r>
    </w:p>
    <w:p w14:paraId="370AA33C" w14:textId="77777777" w:rsidR="00142D59" w:rsidRPr="00502242" w:rsidRDefault="00142D59" w:rsidP="00142D59">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Black and Wiliam (2010) talk about how standards within the education setting can be raised through classroom assessment. One of the important influences within a classroom to raise standards is teacher interaction and being aware of every learner’s needs within the setting. Success criteria in itself is one of many strategies used to assess learning within the classroom and to find the next step for the learner. By using this Assessment for Learning strategy, the teacher interaction has already taken place within the learning, and the repetition of using the success criteria in a pit stop by the teacher reinforces the scaffolding put in place. </w:t>
      </w:r>
    </w:p>
    <w:p w14:paraId="2E2507E5" w14:textId="36911907" w:rsidR="00142D59" w:rsidRPr="00502242" w:rsidRDefault="00142D59" w:rsidP="00142D59">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Welsh Assembly Government (2010) supports this view and suggests that teacher’s input through grades or numbers can have a negative impact on learner’s work, but using written comments as next steps becomes incredibly useful. By using a pit stop, the teacher can reaffirm what the learners are already on track to learn; a pit stop becomes an oral comment of improvement for the learner as well as a framework to support. However, Black and Wiliam (2010) draw upon the negative draw of personal comments, and particularly, the learners assessing themselves which is common within a pit stop. They suggest that learners can only accurately assess themselves and their learning if they have a clear picture of what they are meant to achieve from the learning. </w:t>
      </w:r>
    </w:p>
    <w:p w14:paraId="78CB6555" w14:textId="77777777" w:rsidR="00CB0ECB" w:rsidRPr="00502242" w:rsidRDefault="00CB0ECB" w:rsidP="00CB0ECB">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idea of personalised success criteria itself is not a new idea. A piece of action research was taken at Mexborough Highwoods Primary School by Clarke (2009), specifically looking into the impact of child-generated success criteria on learners. The case study looked </w:t>
      </w:r>
      <w:r w:rsidRPr="00502242">
        <w:rPr>
          <w:rFonts w:ascii="Times New Roman" w:hAnsi="Times New Roman" w:cs="Times New Roman"/>
          <w:sz w:val="24"/>
          <w:szCs w:val="24"/>
        </w:rPr>
        <w:lastRenderedPageBreak/>
        <w:t>at a variety of strategies to generate success criteria, giving practitioners and educators more understanding and knowledge on how to address this area of learning in a creative way. Within this research, Clarke (2009) shows clearly that the impact on the pupils from generating their own success criteria was overly positive, focusing on the improvement of self-confidence within work and letting the pupils gain control of their own learning.</w:t>
      </w:r>
    </w:p>
    <w:p w14:paraId="412077B3" w14:textId="20872983" w:rsidR="00A47815" w:rsidRPr="00502242" w:rsidRDefault="00A47815" w:rsidP="00A47815">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This case study focuses on the main importance of child-generated success criteria and how important it is that learners feel they have control of their learning to help them find their own next steps. Donaldson (2015) agrees with the idea that learners should become more independent thinkers, and this idea of generating their own success criteria to work towards embraces this change towards independence. Within his review, Successful Futures, Donaldson (2015</w:t>
      </w:r>
      <w:r w:rsidR="00E57D06" w:rsidRPr="00502242">
        <w:rPr>
          <w:rFonts w:ascii="Times New Roman" w:hAnsi="Times New Roman" w:cs="Times New Roman"/>
          <w:sz w:val="24"/>
          <w:szCs w:val="24"/>
        </w:rPr>
        <w:t>: 29</w:t>
      </w:r>
      <w:r w:rsidRPr="00502242">
        <w:rPr>
          <w:rFonts w:ascii="Times New Roman" w:hAnsi="Times New Roman" w:cs="Times New Roman"/>
          <w:sz w:val="24"/>
          <w:szCs w:val="24"/>
        </w:rPr>
        <w:t>) recommends that children and young children should be ‘enterprising, creative contributors’ and child-generated success criteria gives learners the option to become these kind of contributors. However, without letting children generate the success criteria themselves, teachers can cause limitations to learning, especially if giving the success criteria every time that is already pre-generated. Hammond and Gibbons (2005: 10) solidifies this idea, stating that ‘an important feature of scaffolding is its temporary nature’.</w:t>
      </w:r>
    </w:p>
    <w:p w14:paraId="563F23DD" w14:textId="77777777" w:rsidR="007C3A1C" w:rsidRPr="00502242" w:rsidRDefault="007C3A1C" w:rsidP="007C3A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Emerson (2015) agrees with Hammond and Gibbons (2005), describing success criteria as sometimes being seen as an ‘inert checklist of what to include in their work’. As Black and Wiliam (2010) also stated, Emerson (2015) believes that success criteria is only helpful if the learner already knows how to do what is written on the criteria. He discusses the idea of modelling exemplar work to create a discussion with the class that can help lead to create success criteria that is meaningful, understandable and child-generated to help with their work. </w:t>
      </w:r>
    </w:p>
    <w:p w14:paraId="4F4FB93D" w14:textId="77777777" w:rsidR="007C3A1C" w:rsidRPr="00502242" w:rsidRDefault="007C3A1C" w:rsidP="007C3A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These authors all draw upon the same conclusion for the importance of Assessment for Learning, and specifically focusing on success criteria. They all agree upon the idea of success criteria being child-generated so that it is personal, can help scaffold learning temporarily, and that it should allow learners to explore their own next steps, as long as they are aware of what they need to achieve out of the lesson they are creating the criteria for. This view of success criteria helped to solidify the interest into exploring how child-generated success criteria can impact on engagement for the research project. </w:t>
      </w:r>
    </w:p>
    <w:p w14:paraId="4BA76FE4" w14:textId="77777777" w:rsidR="001F7C09" w:rsidRPr="00502242" w:rsidRDefault="001F7C09" w:rsidP="001F7C09">
      <w:pPr>
        <w:spacing w:after="0" w:line="360" w:lineRule="auto"/>
        <w:ind w:firstLine="720"/>
        <w:rPr>
          <w:rFonts w:ascii="Times New Roman" w:hAnsi="Times New Roman" w:cs="Times New Roman"/>
          <w:color w:val="ED4DED"/>
          <w:sz w:val="24"/>
          <w:szCs w:val="24"/>
        </w:rPr>
      </w:pPr>
      <w:r w:rsidRPr="00502242">
        <w:rPr>
          <w:rFonts w:ascii="Times New Roman" w:hAnsi="Times New Roman" w:cs="Times New Roman"/>
          <w:sz w:val="24"/>
          <w:szCs w:val="24"/>
        </w:rPr>
        <w:t xml:space="preserve">The methodology chosen for the research project was on the focus of a lesson study. A lesson study is a form of action research that creates the opportunity to have a first-hand account of a hypothesis and how it can affect the class that is being taught. Dudley (2015) describes a lesson study as being a collaboration of reflective practice that involves a group </w:t>
      </w:r>
      <w:r w:rsidRPr="00502242">
        <w:rPr>
          <w:rFonts w:ascii="Times New Roman" w:hAnsi="Times New Roman" w:cs="Times New Roman"/>
          <w:sz w:val="24"/>
          <w:szCs w:val="24"/>
        </w:rPr>
        <w:lastRenderedPageBreak/>
        <w:t xml:space="preserve">of teachers who want to improve their own practice and the experiences of their pupils, normally focusing on a particular area of the curriculum. </w:t>
      </w:r>
    </w:p>
    <w:p w14:paraId="7DEF7EF3" w14:textId="0C6BD2F3" w:rsidR="001138EA" w:rsidRPr="00502242" w:rsidRDefault="001138EA" w:rsidP="001138E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lesson study design involved the collection of data to be able to reflect and adapt the practice for future use, particularly focused on the impact of success criteria on learners. The method of collecting the data used was: field notes, non-participant observational notes and focus group interviews. The observational notes were taken using the Leuven Scale for Well-Being and the Leuven Scale for Involvement </w:t>
      </w:r>
      <w:r w:rsidR="005D06BB" w:rsidRPr="00502242">
        <w:rPr>
          <w:rFonts w:ascii="Times New Roman" w:hAnsi="Times New Roman" w:cs="Times New Roman"/>
          <w:sz w:val="24"/>
          <w:szCs w:val="24"/>
        </w:rPr>
        <w:t xml:space="preserve">(Brodie, 2014) </w:t>
      </w:r>
      <w:r w:rsidRPr="00502242">
        <w:rPr>
          <w:rFonts w:ascii="Times New Roman" w:hAnsi="Times New Roman" w:cs="Times New Roman"/>
          <w:sz w:val="24"/>
          <w:szCs w:val="24"/>
        </w:rPr>
        <w:t xml:space="preserve">to create a quantitative source of data that could be transferred into graph form to look for trends or patterns. The field notes were also used as a qualitative source of data to track the engagement of the focus children and their involvement within the areas of the lesson. These methods were useful as they gave us two different forms of data that could be applied to each other to work out why certain numbers might be different. It also helped to give context to the numbers to be able to use the field notes on a more personal level.  </w:t>
      </w:r>
    </w:p>
    <w:p w14:paraId="278174E6"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To reflect on the lesson process, we used Brookfield’s Four Lenses (Brookfield, 2017) to help develop and understand our lesson using the four areas of learning. Brookfield (2017: 62) discusses how important it is that we know ‘how our students are experiencing learning’ and as the research project focused on how children’s engagement is affected, we felt this way of reflection was most beneficial. As also a lesson study was involved, the discussion aspect of the reflection with each researcher was important and this is implemented in the Four Lenses structure. </w:t>
      </w:r>
    </w:p>
    <w:p w14:paraId="2C6E7386"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This structure also lends itself out to branching into the ideologies of not only ourselves as learners, but also to consider what others have thought about the topic we were looking into. It is always important to consider other views when reflecting and to use those views to help adapt and support your own future teaching and learning. Brookfield (2017: 73) discusses the idea of using other theories as a way to put ‘into cogent words something you’ve felt but been unable to articulate’. This type of reflection compares four different areas to reflect upon and to help show any differences or similarities between these areas.</w:t>
      </w:r>
    </w:p>
    <w:p w14:paraId="24529899"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Leuven Scales (Brodie, 2014) were used for the non-participant observations as well as personal field notes on the focus children. Three children were chosen to be focus observed from each class, as well as the overall class being observed on a general level. Only the children that had given in consent were observed by the researcher. The observations themselves were written by the researcher that was not teaching the class at that time so that they could remain non-participating. The impact on the focus children would be drawn from both the focus group interviews and the observation scales to create a more accurate profile </w:t>
      </w:r>
      <w:r w:rsidRPr="00502242">
        <w:rPr>
          <w:rFonts w:ascii="Times New Roman" w:hAnsi="Times New Roman" w:cs="Times New Roman"/>
          <w:sz w:val="24"/>
          <w:szCs w:val="24"/>
        </w:rPr>
        <w:lastRenderedPageBreak/>
        <w:t xml:space="preserve">of their engagement. The reason that observations were chosen was that they give an overall view of the learner within the setting of the lesson study and what they are doing within that exact moment rather than a post-lesson reflection. </w:t>
      </w:r>
    </w:p>
    <w:p w14:paraId="0FB4F2E9"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Robson (2006) discusses observations in children, and that the most common approach is the use of habituation studies. This observation technique of observing a reaction over a continued experience is what we hoped to achieve with the research project. She also talks about the idea of involvement and flow, and that involvement in opportunities is influenced by giving the children a choice. This also impacted on our research as the idea of the project was to give children the opportunity to create their own success criteria, therefore giving them a choice.</w:t>
      </w:r>
    </w:p>
    <w:p w14:paraId="2BD79981" w14:textId="77777777"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reason that the three children from each class were chosen for the focus observations were to be able to get a general overview of the impact on engagement of success criteria on children of different attainment levels. Dawson (2009) discusses the impact sampling can have on research and we chose a quota sample as our form of sampling to make sure that the different attainment levels of the classes were all represented by a class member. This form of sampling is a purposeful sample and has the benefit of being used so that ‘generalisation is not the goal’ (Dawson, 2009). </w:t>
      </w:r>
    </w:p>
    <w:p w14:paraId="0928C0EF" w14:textId="0AFD2B14" w:rsidR="00D34B08" w:rsidRPr="00502242" w:rsidRDefault="00D34B08" w:rsidP="00D34B0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Originally, the research was considered to be focusing on learners of lower attainment, but due to the low amount of consent forms that we received, the choice of our sample was limited significantly. There was also discussion about the number of children to focus on, but it was decided beforehand that the focus would only be on three children per class so that a more personal and in depth look at their engagement could be attained. This sample size was also chosen to pre-empt the non-response from the consent forms as a larger group to focus on could have become an issue if only a few consent forms were returned.</w:t>
      </w:r>
    </w:p>
    <w:p w14:paraId="003342C1" w14:textId="77777777" w:rsidR="00E300F8" w:rsidRPr="00502242" w:rsidRDefault="00E300F8" w:rsidP="00E300F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When performing any research project, it is imperative that ethical considerations are taken.  Wyse et al. (2016) discuss the importance of ethical research in education, especially as children ‘under 18 are identified as a ‘vulnerable group’ which requires special protection within research’ (Wyse et al., 2016: 73). It was very important to consider that the children were informed of the research and that consent forms for the participants were received from parents or carers for the children, as well as consent from the school for the research to take place. An ethics from was completed by both the researchers and was signed by the school, and the ethics committee at the university before any research could be carried out. </w:t>
      </w:r>
    </w:p>
    <w:p w14:paraId="4994A01C" w14:textId="6026D1CE" w:rsidR="00E300F8" w:rsidRPr="00502242" w:rsidRDefault="00E300F8" w:rsidP="00E300F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It was also important to consider all the participants rights as children and to respect that within the research to make sure the project was ethical. It was important to consider </w:t>
      </w:r>
      <w:r w:rsidRPr="00502242">
        <w:rPr>
          <w:rFonts w:ascii="Times New Roman" w:hAnsi="Times New Roman" w:cs="Times New Roman"/>
          <w:sz w:val="24"/>
          <w:szCs w:val="24"/>
        </w:rPr>
        <w:lastRenderedPageBreak/>
        <w:t>what rights children have and by looking into this, we made sure that the children were aware of the research, had all the information that they needed and that all names were kept confidential as part of the UN Convention on the Rights of the Child. Both researchers made it clear to the class that they were able to withdraw from the research project at any time if they no longer wanted to take part, and everything that they said would be strictly confidential. This was reiterated at the start of the focus group interview to give the focus children the opportunity to withdraw if they wished to.</w:t>
      </w:r>
    </w:p>
    <w:p w14:paraId="70F810BC" w14:textId="77777777" w:rsidR="0076451A"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When fully starting the research project within the school, the set-up for the first lesson study was to have the class generate their own success criteria per group with the help of two pre-generated success criteria given by the researcher that was teaching the class. The focus of the lesson study, and the research project in general, was to see how the children interacted with the success criteria and how this had an impact on their engagement, as well as their work. The non-participant observer was also observing how the children engaged with the lesson generally using the Leuven Scales (Brodie, 2014).</w:t>
      </w:r>
    </w:p>
    <w:p w14:paraId="77A6ECFC" w14:textId="77777777" w:rsidR="0076451A"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lesson objective for the class was to participate in discussions on how they felt about leaving their current primary school and their feelings on going to new secondary schools. The reason that a Physical, Social and Health Education (PSHE) lesson was chosen, was because the classes in the school had shown some concerns previously about moving schools, and to give them the opportunity to have a stand-alone lesson that would not impact on their current topic that they were studying. </w:t>
      </w:r>
    </w:p>
    <w:p w14:paraId="59DE86F1" w14:textId="77777777" w:rsidR="0076451A"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It was clear from the start that there would be some issues with discussion in the first class as they had been moved into new table arrangements for the first time the day before we started the research project, and pupils were sat next to others that they normally would not have had the chance to work with previously. This issue of changing seats was brought to attention by the researcher who was teaching as she felt that the research would not have the best, true results for the class due to the sudden disruption to table arrangements. </w:t>
      </w:r>
    </w:p>
    <w:p w14:paraId="354C96DF" w14:textId="7F699D4B" w:rsidR="009E4C31" w:rsidRPr="00502242" w:rsidRDefault="0076451A" w:rsidP="0076451A">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Whilst observing, it was found that many of the learners were more interested in drawing and writing their feelings on the transition period rather than discussing their feelings, particularly when it came to discussing as a whole group. Although the majority of the class were discussing the topic, certain learners were have social interactions off topic and were paying no attention to the lesson at all despite having generated success criteria to help scaffold what they need to do when having a discussion. This off-topic discussion could have </w:t>
      </w:r>
      <w:r w:rsidRPr="00502242">
        <w:rPr>
          <w:rFonts w:ascii="Times New Roman" w:hAnsi="Times New Roman" w:cs="Times New Roman"/>
          <w:sz w:val="24"/>
          <w:szCs w:val="24"/>
        </w:rPr>
        <w:lastRenderedPageBreak/>
        <w:t xml:space="preserve">been influenced by the change of seating arrangement with large groups of ten children per </w:t>
      </w:r>
      <w:r w:rsidRPr="00502242">
        <w:rPr>
          <w:rFonts w:ascii="Times New Roman" w:hAnsi="Times New Roman" w:cs="Times New Roman"/>
          <w:noProof/>
          <w:sz w:val="24"/>
          <w:szCs w:val="24"/>
          <w:lang w:eastAsia="en-GB"/>
        </w:rPr>
        <w:drawing>
          <wp:anchor distT="0" distB="0" distL="114300" distR="114300" simplePos="0" relativeHeight="251663360" behindDoc="0" locked="0" layoutInCell="1" allowOverlap="1" wp14:anchorId="47424D45" wp14:editId="0BBF9F43">
            <wp:simplePos x="0" y="0"/>
            <wp:positionH relativeFrom="margin">
              <wp:align>right</wp:align>
            </wp:positionH>
            <wp:positionV relativeFrom="paragraph">
              <wp:posOffset>563880</wp:posOffset>
            </wp:positionV>
            <wp:extent cx="5731510" cy="3169285"/>
            <wp:effectExtent l="0" t="0" r="2540" b="1206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Pr="00502242">
        <w:rPr>
          <w:rFonts w:ascii="Times New Roman" w:hAnsi="Times New Roman" w:cs="Times New Roman"/>
          <w:sz w:val="24"/>
          <w:szCs w:val="24"/>
        </w:rPr>
        <w:t>table rather than four to a table that the class had been used to previously.</w:t>
      </w:r>
      <w:r w:rsidR="009E4C31" w:rsidRPr="00502242">
        <w:rPr>
          <w:rFonts w:ascii="Times New Roman" w:hAnsi="Times New Roman" w:cs="Times New Roman"/>
          <w:color w:val="FC88F4"/>
          <w:sz w:val="24"/>
          <w:szCs w:val="24"/>
        </w:rPr>
        <w:t xml:space="preserve"> </w:t>
      </w:r>
    </w:p>
    <w:p w14:paraId="45232EA6" w14:textId="2A4EE7C0" w:rsidR="00BE59EB" w:rsidRPr="00502242" w:rsidRDefault="00BE59EB" w:rsidP="00BE59EB">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data in the graph above is taken from the Leuven Scale for Involvement (Brodie, 2014) for the three focus children. It can be seen clearly that there was a significant dip when the children were discussing their feelings compared to when they were writing individually. When the success criteria was being generated, two of the focus children were at their highest point of involvement for the whole lesson. There was an obvious difference in engagement when it came to oracy within this class. </w:t>
      </w:r>
      <w:r w:rsidR="00D000EE" w:rsidRPr="00502242">
        <w:rPr>
          <w:rFonts w:ascii="Times New Roman" w:hAnsi="Times New Roman" w:cs="Times New Roman"/>
          <w:sz w:val="24"/>
          <w:szCs w:val="24"/>
        </w:rPr>
        <w:t xml:space="preserve">Despite the success criteria giving support on how to discuss and the areas that the groups felt that they should think about, there seemed to be no influence on their level of engagement through the use of this strategy. </w:t>
      </w:r>
    </w:p>
    <w:p w14:paraId="71C17529" w14:textId="77777777" w:rsidR="00BE59EB" w:rsidRPr="00502242" w:rsidRDefault="00BE59EB" w:rsidP="00BE59EB">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The researcher who taught the class in this lesson study felt that there would have been a higher level of engagement within the class if they had participated in a focused writing task for the lesson rather than the interchanging of oracy and writing. Although all the focus children did participate in some areas of the discussion aspects of the lesson, the level of involvement was extremely low.</w:t>
      </w:r>
    </w:p>
    <w:p w14:paraId="6425AA25" w14:textId="77777777" w:rsidR="00D000EE" w:rsidRPr="00502242" w:rsidRDefault="00D000EE" w:rsidP="00D000E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There was a contrast, however, in their opinions on how important success criteria is within the lesson, despite little to no engagement with the success criteria to help scaffold their learning and increase their involvement. The focus group unanimously agreed that it is important to have success criteria and that it helps them to learn. This did contrast with their engagement as they did not seem to use the success criteria to help them in discussion despite noting that it was important to their learning. The focus group stated that they enjoyed the </w:t>
      </w:r>
      <w:r w:rsidRPr="00502242">
        <w:rPr>
          <w:rFonts w:ascii="Times New Roman" w:hAnsi="Times New Roman" w:cs="Times New Roman"/>
          <w:sz w:val="24"/>
          <w:szCs w:val="24"/>
        </w:rPr>
        <w:lastRenderedPageBreak/>
        <w:t xml:space="preserve">lesson, and that it was fun because they were discussing feelings, but from the results of the graph, they were not fully engaged with the lesson, or the success criteria in general. </w:t>
      </w:r>
    </w:p>
    <w:p w14:paraId="13FD4A80" w14:textId="4187125A" w:rsidR="00D000EE" w:rsidRPr="00502242" w:rsidRDefault="00D000EE" w:rsidP="00D000E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When discussing the lesson afterwards and comparing the results, it was clear that the Well-Being Scale (Brodie, 2014) was not showing any difference in results throughout the lesson with all the students being comfortable throughout. We continued to use this scale but it did not have an impact on what we were looking into as the scale did not show how the learners engaged with the subject compared to the Involvement Scale (Brodie, 2014) that showed a lot more for our research. Both scales and their results can be seen in Appendix </w:t>
      </w:r>
      <w:r w:rsidR="00502242" w:rsidRPr="00502242">
        <w:rPr>
          <w:rFonts w:ascii="Times New Roman" w:hAnsi="Times New Roman" w:cs="Times New Roman"/>
          <w:sz w:val="24"/>
          <w:szCs w:val="24"/>
        </w:rPr>
        <w:t>2</w:t>
      </w:r>
      <w:r w:rsidRPr="00502242">
        <w:rPr>
          <w:rFonts w:ascii="Times New Roman" w:hAnsi="Times New Roman" w:cs="Times New Roman"/>
          <w:sz w:val="24"/>
          <w:szCs w:val="24"/>
        </w:rPr>
        <w:t>.</w:t>
      </w:r>
    </w:p>
    <w:p w14:paraId="21B0FE22" w14:textId="77777777" w:rsidR="005F3418" w:rsidRPr="00502242" w:rsidRDefault="005F3418" w:rsidP="005F341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We discussed that the focus group had highlighted the importance of success criteria but did not seem to engage with it other than on a superficial level. We discussed how we could make the success criteria more engaging to the learners and decided to have every child create their own personal success criteria to help them with discussion. This decision was influenced by the response of the focus group interview from the previous class and that they had found it fun to create their own success criteria as a group.</w:t>
      </w:r>
    </w:p>
    <w:p w14:paraId="1E121EB8" w14:textId="77777777" w:rsidR="005F3418" w:rsidRPr="00502242" w:rsidRDefault="005F3418" w:rsidP="005F341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We also decided that it would be important to cement the use of success criteria through the use of reminders and mini-plenaries. The lesson was kept as oracy based as I felt that the class I was going to teach would benefit more from talking than writing in contrast to the previous class we had been in.</w:t>
      </w:r>
    </w:p>
    <w:p w14:paraId="359CC7B2" w14:textId="77777777" w:rsidR="005F3418" w:rsidRPr="00502242" w:rsidRDefault="005F3418" w:rsidP="005F341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We learnt from this experience that although the children were not always engaged with the lesson, they understood the importance of using success criteria as a scaffold for learning. As researchers, this made us reflect on whether it is the ownership of the success criteria that has an impact on engagement, or whether success criteria, regardless of how it is given, has any impact on engagement at all. </w:t>
      </w:r>
    </w:p>
    <w:p w14:paraId="18CFC39A" w14:textId="77777777"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The set-up for our second lesson study was mostly the same as the previous lesson study with the children creating success criteria for discussion. However, this lesson study had the children individually creating their own success criteria without the help of the pre-generated success criteria from the researcher. The success criteria was supported by discussion as a class and used as a framework in an oral situation. The lesson study also changed by the researcher teaching the class constantly drawing attention to using success criteria to see if this had an impact on the engagement of the learners. The Leuven Scales (Brodie, 2014) were used again for the non-participant observer to observe the focus children and gauge their level of engagement.</w:t>
      </w:r>
    </w:p>
    <w:p w14:paraId="51402755" w14:textId="78F6FD81"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lesson objective for this lesson study was the same as the previous lesson; to discuss their feelings on leaving primary school and going to secondary school. Within this </w:t>
      </w:r>
      <w:r w:rsidRPr="00502242">
        <w:rPr>
          <w:rFonts w:ascii="Times New Roman" w:hAnsi="Times New Roman" w:cs="Times New Roman"/>
          <w:sz w:val="24"/>
          <w:szCs w:val="24"/>
        </w:rPr>
        <w:lastRenderedPageBreak/>
        <w:t xml:space="preserve">class, the children themselves were a lot more engaged with discussion, but some prompting was needed for certain groups to discuss their feelings rather than focusing on writing them on the paper that was provided. The lesson was stopped at appropriate times to remind the class to use their success criteria and to ask the class whether they had been using their success criteria when discussing. I also modelled learner’s success criteria within the class to help solidify using success criteria within their discussions. When I asked the class how many felt they were using their success criteria mid-way through the lesson, only two children did </w:t>
      </w:r>
      <w:r w:rsidRPr="00502242">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43426873" wp14:editId="276AA1BF">
            <wp:simplePos x="0" y="0"/>
            <wp:positionH relativeFrom="margin">
              <wp:align>right</wp:align>
            </wp:positionH>
            <wp:positionV relativeFrom="paragraph">
              <wp:posOffset>2093595</wp:posOffset>
            </wp:positionV>
            <wp:extent cx="5731510" cy="3203575"/>
            <wp:effectExtent l="0" t="0" r="2540" b="1587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Pr="00502242">
        <w:rPr>
          <w:rFonts w:ascii="Times New Roman" w:hAnsi="Times New Roman" w:cs="Times New Roman"/>
          <w:sz w:val="24"/>
          <w:szCs w:val="24"/>
        </w:rPr>
        <w:t>not raise their hands.</w:t>
      </w:r>
    </w:p>
    <w:p w14:paraId="47B1ADD0" w14:textId="77777777"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As shown in the graph above that was created using the data from the Leuven Involvement Scale (Brodie, 2014), there was a significant increase in the discussion elements of the lesson, particularly for Child E who was constantly wanted to talk and offer suggestions to the rest of the class. Child F was not very engaged until the very end of the lesson, though it should be noted that this is something that I have seen in previous lessons with this child when on placement. When discussion with these three focus children began in the focus group interview, they were very engaged with the conversation and offering opinions in a similar fashion to the previous group interview.</w:t>
      </w:r>
    </w:p>
    <w:p w14:paraId="6A71C08E" w14:textId="6D9D09D0" w:rsidR="00877AB4" w:rsidRPr="00502242" w:rsidRDefault="00877AB4" w:rsidP="00877AB4">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focus group discussion brought up their concerns and feelings about leaving primary school, and it was clear that many of these feelings they were discussing had not been brought up in class before. Although this did not directly focus on success criteria and its impact on engagement, it did bring up an important teaching point on the importance of children’s wellbeing and their opportunities to discuss their feelings to help impact on their </w:t>
      </w:r>
      <w:r w:rsidRPr="00502242">
        <w:rPr>
          <w:rFonts w:ascii="Times New Roman" w:hAnsi="Times New Roman" w:cs="Times New Roman"/>
          <w:sz w:val="24"/>
          <w:szCs w:val="24"/>
        </w:rPr>
        <w:lastRenderedPageBreak/>
        <w:t>engagement within a topic. These focus children felt at ease when discussion their feelings with the rest of the class and this did have an impact on their engagement. I also felt, from a teacher’s reflection point of view that I was able to tackle important issues such as how to deal with bullying through their discussions, and though using their own success criteria, they could listen to other people’s feelings that were sometimes similar to their own.</w:t>
      </w:r>
    </w:p>
    <w:p w14:paraId="7A0450D7" w14:textId="77777777" w:rsidR="000C6D1C" w:rsidRPr="00502242" w:rsidRDefault="000C6D1C" w:rsidP="000C6D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 focus group interview discussed how important success criteria was and that they felt it was useful as a guide to help make their work better. They stated that they preferred coming up with their own success criteria and that it was better to make their own as it was more personal. They also talked about how success criteria can help them know whether they are making mistakes or missing something out. Once again, this interview showed that the children were aware of the importance of using this Assessment for Learning strategy, but this did not seem to have an impact on their engagement levels. The interview actually showed that the topic and discussion with the teacher had more of an impact on their engagement than the success criteria. </w:t>
      </w:r>
    </w:p>
    <w:p w14:paraId="5481CE13" w14:textId="77777777" w:rsidR="000C6D1C" w:rsidRPr="00502242" w:rsidRDefault="000C6D1C" w:rsidP="000C6D1C">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When reflecting on the lesson after the focus interview, it was clear from the research that there does not seem to be a direct correlation of the use of success criteria to the level of engagement. Although the children were aware of how important success criteria is and that they were using it, they were not any more engaged with the lesson and what they were doing than if they hadn’t have had the success criteria.  For future teaching, it will be important that the success criteria does not become something they have to do to check off a box, but rather that it is something they want to do to help better their learning. </w:t>
      </w:r>
    </w:p>
    <w:p w14:paraId="514E3C9D" w14:textId="77777777" w:rsidR="000715C2" w:rsidRPr="00502242" w:rsidRDefault="000715C2" w:rsidP="000715C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To fully explore the impact of our research into this topic, it would be more beneficial to have the same class of children to limit the amount of variables within our research to make it a fair test. It would also be helpful to be able to compare the use of success criteria on engagement with a second lesson without using success criteria to see if there is a difference between the two. Although it is clear from the research that has been done within this project that the children were aware of how important success criteria is to help them achieve higher, their level of engagement was impacted by the topic they were discussing, not the strategy. </w:t>
      </w:r>
    </w:p>
    <w:p w14:paraId="41783591" w14:textId="54B4444D" w:rsidR="000715C2" w:rsidRPr="00502242" w:rsidRDefault="000715C2" w:rsidP="000715C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 also think that it would be important to look at how their normal class teachers found the impact of success criteria on their class and whether they could see a difference in engagement when it was used and when it wasn’t. This is because the class teacher is with the children five days a week and will know how they learn better than a lesson study on its own would see. </w:t>
      </w:r>
    </w:p>
    <w:p w14:paraId="66625856" w14:textId="77777777" w:rsidR="000715C2" w:rsidRPr="00502242" w:rsidRDefault="000715C2" w:rsidP="000715C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lastRenderedPageBreak/>
        <w:t xml:space="preserve">From the research project carried out, it is clear that there is certainly a reason for success criteria to be used within the classroom, and that the framework and support it supplies to children is important as it does help impact their work. However, as Hammond and Gibbons (2005) have stated before, this scaffolding needs to be temporary and something that is used as a starting tool rather than a constant support. This research project has found that there doesn’t seem to be a visible link between success criteria and pupil engagement, as the level of engagement seemed to rely more heavily on the topic being discussed than the strategy. It is also present within the research that the way the class learns, whether that’s orally or written, has an impact on their overall engagement with a lesson. </w:t>
      </w:r>
    </w:p>
    <w:p w14:paraId="4D82E31F" w14:textId="77777777" w:rsidR="00E57D06" w:rsidRPr="00502242" w:rsidRDefault="00E57D06" w:rsidP="00E57D06">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From the research project carried out, it is clear that there is certainly a reason for success criteria to be used within the classroom, and that the framework and support it supplies to children is important as it does help impact their work. However, as Hammond and Gibbons (2005) have stated before, this scaffolding needs to be temporary and something that is used as a starting tool rather than a constant support. This research project has found that there doesn’t seem to be a visible link between success criteria and pupil engagement, as the level of engagement seemed to rely more heavily on the topic being discussed than the strategy. It is also present within the research that the way the class learns, whether that’s orally or written, has an impact on their overall engagement with a lesson. </w:t>
      </w:r>
    </w:p>
    <w:p w14:paraId="314FE8B1" w14:textId="77777777" w:rsidR="00E57D06" w:rsidRPr="00502242" w:rsidRDefault="00E57D06" w:rsidP="00E57D06">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There is evidence with the research project, as supported by Clarke’s (2009) case study, that child-generated success criteria does have an importance within the education system, and that the children we interviewed felt that this was more personal. This does give way to Donaldson’s (2015: 29) ideal of the ‘enterprising, creative contributor’ as this strategy can help children to channel their own creativity into scaffolding for themselves. However, the research project does show little impact on the change of engagement through using the personal, child-generated success criteria. Engagement does relate to how much a child is enjoying and involved with the task, which can be achieved through the topic as seen from the focus group interviews, but not necessarily through the success criteria as a stimulus. </w:t>
      </w:r>
    </w:p>
    <w:p w14:paraId="619E8C44" w14:textId="17B77FC7" w:rsidR="00E57D06" w:rsidRPr="00502242" w:rsidRDefault="00E57D06" w:rsidP="00E57D06">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When looking into how to use success criteria in the future and how to use it as a source of engagement within a class, it is important that you’re adapting your teaching to the way that your class learns. Although repetition of the strategy does help solidify using the success criteria within their work to help improve it, ‘there must be evidence that learners are now able to go on to deal independently with subsequent related tasks or problems’ (Hammond &amp; Gibbons, 2005: 11). The strategy should not be used as a way of engaging a learner and it does not tend to lend itself to work as a stimulus. As a researcher, I have found </w:t>
      </w:r>
      <w:r w:rsidRPr="00502242">
        <w:rPr>
          <w:rFonts w:ascii="Times New Roman" w:hAnsi="Times New Roman" w:cs="Times New Roman"/>
          <w:sz w:val="24"/>
          <w:szCs w:val="24"/>
        </w:rPr>
        <w:lastRenderedPageBreak/>
        <w:t>that this research project shows that whether success criteria is group or personally generated, there does not seem to be a change in their engagement through success criteria itself.</w:t>
      </w:r>
    </w:p>
    <w:p w14:paraId="531B763D" w14:textId="77777777" w:rsidR="008A07C0" w:rsidRPr="00502242" w:rsidRDefault="008A07C0" w:rsidP="008A07C0">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Considering the methodology that was used, one of the strengths of using non-participant observation is that the observer had the ability to see all the areas of the lesson without a need to focus on the lesson itself and delivering it. Papatheodorou, Luff &amp; Gill (2011: 75) describes this strength as giving the observer the ‘advantage […] to focus on the observational task without being distracted by other responsibilities.’ This then gave the observer the opportunity to be able to keep focus on the three target children rather than having to keep complete focus on all the class at the same time. </w:t>
      </w:r>
    </w:p>
    <w:p w14:paraId="7AF8C963" w14:textId="09A49E25" w:rsidR="006F70C8" w:rsidRPr="00502242" w:rsidRDefault="008A07C0" w:rsidP="006F70C8">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One of the other strengths of the focus group interview was the ability to talk to the focus children and to get to know their personal views on the questions that were asked. Vaughn et al. (1996: 13) describes the importance of focus group interviews and that they can ‘offer new dimensions to data collection because of their emphasis on dynamic group interaction’. It is important to be able to get feedback from the children to be able to apply that to their engagement data so that we can see if there is a correlation between their feelings and the physical observations. Being able to get feedback from children also helps us to gauge their learning, especially when the research was looking into the child-</w:t>
      </w:r>
      <w:r w:rsidR="00432CF0" w:rsidRPr="00502242">
        <w:rPr>
          <w:rFonts w:ascii="Times New Roman" w:hAnsi="Times New Roman" w:cs="Times New Roman"/>
          <w:sz w:val="24"/>
          <w:szCs w:val="24"/>
        </w:rPr>
        <w:t>centred</w:t>
      </w:r>
      <w:r w:rsidRPr="00502242">
        <w:rPr>
          <w:rFonts w:ascii="Times New Roman" w:hAnsi="Times New Roman" w:cs="Times New Roman"/>
          <w:sz w:val="24"/>
          <w:szCs w:val="24"/>
        </w:rPr>
        <w:t xml:space="preserve"> approach to success criteria. It also gave the focus children the opportunity to ask the researchers any questions they may not have felt comfortable asking in front of the whole class.</w:t>
      </w:r>
    </w:p>
    <w:p w14:paraId="4B96039C" w14:textId="77777777" w:rsidR="00071C0E" w:rsidRPr="00502242" w:rsidRDefault="00071C0E" w:rsidP="00071C0E">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There are limitations when using the non-participation observation method to record results and that’s the inability to be able to interact with the children and help with their learning. Papatheodorou et al. (2011: 143) suggest that this type of method assumes that the data collected ‘represents social reality objectively by establishing presumably universal criteria’. This draws upon the idea that a level of presumption that the observers will both see the same things, and if something happens within the lesson, the observer should stay in the non-participation position. This can also cause you to be too far removed and to miss important areas of the lesson for observation as the observer is not actively engaged. This can be a hinderance particularly within a research project that is looking into the discussion levels of a class. </w:t>
      </w:r>
    </w:p>
    <w:p w14:paraId="39F8C097" w14:textId="77777777" w:rsidR="00D74C52" w:rsidRPr="00502242" w:rsidRDefault="00D74C52" w:rsidP="00D74C5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Although a focus group interview does appear less intimidating than a one-to-one interview, I found that the children almost always agreed with each other and seemed more inclined to give answers that sounded more rehearsed than what they really felt. This feeling comes from having worked with these children before and I felt that they wanted to give </w:t>
      </w:r>
      <w:r w:rsidRPr="00502242">
        <w:rPr>
          <w:rFonts w:ascii="Times New Roman" w:hAnsi="Times New Roman" w:cs="Times New Roman"/>
          <w:sz w:val="24"/>
          <w:szCs w:val="24"/>
        </w:rPr>
        <w:lastRenderedPageBreak/>
        <w:t>answers that they thought we wanted to hear. This could be due to the children knowing that success criteria is promoted within their school and therefore feeling that they should say positive remarks.</w:t>
      </w:r>
    </w:p>
    <w:p w14:paraId="4DCDF454" w14:textId="2177CDBA" w:rsidR="00D74C52" w:rsidRPr="00502242" w:rsidRDefault="00D74C52" w:rsidP="00D74C52">
      <w:pPr>
        <w:spacing w:after="0" w:line="360" w:lineRule="auto"/>
        <w:ind w:firstLine="720"/>
        <w:rPr>
          <w:rFonts w:ascii="Times New Roman" w:hAnsi="Times New Roman" w:cs="Times New Roman"/>
          <w:sz w:val="24"/>
          <w:szCs w:val="24"/>
        </w:rPr>
      </w:pPr>
      <w:bookmarkStart w:id="1" w:name="_Hlk511558766"/>
      <w:r w:rsidRPr="00502242">
        <w:rPr>
          <w:rFonts w:ascii="Times New Roman" w:hAnsi="Times New Roman" w:cs="Times New Roman"/>
          <w:sz w:val="24"/>
          <w:szCs w:val="24"/>
        </w:rPr>
        <w:t xml:space="preserve">Overall, when considering the question that the research project was looking into, the research gathered seems to show that there is no direct correlation between the use of success criteria and pupil engagement within a lesson. It appeared that the pupils were more engaged with the success criteria in the second lesson study, but the level of engagement was affected due to two main factors: the enjoyment of the topic being discussed, and the way the lesson was being taught. To full explore this research area and expand the research project, the research into the topic of engagement relating to success criteria would need to be carried out for a longer </w:t>
      </w:r>
      <w:r w:rsidR="00432CF0" w:rsidRPr="00502242">
        <w:rPr>
          <w:rFonts w:ascii="Times New Roman" w:hAnsi="Times New Roman" w:cs="Times New Roman"/>
          <w:sz w:val="24"/>
          <w:szCs w:val="24"/>
        </w:rPr>
        <w:t>period</w:t>
      </w:r>
      <w:r w:rsidRPr="00502242">
        <w:rPr>
          <w:rFonts w:ascii="Times New Roman" w:hAnsi="Times New Roman" w:cs="Times New Roman"/>
          <w:sz w:val="24"/>
          <w:szCs w:val="24"/>
        </w:rPr>
        <w:t>.</w:t>
      </w:r>
    </w:p>
    <w:p w14:paraId="30B60E7F" w14:textId="77777777" w:rsidR="00D74C52" w:rsidRPr="00502242" w:rsidRDefault="00D74C52" w:rsidP="00D74C52">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Using this research project as a way of influencing my next school experience, I will make sure to consider the Assessment for Learning strategies that the school uses and look at how engagement with these strategies has an impact on pupil’s overall engagement within the lesson. I would also endeavour to get pupil feedback more frequently to help influence my own practice as a teacher and to be more reflective with my teaching methods. I do feel that success criteria is a good strategy for scaffolding work, but I do not think that this strategy has an impact on the level of engagement within a lesson, as can be seen through the results of the research project. </w:t>
      </w:r>
    </w:p>
    <w:p w14:paraId="51D474E9" w14:textId="4ACBF8F4" w:rsidR="006A43CD" w:rsidRPr="00502242" w:rsidRDefault="006A43CD" w:rsidP="006A43CD">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If I was to run these lessons again, I would consider the feedback from the focus children interview and </w:t>
      </w:r>
      <w:r w:rsidR="00432CF0" w:rsidRPr="00502242">
        <w:rPr>
          <w:rFonts w:ascii="Times New Roman" w:hAnsi="Times New Roman" w:cs="Times New Roman"/>
          <w:sz w:val="24"/>
          <w:szCs w:val="24"/>
        </w:rPr>
        <w:t>investigate</w:t>
      </w:r>
      <w:r w:rsidRPr="00502242">
        <w:rPr>
          <w:rFonts w:ascii="Times New Roman" w:hAnsi="Times New Roman" w:cs="Times New Roman"/>
          <w:sz w:val="24"/>
          <w:szCs w:val="24"/>
        </w:rPr>
        <w:t xml:space="preserve"> adapting the topic to something that they would fully engage with as this did have an impact on their engagement levels. I would also add more opportunities for discussion within the class so that the success criteria could be used more within their oracy rather than relying on pupils to remember to use it. I would also consider letting the pupils discuss the importance of success criteria within the whole class discussion to see how their perceptions of it change from the beginning of the lesson to the start of the lesson. </w:t>
      </w:r>
    </w:p>
    <w:p w14:paraId="5E95F3DF" w14:textId="67785A18" w:rsidR="006A43CD" w:rsidRPr="00502242" w:rsidRDefault="006A43CD" w:rsidP="006A43CD">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t xml:space="preserve">If I was to do a lesson study again, I would look more into what engages pupils within a lesson and how the topic can have an impact on the levels of engagement, as well as the impact upon their level of attainment within </w:t>
      </w:r>
      <w:r w:rsidR="00432CF0" w:rsidRPr="00502242">
        <w:rPr>
          <w:rFonts w:ascii="Times New Roman" w:hAnsi="Times New Roman" w:cs="Times New Roman"/>
          <w:sz w:val="24"/>
          <w:szCs w:val="24"/>
        </w:rPr>
        <w:t>their</w:t>
      </w:r>
      <w:r w:rsidRPr="00502242">
        <w:rPr>
          <w:rFonts w:ascii="Times New Roman" w:hAnsi="Times New Roman" w:cs="Times New Roman"/>
          <w:sz w:val="24"/>
          <w:szCs w:val="24"/>
        </w:rPr>
        <w:t xml:space="preserve"> work. I think there is a strong importance in pupils enjoying their topics, but I have not fully researched into this </w:t>
      </w:r>
      <w:r w:rsidR="00432CF0" w:rsidRPr="00502242">
        <w:rPr>
          <w:rFonts w:ascii="Times New Roman" w:hAnsi="Times New Roman" w:cs="Times New Roman"/>
          <w:sz w:val="24"/>
          <w:szCs w:val="24"/>
        </w:rPr>
        <w:t>area,</w:t>
      </w:r>
      <w:r w:rsidRPr="00502242">
        <w:rPr>
          <w:rFonts w:ascii="Times New Roman" w:hAnsi="Times New Roman" w:cs="Times New Roman"/>
          <w:sz w:val="24"/>
          <w:szCs w:val="24"/>
        </w:rPr>
        <w:t xml:space="preserve"> so it would be interesting to further develop my understanding of this to help make me a more reflective and researched teacher.</w:t>
      </w:r>
    </w:p>
    <w:p w14:paraId="39B99B10" w14:textId="77777777" w:rsidR="006A43CD" w:rsidRPr="00502242" w:rsidRDefault="006A43CD" w:rsidP="006A43CD">
      <w:pPr>
        <w:spacing w:after="0" w:line="360" w:lineRule="auto"/>
        <w:ind w:firstLine="720"/>
        <w:rPr>
          <w:rFonts w:ascii="Times New Roman" w:hAnsi="Times New Roman" w:cs="Times New Roman"/>
          <w:sz w:val="24"/>
          <w:szCs w:val="24"/>
        </w:rPr>
      </w:pPr>
      <w:r w:rsidRPr="00502242">
        <w:rPr>
          <w:rFonts w:ascii="Times New Roman" w:hAnsi="Times New Roman" w:cs="Times New Roman"/>
          <w:sz w:val="24"/>
          <w:szCs w:val="24"/>
        </w:rPr>
        <w:lastRenderedPageBreak/>
        <w:t xml:space="preserve">My recommendations from this research project is that more emphasis should be put into the way that topics are taught and how pupils draw their engagement from that. There should also be more emphasis on discussing the topics as a class orally rather than such a heavy focus on hitting the success criteria as a deeper understanding of the topics could be found through discussion and a higher level of engagement. I would also recommend that more emphasis should be put on implementing children’s feedback into the lesson as they are more willing to engage with a lesson if their feedback is seen to be used to teach future lessons. </w:t>
      </w:r>
    </w:p>
    <w:p w14:paraId="0564077E" w14:textId="77777777" w:rsidR="00C6184E" w:rsidRPr="00502242" w:rsidRDefault="00C6184E" w:rsidP="009C7A22">
      <w:pPr>
        <w:spacing w:after="0" w:line="360" w:lineRule="auto"/>
        <w:ind w:firstLine="720"/>
        <w:rPr>
          <w:rFonts w:ascii="Times New Roman" w:hAnsi="Times New Roman" w:cs="Times New Roman"/>
          <w:color w:val="1F4E79" w:themeColor="accent1" w:themeShade="80"/>
          <w:sz w:val="24"/>
          <w:szCs w:val="24"/>
        </w:rPr>
      </w:pPr>
    </w:p>
    <w:bookmarkEnd w:id="1"/>
    <w:p w14:paraId="58CB880E" w14:textId="77777777" w:rsidR="00C17E6D" w:rsidRPr="00502242" w:rsidRDefault="00C17E6D">
      <w:pPr>
        <w:rPr>
          <w:rFonts w:ascii="Times New Roman" w:hAnsi="Times New Roman" w:cs="Times New Roman"/>
          <w:sz w:val="24"/>
          <w:szCs w:val="24"/>
        </w:rPr>
      </w:pPr>
      <w:r w:rsidRPr="00502242">
        <w:rPr>
          <w:rFonts w:ascii="Times New Roman" w:hAnsi="Times New Roman" w:cs="Times New Roman"/>
          <w:sz w:val="24"/>
          <w:szCs w:val="24"/>
        </w:rPr>
        <w:br w:type="page"/>
      </w:r>
    </w:p>
    <w:p w14:paraId="0439CEBD" w14:textId="53B49776" w:rsidR="00B5707D" w:rsidRPr="00502242" w:rsidRDefault="005C58F1" w:rsidP="00A10B3D">
      <w:pPr>
        <w:spacing w:after="0" w:line="360" w:lineRule="auto"/>
        <w:ind w:firstLine="720"/>
        <w:rPr>
          <w:rFonts w:ascii="Times New Roman" w:hAnsi="Times New Roman" w:cs="Times New Roman"/>
          <w:b/>
          <w:sz w:val="28"/>
          <w:szCs w:val="24"/>
          <w:u w:val="single"/>
        </w:rPr>
      </w:pPr>
      <w:r w:rsidRPr="00502242">
        <w:rPr>
          <w:rFonts w:ascii="Times New Roman" w:hAnsi="Times New Roman" w:cs="Times New Roman"/>
          <w:b/>
          <w:sz w:val="28"/>
          <w:szCs w:val="24"/>
          <w:u w:val="single"/>
        </w:rPr>
        <w:lastRenderedPageBreak/>
        <w:t>References</w:t>
      </w:r>
    </w:p>
    <w:p w14:paraId="618DDB7F" w14:textId="099A391C" w:rsidR="00A03AF1" w:rsidRPr="00502242" w:rsidRDefault="00F15A00" w:rsidP="00A03AF1">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Black, P. &amp; Wiliam, D. (2010) ‘Inside the Black Box: </w:t>
      </w:r>
      <w:r w:rsidR="00113364" w:rsidRPr="00502242">
        <w:rPr>
          <w:rFonts w:ascii="Times New Roman" w:hAnsi="Times New Roman" w:cs="Times New Roman"/>
          <w:sz w:val="24"/>
          <w:szCs w:val="24"/>
        </w:rPr>
        <w:t>Raising Standards t</w:t>
      </w:r>
      <w:r w:rsidRPr="00502242">
        <w:rPr>
          <w:rFonts w:ascii="Times New Roman" w:hAnsi="Times New Roman" w:cs="Times New Roman"/>
          <w:sz w:val="24"/>
          <w:szCs w:val="24"/>
        </w:rPr>
        <w:t xml:space="preserve">hrough Classroom Assessment’, </w:t>
      </w:r>
      <w:r w:rsidRPr="00502242">
        <w:rPr>
          <w:rFonts w:ascii="Times New Roman" w:hAnsi="Times New Roman" w:cs="Times New Roman"/>
          <w:i/>
          <w:sz w:val="24"/>
          <w:szCs w:val="24"/>
        </w:rPr>
        <w:t xml:space="preserve">Phi Delta Kappan International, </w:t>
      </w:r>
      <w:r w:rsidR="00113364" w:rsidRPr="00502242">
        <w:rPr>
          <w:rFonts w:ascii="Times New Roman" w:hAnsi="Times New Roman" w:cs="Times New Roman"/>
          <w:sz w:val="24"/>
          <w:szCs w:val="24"/>
        </w:rPr>
        <w:t xml:space="preserve">92, 1, pp.81-90. [Online]. Available at: </w:t>
      </w:r>
      <w:hyperlink r:id="rId12" w:history="1">
        <w:r w:rsidR="00113364" w:rsidRPr="00502242">
          <w:rPr>
            <w:rStyle w:val="Hyperlink"/>
            <w:rFonts w:ascii="Times New Roman" w:hAnsi="Times New Roman" w:cs="Times New Roman"/>
            <w:sz w:val="24"/>
            <w:szCs w:val="24"/>
          </w:rPr>
          <w:t>http://journals.sagepub.com/doi/pdf/10.1177/003172171009200119</w:t>
        </w:r>
      </w:hyperlink>
      <w:r w:rsidR="00113364" w:rsidRPr="00502242">
        <w:rPr>
          <w:rFonts w:ascii="Times New Roman" w:hAnsi="Times New Roman" w:cs="Times New Roman"/>
          <w:sz w:val="24"/>
          <w:szCs w:val="24"/>
        </w:rPr>
        <w:t xml:space="preserve"> [Accessed: 10</w:t>
      </w:r>
      <w:r w:rsidR="00113364" w:rsidRPr="00502242">
        <w:rPr>
          <w:rFonts w:ascii="Times New Roman" w:hAnsi="Times New Roman" w:cs="Times New Roman"/>
          <w:sz w:val="24"/>
          <w:szCs w:val="24"/>
          <w:vertAlign w:val="superscript"/>
        </w:rPr>
        <w:t>th</w:t>
      </w:r>
      <w:r w:rsidR="00113364" w:rsidRPr="00502242">
        <w:rPr>
          <w:rFonts w:ascii="Times New Roman" w:hAnsi="Times New Roman" w:cs="Times New Roman"/>
          <w:sz w:val="24"/>
          <w:szCs w:val="24"/>
        </w:rPr>
        <w:t xml:space="preserve"> April 2018].</w:t>
      </w:r>
    </w:p>
    <w:p w14:paraId="3DCF6B45" w14:textId="4F71F81C" w:rsidR="00B30D10" w:rsidRPr="00502242" w:rsidRDefault="00B30D10" w:rsidP="00B30D10">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Brodie, K. (2014), </w:t>
      </w:r>
      <w:r w:rsidRPr="00502242">
        <w:rPr>
          <w:rFonts w:ascii="Times New Roman" w:hAnsi="Times New Roman" w:cs="Times New Roman"/>
          <w:i/>
          <w:sz w:val="24"/>
          <w:szCs w:val="24"/>
        </w:rPr>
        <w:t>Sustained Shared Thinking in the Early Years: Linking theory to practice</w:t>
      </w:r>
      <w:r w:rsidRPr="00502242">
        <w:rPr>
          <w:rFonts w:ascii="Times New Roman" w:hAnsi="Times New Roman" w:cs="Times New Roman"/>
          <w:sz w:val="24"/>
          <w:szCs w:val="24"/>
        </w:rPr>
        <w:t>. London: Routledge.</w:t>
      </w:r>
    </w:p>
    <w:p w14:paraId="4862ED2D" w14:textId="69A2402B" w:rsidR="00EF1705" w:rsidRPr="00502242" w:rsidRDefault="00EF1705" w:rsidP="00113364">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Brookfield, S. (2017) </w:t>
      </w:r>
      <w:r w:rsidRPr="00502242">
        <w:rPr>
          <w:rFonts w:ascii="Times New Roman" w:hAnsi="Times New Roman" w:cs="Times New Roman"/>
          <w:i/>
          <w:sz w:val="24"/>
          <w:szCs w:val="24"/>
        </w:rPr>
        <w:t>Becoming a Critically Reflective Teacher</w:t>
      </w:r>
      <w:r w:rsidRPr="00502242">
        <w:rPr>
          <w:rFonts w:ascii="Times New Roman" w:hAnsi="Times New Roman" w:cs="Times New Roman"/>
          <w:sz w:val="24"/>
          <w:szCs w:val="24"/>
        </w:rPr>
        <w:t>. London: John Wiley &amp; Sons.</w:t>
      </w:r>
    </w:p>
    <w:p w14:paraId="1084B307" w14:textId="64AF64C3" w:rsidR="00B5707D" w:rsidRPr="00502242" w:rsidRDefault="00B5707D" w:rsidP="00B5707D">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Children’s Commissioner for Wales (Date Unknown) ‘UNCRC – Children’s Rights’ Available at: </w:t>
      </w:r>
      <w:hyperlink r:id="rId13" w:history="1">
        <w:r w:rsidRPr="00502242">
          <w:rPr>
            <w:rStyle w:val="Hyperlink"/>
            <w:rFonts w:ascii="Times New Roman" w:hAnsi="Times New Roman" w:cs="Times New Roman"/>
            <w:sz w:val="24"/>
            <w:szCs w:val="24"/>
          </w:rPr>
          <w:t>https://www.childcomwales.org.uk/uncrc-childrens-rights/</w:t>
        </w:r>
      </w:hyperlink>
      <w:r w:rsidRPr="00502242">
        <w:rPr>
          <w:rFonts w:ascii="Times New Roman" w:hAnsi="Times New Roman" w:cs="Times New Roman"/>
          <w:sz w:val="24"/>
          <w:szCs w:val="24"/>
        </w:rPr>
        <w:t xml:space="preserve"> [Accessed on 13</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w:t>
      </w:r>
    </w:p>
    <w:p w14:paraId="40CB298E" w14:textId="50300370" w:rsidR="00CC584F" w:rsidRPr="00502242" w:rsidRDefault="00CC584F"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Clarke, S. (2009) ‘Learning objectives and success criteria’ Available at: </w:t>
      </w:r>
      <w:hyperlink r:id="rId14" w:history="1">
        <w:r w:rsidRPr="00502242">
          <w:rPr>
            <w:rStyle w:val="Hyperlink"/>
            <w:rFonts w:ascii="Times New Roman" w:hAnsi="Times New Roman" w:cs="Times New Roman"/>
            <w:sz w:val="24"/>
            <w:szCs w:val="24"/>
          </w:rPr>
          <w:t>http://www.shirleyclarke-education.org/research/learning-objectives-and-success-criteria-2009/</w:t>
        </w:r>
      </w:hyperlink>
      <w:r w:rsidRPr="00502242">
        <w:rPr>
          <w:rFonts w:ascii="Times New Roman" w:hAnsi="Times New Roman" w:cs="Times New Roman"/>
          <w:sz w:val="24"/>
          <w:szCs w:val="24"/>
        </w:rPr>
        <w:t xml:space="preserve"> [Accessed on: 10</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w:t>
      </w:r>
    </w:p>
    <w:p w14:paraId="531C584A" w14:textId="39F9B49C" w:rsidR="004D1B92" w:rsidRPr="00502242" w:rsidRDefault="004D1B92" w:rsidP="00BD3654">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Donaldson, G. (2015), ‘Successful Futures: Independe</w:t>
      </w:r>
      <w:r w:rsidR="00BD3654" w:rsidRPr="00502242">
        <w:rPr>
          <w:rFonts w:ascii="Times New Roman" w:hAnsi="Times New Roman" w:cs="Times New Roman"/>
          <w:sz w:val="24"/>
          <w:szCs w:val="24"/>
        </w:rPr>
        <w:t xml:space="preserve">nt Review of Curriculum and Assessment Arrangements in Wales’ Available at: </w:t>
      </w:r>
      <w:hyperlink r:id="rId15" w:history="1">
        <w:r w:rsidR="00BD3654" w:rsidRPr="00502242">
          <w:rPr>
            <w:rStyle w:val="Hyperlink"/>
            <w:rFonts w:ascii="Times New Roman" w:hAnsi="Times New Roman" w:cs="Times New Roman"/>
            <w:sz w:val="24"/>
            <w:szCs w:val="24"/>
          </w:rPr>
          <w:t>http://gov.wales/docs/dcells/publications/150225-successful-futures-en.pdf</w:t>
        </w:r>
      </w:hyperlink>
      <w:r w:rsidR="00BD3654" w:rsidRPr="00502242">
        <w:rPr>
          <w:rFonts w:ascii="Times New Roman" w:hAnsi="Times New Roman" w:cs="Times New Roman"/>
          <w:sz w:val="24"/>
          <w:szCs w:val="24"/>
        </w:rPr>
        <w:t xml:space="preserve"> [Accessed on: 10</w:t>
      </w:r>
      <w:r w:rsidR="00BD3654" w:rsidRPr="00502242">
        <w:rPr>
          <w:rFonts w:ascii="Times New Roman" w:hAnsi="Times New Roman" w:cs="Times New Roman"/>
          <w:sz w:val="24"/>
          <w:szCs w:val="24"/>
          <w:vertAlign w:val="superscript"/>
        </w:rPr>
        <w:t>th</w:t>
      </w:r>
      <w:r w:rsidR="00BD3654" w:rsidRPr="00502242">
        <w:rPr>
          <w:rFonts w:ascii="Times New Roman" w:hAnsi="Times New Roman" w:cs="Times New Roman"/>
          <w:sz w:val="24"/>
          <w:szCs w:val="24"/>
        </w:rPr>
        <w:t xml:space="preserve"> April 2018].</w:t>
      </w:r>
    </w:p>
    <w:p w14:paraId="3B928556" w14:textId="51E66E39" w:rsidR="00786C02" w:rsidRPr="00502242" w:rsidRDefault="00786C02" w:rsidP="00BD3654">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Dudley, P. (ed) (2015) </w:t>
      </w:r>
      <w:r w:rsidRPr="00502242">
        <w:rPr>
          <w:rFonts w:ascii="Times New Roman" w:hAnsi="Times New Roman" w:cs="Times New Roman"/>
          <w:i/>
          <w:sz w:val="24"/>
          <w:szCs w:val="24"/>
        </w:rPr>
        <w:t xml:space="preserve">Lesson Study: professional learning for our time. </w:t>
      </w:r>
      <w:r w:rsidRPr="00502242">
        <w:rPr>
          <w:rFonts w:ascii="Times New Roman" w:hAnsi="Times New Roman" w:cs="Times New Roman"/>
          <w:sz w:val="24"/>
          <w:szCs w:val="24"/>
        </w:rPr>
        <w:t xml:space="preserve">London: Routledge. </w:t>
      </w:r>
    </w:p>
    <w:p w14:paraId="280B4C5F" w14:textId="6123EE49" w:rsidR="00CC584F" w:rsidRPr="00502242" w:rsidRDefault="00CC584F"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Emerson, R. (2015), ‘Why I struggle with learning objectives and success criteria’ Available at: </w:t>
      </w:r>
      <w:hyperlink r:id="rId16" w:history="1">
        <w:r w:rsidRPr="00502242">
          <w:rPr>
            <w:rStyle w:val="Hyperlink"/>
            <w:rFonts w:ascii="Times New Roman" w:hAnsi="Times New Roman" w:cs="Times New Roman"/>
            <w:sz w:val="24"/>
            <w:szCs w:val="24"/>
          </w:rPr>
          <w:t>http://www.learningspy.co.uk/learning/8696/</w:t>
        </w:r>
      </w:hyperlink>
      <w:r w:rsidRPr="00502242">
        <w:rPr>
          <w:rFonts w:ascii="Times New Roman" w:hAnsi="Times New Roman" w:cs="Times New Roman"/>
          <w:sz w:val="24"/>
          <w:szCs w:val="24"/>
        </w:rPr>
        <w:t xml:space="preserve"> [Accessed on: 10</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w:t>
      </w:r>
    </w:p>
    <w:p w14:paraId="15B9D985" w14:textId="1B832752" w:rsidR="00C51A0C" w:rsidRPr="00502242" w:rsidRDefault="00C51A0C" w:rsidP="00C51A0C">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Hall, K &amp; Burk W.M. (2004) </w:t>
      </w:r>
      <w:r w:rsidRPr="00502242">
        <w:rPr>
          <w:rFonts w:ascii="Times New Roman" w:hAnsi="Times New Roman" w:cs="Times New Roman"/>
          <w:i/>
          <w:sz w:val="24"/>
          <w:szCs w:val="24"/>
        </w:rPr>
        <w:t>Making Formative Assessment Work</w:t>
      </w:r>
      <w:r w:rsidRPr="00502242">
        <w:rPr>
          <w:rFonts w:ascii="Times New Roman" w:hAnsi="Times New Roman" w:cs="Times New Roman"/>
          <w:sz w:val="24"/>
          <w:szCs w:val="24"/>
        </w:rPr>
        <w:t>. Maidenhead: Open University Press</w:t>
      </w:r>
      <w:r w:rsidR="00D34B08" w:rsidRPr="00502242">
        <w:rPr>
          <w:rFonts w:ascii="Times New Roman" w:hAnsi="Times New Roman" w:cs="Times New Roman"/>
          <w:sz w:val="24"/>
          <w:szCs w:val="24"/>
        </w:rPr>
        <w:t>.</w:t>
      </w:r>
    </w:p>
    <w:p w14:paraId="0C5BC184" w14:textId="15130512" w:rsidR="00CC584F" w:rsidRPr="00502242" w:rsidRDefault="00CC584F"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Hammond, J. &amp; Gibbons, P. ‘What is scaffolding?’ in A. Burns &amp; H. de Silva Joyce (eds), (2005) </w:t>
      </w:r>
      <w:r w:rsidRPr="00502242">
        <w:rPr>
          <w:rFonts w:ascii="Times New Roman" w:hAnsi="Times New Roman" w:cs="Times New Roman"/>
          <w:i/>
          <w:sz w:val="24"/>
          <w:szCs w:val="24"/>
        </w:rPr>
        <w:t xml:space="preserve">Teachers’ voices 8: Explicitly supporting reading and writing in the classroom. </w:t>
      </w:r>
      <w:r w:rsidRPr="00502242">
        <w:rPr>
          <w:rFonts w:ascii="Times New Roman" w:hAnsi="Times New Roman" w:cs="Times New Roman"/>
          <w:sz w:val="24"/>
          <w:szCs w:val="24"/>
        </w:rPr>
        <w:t xml:space="preserve">Sydney: National Centre for English Language Teaching and Research, pp.8-16, [e-book]. Available at: </w:t>
      </w:r>
      <w:hyperlink r:id="rId17" w:anchor="page=15" w:history="1">
        <w:r w:rsidRPr="00502242">
          <w:rPr>
            <w:rStyle w:val="Hyperlink"/>
            <w:rFonts w:ascii="Times New Roman" w:hAnsi="Times New Roman" w:cs="Times New Roman"/>
            <w:sz w:val="24"/>
            <w:szCs w:val="24"/>
          </w:rPr>
          <w:t>http://www.ameprc.mq.edu.au/docs/research_reports/teachers_voices/Teachers_voices_8.pdf#page=15</w:t>
        </w:r>
      </w:hyperlink>
      <w:r w:rsidRPr="00502242">
        <w:rPr>
          <w:rFonts w:ascii="Times New Roman" w:hAnsi="Times New Roman" w:cs="Times New Roman"/>
          <w:sz w:val="24"/>
          <w:szCs w:val="24"/>
        </w:rPr>
        <w:t xml:space="preserve"> [Accessed on: 10</w:t>
      </w:r>
      <w:r w:rsidRPr="00502242">
        <w:rPr>
          <w:rFonts w:ascii="Times New Roman" w:hAnsi="Times New Roman" w:cs="Times New Roman"/>
          <w:sz w:val="24"/>
          <w:szCs w:val="24"/>
          <w:vertAlign w:val="superscript"/>
        </w:rPr>
        <w:t>th</w:t>
      </w:r>
      <w:r w:rsidRPr="00502242">
        <w:rPr>
          <w:rFonts w:ascii="Times New Roman" w:hAnsi="Times New Roman" w:cs="Times New Roman"/>
          <w:sz w:val="24"/>
          <w:szCs w:val="24"/>
        </w:rPr>
        <w:t xml:space="preserve"> April 2018]. </w:t>
      </w:r>
    </w:p>
    <w:p w14:paraId="15B644CE" w14:textId="219AD2CC" w:rsidR="00E00988" w:rsidRPr="00502242" w:rsidRDefault="00E00988"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lastRenderedPageBreak/>
        <w:t xml:space="preserve">Papatheodorou, T., Luff, P. &amp; Gill, J. (2011) </w:t>
      </w:r>
      <w:r w:rsidRPr="00502242">
        <w:rPr>
          <w:rFonts w:ascii="Times New Roman" w:hAnsi="Times New Roman" w:cs="Times New Roman"/>
          <w:i/>
          <w:sz w:val="24"/>
          <w:szCs w:val="24"/>
        </w:rPr>
        <w:t>Child Observation for Learning and Research</w:t>
      </w:r>
      <w:r w:rsidRPr="00502242">
        <w:rPr>
          <w:rFonts w:ascii="Times New Roman" w:hAnsi="Times New Roman" w:cs="Times New Roman"/>
          <w:sz w:val="24"/>
          <w:szCs w:val="24"/>
        </w:rPr>
        <w:t xml:space="preserve">. Essex: Pearson Education Limited. </w:t>
      </w:r>
    </w:p>
    <w:p w14:paraId="6867F9FB" w14:textId="77777777" w:rsidR="00085C6A" w:rsidRPr="00502242" w:rsidRDefault="00D34B08"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Robson, S. (2006) </w:t>
      </w:r>
      <w:r w:rsidRPr="00502242">
        <w:rPr>
          <w:rFonts w:ascii="Times New Roman" w:hAnsi="Times New Roman" w:cs="Times New Roman"/>
          <w:i/>
          <w:sz w:val="24"/>
          <w:szCs w:val="24"/>
        </w:rPr>
        <w:t xml:space="preserve">Developing Thinking and Understanding in Young Children. </w:t>
      </w:r>
      <w:r w:rsidRPr="00502242">
        <w:rPr>
          <w:rFonts w:ascii="Times New Roman" w:hAnsi="Times New Roman" w:cs="Times New Roman"/>
          <w:sz w:val="24"/>
          <w:szCs w:val="24"/>
        </w:rPr>
        <w:t>Abingdon: Routledge.</w:t>
      </w:r>
    </w:p>
    <w:p w14:paraId="5985C328" w14:textId="34C0F015" w:rsidR="00D34B08" w:rsidRPr="00502242" w:rsidRDefault="00085C6A" w:rsidP="00CC584F">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Vaughn, S., Schumm, J.S. &amp; Sinagub, J.M (1996) </w:t>
      </w:r>
      <w:r w:rsidRPr="00502242">
        <w:rPr>
          <w:rFonts w:ascii="Times New Roman" w:hAnsi="Times New Roman" w:cs="Times New Roman"/>
          <w:i/>
          <w:sz w:val="24"/>
          <w:szCs w:val="24"/>
        </w:rPr>
        <w:t>Focus Group Interviews in Education and Psychology</w:t>
      </w:r>
      <w:r w:rsidRPr="00502242">
        <w:rPr>
          <w:rFonts w:ascii="Times New Roman" w:hAnsi="Times New Roman" w:cs="Times New Roman"/>
          <w:sz w:val="24"/>
          <w:szCs w:val="24"/>
        </w:rPr>
        <w:t xml:space="preserve">. London: Sage Publications Ltd. </w:t>
      </w:r>
      <w:r w:rsidR="00D34B08" w:rsidRPr="00502242">
        <w:rPr>
          <w:rFonts w:ascii="Times New Roman" w:hAnsi="Times New Roman" w:cs="Times New Roman"/>
          <w:sz w:val="24"/>
          <w:szCs w:val="24"/>
        </w:rPr>
        <w:t xml:space="preserve"> </w:t>
      </w:r>
    </w:p>
    <w:p w14:paraId="2304822B" w14:textId="4E50259B" w:rsidR="00373858" w:rsidRPr="00502242" w:rsidRDefault="0041044E" w:rsidP="00EF1705">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Welsh </w:t>
      </w:r>
      <w:r w:rsidR="004015D6" w:rsidRPr="00502242">
        <w:rPr>
          <w:rFonts w:ascii="Times New Roman" w:hAnsi="Times New Roman" w:cs="Times New Roman"/>
          <w:sz w:val="24"/>
          <w:szCs w:val="24"/>
        </w:rPr>
        <w:t>Assembly</w:t>
      </w:r>
      <w:r w:rsidRPr="00502242">
        <w:rPr>
          <w:rFonts w:ascii="Times New Roman" w:hAnsi="Times New Roman" w:cs="Times New Roman"/>
          <w:sz w:val="24"/>
          <w:szCs w:val="24"/>
        </w:rPr>
        <w:t xml:space="preserve"> Government (2010) ‘How to develop thinking and assessment for learning in the classroom’</w:t>
      </w:r>
      <w:r w:rsidR="004015D6" w:rsidRPr="00502242">
        <w:rPr>
          <w:rFonts w:ascii="Times New Roman" w:hAnsi="Times New Roman" w:cs="Times New Roman"/>
          <w:sz w:val="24"/>
          <w:szCs w:val="24"/>
        </w:rPr>
        <w:t xml:space="preserve"> Available at: </w:t>
      </w:r>
      <w:hyperlink r:id="rId18" w:history="1">
        <w:r w:rsidR="004015D6" w:rsidRPr="00502242">
          <w:rPr>
            <w:rStyle w:val="Hyperlink"/>
            <w:rFonts w:ascii="Times New Roman" w:hAnsi="Times New Roman" w:cs="Times New Roman"/>
            <w:sz w:val="24"/>
            <w:szCs w:val="24"/>
          </w:rPr>
          <w:t>http://learning.gov.wales/docs/learningwales/publications/130429how-to-develop-thinking-en.pdf</w:t>
        </w:r>
      </w:hyperlink>
      <w:r w:rsidR="004015D6" w:rsidRPr="00502242">
        <w:rPr>
          <w:rFonts w:ascii="Times New Roman" w:hAnsi="Times New Roman" w:cs="Times New Roman"/>
          <w:sz w:val="24"/>
          <w:szCs w:val="24"/>
        </w:rPr>
        <w:t xml:space="preserve"> [Accessed on: 10</w:t>
      </w:r>
      <w:r w:rsidR="004015D6" w:rsidRPr="00502242">
        <w:rPr>
          <w:rFonts w:ascii="Times New Roman" w:hAnsi="Times New Roman" w:cs="Times New Roman"/>
          <w:sz w:val="24"/>
          <w:szCs w:val="24"/>
          <w:vertAlign w:val="superscript"/>
        </w:rPr>
        <w:t>th</w:t>
      </w:r>
      <w:r w:rsidR="004015D6" w:rsidRPr="00502242">
        <w:rPr>
          <w:rFonts w:ascii="Times New Roman" w:hAnsi="Times New Roman" w:cs="Times New Roman"/>
          <w:sz w:val="24"/>
          <w:szCs w:val="24"/>
        </w:rPr>
        <w:t xml:space="preserve"> April 2018].</w:t>
      </w:r>
    </w:p>
    <w:p w14:paraId="73BF7C9A" w14:textId="4D14F2ED" w:rsidR="00A03AF1" w:rsidRPr="00502242" w:rsidRDefault="00A03AF1" w:rsidP="00EF1705">
      <w:pPr>
        <w:pStyle w:val="ListParagraph"/>
        <w:numPr>
          <w:ilvl w:val="0"/>
          <w:numId w:val="2"/>
        </w:num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Wyse, D., Selwyn, N., Smith, E. &amp; Suter, L.E. (eds) (2016) </w:t>
      </w:r>
      <w:r w:rsidRPr="00502242">
        <w:rPr>
          <w:rFonts w:ascii="Times New Roman" w:hAnsi="Times New Roman" w:cs="Times New Roman"/>
          <w:i/>
          <w:sz w:val="24"/>
          <w:szCs w:val="24"/>
        </w:rPr>
        <w:t>The BERA/SAGE Handbook of Educational Research</w:t>
      </w:r>
      <w:r w:rsidRPr="00502242">
        <w:rPr>
          <w:rFonts w:ascii="Times New Roman" w:hAnsi="Times New Roman" w:cs="Times New Roman"/>
          <w:sz w:val="24"/>
          <w:szCs w:val="24"/>
        </w:rPr>
        <w:t>. London: Sage Publications Ltd.</w:t>
      </w:r>
    </w:p>
    <w:p w14:paraId="37B83B6D" w14:textId="46F358BA" w:rsidR="00E40B40" w:rsidRPr="00502242" w:rsidRDefault="00E40B40">
      <w:pPr>
        <w:rPr>
          <w:rFonts w:ascii="Times New Roman" w:hAnsi="Times New Roman" w:cs="Times New Roman"/>
          <w:sz w:val="24"/>
          <w:szCs w:val="24"/>
        </w:rPr>
      </w:pPr>
      <w:r w:rsidRPr="00502242">
        <w:rPr>
          <w:rFonts w:ascii="Times New Roman" w:hAnsi="Times New Roman" w:cs="Times New Roman"/>
          <w:sz w:val="24"/>
          <w:szCs w:val="24"/>
        </w:rPr>
        <w:br w:type="page"/>
      </w:r>
    </w:p>
    <w:p w14:paraId="33DFDAFA" w14:textId="37428F85" w:rsidR="00A10B3D" w:rsidRPr="00502242" w:rsidRDefault="00E40B40" w:rsidP="00E40B40">
      <w:pPr>
        <w:spacing w:after="0" w:line="360" w:lineRule="auto"/>
        <w:rPr>
          <w:rFonts w:ascii="Times New Roman" w:hAnsi="Times New Roman" w:cs="Times New Roman"/>
          <w:b/>
          <w:sz w:val="28"/>
          <w:szCs w:val="24"/>
          <w:u w:val="single"/>
        </w:rPr>
      </w:pPr>
      <w:r w:rsidRPr="00502242">
        <w:rPr>
          <w:rFonts w:ascii="Times New Roman" w:hAnsi="Times New Roman" w:cs="Times New Roman"/>
          <w:b/>
          <w:sz w:val="28"/>
          <w:szCs w:val="24"/>
          <w:u w:val="single"/>
        </w:rPr>
        <w:lastRenderedPageBreak/>
        <w:t>Appendix</w:t>
      </w:r>
    </w:p>
    <w:p w14:paraId="0F88AA13" w14:textId="77777777" w:rsidR="00502242" w:rsidRPr="00502242" w:rsidRDefault="00502242" w:rsidP="00E40B40">
      <w:pPr>
        <w:spacing w:after="0" w:line="360" w:lineRule="auto"/>
        <w:rPr>
          <w:rFonts w:ascii="Times New Roman" w:hAnsi="Times New Roman" w:cs="Times New Roman"/>
          <w:b/>
          <w:sz w:val="28"/>
          <w:szCs w:val="24"/>
          <w:u w:val="single"/>
        </w:rPr>
      </w:pPr>
    </w:p>
    <w:p w14:paraId="17F32B3A" w14:textId="79832580" w:rsidR="00A10B3D" w:rsidRPr="00502242" w:rsidRDefault="00E40B40"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t>Appendix One – Brookfield Four Lenses Reflection</w:t>
      </w:r>
    </w:p>
    <w:p w14:paraId="10BA6F7F" w14:textId="5CA82AC2"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t>Reflection Format:</w:t>
      </w:r>
    </w:p>
    <w:tbl>
      <w:tblPr>
        <w:tblStyle w:val="TableGrid"/>
        <w:tblW w:w="0" w:type="auto"/>
        <w:tblLook w:val="04A0" w:firstRow="1" w:lastRow="0" w:firstColumn="1" w:lastColumn="0" w:noHBand="0" w:noVBand="1"/>
      </w:tblPr>
      <w:tblGrid>
        <w:gridCol w:w="4508"/>
        <w:gridCol w:w="4508"/>
      </w:tblGrid>
      <w:tr w:rsidR="00A10B3D" w:rsidRPr="00502242" w14:paraId="6CCC4855" w14:textId="77777777" w:rsidTr="006C73B5">
        <w:tc>
          <w:tcPr>
            <w:tcW w:w="4508" w:type="dxa"/>
          </w:tcPr>
          <w:p w14:paraId="5B541AAD"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SELF – Our Autobiographies as Learners</w:t>
            </w:r>
          </w:p>
          <w:p w14:paraId="449039E3" w14:textId="1498816B" w:rsidR="00A10B3D"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I have taught this class </w:t>
            </w:r>
            <w:r w:rsidR="00432CF0" w:rsidRPr="00502242">
              <w:rPr>
                <w:rFonts w:ascii="Times New Roman" w:hAnsi="Times New Roman" w:cs="Times New Roman"/>
                <w:sz w:val="24"/>
                <w:szCs w:val="24"/>
              </w:rPr>
              <w:t>previously,</w:t>
            </w:r>
            <w:r w:rsidRPr="00502242">
              <w:rPr>
                <w:rFonts w:ascii="Times New Roman" w:hAnsi="Times New Roman" w:cs="Times New Roman"/>
                <w:sz w:val="24"/>
                <w:szCs w:val="24"/>
              </w:rPr>
              <w:t xml:space="preserve"> so I am aware of how they </w:t>
            </w:r>
            <w:r w:rsidR="00432CF0" w:rsidRPr="00502242">
              <w:rPr>
                <w:rFonts w:ascii="Times New Roman" w:hAnsi="Times New Roman" w:cs="Times New Roman"/>
                <w:sz w:val="24"/>
                <w:szCs w:val="24"/>
              </w:rPr>
              <w:t>learn,</w:t>
            </w:r>
            <w:r w:rsidRPr="00502242">
              <w:rPr>
                <w:rFonts w:ascii="Times New Roman" w:hAnsi="Times New Roman" w:cs="Times New Roman"/>
                <w:sz w:val="24"/>
                <w:szCs w:val="24"/>
              </w:rPr>
              <w:t xml:space="preserve"> and that discussion was the </w:t>
            </w:r>
            <w:r w:rsidR="00432CF0" w:rsidRPr="00502242">
              <w:rPr>
                <w:rFonts w:ascii="Times New Roman" w:hAnsi="Times New Roman" w:cs="Times New Roman"/>
                <w:sz w:val="24"/>
                <w:szCs w:val="24"/>
              </w:rPr>
              <w:t>best</w:t>
            </w:r>
            <w:r w:rsidRPr="00502242">
              <w:rPr>
                <w:rFonts w:ascii="Times New Roman" w:hAnsi="Times New Roman" w:cs="Times New Roman"/>
                <w:sz w:val="24"/>
                <w:szCs w:val="24"/>
              </w:rPr>
              <w:t xml:space="preserve"> way to get results from them. There were a lot less of the class within my study as there were a lot of sick so that impacted my teaching as the less disruptive class members were present. </w:t>
            </w:r>
          </w:p>
          <w:p w14:paraId="233055B0" w14:textId="77777777" w:rsidR="00502242" w:rsidRPr="00502242" w:rsidRDefault="00502242" w:rsidP="00502242">
            <w:pPr>
              <w:rPr>
                <w:rFonts w:ascii="Times New Roman" w:hAnsi="Times New Roman" w:cs="Times New Roman"/>
                <w:sz w:val="24"/>
                <w:szCs w:val="24"/>
              </w:rPr>
            </w:pPr>
          </w:p>
          <w:p w14:paraId="6C09878A" w14:textId="77777777"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I felt that the lesson was one of the best lessons I have taught to that class for the whole time of placement. All the class seemed to be engaged with the topic and were willing to ask each other questions. I also felt that this was the first time I was properly integrating assessment for learning which is a major area of my pedagogy I need to work on. </w:t>
            </w:r>
          </w:p>
        </w:tc>
        <w:tc>
          <w:tcPr>
            <w:tcW w:w="4508" w:type="dxa"/>
          </w:tcPr>
          <w:p w14:paraId="44A19D50"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STUDENTS – Our Students’ Eyes</w:t>
            </w:r>
          </w:p>
          <w:p w14:paraId="071CDA5C" w14:textId="1054062D" w:rsidR="00A10B3D"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From the feedback I got from the students, most of them seemed to enjoy the lesson and liked being able to talk about how they felt about going to comp. When talking to the focus children, they also told me that it was helpful to learn about how to tackle some of the issues that they were worried about when coming to comp, and I was able to give them some advice from having gone through the system myself already.</w:t>
            </w:r>
          </w:p>
          <w:p w14:paraId="027D9989" w14:textId="77777777" w:rsidR="00502242" w:rsidRPr="00502242" w:rsidRDefault="00502242" w:rsidP="00502242">
            <w:pPr>
              <w:rPr>
                <w:rFonts w:ascii="Times New Roman" w:hAnsi="Times New Roman" w:cs="Times New Roman"/>
                <w:sz w:val="24"/>
                <w:szCs w:val="24"/>
              </w:rPr>
            </w:pPr>
          </w:p>
          <w:p w14:paraId="78F1BC28" w14:textId="77777777"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Most of the feedback focused on how success criteria could be better used and that it would be helpful to have it within art and other areas of the curriculum it hasn’t always been used in before which is something that I will consider as a teacher for other lessons. </w:t>
            </w:r>
          </w:p>
        </w:tc>
      </w:tr>
      <w:tr w:rsidR="00A10B3D" w:rsidRPr="00502242" w14:paraId="5BEC39E1" w14:textId="77777777" w:rsidTr="006C73B5">
        <w:tc>
          <w:tcPr>
            <w:tcW w:w="4508" w:type="dxa"/>
          </w:tcPr>
          <w:p w14:paraId="73FFE42E"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PEERS – Our Colleagues’ Experiences</w:t>
            </w:r>
          </w:p>
          <w:p w14:paraId="3AE1A9EE" w14:textId="3E38514B" w:rsidR="00A10B3D"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When discussing the lesson with my colleague who had been observing, she said that I had taught the lesson </w:t>
            </w:r>
            <w:r w:rsidR="00432CF0" w:rsidRPr="00502242">
              <w:rPr>
                <w:rFonts w:ascii="Times New Roman" w:hAnsi="Times New Roman" w:cs="Times New Roman"/>
                <w:sz w:val="24"/>
                <w:szCs w:val="24"/>
              </w:rPr>
              <w:t>well</w:t>
            </w:r>
            <w:r w:rsidRPr="00502242">
              <w:rPr>
                <w:rFonts w:ascii="Times New Roman" w:hAnsi="Times New Roman" w:cs="Times New Roman"/>
                <w:sz w:val="24"/>
                <w:szCs w:val="24"/>
              </w:rPr>
              <w:t xml:space="preserve"> and that she felt it had gone better than her own lesson. She agreed that talking about the topic and giving them some helpful tips was important when discussing feelings of this nature.</w:t>
            </w:r>
          </w:p>
          <w:p w14:paraId="37C811BB" w14:textId="77777777" w:rsidR="00502242" w:rsidRPr="00502242" w:rsidRDefault="00502242" w:rsidP="00502242">
            <w:pPr>
              <w:rPr>
                <w:rFonts w:ascii="Times New Roman" w:hAnsi="Times New Roman" w:cs="Times New Roman"/>
                <w:sz w:val="24"/>
                <w:szCs w:val="24"/>
              </w:rPr>
            </w:pPr>
          </w:p>
          <w:p w14:paraId="7E40D49E" w14:textId="6079AA14"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I </w:t>
            </w:r>
            <w:r w:rsidR="00432CF0" w:rsidRPr="00502242">
              <w:rPr>
                <w:rFonts w:ascii="Times New Roman" w:hAnsi="Times New Roman" w:cs="Times New Roman"/>
                <w:sz w:val="24"/>
                <w:szCs w:val="24"/>
              </w:rPr>
              <w:t>felt</w:t>
            </w:r>
            <w:r w:rsidRPr="00502242">
              <w:rPr>
                <w:rFonts w:ascii="Times New Roman" w:hAnsi="Times New Roman" w:cs="Times New Roman"/>
                <w:sz w:val="24"/>
                <w:szCs w:val="24"/>
              </w:rPr>
              <w:t xml:space="preserve"> that it was nice to have another student watch how I teach and to be able to let me know how to further improve my own practice which I also offered to her. It was clear to both of us that you need to be motivated and want to teach to give a good lesson. </w:t>
            </w:r>
          </w:p>
        </w:tc>
        <w:tc>
          <w:tcPr>
            <w:tcW w:w="4508" w:type="dxa"/>
          </w:tcPr>
          <w:p w14:paraId="1829A457" w14:textId="77777777" w:rsidR="00A10B3D" w:rsidRPr="00502242" w:rsidRDefault="00A10B3D" w:rsidP="00502242">
            <w:pPr>
              <w:rPr>
                <w:rFonts w:ascii="Times New Roman" w:hAnsi="Times New Roman" w:cs="Times New Roman"/>
                <w:b/>
                <w:sz w:val="24"/>
                <w:szCs w:val="24"/>
                <w:u w:val="single"/>
              </w:rPr>
            </w:pPr>
            <w:r w:rsidRPr="00502242">
              <w:rPr>
                <w:rFonts w:ascii="Times New Roman" w:hAnsi="Times New Roman" w:cs="Times New Roman"/>
                <w:b/>
                <w:sz w:val="24"/>
                <w:szCs w:val="24"/>
                <w:u w:val="single"/>
              </w:rPr>
              <w:t>SCHOLARSHIP – Theoretical Literature</w:t>
            </w:r>
          </w:p>
          <w:p w14:paraId="109269A9" w14:textId="735E88B6" w:rsidR="00A10B3D" w:rsidRPr="00502242" w:rsidRDefault="00A10B3D" w:rsidP="00502242">
            <w:pPr>
              <w:rPr>
                <w:rFonts w:ascii="Times New Roman" w:hAnsi="Times New Roman" w:cs="Times New Roman"/>
                <w:sz w:val="24"/>
                <w:szCs w:val="24"/>
              </w:rPr>
            </w:pPr>
            <w:r w:rsidRPr="00502242">
              <w:rPr>
                <w:rFonts w:ascii="Times New Roman" w:hAnsi="Times New Roman" w:cs="Times New Roman"/>
                <w:sz w:val="24"/>
                <w:szCs w:val="24"/>
              </w:rPr>
              <w:t xml:space="preserve">Looking into success criteria had been quite eye opening. Emerson had been important as he discussed what I felt and that the lesson should not have success criteria as a list of words that the children don’t understand. Child-generated success criteria certainly helped to overcome this issue. I also </w:t>
            </w:r>
            <w:r w:rsidR="00432CF0" w:rsidRPr="00502242">
              <w:rPr>
                <w:rFonts w:ascii="Times New Roman" w:hAnsi="Times New Roman" w:cs="Times New Roman"/>
                <w:sz w:val="24"/>
                <w:szCs w:val="24"/>
              </w:rPr>
              <w:t>investigated</w:t>
            </w:r>
            <w:r w:rsidRPr="00502242">
              <w:rPr>
                <w:rFonts w:ascii="Times New Roman" w:hAnsi="Times New Roman" w:cs="Times New Roman"/>
                <w:sz w:val="24"/>
                <w:szCs w:val="24"/>
              </w:rPr>
              <w:t xml:space="preserve"> the Welsh Government document that draws on the importance of formative and summative assessments working in tandem as I have always felt that randomly stopping isn’t helping children learn, but from looking back, it did help to cement the ideas I wanted the children to learn.</w:t>
            </w:r>
          </w:p>
        </w:tc>
      </w:tr>
    </w:tbl>
    <w:p w14:paraId="32656F19" w14:textId="77777777" w:rsidR="00E80328" w:rsidRPr="00502242" w:rsidRDefault="00E80328" w:rsidP="00502242">
      <w:pPr>
        <w:spacing w:after="0" w:line="360" w:lineRule="auto"/>
        <w:rPr>
          <w:rFonts w:ascii="Times New Roman" w:hAnsi="Times New Roman" w:cs="Times New Roman"/>
          <w:sz w:val="24"/>
          <w:szCs w:val="24"/>
        </w:rPr>
      </w:pPr>
    </w:p>
    <w:p w14:paraId="42DABDDC" w14:textId="77777777"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sz w:val="24"/>
          <w:szCs w:val="24"/>
        </w:rPr>
        <w:br w:type="page"/>
      </w:r>
    </w:p>
    <w:p w14:paraId="32D96BDB" w14:textId="348077F1" w:rsidR="00A10B3D" w:rsidRPr="00502242" w:rsidRDefault="00E40B40"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lastRenderedPageBreak/>
        <w:t>Appendix T</w:t>
      </w:r>
      <w:r w:rsidR="00A10B3D" w:rsidRPr="00502242">
        <w:rPr>
          <w:rFonts w:ascii="Times New Roman" w:hAnsi="Times New Roman" w:cs="Times New Roman"/>
          <w:b/>
          <w:sz w:val="24"/>
          <w:szCs w:val="24"/>
          <w:u w:val="single"/>
        </w:rPr>
        <w:t>wo</w:t>
      </w:r>
      <w:r w:rsidRPr="00502242">
        <w:rPr>
          <w:rFonts w:ascii="Times New Roman" w:hAnsi="Times New Roman" w:cs="Times New Roman"/>
          <w:b/>
          <w:sz w:val="24"/>
          <w:szCs w:val="24"/>
          <w:u w:val="single"/>
        </w:rPr>
        <w:t xml:space="preserve"> – Observation Table</w:t>
      </w:r>
      <w:r w:rsidR="00A10B3D" w:rsidRPr="00502242">
        <w:rPr>
          <w:rFonts w:ascii="Times New Roman" w:hAnsi="Times New Roman" w:cs="Times New Roman"/>
          <w:b/>
          <w:sz w:val="24"/>
          <w:szCs w:val="24"/>
          <w:u w:val="single"/>
        </w:rPr>
        <w:t>s</w:t>
      </w:r>
    </w:p>
    <w:p w14:paraId="3F862AAC" w14:textId="4EC3F9CC" w:rsidR="00A10B3D" w:rsidRPr="00502242" w:rsidRDefault="00A10B3D"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As can be seen from this table below, the level of well-being did not change for the entire lesson for any of the children. This could have been because the topic was something they were aware of and they were comfortable with the way myself and the other research taught.</w:t>
      </w:r>
    </w:p>
    <w:p w14:paraId="0898F344" w14:textId="41C15ABF"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noProof/>
          <w:sz w:val="24"/>
          <w:szCs w:val="24"/>
        </w:rPr>
        <w:drawing>
          <wp:inline distT="0" distB="0" distL="0" distR="0" wp14:anchorId="7BC1E4FB" wp14:editId="27531830">
            <wp:extent cx="4933950" cy="76618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0054" t="11745" r="9749"/>
                    <a:stretch/>
                  </pic:blipFill>
                  <pic:spPr bwMode="auto">
                    <a:xfrm rot="10800000">
                      <a:off x="0" y="0"/>
                      <a:ext cx="4942356" cy="7674917"/>
                    </a:xfrm>
                    <a:prstGeom prst="rect">
                      <a:avLst/>
                    </a:prstGeom>
                    <a:noFill/>
                    <a:ln>
                      <a:noFill/>
                    </a:ln>
                    <a:extLst>
                      <a:ext uri="{53640926-AAD7-44D8-BBD7-CCE9431645EC}">
                        <a14:shadowObscured xmlns:a14="http://schemas.microsoft.com/office/drawing/2010/main"/>
                      </a:ext>
                    </a:extLst>
                  </pic:spPr>
                </pic:pic>
              </a:graphicData>
            </a:graphic>
          </wp:inline>
        </w:drawing>
      </w:r>
    </w:p>
    <w:p w14:paraId="31C31EA4" w14:textId="3B82A631"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sz w:val="24"/>
          <w:szCs w:val="24"/>
        </w:rPr>
        <w:lastRenderedPageBreak/>
        <w:t>This table is for the involvement scale but there was some issue with the focus children as the observer was unsure which of the two boys were being observed so chose to observe both as a reflective measure. We then only focused on the three children that were part of our focus group and disregarded the wrong child’s observations. When creating my graphs, I focused on the second number in the box as there was some transgression from one area to the other. The involvement of children within tasks is not clear cut.</w:t>
      </w:r>
    </w:p>
    <w:p w14:paraId="46477A92" w14:textId="5E8BCC21" w:rsidR="00A10B3D" w:rsidRPr="00502242" w:rsidRDefault="00A10B3D" w:rsidP="00502242">
      <w:pPr>
        <w:spacing w:line="360" w:lineRule="auto"/>
        <w:rPr>
          <w:rFonts w:ascii="Times New Roman" w:hAnsi="Times New Roman" w:cs="Times New Roman"/>
          <w:sz w:val="24"/>
          <w:szCs w:val="24"/>
        </w:rPr>
      </w:pPr>
      <w:r w:rsidRPr="00502242">
        <w:rPr>
          <w:rFonts w:ascii="Times New Roman" w:hAnsi="Times New Roman" w:cs="Times New Roman"/>
          <w:noProof/>
          <w:sz w:val="24"/>
          <w:szCs w:val="24"/>
        </w:rPr>
        <w:drawing>
          <wp:inline distT="0" distB="0" distL="0" distR="0" wp14:anchorId="4D2E9409" wp14:editId="53E7948E">
            <wp:extent cx="4690992" cy="662151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3277" t="13525" r="10304"/>
                    <a:stretch/>
                  </pic:blipFill>
                  <pic:spPr bwMode="auto">
                    <a:xfrm rot="10800000">
                      <a:off x="0" y="0"/>
                      <a:ext cx="4694528" cy="6626508"/>
                    </a:xfrm>
                    <a:prstGeom prst="rect">
                      <a:avLst/>
                    </a:prstGeom>
                    <a:noFill/>
                    <a:ln>
                      <a:noFill/>
                    </a:ln>
                    <a:extLst>
                      <a:ext uri="{53640926-AAD7-44D8-BBD7-CCE9431645EC}">
                        <a14:shadowObscured xmlns:a14="http://schemas.microsoft.com/office/drawing/2010/main"/>
                      </a:ext>
                    </a:extLst>
                  </pic:spPr>
                </pic:pic>
              </a:graphicData>
            </a:graphic>
          </wp:inline>
        </w:drawing>
      </w:r>
      <w:r w:rsidRPr="00502242">
        <w:rPr>
          <w:rFonts w:ascii="Times New Roman" w:hAnsi="Times New Roman" w:cs="Times New Roman"/>
          <w:sz w:val="24"/>
          <w:szCs w:val="24"/>
        </w:rPr>
        <w:br w:type="page"/>
      </w:r>
    </w:p>
    <w:p w14:paraId="125DE76E" w14:textId="29F7062B" w:rsidR="00E40B40" w:rsidRPr="00502242" w:rsidRDefault="00E40B40"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lastRenderedPageBreak/>
        <w:t xml:space="preserve">Appendix </w:t>
      </w:r>
      <w:r w:rsidR="00A10B3D" w:rsidRPr="00502242">
        <w:rPr>
          <w:rFonts w:ascii="Times New Roman" w:hAnsi="Times New Roman" w:cs="Times New Roman"/>
          <w:b/>
          <w:sz w:val="24"/>
          <w:szCs w:val="24"/>
          <w:u w:val="single"/>
        </w:rPr>
        <w:t>Three</w:t>
      </w:r>
      <w:r w:rsidRPr="00502242">
        <w:rPr>
          <w:rFonts w:ascii="Times New Roman" w:hAnsi="Times New Roman" w:cs="Times New Roman"/>
          <w:b/>
          <w:sz w:val="24"/>
          <w:szCs w:val="24"/>
          <w:u w:val="single"/>
        </w:rPr>
        <w:t xml:space="preserve"> – Interview Notes</w:t>
      </w:r>
      <w:r w:rsidR="00A10B3D" w:rsidRPr="00502242">
        <w:rPr>
          <w:rFonts w:ascii="Times New Roman" w:hAnsi="Times New Roman" w:cs="Times New Roman"/>
          <w:b/>
          <w:sz w:val="24"/>
          <w:szCs w:val="24"/>
          <w:u w:val="single"/>
        </w:rPr>
        <w:t xml:space="preserve"> &amp; Questions</w:t>
      </w:r>
    </w:p>
    <w:p w14:paraId="0B0D673E" w14:textId="6AECDA4D" w:rsidR="00A10B3D" w:rsidRPr="00502242" w:rsidRDefault="00A10B3D"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 xml:space="preserve">We asked the questions below to the children but decided not to ask question one as the children were already warmed up to us and knew us so there was no need to build the rapport. </w:t>
      </w:r>
    </w:p>
    <w:p w14:paraId="1B3666C0" w14:textId="77777777" w:rsidR="00A10B3D" w:rsidRPr="00502242" w:rsidRDefault="00A10B3D" w:rsidP="00502242">
      <w:pPr>
        <w:spacing w:line="360" w:lineRule="auto"/>
        <w:contextualSpacing/>
        <w:jc w:val="center"/>
        <w:rPr>
          <w:rFonts w:ascii="Times New Roman" w:hAnsi="Times New Roman" w:cs="Times New Roman"/>
          <w:b/>
          <w:i/>
          <w:u w:val="single"/>
        </w:rPr>
      </w:pPr>
      <w:r w:rsidRPr="00502242">
        <w:rPr>
          <w:rFonts w:ascii="Times New Roman" w:hAnsi="Times New Roman" w:cs="Times New Roman"/>
          <w:b/>
          <w:i/>
          <w:u w:val="single"/>
        </w:rPr>
        <w:t>Questions</w:t>
      </w:r>
    </w:p>
    <w:p w14:paraId="1110A62D" w14:textId="77777777" w:rsidR="00A10B3D" w:rsidRPr="00502242" w:rsidRDefault="00A10B3D" w:rsidP="00502242">
      <w:pPr>
        <w:pStyle w:val="ListParagraph"/>
        <w:spacing w:line="360" w:lineRule="auto"/>
        <w:ind w:left="1080"/>
        <w:rPr>
          <w:rFonts w:ascii="Times New Roman" w:hAnsi="Times New Roman" w:cs="Times New Roman"/>
        </w:rPr>
      </w:pPr>
    </w:p>
    <w:p w14:paraId="46C3B855"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Are you looking forward to half term? Do you have any plans? (</w:t>
      </w:r>
      <w:r w:rsidRPr="00502242">
        <w:rPr>
          <w:rFonts w:ascii="Times New Roman" w:hAnsi="Times New Roman" w:cs="Times New Roman"/>
          <w:i/>
        </w:rPr>
        <w:t xml:space="preserve">for rapport) </w:t>
      </w:r>
      <w:r w:rsidRPr="00502242">
        <w:rPr>
          <w:rFonts w:ascii="Times New Roman" w:hAnsi="Times New Roman" w:cs="Times New Roman"/>
        </w:rPr>
        <w:t xml:space="preserve"> </w:t>
      </w:r>
    </w:p>
    <w:p w14:paraId="5D836041"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did you think about the lesson? </w:t>
      </w:r>
    </w:p>
    <w:p w14:paraId="1410937A"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is the purpose of success criteria?  </w:t>
      </w:r>
    </w:p>
    <w:p w14:paraId="5AF67E71"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do you think would happen if we did not use success criteria? </w:t>
      </w:r>
    </w:p>
    <w:p w14:paraId="3D5DAE0F"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Do you think it is useful to you as a learner?</w:t>
      </w:r>
    </w:p>
    <w:p w14:paraId="4DEB5CB3" w14:textId="77777777" w:rsidR="00A10B3D"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 xml:space="preserve">What did you think about generating your own success criteria? </w:t>
      </w:r>
    </w:p>
    <w:p w14:paraId="085132DE" w14:textId="04B473D8" w:rsidR="00E40B40" w:rsidRPr="00502242" w:rsidRDefault="00A10B3D" w:rsidP="00502242">
      <w:pPr>
        <w:pStyle w:val="ListParagraph"/>
        <w:numPr>
          <w:ilvl w:val="0"/>
          <w:numId w:val="3"/>
        </w:numPr>
        <w:spacing w:line="360" w:lineRule="auto"/>
        <w:rPr>
          <w:rFonts w:ascii="Times New Roman" w:hAnsi="Times New Roman" w:cs="Times New Roman"/>
        </w:rPr>
      </w:pPr>
      <w:r w:rsidRPr="00502242">
        <w:rPr>
          <w:rFonts w:ascii="Times New Roman" w:hAnsi="Times New Roman" w:cs="Times New Roman"/>
        </w:rPr>
        <w:t>What strategies help you become a successful learner?</w:t>
      </w:r>
    </w:p>
    <w:p w14:paraId="19CCDF3E" w14:textId="08C0C50D" w:rsidR="00A10B3D" w:rsidRPr="00502242" w:rsidRDefault="00A10B3D" w:rsidP="00502242">
      <w:pPr>
        <w:spacing w:line="360" w:lineRule="auto"/>
        <w:rPr>
          <w:rFonts w:ascii="Times New Roman" w:hAnsi="Times New Roman" w:cs="Times New Roman"/>
        </w:rPr>
      </w:pPr>
      <w:r w:rsidRPr="00502242">
        <w:rPr>
          <w:rFonts w:ascii="Times New Roman" w:hAnsi="Times New Roman" w:cs="Times New Roman"/>
        </w:rPr>
        <w:t>Below are the answers recorded to the questions that were asked from the three children from the first lesson study, directly followed by the children from the second lesson study.</w:t>
      </w:r>
    </w:p>
    <w:p w14:paraId="5B26318C" w14:textId="77777777"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br w:type="page"/>
      </w:r>
    </w:p>
    <w:p w14:paraId="66542CEE" w14:textId="65BB3D29"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lastRenderedPageBreak/>
        <w:t>Lesson Study Interview One</w:t>
      </w:r>
    </w:p>
    <w:p w14:paraId="24CD0C6A" w14:textId="28201D8C" w:rsidR="00A10B3D" w:rsidRPr="00502242" w:rsidRDefault="00A10B3D" w:rsidP="00502242">
      <w:pPr>
        <w:spacing w:line="360" w:lineRule="auto"/>
        <w:rPr>
          <w:rFonts w:ascii="Times New Roman" w:hAnsi="Times New Roman" w:cs="Times New Roman"/>
        </w:rPr>
      </w:pPr>
      <w:r w:rsidRPr="00502242">
        <w:rPr>
          <w:rFonts w:ascii="Times New Roman" w:hAnsi="Times New Roman" w:cs="Times New Roman"/>
          <w:noProof/>
        </w:rPr>
        <w:drawing>
          <wp:inline distT="0" distB="0" distL="0" distR="0" wp14:anchorId="273450F1" wp14:editId="4DBEB484">
            <wp:extent cx="6073254" cy="7658716"/>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10603"/>
                    <a:stretch/>
                  </pic:blipFill>
                  <pic:spPr bwMode="auto">
                    <a:xfrm rot="10800000">
                      <a:off x="0" y="0"/>
                      <a:ext cx="6089726" cy="7679489"/>
                    </a:xfrm>
                    <a:prstGeom prst="rect">
                      <a:avLst/>
                    </a:prstGeom>
                    <a:noFill/>
                    <a:ln>
                      <a:noFill/>
                    </a:ln>
                    <a:extLst>
                      <a:ext uri="{53640926-AAD7-44D8-BBD7-CCE9431645EC}">
                        <a14:shadowObscured xmlns:a14="http://schemas.microsoft.com/office/drawing/2010/main"/>
                      </a:ext>
                    </a:extLst>
                  </pic:spPr>
                </pic:pic>
              </a:graphicData>
            </a:graphic>
          </wp:inline>
        </w:drawing>
      </w:r>
    </w:p>
    <w:p w14:paraId="3DB087C0" w14:textId="77777777"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br w:type="page"/>
      </w:r>
    </w:p>
    <w:p w14:paraId="731A456B" w14:textId="3854B096"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u w:val="single"/>
        </w:rPr>
        <w:lastRenderedPageBreak/>
        <w:t>Lesson Study Interview Two</w:t>
      </w:r>
    </w:p>
    <w:p w14:paraId="24072A2F" w14:textId="356E8EFF" w:rsidR="00A10B3D" w:rsidRPr="00502242" w:rsidRDefault="00A10B3D" w:rsidP="00502242">
      <w:pPr>
        <w:spacing w:line="360" w:lineRule="auto"/>
        <w:rPr>
          <w:rFonts w:ascii="Times New Roman" w:hAnsi="Times New Roman" w:cs="Times New Roman"/>
          <w:b/>
          <w:u w:val="single"/>
        </w:rPr>
      </w:pPr>
      <w:r w:rsidRPr="00502242">
        <w:rPr>
          <w:rFonts w:ascii="Times New Roman" w:hAnsi="Times New Roman" w:cs="Times New Roman"/>
          <w:b/>
          <w:noProof/>
          <w:u w:val="single"/>
        </w:rPr>
        <w:drawing>
          <wp:inline distT="0" distB="0" distL="0" distR="0" wp14:anchorId="1A9BAF51" wp14:editId="2365DDF2">
            <wp:extent cx="5677469" cy="74923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929" t="3390" b="3885"/>
                    <a:stretch/>
                  </pic:blipFill>
                  <pic:spPr bwMode="auto">
                    <a:xfrm rot="10800000">
                      <a:off x="0" y="0"/>
                      <a:ext cx="5678292" cy="7493451"/>
                    </a:xfrm>
                    <a:prstGeom prst="rect">
                      <a:avLst/>
                    </a:prstGeom>
                    <a:noFill/>
                    <a:ln>
                      <a:noFill/>
                    </a:ln>
                    <a:extLst>
                      <a:ext uri="{53640926-AAD7-44D8-BBD7-CCE9431645EC}">
                        <a14:shadowObscured xmlns:a14="http://schemas.microsoft.com/office/drawing/2010/main"/>
                      </a:ext>
                    </a:extLst>
                  </pic:spPr>
                </pic:pic>
              </a:graphicData>
            </a:graphic>
          </wp:inline>
        </w:drawing>
      </w:r>
    </w:p>
    <w:p w14:paraId="6D70A0EE" w14:textId="14DAB191" w:rsidR="00502242" w:rsidRPr="00502242" w:rsidRDefault="00502242" w:rsidP="00502242">
      <w:pPr>
        <w:spacing w:line="360" w:lineRule="auto"/>
        <w:rPr>
          <w:rFonts w:ascii="Times New Roman" w:hAnsi="Times New Roman" w:cs="Times New Roman"/>
          <w:b/>
          <w:u w:val="single"/>
        </w:rPr>
      </w:pPr>
      <w:r w:rsidRPr="00502242">
        <w:rPr>
          <w:rFonts w:ascii="Times New Roman" w:hAnsi="Times New Roman" w:cs="Times New Roman"/>
          <w:b/>
          <w:u w:val="single"/>
        </w:rPr>
        <w:br w:type="page"/>
      </w:r>
    </w:p>
    <w:p w14:paraId="75EE9CFA" w14:textId="214956C0" w:rsidR="00502242" w:rsidRPr="00502242" w:rsidRDefault="00502242" w:rsidP="00502242">
      <w:pPr>
        <w:spacing w:after="0" w:line="360" w:lineRule="auto"/>
        <w:rPr>
          <w:rFonts w:ascii="Times New Roman" w:hAnsi="Times New Roman" w:cs="Times New Roman"/>
          <w:b/>
          <w:sz w:val="24"/>
          <w:szCs w:val="24"/>
          <w:u w:val="single"/>
        </w:rPr>
      </w:pPr>
      <w:r w:rsidRPr="00502242">
        <w:rPr>
          <w:rFonts w:ascii="Times New Roman" w:hAnsi="Times New Roman" w:cs="Times New Roman"/>
          <w:b/>
          <w:sz w:val="24"/>
          <w:szCs w:val="24"/>
          <w:u w:val="single"/>
        </w:rPr>
        <w:lastRenderedPageBreak/>
        <w:t xml:space="preserve">Appendix </w:t>
      </w:r>
      <w:r w:rsidRPr="00502242">
        <w:rPr>
          <w:rFonts w:ascii="Times New Roman" w:hAnsi="Times New Roman" w:cs="Times New Roman"/>
          <w:b/>
          <w:sz w:val="24"/>
          <w:szCs w:val="24"/>
          <w:u w:val="single"/>
        </w:rPr>
        <w:t>Four</w:t>
      </w:r>
      <w:r w:rsidRPr="00502242">
        <w:rPr>
          <w:rFonts w:ascii="Times New Roman" w:hAnsi="Times New Roman" w:cs="Times New Roman"/>
          <w:b/>
          <w:sz w:val="24"/>
          <w:szCs w:val="24"/>
          <w:u w:val="single"/>
        </w:rPr>
        <w:t xml:space="preserve"> – </w:t>
      </w:r>
      <w:r w:rsidRPr="00502242">
        <w:rPr>
          <w:rFonts w:ascii="Times New Roman" w:hAnsi="Times New Roman" w:cs="Times New Roman"/>
          <w:b/>
          <w:sz w:val="24"/>
          <w:szCs w:val="24"/>
          <w:u w:val="single"/>
        </w:rPr>
        <w:t>Field Notes</w:t>
      </w:r>
    </w:p>
    <w:p w14:paraId="1591CB16" w14:textId="3A39F92E"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t>The first set of notes are taken when observer the first lesson study.</w:t>
      </w:r>
    </w:p>
    <w:p w14:paraId="5D192EC1" w14:textId="4938047E"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noProof/>
          <w:sz w:val="24"/>
          <w:szCs w:val="24"/>
        </w:rPr>
        <w:drawing>
          <wp:inline distT="0" distB="0" distL="0" distR="0" wp14:anchorId="1E145861" wp14:editId="4BB065A3">
            <wp:extent cx="5731510" cy="809263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092630"/>
                    </a:xfrm>
                    <a:prstGeom prst="rect">
                      <a:avLst/>
                    </a:prstGeom>
                    <a:noFill/>
                    <a:ln>
                      <a:noFill/>
                    </a:ln>
                  </pic:spPr>
                </pic:pic>
              </a:graphicData>
            </a:graphic>
          </wp:inline>
        </w:drawing>
      </w:r>
    </w:p>
    <w:p w14:paraId="05112D4B" w14:textId="537FE237"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noProof/>
          <w:sz w:val="24"/>
          <w:szCs w:val="24"/>
        </w:rPr>
        <w:lastRenderedPageBreak/>
        <w:drawing>
          <wp:inline distT="0" distB="0" distL="0" distR="0" wp14:anchorId="7BE64667" wp14:editId="4507B38C">
            <wp:extent cx="5731510" cy="809263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8092630"/>
                    </a:xfrm>
                    <a:prstGeom prst="rect">
                      <a:avLst/>
                    </a:prstGeom>
                    <a:noFill/>
                    <a:ln>
                      <a:noFill/>
                    </a:ln>
                  </pic:spPr>
                </pic:pic>
              </a:graphicData>
            </a:graphic>
          </wp:inline>
        </w:drawing>
      </w:r>
    </w:p>
    <w:p w14:paraId="5C6CAC8E" w14:textId="77777777" w:rsidR="00502242" w:rsidRPr="00502242" w:rsidRDefault="00502242" w:rsidP="00502242">
      <w:pPr>
        <w:spacing w:after="0" w:line="360" w:lineRule="auto"/>
        <w:rPr>
          <w:rFonts w:ascii="Times New Roman" w:hAnsi="Times New Roman" w:cs="Times New Roman"/>
          <w:sz w:val="24"/>
          <w:szCs w:val="24"/>
        </w:rPr>
      </w:pPr>
    </w:p>
    <w:p w14:paraId="2B5006E3" w14:textId="77777777" w:rsidR="00502242" w:rsidRPr="00502242" w:rsidRDefault="00502242" w:rsidP="00502242">
      <w:pPr>
        <w:spacing w:after="0" w:line="360" w:lineRule="auto"/>
        <w:rPr>
          <w:rFonts w:ascii="Times New Roman" w:hAnsi="Times New Roman" w:cs="Times New Roman"/>
          <w:sz w:val="24"/>
          <w:szCs w:val="24"/>
        </w:rPr>
      </w:pPr>
    </w:p>
    <w:p w14:paraId="6C164872" w14:textId="5024B567" w:rsidR="00502242" w:rsidRPr="00502242" w:rsidRDefault="00502242" w:rsidP="00502242">
      <w:pPr>
        <w:spacing w:after="0" w:line="360" w:lineRule="auto"/>
        <w:rPr>
          <w:rFonts w:ascii="Times New Roman" w:hAnsi="Times New Roman" w:cs="Times New Roman"/>
          <w:sz w:val="24"/>
          <w:szCs w:val="24"/>
        </w:rPr>
      </w:pPr>
      <w:r w:rsidRPr="00502242">
        <w:rPr>
          <w:rFonts w:ascii="Times New Roman" w:hAnsi="Times New Roman" w:cs="Times New Roman"/>
          <w:sz w:val="24"/>
          <w:szCs w:val="24"/>
        </w:rPr>
        <w:lastRenderedPageBreak/>
        <w:t>The next image is of the field notes take for the second lesson study.</w:t>
      </w:r>
    </w:p>
    <w:p w14:paraId="24DAB8C1" w14:textId="767240C8" w:rsidR="00502242" w:rsidRPr="00502242" w:rsidRDefault="00502242" w:rsidP="00A10B3D">
      <w:pPr>
        <w:rPr>
          <w:rFonts w:ascii="Times New Roman" w:hAnsi="Times New Roman" w:cs="Times New Roman"/>
          <w:b/>
          <w:u w:val="single"/>
        </w:rPr>
      </w:pPr>
      <w:r w:rsidRPr="00502242">
        <w:rPr>
          <w:rFonts w:ascii="Times New Roman" w:hAnsi="Times New Roman" w:cs="Times New Roman"/>
          <w:b/>
          <w:noProof/>
          <w:u w:val="single"/>
        </w:rPr>
        <w:drawing>
          <wp:inline distT="0" distB="0" distL="0" distR="0" wp14:anchorId="1FC7610E" wp14:editId="29DBDAED">
            <wp:extent cx="5731510" cy="809263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0800000">
                      <a:off x="0" y="0"/>
                      <a:ext cx="5731510" cy="8092630"/>
                    </a:xfrm>
                    <a:prstGeom prst="rect">
                      <a:avLst/>
                    </a:prstGeom>
                    <a:noFill/>
                    <a:ln>
                      <a:noFill/>
                    </a:ln>
                  </pic:spPr>
                </pic:pic>
              </a:graphicData>
            </a:graphic>
          </wp:inline>
        </w:drawing>
      </w:r>
    </w:p>
    <w:sectPr w:rsidR="00502242" w:rsidRPr="00502242" w:rsidSect="002D45EC">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0888CA" w14:textId="77777777" w:rsidR="002D45EC" w:rsidRDefault="002D45EC" w:rsidP="002D45EC">
      <w:pPr>
        <w:spacing w:after="0" w:line="240" w:lineRule="auto"/>
      </w:pPr>
      <w:r>
        <w:separator/>
      </w:r>
    </w:p>
  </w:endnote>
  <w:endnote w:type="continuationSeparator" w:id="0">
    <w:p w14:paraId="32B1C9B9" w14:textId="77777777" w:rsidR="002D45EC" w:rsidRDefault="002D45EC" w:rsidP="002D4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4284259"/>
      <w:docPartObj>
        <w:docPartGallery w:val="Page Numbers (Bottom of Page)"/>
        <w:docPartUnique/>
      </w:docPartObj>
    </w:sdtPr>
    <w:sdtEndPr>
      <w:rPr>
        <w:color w:val="7F7F7F" w:themeColor="background1" w:themeShade="7F"/>
        <w:spacing w:val="60"/>
      </w:rPr>
    </w:sdtEndPr>
    <w:sdtContent>
      <w:p w14:paraId="005CEDC6" w14:textId="4ECE4987" w:rsidR="002D45EC" w:rsidRDefault="002D45EC">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0264">
          <w:rPr>
            <w:noProof/>
          </w:rPr>
          <w:t>16</w:t>
        </w:r>
        <w:r>
          <w:rPr>
            <w:noProof/>
          </w:rPr>
          <w:fldChar w:fldCharType="end"/>
        </w:r>
        <w:r>
          <w:t xml:space="preserve"> | </w:t>
        </w:r>
        <w:r>
          <w:rPr>
            <w:color w:val="7F7F7F" w:themeColor="background1" w:themeShade="7F"/>
            <w:spacing w:val="60"/>
          </w:rPr>
          <w:t>Page</w:t>
        </w:r>
      </w:p>
    </w:sdtContent>
  </w:sdt>
  <w:p w14:paraId="081A7D94" w14:textId="77777777" w:rsidR="002D45EC" w:rsidRDefault="002D4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F4564" w14:textId="77777777" w:rsidR="002D45EC" w:rsidRDefault="002D45EC" w:rsidP="002D45EC">
      <w:pPr>
        <w:spacing w:after="0" w:line="240" w:lineRule="auto"/>
      </w:pPr>
      <w:r>
        <w:separator/>
      </w:r>
    </w:p>
  </w:footnote>
  <w:footnote w:type="continuationSeparator" w:id="0">
    <w:p w14:paraId="3C59F641" w14:textId="77777777" w:rsidR="002D45EC" w:rsidRDefault="002D45EC" w:rsidP="002D45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26AFB3" w14:textId="77777777" w:rsidR="002D45EC" w:rsidRDefault="002D45EC">
    <w:pPr>
      <w:pStyle w:val="Header"/>
    </w:pPr>
    <w:r>
      <w:t>P126121 – Group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C7EA6"/>
    <w:multiLevelType w:val="hybridMultilevel"/>
    <w:tmpl w:val="10D05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A70F73"/>
    <w:multiLevelType w:val="hybridMultilevel"/>
    <w:tmpl w:val="E4B24786"/>
    <w:lvl w:ilvl="0" w:tplc="431C15AC">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ACC5A59"/>
    <w:multiLevelType w:val="hybridMultilevel"/>
    <w:tmpl w:val="8138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5EC"/>
    <w:rsid w:val="00023A6E"/>
    <w:rsid w:val="000335CC"/>
    <w:rsid w:val="000715C2"/>
    <w:rsid w:val="00071C0E"/>
    <w:rsid w:val="00076860"/>
    <w:rsid w:val="000835F5"/>
    <w:rsid w:val="00085C6A"/>
    <w:rsid w:val="000C6D1C"/>
    <w:rsid w:val="000C7E0F"/>
    <w:rsid w:val="00113364"/>
    <w:rsid w:val="001138EA"/>
    <w:rsid w:val="00142D59"/>
    <w:rsid w:val="00144B6E"/>
    <w:rsid w:val="001A0FAD"/>
    <w:rsid w:val="001F7C09"/>
    <w:rsid w:val="00221E2E"/>
    <w:rsid w:val="00240F9C"/>
    <w:rsid w:val="00286089"/>
    <w:rsid w:val="002A1F6C"/>
    <w:rsid w:val="002B2BDC"/>
    <w:rsid w:val="002B7024"/>
    <w:rsid w:val="002D45EC"/>
    <w:rsid w:val="003177A2"/>
    <w:rsid w:val="003266F7"/>
    <w:rsid w:val="003417B1"/>
    <w:rsid w:val="00351994"/>
    <w:rsid w:val="00373858"/>
    <w:rsid w:val="00375359"/>
    <w:rsid w:val="00387C65"/>
    <w:rsid w:val="004015D6"/>
    <w:rsid w:val="0041044E"/>
    <w:rsid w:val="00432CF0"/>
    <w:rsid w:val="00476A0E"/>
    <w:rsid w:val="00490F70"/>
    <w:rsid w:val="00497F81"/>
    <w:rsid w:val="004C3436"/>
    <w:rsid w:val="004D1B92"/>
    <w:rsid w:val="00502242"/>
    <w:rsid w:val="00535BA8"/>
    <w:rsid w:val="0054451D"/>
    <w:rsid w:val="005C58F1"/>
    <w:rsid w:val="005D06BB"/>
    <w:rsid w:val="005F3418"/>
    <w:rsid w:val="00661D2A"/>
    <w:rsid w:val="0069107E"/>
    <w:rsid w:val="00693BE9"/>
    <w:rsid w:val="006A43CD"/>
    <w:rsid w:val="006F70C8"/>
    <w:rsid w:val="00736E4E"/>
    <w:rsid w:val="007400C5"/>
    <w:rsid w:val="0074369B"/>
    <w:rsid w:val="0076451A"/>
    <w:rsid w:val="00771063"/>
    <w:rsid w:val="00775255"/>
    <w:rsid w:val="00786C02"/>
    <w:rsid w:val="007C3A1C"/>
    <w:rsid w:val="00800264"/>
    <w:rsid w:val="008211B6"/>
    <w:rsid w:val="00877AB4"/>
    <w:rsid w:val="00883803"/>
    <w:rsid w:val="008A07C0"/>
    <w:rsid w:val="008A2ECA"/>
    <w:rsid w:val="008A45C3"/>
    <w:rsid w:val="00981C3B"/>
    <w:rsid w:val="009C7A22"/>
    <w:rsid w:val="009D382F"/>
    <w:rsid w:val="009E4C31"/>
    <w:rsid w:val="00A03AF1"/>
    <w:rsid w:val="00A10B3D"/>
    <w:rsid w:val="00A35B21"/>
    <w:rsid w:val="00A47815"/>
    <w:rsid w:val="00A52AB3"/>
    <w:rsid w:val="00AA70B4"/>
    <w:rsid w:val="00AC6E30"/>
    <w:rsid w:val="00B30D10"/>
    <w:rsid w:val="00B5707D"/>
    <w:rsid w:val="00B6468E"/>
    <w:rsid w:val="00BD3654"/>
    <w:rsid w:val="00BE59EB"/>
    <w:rsid w:val="00C11D06"/>
    <w:rsid w:val="00C17CB6"/>
    <w:rsid w:val="00C17E6D"/>
    <w:rsid w:val="00C51A0C"/>
    <w:rsid w:val="00C6184E"/>
    <w:rsid w:val="00C63DD8"/>
    <w:rsid w:val="00C85765"/>
    <w:rsid w:val="00CA01F8"/>
    <w:rsid w:val="00CB0ECB"/>
    <w:rsid w:val="00CB44A5"/>
    <w:rsid w:val="00CC584F"/>
    <w:rsid w:val="00D000EE"/>
    <w:rsid w:val="00D03B0F"/>
    <w:rsid w:val="00D043CF"/>
    <w:rsid w:val="00D07D6A"/>
    <w:rsid w:val="00D169D0"/>
    <w:rsid w:val="00D34B08"/>
    <w:rsid w:val="00D74C52"/>
    <w:rsid w:val="00D92557"/>
    <w:rsid w:val="00E00988"/>
    <w:rsid w:val="00E24328"/>
    <w:rsid w:val="00E300F8"/>
    <w:rsid w:val="00E40B40"/>
    <w:rsid w:val="00E57D06"/>
    <w:rsid w:val="00E80328"/>
    <w:rsid w:val="00EB462E"/>
    <w:rsid w:val="00ED7D38"/>
    <w:rsid w:val="00EF1705"/>
    <w:rsid w:val="00F04514"/>
    <w:rsid w:val="00F15A00"/>
    <w:rsid w:val="00F56771"/>
    <w:rsid w:val="00FA2164"/>
    <w:rsid w:val="00FE00E5"/>
    <w:rsid w:val="00FE6B74"/>
    <w:rsid w:val="00FE7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75449"/>
  <w15:chartTrackingRefBased/>
  <w15:docId w15:val="{AE1FC3DF-E97F-480F-B856-AFD83B095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45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45EC"/>
    <w:rPr>
      <w:rFonts w:eastAsiaTheme="minorEastAsia"/>
      <w:lang w:val="en-US"/>
    </w:rPr>
  </w:style>
  <w:style w:type="paragraph" w:styleId="Header">
    <w:name w:val="header"/>
    <w:basedOn w:val="Normal"/>
    <w:link w:val="HeaderChar"/>
    <w:uiPriority w:val="99"/>
    <w:unhideWhenUsed/>
    <w:rsid w:val="002D4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5EC"/>
  </w:style>
  <w:style w:type="paragraph" w:styleId="Footer">
    <w:name w:val="footer"/>
    <w:basedOn w:val="Normal"/>
    <w:link w:val="FooterChar"/>
    <w:uiPriority w:val="99"/>
    <w:unhideWhenUsed/>
    <w:rsid w:val="002D4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5EC"/>
  </w:style>
  <w:style w:type="character" w:styleId="Hyperlink">
    <w:name w:val="Hyperlink"/>
    <w:basedOn w:val="DefaultParagraphFont"/>
    <w:uiPriority w:val="99"/>
    <w:unhideWhenUsed/>
    <w:rsid w:val="005C58F1"/>
    <w:rPr>
      <w:color w:val="0563C1" w:themeColor="hyperlink"/>
      <w:u w:val="single"/>
    </w:rPr>
  </w:style>
  <w:style w:type="paragraph" w:styleId="ListParagraph">
    <w:name w:val="List Paragraph"/>
    <w:basedOn w:val="Normal"/>
    <w:uiPriority w:val="34"/>
    <w:qFormat/>
    <w:rsid w:val="00C51A0C"/>
    <w:pPr>
      <w:ind w:left="720"/>
      <w:contextualSpacing/>
    </w:pPr>
  </w:style>
  <w:style w:type="character" w:styleId="FollowedHyperlink">
    <w:name w:val="FollowedHyperlink"/>
    <w:basedOn w:val="DefaultParagraphFont"/>
    <w:uiPriority w:val="99"/>
    <w:semiHidden/>
    <w:unhideWhenUsed/>
    <w:rsid w:val="00E57D06"/>
    <w:rPr>
      <w:color w:val="954F72" w:themeColor="followedHyperlink"/>
      <w:u w:val="single"/>
    </w:rPr>
  </w:style>
  <w:style w:type="table" w:styleId="TableGrid">
    <w:name w:val="Table Grid"/>
    <w:basedOn w:val="TableNormal"/>
    <w:uiPriority w:val="39"/>
    <w:rsid w:val="00A10B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555310">
      <w:bodyDiv w:val="1"/>
      <w:marLeft w:val="0"/>
      <w:marRight w:val="0"/>
      <w:marTop w:val="0"/>
      <w:marBottom w:val="0"/>
      <w:divBdr>
        <w:top w:val="none" w:sz="0" w:space="0" w:color="auto"/>
        <w:left w:val="none" w:sz="0" w:space="0" w:color="auto"/>
        <w:bottom w:val="none" w:sz="0" w:space="0" w:color="auto"/>
        <w:right w:val="none" w:sz="0" w:space="0" w:color="auto"/>
      </w:divBdr>
    </w:div>
    <w:div w:id="592280460">
      <w:bodyDiv w:val="1"/>
      <w:marLeft w:val="0"/>
      <w:marRight w:val="0"/>
      <w:marTop w:val="0"/>
      <w:marBottom w:val="0"/>
      <w:divBdr>
        <w:top w:val="none" w:sz="0" w:space="0" w:color="auto"/>
        <w:left w:val="none" w:sz="0" w:space="0" w:color="auto"/>
        <w:bottom w:val="none" w:sz="0" w:space="0" w:color="auto"/>
        <w:right w:val="none" w:sz="0" w:space="0" w:color="auto"/>
      </w:divBdr>
    </w:div>
    <w:div w:id="81398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ildcomwales.org.uk/uncrc-childrens-rights/" TargetMode="External"/><Relationship Id="rId18" Type="http://schemas.openxmlformats.org/officeDocument/2006/relationships/hyperlink" Target="http://learning.gov.wales/docs/learningwales/publications/130429how-to-develop-thinking-en.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4.emf"/><Relationship Id="rId7" Type="http://schemas.openxmlformats.org/officeDocument/2006/relationships/endnotes" Target="endnotes.xml"/><Relationship Id="rId12" Type="http://schemas.openxmlformats.org/officeDocument/2006/relationships/hyperlink" Target="http://journals.sagepub.com/doi/pdf/10.1177/003172171009200119" TargetMode="External"/><Relationship Id="rId17" Type="http://schemas.openxmlformats.org/officeDocument/2006/relationships/hyperlink" Target="http://www.ameprc.mq.edu.au/docs/research_reports/teachers_voices/Teachers_voices_8.pdf" TargetMode="External"/><Relationship Id="rId25"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hyperlink" Target="http://www.learningspy.co.uk/learning/8696/" TargetMode="External"/><Relationship Id="rId20" Type="http://schemas.openxmlformats.org/officeDocument/2006/relationships/image" Target="media/image3.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7.emf"/><Relationship Id="rId5" Type="http://schemas.openxmlformats.org/officeDocument/2006/relationships/webSettings" Target="webSettings.xml"/><Relationship Id="rId15" Type="http://schemas.openxmlformats.org/officeDocument/2006/relationships/hyperlink" Target="http://gov.wales/docs/dcells/publications/150225-successful-futures-en.pdf" TargetMode="External"/><Relationship Id="rId23" Type="http://schemas.openxmlformats.org/officeDocument/2006/relationships/image" Target="media/image6.emf"/><Relationship Id="rId28"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shirleyclarke-education.org/research/learning-objectives-and-success-criteria-2009/" TargetMode="External"/><Relationship Id="rId22" Type="http://schemas.openxmlformats.org/officeDocument/2006/relationships/image" Target="media/image5.emf"/><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E:\Research\Involvement%20Scal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Research\Involvement%20Scale%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Lesson Study One - Leuven Scale for</a:t>
            </a:r>
            <a:r>
              <a:rPr lang="en-GB" baseline="0"/>
              <a:t> Involvement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c:f>
              <c:strCache>
                <c:ptCount val="1"/>
                <c:pt idx="0">
                  <c:v>Child A</c:v>
                </c:pt>
              </c:strCache>
            </c:strRef>
          </c:tx>
          <c:spPr>
            <a:solidFill>
              <a:schemeClr val="accent6"/>
            </a:solidFill>
            <a:ln>
              <a:noFill/>
            </a:ln>
            <a:effectLst/>
          </c:spPr>
          <c:invertIfNegative val="0"/>
          <c:cat>
            <c:strRef>
              <c:f>Sheet1!$B$1:$J$1</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Sheet1!$B$2:$J$2</c:f>
              <c:numCache>
                <c:formatCode>General</c:formatCode>
                <c:ptCount val="9"/>
                <c:pt idx="0">
                  <c:v>2</c:v>
                </c:pt>
                <c:pt idx="1">
                  <c:v>2</c:v>
                </c:pt>
                <c:pt idx="2">
                  <c:v>3</c:v>
                </c:pt>
                <c:pt idx="3">
                  <c:v>4</c:v>
                </c:pt>
                <c:pt idx="4">
                  <c:v>1</c:v>
                </c:pt>
                <c:pt idx="5">
                  <c:v>2</c:v>
                </c:pt>
                <c:pt idx="6">
                  <c:v>1</c:v>
                </c:pt>
                <c:pt idx="7">
                  <c:v>2</c:v>
                </c:pt>
                <c:pt idx="8">
                  <c:v>1</c:v>
                </c:pt>
              </c:numCache>
            </c:numRef>
          </c:val>
          <c:extLst>
            <c:ext xmlns:c16="http://schemas.microsoft.com/office/drawing/2014/chart" uri="{C3380CC4-5D6E-409C-BE32-E72D297353CC}">
              <c16:uniqueId val="{00000000-99D9-4A75-B95E-F3EB5138E0DC}"/>
            </c:ext>
          </c:extLst>
        </c:ser>
        <c:ser>
          <c:idx val="1"/>
          <c:order val="1"/>
          <c:tx>
            <c:strRef>
              <c:f>Sheet1!$A$3</c:f>
              <c:strCache>
                <c:ptCount val="1"/>
                <c:pt idx="0">
                  <c:v>Child B</c:v>
                </c:pt>
              </c:strCache>
            </c:strRef>
          </c:tx>
          <c:spPr>
            <a:solidFill>
              <a:schemeClr val="accent5"/>
            </a:solidFill>
            <a:ln>
              <a:noFill/>
            </a:ln>
            <a:effectLst/>
          </c:spPr>
          <c:invertIfNegative val="0"/>
          <c:cat>
            <c:strRef>
              <c:f>Sheet1!$B$1:$J$1</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Sheet1!$B$3:$J$3</c:f>
              <c:numCache>
                <c:formatCode>General</c:formatCode>
                <c:ptCount val="9"/>
                <c:pt idx="0">
                  <c:v>1</c:v>
                </c:pt>
                <c:pt idx="1">
                  <c:v>2</c:v>
                </c:pt>
                <c:pt idx="2">
                  <c:v>2</c:v>
                </c:pt>
                <c:pt idx="3">
                  <c:v>3</c:v>
                </c:pt>
                <c:pt idx="4">
                  <c:v>3</c:v>
                </c:pt>
                <c:pt idx="5">
                  <c:v>2</c:v>
                </c:pt>
                <c:pt idx="6">
                  <c:v>2</c:v>
                </c:pt>
                <c:pt idx="7">
                  <c:v>4</c:v>
                </c:pt>
                <c:pt idx="8">
                  <c:v>4</c:v>
                </c:pt>
              </c:numCache>
            </c:numRef>
          </c:val>
          <c:extLst>
            <c:ext xmlns:c16="http://schemas.microsoft.com/office/drawing/2014/chart" uri="{C3380CC4-5D6E-409C-BE32-E72D297353CC}">
              <c16:uniqueId val="{00000001-99D9-4A75-B95E-F3EB5138E0DC}"/>
            </c:ext>
          </c:extLst>
        </c:ser>
        <c:ser>
          <c:idx val="2"/>
          <c:order val="2"/>
          <c:tx>
            <c:strRef>
              <c:f>Sheet1!$A$4</c:f>
              <c:strCache>
                <c:ptCount val="1"/>
                <c:pt idx="0">
                  <c:v>Child C</c:v>
                </c:pt>
              </c:strCache>
            </c:strRef>
          </c:tx>
          <c:spPr>
            <a:solidFill>
              <a:schemeClr val="accent4"/>
            </a:solidFill>
            <a:ln>
              <a:noFill/>
            </a:ln>
            <a:effectLst/>
          </c:spPr>
          <c:invertIfNegative val="0"/>
          <c:cat>
            <c:strRef>
              <c:f>Sheet1!$B$1:$J$1</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Sheet1!$B$4:$J$4</c:f>
              <c:numCache>
                <c:formatCode>General</c:formatCode>
                <c:ptCount val="9"/>
                <c:pt idx="0">
                  <c:v>1</c:v>
                </c:pt>
                <c:pt idx="1">
                  <c:v>1</c:v>
                </c:pt>
                <c:pt idx="2">
                  <c:v>3</c:v>
                </c:pt>
                <c:pt idx="3">
                  <c:v>2</c:v>
                </c:pt>
                <c:pt idx="4">
                  <c:v>3</c:v>
                </c:pt>
                <c:pt idx="5">
                  <c:v>2</c:v>
                </c:pt>
                <c:pt idx="6">
                  <c:v>3</c:v>
                </c:pt>
                <c:pt idx="7">
                  <c:v>3</c:v>
                </c:pt>
                <c:pt idx="8">
                  <c:v>2</c:v>
                </c:pt>
              </c:numCache>
            </c:numRef>
          </c:val>
          <c:extLst>
            <c:ext xmlns:c16="http://schemas.microsoft.com/office/drawing/2014/chart" uri="{C3380CC4-5D6E-409C-BE32-E72D297353CC}">
              <c16:uniqueId val="{00000002-99D9-4A75-B95E-F3EB5138E0DC}"/>
            </c:ext>
          </c:extLst>
        </c:ser>
        <c:dLbls>
          <c:showLegendKey val="0"/>
          <c:showVal val="0"/>
          <c:showCatName val="0"/>
          <c:showSerName val="0"/>
          <c:showPercent val="0"/>
          <c:showBubbleSize val="0"/>
        </c:dLbls>
        <c:gapWidth val="150"/>
        <c:axId val="535239272"/>
        <c:axId val="535237632"/>
      </c:barChart>
      <c:catAx>
        <c:axId val="5352392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237632"/>
        <c:crosses val="autoZero"/>
        <c:auto val="1"/>
        <c:lblAlgn val="ctr"/>
        <c:lblOffset val="100"/>
        <c:noMultiLvlLbl val="0"/>
      </c:catAx>
      <c:valAx>
        <c:axId val="535237632"/>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239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Lesson Study Two - Leuven Scale for Involvement</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Sheet1!$A$6</c:f>
              <c:strCache>
                <c:ptCount val="1"/>
                <c:pt idx="0">
                  <c:v>Child D</c:v>
                </c:pt>
              </c:strCache>
            </c:strRef>
          </c:tx>
          <c:spPr>
            <a:solidFill>
              <a:schemeClr val="accent1"/>
            </a:solidFill>
            <a:ln>
              <a:noFill/>
            </a:ln>
            <a:effectLst/>
          </c:spPr>
          <c:invertIfNegative val="0"/>
          <c:cat>
            <c:strRef>
              <c:f>Sheet1!$B$5:$J$5</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Sheet1!$B$6:$J$6</c:f>
              <c:numCache>
                <c:formatCode>General</c:formatCode>
                <c:ptCount val="9"/>
                <c:pt idx="0">
                  <c:v>2</c:v>
                </c:pt>
                <c:pt idx="1">
                  <c:v>2</c:v>
                </c:pt>
                <c:pt idx="2">
                  <c:v>4</c:v>
                </c:pt>
                <c:pt idx="3">
                  <c:v>1</c:v>
                </c:pt>
                <c:pt idx="4">
                  <c:v>3</c:v>
                </c:pt>
                <c:pt idx="5">
                  <c:v>2</c:v>
                </c:pt>
                <c:pt idx="6">
                  <c:v>1</c:v>
                </c:pt>
                <c:pt idx="7">
                  <c:v>1</c:v>
                </c:pt>
                <c:pt idx="8">
                  <c:v>3</c:v>
                </c:pt>
              </c:numCache>
            </c:numRef>
          </c:val>
          <c:extLst>
            <c:ext xmlns:c16="http://schemas.microsoft.com/office/drawing/2014/chart" uri="{C3380CC4-5D6E-409C-BE32-E72D297353CC}">
              <c16:uniqueId val="{00000000-DF48-448D-A9F3-45B571C0663E}"/>
            </c:ext>
          </c:extLst>
        </c:ser>
        <c:ser>
          <c:idx val="1"/>
          <c:order val="1"/>
          <c:tx>
            <c:strRef>
              <c:f>Sheet1!$A$7</c:f>
              <c:strCache>
                <c:ptCount val="1"/>
                <c:pt idx="0">
                  <c:v>Child E</c:v>
                </c:pt>
              </c:strCache>
            </c:strRef>
          </c:tx>
          <c:spPr>
            <a:solidFill>
              <a:schemeClr val="accent2"/>
            </a:solidFill>
            <a:ln>
              <a:noFill/>
            </a:ln>
            <a:effectLst/>
          </c:spPr>
          <c:invertIfNegative val="0"/>
          <c:cat>
            <c:strRef>
              <c:f>Sheet1!$B$5:$J$5</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Sheet1!$B$7:$J$7</c:f>
              <c:numCache>
                <c:formatCode>General</c:formatCode>
                <c:ptCount val="9"/>
                <c:pt idx="0">
                  <c:v>2</c:v>
                </c:pt>
                <c:pt idx="1">
                  <c:v>2</c:v>
                </c:pt>
                <c:pt idx="2">
                  <c:v>4</c:v>
                </c:pt>
                <c:pt idx="3">
                  <c:v>2</c:v>
                </c:pt>
                <c:pt idx="4">
                  <c:v>3</c:v>
                </c:pt>
                <c:pt idx="5">
                  <c:v>3</c:v>
                </c:pt>
                <c:pt idx="6">
                  <c:v>2</c:v>
                </c:pt>
                <c:pt idx="7">
                  <c:v>5</c:v>
                </c:pt>
                <c:pt idx="8">
                  <c:v>3</c:v>
                </c:pt>
              </c:numCache>
            </c:numRef>
          </c:val>
          <c:extLst>
            <c:ext xmlns:c16="http://schemas.microsoft.com/office/drawing/2014/chart" uri="{C3380CC4-5D6E-409C-BE32-E72D297353CC}">
              <c16:uniqueId val="{00000001-DF48-448D-A9F3-45B571C0663E}"/>
            </c:ext>
          </c:extLst>
        </c:ser>
        <c:ser>
          <c:idx val="2"/>
          <c:order val="2"/>
          <c:tx>
            <c:strRef>
              <c:f>Sheet1!$A$8</c:f>
              <c:strCache>
                <c:ptCount val="1"/>
                <c:pt idx="0">
                  <c:v>Child F</c:v>
                </c:pt>
              </c:strCache>
            </c:strRef>
          </c:tx>
          <c:spPr>
            <a:solidFill>
              <a:schemeClr val="accent3"/>
            </a:solidFill>
            <a:ln>
              <a:noFill/>
            </a:ln>
            <a:effectLst/>
          </c:spPr>
          <c:invertIfNegative val="0"/>
          <c:cat>
            <c:strRef>
              <c:f>Sheet1!$B$5:$J$5</c:f>
              <c:strCache>
                <c:ptCount val="9"/>
                <c:pt idx="0">
                  <c:v>Hook</c:v>
                </c:pt>
                <c:pt idx="1">
                  <c:v>Introduction</c:v>
                </c:pt>
                <c:pt idx="2">
                  <c:v>Generating SC</c:v>
                </c:pt>
                <c:pt idx="3">
                  <c:v>Spider Diagram</c:v>
                </c:pt>
                <c:pt idx="4">
                  <c:v>Discussion 1</c:v>
                </c:pt>
                <c:pt idx="5">
                  <c:v>Pit Stop</c:v>
                </c:pt>
                <c:pt idx="6">
                  <c:v>Discussion 2</c:v>
                </c:pt>
                <c:pt idx="7">
                  <c:v>Feedback to Class</c:v>
                </c:pt>
                <c:pt idx="8">
                  <c:v>Plenary</c:v>
                </c:pt>
              </c:strCache>
            </c:strRef>
          </c:cat>
          <c:val>
            <c:numRef>
              <c:f>Sheet1!$B$8:$J$8</c:f>
              <c:numCache>
                <c:formatCode>General</c:formatCode>
                <c:ptCount val="9"/>
                <c:pt idx="0">
                  <c:v>1</c:v>
                </c:pt>
                <c:pt idx="1">
                  <c:v>1</c:v>
                </c:pt>
                <c:pt idx="2">
                  <c:v>1</c:v>
                </c:pt>
                <c:pt idx="3">
                  <c:v>1</c:v>
                </c:pt>
                <c:pt idx="4">
                  <c:v>1</c:v>
                </c:pt>
                <c:pt idx="5">
                  <c:v>1</c:v>
                </c:pt>
                <c:pt idx="6">
                  <c:v>1</c:v>
                </c:pt>
                <c:pt idx="7">
                  <c:v>2</c:v>
                </c:pt>
                <c:pt idx="8">
                  <c:v>3</c:v>
                </c:pt>
              </c:numCache>
            </c:numRef>
          </c:val>
          <c:extLst>
            <c:ext xmlns:c16="http://schemas.microsoft.com/office/drawing/2014/chart" uri="{C3380CC4-5D6E-409C-BE32-E72D297353CC}">
              <c16:uniqueId val="{00000002-DF48-448D-A9F3-45B571C0663E}"/>
            </c:ext>
          </c:extLst>
        </c:ser>
        <c:dLbls>
          <c:showLegendKey val="0"/>
          <c:showVal val="0"/>
          <c:showCatName val="0"/>
          <c:showSerName val="0"/>
          <c:showPercent val="0"/>
          <c:showBubbleSize val="0"/>
        </c:dLbls>
        <c:gapWidth val="150"/>
        <c:axId val="538889848"/>
        <c:axId val="538889192"/>
      </c:barChart>
      <c:catAx>
        <c:axId val="5388898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889192"/>
        <c:crosses val="autoZero"/>
        <c:auto val="1"/>
        <c:lblAlgn val="ctr"/>
        <c:lblOffset val="100"/>
        <c:noMultiLvlLbl val="0"/>
      </c:catAx>
      <c:valAx>
        <c:axId val="5388891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889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Group 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26</Pages>
  <Words>6585</Words>
  <Characters>37535</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The Enquiring Teacher</vt:lpstr>
    </vt:vector>
  </TitlesOfParts>
  <Company>University of Wales Trinity Saint David</Company>
  <LinksUpToDate>false</LinksUpToDate>
  <CharactersWithSpaces>44032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Enquiring Teacher</dc:title>
  <dc:subject>Does child-generated success criteria have an impact on pupil engagement of an individual group of pupils?</dc:subject>
  <dc:creator>Nicole White (P126121)</dc:creator>
  <cp:keywords/>
  <dc:description/>
  <cp:lastModifiedBy>Nicole White</cp:lastModifiedBy>
  <cp:revision>36</cp:revision>
  <dcterms:created xsi:type="dcterms:W3CDTF">2018-04-09T12:03:00Z</dcterms:created>
  <dcterms:modified xsi:type="dcterms:W3CDTF">2018-04-15T12:20:00Z</dcterms:modified>
</cp:coreProperties>
</file>