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7A536" w14:textId="4F443929" w:rsidR="00517776" w:rsidRDefault="00BF371E" w:rsidP="00C25CBA">
      <w:r>
        <w:t>LEE MAHONEY – 2132141</w:t>
      </w:r>
    </w:p>
    <w:p w14:paraId="11A1E89D" w14:textId="57447EA9" w:rsidR="00BF371E" w:rsidRDefault="00BF371E">
      <w:r>
        <w:t>Operational Police Practice 2 (BMPP5002D)</w:t>
      </w:r>
    </w:p>
    <w:p w14:paraId="79BC0CEE" w14:textId="5A9C3734" w:rsidR="00BF371E" w:rsidRDefault="00BF371E">
      <w:r>
        <w:t>Assignment 1</w:t>
      </w:r>
      <w:r w:rsidR="00AB6CF6">
        <w:t>.</w:t>
      </w:r>
    </w:p>
    <w:p w14:paraId="251B9F22" w14:textId="2FB4A78E" w:rsidR="00BF371E" w:rsidRDefault="00BF371E"/>
    <w:p w14:paraId="408CC203" w14:textId="347337B1" w:rsidR="00BF371E" w:rsidRDefault="009F3209">
      <w:pPr>
        <w:rPr>
          <w:b/>
          <w:bCs/>
        </w:rPr>
      </w:pPr>
      <w:r>
        <w:rPr>
          <w:b/>
          <w:bCs/>
        </w:rPr>
        <w:t xml:space="preserve">Essay One: </w:t>
      </w:r>
      <w:r w:rsidR="00BF371E" w:rsidRPr="00BF371E">
        <w:rPr>
          <w:b/>
          <w:bCs/>
        </w:rPr>
        <w:t>Assess the effectiveness of independent bodies (e.g. IOPC, HMICFRS) in holding the police to account.</w:t>
      </w:r>
    </w:p>
    <w:p w14:paraId="16FF4DDF" w14:textId="77777777" w:rsidR="00925DA2" w:rsidRDefault="00925DA2">
      <w:pPr>
        <w:rPr>
          <w:b/>
          <w:bCs/>
        </w:rPr>
      </w:pPr>
    </w:p>
    <w:p w14:paraId="4C0217F6" w14:textId="55A0BE90" w:rsidR="005F3C68" w:rsidRDefault="00773383">
      <w:r>
        <w:t xml:space="preserve">In order to </w:t>
      </w:r>
      <w:r w:rsidR="003C445D">
        <w:t xml:space="preserve">assess how </w:t>
      </w:r>
      <w:r w:rsidR="003B0C6F">
        <w:t>effective,</w:t>
      </w:r>
      <w:r w:rsidR="003C445D">
        <w:t xml:space="preserve"> the independent bodies are in holding the police t</w:t>
      </w:r>
      <w:r w:rsidR="00450A2C">
        <w:t>o account</w:t>
      </w:r>
      <w:r w:rsidR="00D3784D">
        <w:t xml:space="preserve">, </w:t>
      </w:r>
      <w:r w:rsidR="00B62479">
        <w:t>we need</w:t>
      </w:r>
      <w:r w:rsidR="00D91BA6">
        <w:t xml:space="preserve"> to understand </w:t>
      </w:r>
      <w:r w:rsidR="00903CF8">
        <w:t xml:space="preserve">who these bodies are </w:t>
      </w:r>
      <w:r w:rsidR="005F3C68">
        <w:t>and their roles</w:t>
      </w:r>
      <w:r w:rsidR="009B26AB">
        <w:t xml:space="preserve"> within the system.</w:t>
      </w:r>
      <w:r w:rsidR="005F3C68">
        <w:t xml:space="preserve"> </w:t>
      </w:r>
    </w:p>
    <w:p w14:paraId="2AA9115C" w14:textId="1B70B6F0" w:rsidR="00C977FD" w:rsidRDefault="005F3C68">
      <w:r>
        <w:t xml:space="preserve">The </w:t>
      </w:r>
      <w:bookmarkStart w:id="0" w:name="_Hlk140915204"/>
      <w:r w:rsidR="006D7972">
        <w:t xml:space="preserve">Independent </w:t>
      </w:r>
      <w:r w:rsidR="00AB4D62">
        <w:t>Office for Police Conduct</w:t>
      </w:r>
      <w:r w:rsidR="006E6D74">
        <w:t xml:space="preserve"> </w:t>
      </w:r>
      <w:bookmarkEnd w:id="0"/>
      <w:r w:rsidR="006E6D74">
        <w:t>(IOPC)</w:t>
      </w:r>
      <w:r w:rsidR="0010344E">
        <w:t xml:space="preserve">, </w:t>
      </w:r>
      <w:r w:rsidR="00B1627E">
        <w:t xml:space="preserve">is an executive non-departmental </w:t>
      </w:r>
      <w:r w:rsidR="00D2120D">
        <w:t>public body that is sponsored by the Home Office</w:t>
      </w:r>
      <w:r w:rsidR="00943121">
        <w:t>.</w:t>
      </w:r>
      <w:r>
        <w:t xml:space="preserve"> The GOV.UK website defines the IOP</w:t>
      </w:r>
      <w:r w:rsidR="00272B0F">
        <w:t>C</w:t>
      </w:r>
      <w:r>
        <w:t xml:space="preserve">’s role as existing </w:t>
      </w:r>
      <w:r w:rsidR="00D2120D">
        <w:t xml:space="preserve">to </w:t>
      </w:r>
      <w:r w:rsidR="00691090">
        <w:t xml:space="preserve">increase public confidence </w:t>
      </w:r>
      <w:r w:rsidR="003E37A0">
        <w:t xml:space="preserve">in </w:t>
      </w:r>
      <w:r w:rsidR="006D5993">
        <w:t xml:space="preserve">the police </w:t>
      </w:r>
      <w:r w:rsidR="00374274">
        <w:t>complaints system</w:t>
      </w:r>
      <w:r w:rsidR="00272B0F">
        <w:t>.</w:t>
      </w:r>
      <w:r>
        <w:t xml:space="preserve"> It</w:t>
      </w:r>
      <w:r w:rsidR="002873E0">
        <w:t xml:space="preserve"> also investigates serious complaints and allegations of misconduct against the police</w:t>
      </w:r>
      <w:r w:rsidR="00A50203">
        <w:t xml:space="preserve">. </w:t>
      </w:r>
      <w:r w:rsidR="0081446F">
        <w:t xml:space="preserve"> (GOV.UK</w:t>
      </w:r>
      <w:r w:rsidR="001C06D1">
        <w:t xml:space="preserve"> 2022)</w:t>
      </w:r>
      <w:r w:rsidR="00FC11F2">
        <w:t>.</w:t>
      </w:r>
      <w:r w:rsidR="0044261E">
        <w:t xml:space="preserve"> The IOPC was formally known as the Independent Police Complaints Commission (IPCC) which we will </w:t>
      </w:r>
      <w:r w:rsidR="000A34EC">
        <w:t xml:space="preserve">consider </w:t>
      </w:r>
      <w:r w:rsidR="0044261E">
        <w:t xml:space="preserve">later. </w:t>
      </w:r>
    </w:p>
    <w:p w14:paraId="510B57B5" w14:textId="550542DC" w:rsidR="00796DB8" w:rsidRDefault="000B49EB">
      <w:r>
        <w:t>His Majesty’s In</w:t>
      </w:r>
      <w:r w:rsidR="00F01D7C">
        <w:t>spectorate of Constabulary a</w:t>
      </w:r>
      <w:r w:rsidR="00D02A9C">
        <w:t>nd Fire and Rescue Services</w:t>
      </w:r>
      <w:r w:rsidR="002B6D9F">
        <w:t xml:space="preserve"> (HM</w:t>
      </w:r>
      <w:r w:rsidR="00FB2038">
        <w:t>ICFRS)</w:t>
      </w:r>
      <w:r w:rsidR="0084796C">
        <w:t xml:space="preserve"> is another independent body</w:t>
      </w:r>
      <w:r w:rsidR="00B85F49">
        <w:t xml:space="preserve">. </w:t>
      </w:r>
      <w:r w:rsidR="007971B5">
        <w:t xml:space="preserve">Their </w:t>
      </w:r>
      <w:r w:rsidR="0084796C">
        <w:t xml:space="preserve">primary </w:t>
      </w:r>
      <w:r w:rsidR="007971B5">
        <w:t>purpose is to promote improvement</w:t>
      </w:r>
      <w:r w:rsidR="005F3C68">
        <w:t>s</w:t>
      </w:r>
      <w:r w:rsidR="007971B5">
        <w:t xml:space="preserve"> </w:t>
      </w:r>
      <w:r w:rsidR="008714FD">
        <w:t xml:space="preserve">in </w:t>
      </w:r>
      <w:r w:rsidR="001964B0">
        <w:t>policing</w:t>
      </w:r>
      <w:r w:rsidR="0084796C">
        <w:t xml:space="preserve"> and reports their findings to the public.</w:t>
      </w:r>
      <w:r w:rsidR="001964B0">
        <w:t xml:space="preserve"> </w:t>
      </w:r>
      <w:r w:rsidR="008F5D3E">
        <w:t>This gives the force and more importantly the public the understand</w:t>
      </w:r>
      <w:r w:rsidR="009F4D68">
        <w:t>ing</w:t>
      </w:r>
      <w:r w:rsidR="008F5D3E">
        <w:t xml:space="preserve"> on where, if any improvement is required. </w:t>
      </w:r>
      <w:r w:rsidR="00A2708B">
        <w:t>(</w:t>
      </w:r>
      <w:r w:rsidR="00EB4BD1">
        <w:t xml:space="preserve">HMICFRS. </w:t>
      </w:r>
      <w:r w:rsidR="00D17270">
        <w:t>2023</w:t>
      </w:r>
      <w:r w:rsidR="00081508">
        <w:t xml:space="preserve">). </w:t>
      </w:r>
    </w:p>
    <w:p w14:paraId="5A8F5D0C" w14:textId="2AC11A6D" w:rsidR="0074012E" w:rsidRDefault="0044261E">
      <w:r>
        <w:t xml:space="preserve">The </w:t>
      </w:r>
      <w:r w:rsidR="00B001D9">
        <w:t>College of Policing</w:t>
      </w:r>
      <w:r>
        <w:t xml:space="preserve"> is </w:t>
      </w:r>
      <w:r w:rsidR="00962B8E">
        <w:t xml:space="preserve">a non-independent organisation </w:t>
      </w:r>
      <w:r w:rsidR="00F00D46">
        <w:t>who</w:t>
      </w:r>
      <w:r w:rsidR="00A26552">
        <w:t xml:space="preserve"> </w:t>
      </w:r>
      <w:r w:rsidR="00F00D46">
        <w:t xml:space="preserve">set the standards </w:t>
      </w:r>
      <w:r w:rsidR="005C6400">
        <w:t>of</w:t>
      </w:r>
      <w:r w:rsidR="002B1956">
        <w:t xml:space="preserve"> all persons employed within the </w:t>
      </w:r>
      <w:r w:rsidR="00276C01">
        <w:t>police force,</w:t>
      </w:r>
      <w:r w:rsidR="00687D9F">
        <w:t xml:space="preserve"> from newly appointed police officers to senior management</w:t>
      </w:r>
      <w:r w:rsidR="002D6111">
        <w:t>.</w:t>
      </w:r>
      <w:r>
        <w:t xml:space="preserve"> They also developed the Code of Ethi</w:t>
      </w:r>
      <w:r w:rsidR="00BA0215">
        <w:t>cs in 2014</w:t>
      </w:r>
      <w:r w:rsidR="002D6111">
        <w:t xml:space="preserve">. </w:t>
      </w:r>
      <w:r w:rsidR="00012D8F">
        <w:t>(</w:t>
      </w:r>
      <w:r w:rsidR="006765EB">
        <w:t>College of Policing. 202</w:t>
      </w:r>
      <w:r w:rsidR="005B7227">
        <w:t>3)</w:t>
      </w:r>
    </w:p>
    <w:p w14:paraId="1BFD1FF2" w14:textId="54871A2D" w:rsidR="004B53B1" w:rsidRDefault="00012D8F">
      <w:r>
        <w:t>T</w:t>
      </w:r>
      <w:r w:rsidR="00B001D9">
        <w:t xml:space="preserve">he </w:t>
      </w:r>
      <w:r w:rsidR="00B031AE">
        <w:t>trio have a</w:t>
      </w:r>
      <w:r w:rsidR="003F346D">
        <w:t xml:space="preserve"> </w:t>
      </w:r>
      <w:r w:rsidR="00657C73">
        <w:t xml:space="preserve">complementary </w:t>
      </w:r>
      <w:r w:rsidR="00C36B18">
        <w:t>statutory</w:t>
      </w:r>
      <w:r w:rsidR="00657C73">
        <w:t xml:space="preserve"> </w:t>
      </w:r>
      <w:r w:rsidR="00713FBD">
        <w:t xml:space="preserve">purpose, </w:t>
      </w:r>
      <w:r w:rsidR="00663A52">
        <w:t xml:space="preserve">to promote and monitor </w:t>
      </w:r>
      <w:r w:rsidR="00D3502F">
        <w:t>best practice and continuous improvement in policing, in order to ensure that the police force</w:t>
      </w:r>
      <w:r w:rsidR="00CC621D">
        <w:t xml:space="preserve"> </w:t>
      </w:r>
      <w:r w:rsidR="00925DA2">
        <w:t>is</w:t>
      </w:r>
      <w:r w:rsidR="00CC621D">
        <w:t xml:space="preserve"> performing to the highest standard and being held to account.</w:t>
      </w:r>
      <w:r w:rsidR="00297600">
        <w:t xml:space="preserve"> (</w:t>
      </w:r>
      <w:r w:rsidR="004C735B">
        <w:t>The College of Policing and</w:t>
      </w:r>
      <w:r w:rsidR="00C968A2">
        <w:t xml:space="preserve"> the </w:t>
      </w:r>
      <w:r w:rsidR="00A665F6">
        <w:t>HMICFRS</w:t>
      </w:r>
      <w:r w:rsidR="002B6A4F">
        <w:t>. 2018)</w:t>
      </w:r>
    </w:p>
    <w:p w14:paraId="0348F466" w14:textId="00FA12A8" w:rsidR="00C30E7A" w:rsidRDefault="006978F4">
      <w:r>
        <w:t xml:space="preserve">The complaints system in England and Wales has seen many changes over the years.  </w:t>
      </w:r>
      <w:r w:rsidR="00C57008">
        <w:t xml:space="preserve">In 2014, a review into the system was launched by the then Home Secretary Theresa May. </w:t>
      </w:r>
      <w:r w:rsidR="00C30E7A">
        <w:t xml:space="preserve">She tasked Chapman to </w:t>
      </w:r>
      <w:r w:rsidR="00ED3CA1">
        <w:t xml:space="preserve">complete the review and </w:t>
      </w:r>
      <w:r w:rsidR="00620E24">
        <w:t xml:space="preserve">asked for him to </w:t>
      </w:r>
      <w:r w:rsidR="00ED3CA1">
        <w:t xml:space="preserve">suggest recommendations for a reformed system. </w:t>
      </w:r>
    </w:p>
    <w:p w14:paraId="076FFDC8" w14:textId="54A6691B" w:rsidR="000150F2" w:rsidRDefault="00ED3CA1">
      <w:r>
        <w:t>I</w:t>
      </w:r>
      <w:r w:rsidR="00561797">
        <w:t>n his</w:t>
      </w:r>
      <w:r w:rsidR="000952C1">
        <w:t xml:space="preserve"> 2014</w:t>
      </w:r>
      <w:r w:rsidR="00561797">
        <w:t xml:space="preserve"> review</w:t>
      </w:r>
      <w:r>
        <w:t>, Chapman commented</w:t>
      </w:r>
      <w:r w:rsidR="00561797">
        <w:t xml:space="preserve"> that “trust in the police is an aspect of legitimacy fostered by a perception of police fairness”</w:t>
      </w:r>
      <w:bookmarkStart w:id="1" w:name="_Hlk141109623"/>
      <w:r w:rsidR="000952C1">
        <w:t xml:space="preserve">. </w:t>
      </w:r>
      <w:r>
        <w:t>Whe</w:t>
      </w:r>
      <w:bookmarkEnd w:id="1"/>
      <w:r>
        <w:t>n th</w:t>
      </w:r>
      <w:r w:rsidR="00DE579F">
        <w:t xml:space="preserve">e IPCC was formed in 2004 </w:t>
      </w:r>
      <w:r>
        <w:t xml:space="preserve">it </w:t>
      </w:r>
      <w:r w:rsidR="00DE579F">
        <w:t>was designed to be independent, however it was</w:t>
      </w:r>
      <w:r w:rsidR="00DF0FDB">
        <w:t xml:space="preserve"> discredited, </w:t>
      </w:r>
      <w:r w:rsidR="006978F4">
        <w:t xml:space="preserve">as </w:t>
      </w:r>
      <w:r w:rsidR="00DF0FDB">
        <w:t>there were concerns about their ability to be objective (Hockey</w:t>
      </w:r>
      <w:r w:rsidR="00202C54">
        <w:t xml:space="preserve">. </w:t>
      </w:r>
      <w:r w:rsidR="00DF0FDB">
        <w:t>2020). In</w:t>
      </w:r>
      <w:r w:rsidR="007146AB">
        <w:t xml:space="preserve"> </w:t>
      </w:r>
      <w:r w:rsidR="00DF0FDB">
        <w:t>Hockey’s report</w:t>
      </w:r>
      <w:r w:rsidR="00E36112">
        <w:t xml:space="preserve"> he commented that </w:t>
      </w:r>
      <w:r w:rsidR="00C57008">
        <w:t>t</w:t>
      </w:r>
      <w:r w:rsidR="00E36112">
        <w:t>he IPCC was a ‘prime example’ of bias towards the institution</w:t>
      </w:r>
      <w:r w:rsidR="00C57008">
        <w:t xml:space="preserve"> and that social harm can develop if there is no impartiality. </w:t>
      </w:r>
      <w:r>
        <w:t xml:space="preserve"> Therefore, if the independent bodies are not being fair in their decisions</w:t>
      </w:r>
      <w:r w:rsidR="00F315A6">
        <w:t>,</w:t>
      </w:r>
      <w:r>
        <w:t xml:space="preserve"> the public confidence and trust in the police will diminish and </w:t>
      </w:r>
      <w:r w:rsidR="00F315A6">
        <w:t xml:space="preserve">arguably these bodies </w:t>
      </w:r>
      <w:r w:rsidR="00F453FB">
        <w:t>were</w:t>
      </w:r>
      <w:r w:rsidR="00F315A6">
        <w:t xml:space="preserve"> not effective in holding the police to account due to their bias</w:t>
      </w:r>
      <w:r w:rsidR="00D43E83">
        <w:t xml:space="preserve"> and lack of independence. </w:t>
      </w:r>
    </w:p>
    <w:p w14:paraId="72FD76C0" w14:textId="49249998" w:rsidR="00340DE4" w:rsidRDefault="00D938AB">
      <w:r>
        <w:t>The IPCC saw an importance in employing ex police officers within their structure due to their knowledge and expertise however others argue</w:t>
      </w:r>
      <w:r w:rsidR="0093430A">
        <w:t>d</w:t>
      </w:r>
      <w:r>
        <w:t xml:space="preserve"> that this could lead to a conflict of interest</w:t>
      </w:r>
      <w:r w:rsidR="002B2425">
        <w:t xml:space="preserve"> (Staddon</w:t>
      </w:r>
      <w:r w:rsidR="008A3077">
        <w:t>.</w:t>
      </w:r>
      <w:r w:rsidR="002B2425">
        <w:t xml:space="preserve"> 2021)</w:t>
      </w:r>
      <w:r w:rsidR="00EB6487">
        <w:t xml:space="preserve"> and </w:t>
      </w:r>
      <w:r w:rsidR="00C30E7A">
        <w:t xml:space="preserve">to be truly independent </w:t>
      </w:r>
      <w:r w:rsidR="00EB6487">
        <w:t>people</w:t>
      </w:r>
      <w:r w:rsidR="00C30E7A">
        <w:t xml:space="preserve"> should be</w:t>
      </w:r>
      <w:r w:rsidR="00EB6487">
        <w:t xml:space="preserve"> trained by the IOPC </w:t>
      </w:r>
      <w:r w:rsidR="00C30E7A">
        <w:t xml:space="preserve">instead </w:t>
      </w:r>
      <w:r w:rsidR="004F1CEF">
        <w:t>(Prenzler</w:t>
      </w:r>
      <w:r w:rsidR="008A3077">
        <w:t xml:space="preserve">. </w:t>
      </w:r>
      <w:r w:rsidR="004F1CEF">
        <w:t xml:space="preserve">2004). </w:t>
      </w:r>
      <w:r w:rsidR="000150F2">
        <w:t xml:space="preserve">There </w:t>
      </w:r>
      <w:r w:rsidR="00D43E83">
        <w:t xml:space="preserve">could </w:t>
      </w:r>
      <w:r w:rsidR="00D97F75">
        <w:t>increase the</w:t>
      </w:r>
      <w:r w:rsidR="000150F2">
        <w:t xml:space="preserve"> risk of bias Hockey refers to. </w:t>
      </w:r>
      <w:r w:rsidR="00C30E7A">
        <w:t>When the</w:t>
      </w:r>
      <w:r w:rsidR="000150F2">
        <w:t xml:space="preserve"> </w:t>
      </w:r>
      <w:r w:rsidR="00544D13">
        <w:t>Smith</w:t>
      </w:r>
      <w:r w:rsidR="000150F2">
        <w:t xml:space="preserve"> Review in 2015</w:t>
      </w:r>
      <w:r w:rsidR="00C30E7A">
        <w:t xml:space="preserve"> was conducted, it looked at the</w:t>
      </w:r>
      <w:r>
        <w:t xml:space="preserve"> governance arrangements </w:t>
      </w:r>
      <w:r w:rsidR="00F315A6">
        <w:t>and</w:t>
      </w:r>
      <w:r w:rsidR="00C57008">
        <w:t xml:space="preserve"> recommend</w:t>
      </w:r>
      <w:r w:rsidR="000150F2">
        <w:t>ed</w:t>
      </w:r>
      <w:r w:rsidR="00C57008">
        <w:t xml:space="preserve"> for the structure to be </w:t>
      </w:r>
      <w:r w:rsidR="00544D13">
        <w:lastRenderedPageBreak/>
        <w:t>reformed</w:t>
      </w:r>
      <w:r w:rsidR="008A3077">
        <w:t xml:space="preserve">. </w:t>
      </w:r>
      <w:r>
        <w:t xml:space="preserve"> In </w:t>
      </w:r>
      <w:r w:rsidR="00544D13">
        <w:t>2018 the IPCC became the IOP</w:t>
      </w:r>
      <w:r>
        <w:t>C with a Director-General as the head of the organisation who is independent from the government and ha</w:t>
      </w:r>
      <w:r w:rsidR="00FB1EEA">
        <w:t>d</w:t>
      </w:r>
      <w:r>
        <w:t xml:space="preserve"> not worked for the police (Staddon</w:t>
      </w:r>
      <w:r w:rsidR="008A3077">
        <w:t>.</w:t>
      </w:r>
      <w:r>
        <w:t xml:space="preserve"> 2021)</w:t>
      </w:r>
      <w:r w:rsidR="00340DE4">
        <w:t>.</w:t>
      </w:r>
      <w:r w:rsidR="00D43E83">
        <w:t xml:space="preserve"> </w:t>
      </w:r>
      <w:r w:rsidR="00D42039">
        <w:t xml:space="preserve">Thus, </w:t>
      </w:r>
      <w:r w:rsidR="00436299">
        <w:t xml:space="preserve">attempting to </w:t>
      </w:r>
      <w:r w:rsidR="00D42039">
        <w:t>promot</w:t>
      </w:r>
      <w:r w:rsidR="00436299">
        <w:t xml:space="preserve">e </w:t>
      </w:r>
      <w:r w:rsidR="00D42039">
        <w:t xml:space="preserve">a more independent organisation. </w:t>
      </w:r>
    </w:p>
    <w:p w14:paraId="62128B2E" w14:textId="710D1D60" w:rsidR="002106BE" w:rsidRDefault="00340DE4">
      <w:r>
        <w:t xml:space="preserve">When the Home Secretary launched </w:t>
      </w:r>
      <w:r w:rsidR="00E24308">
        <w:t>a further consultation in 2015</w:t>
      </w:r>
      <w:r>
        <w:t xml:space="preserve"> prior to the Smith review and following the Chapman Review, she said that “Complaints must be responded to in a way that restores trust, builds confidence, and allows lessons to be learned</w:t>
      </w:r>
      <w:r w:rsidR="00B22A9D">
        <w:t>”</w:t>
      </w:r>
      <w:r w:rsidR="002F3324">
        <w:t xml:space="preserve"> (May</w:t>
      </w:r>
      <w:r w:rsidR="00F07774">
        <w:t>.</w:t>
      </w:r>
      <w:r w:rsidR="002F3324">
        <w:t xml:space="preserve"> 2014). </w:t>
      </w:r>
      <w:r w:rsidR="00787293">
        <w:t xml:space="preserve"> </w:t>
      </w:r>
    </w:p>
    <w:p w14:paraId="7D160059" w14:textId="01A8A70E" w:rsidR="00340DE4" w:rsidRDefault="00D345FE">
      <w:r>
        <w:t>The IOPC’s ‘Learning the Lessons’ magazine</w:t>
      </w:r>
      <w:r w:rsidR="004E3808">
        <w:t xml:space="preserve"> </w:t>
      </w:r>
      <w:r w:rsidR="004F1CEF">
        <w:t>was introduced to</w:t>
      </w:r>
      <w:r w:rsidR="00EB6487">
        <w:t xml:space="preserve"> support the police to learn from previous </w:t>
      </w:r>
      <w:r w:rsidR="003A4C82">
        <w:t xml:space="preserve">conduct and complaint </w:t>
      </w:r>
      <w:r w:rsidR="00EB6487">
        <w:t>matters</w:t>
      </w:r>
      <w:r w:rsidR="005B3A60">
        <w:t xml:space="preserve"> by </w:t>
      </w:r>
      <w:r w:rsidR="00204F52">
        <w:t xml:space="preserve">using a series of case studies. </w:t>
      </w:r>
      <w:r w:rsidR="00EB6487">
        <w:t xml:space="preserve">Luke Staddon in 2021 completed his </w:t>
      </w:r>
      <w:r w:rsidR="003A4C82">
        <w:t>thesis</w:t>
      </w:r>
      <w:r w:rsidR="00EB6487">
        <w:t xml:space="preserve"> analysing views on the magazine and conclude</w:t>
      </w:r>
      <w:r w:rsidR="003A4C82">
        <w:t>d</w:t>
      </w:r>
      <w:r w:rsidR="00EB6487">
        <w:t xml:space="preserve"> </w:t>
      </w:r>
      <w:r w:rsidR="00DE3F18">
        <w:t xml:space="preserve">that </w:t>
      </w:r>
      <w:r w:rsidR="00693C8D">
        <w:t xml:space="preserve">‘the magazine is not reaching the people who it was designed for’ </w:t>
      </w:r>
      <w:r w:rsidR="00EB6487">
        <w:t xml:space="preserve">however participants of his study, were positive </w:t>
      </w:r>
      <w:r w:rsidR="002106BE">
        <w:t>about the practical information that it offered</w:t>
      </w:r>
      <w:r w:rsidR="0038215B">
        <w:t xml:space="preserve">. </w:t>
      </w:r>
      <w:r w:rsidR="002106BE">
        <w:t xml:space="preserve">Within his </w:t>
      </w:r>
      <w:r w:rsidR="003A4C82">
        <w:t>thesis</w:t>
      </w:r>
      <w:r w:rsidR="002106BE">
        <w:t xml:space="preserve"> he also </w:t>
      </w:r>
      <w:r w:rsidR="0046442E">
        <w:t xml:space="preserve">commented on </w:t>
      </w:r>
      <w:r w:rsidR="00D163F0">
        <w:t>the</w:t>
      </w:r>
      <w:r w:rsidR="00057FA5">
        <w:t xml:space="preserve"> response to the IOPC investigators and the</w:t>
      </w:r>
      <w:r w:rsidR="00D163F0">
        <w:t xml:space="preserve"> “reservations regarding their skills and understanding of policing”</w:t>
      </w:r>
      <w:r w:rsidR="009E4942">
        <w:t xml:space="preserve"> </w:t>
      </w:r>
      <w:r w:rsidR="00D163F0">
        <w:t>(Staddon 2021</w:t>
      </w:r>
      <w:r w:rsidR="00B420DF">
        <w:t>)</w:t>
      </w:r>
      <w:r w:rsidR="00F10F44">
        <w:t xml:space="preserve">. </w:t>
      </w:r>
      <w:r w:rsidR="00C92820">
        <w:t xml:space="preserve">What </w:t>
      </w:r>
      <w:r w:rsidR="00C30E7A">
        <w:t xml:space="preserve">can be </w:t>
      </w:r>
      <w:r w:rsidR="002F3324">
        <w:t>criticised from</w:t>
      </w:r>
      <w:r w:rsidR="00C92820">
        <w:t xml:space="preserve"> Staddon’s research </w:t>
      </w:r>
      <w:r w:rsidR="002F3324">
        <w:t xml:space="preserve">is that it </w:t>
      </w:r>
      <w:r w:rsidR="00C92820">
        <w:t xml:space="preserve">was based on a small group of </w:t>
      </w:r>
      <w:r w:rsidR="0041598B">
        <w:t xml:space="preserve">only 17 </w:t>
      </w:r>
      <w:r w:rsidR="00C92820">
        <w:t>participants</w:t>
      </w:r>
      <w:r w:rsidR="0041598B">
        <w:t xml:space="preserve"> which may not be reflective </w:t>
      </w:r>
      <w:r w:rsidR="007F1384">
        <w:t xml:space="preserve">of the majority. </w:t>
      </w:r>
    </w:p>
    <w:p w14:paraId="681BE047" w14:textId="4A258679" w:rsidR="00D6148E" w:rsidRDefault="004A48F4">
      <w:r>
        <w:t xml:space="preserve">In order for </w:t>
      </w:r>
      <w:r w:rsidR="005A07B5">
        <w:t>there</w:t>
      </w:r>
      <w:r w:rsidR="00567544">
        <w:t xml:space="preserve"> to be an effective system, </w:t>
      </w:r>
      <w:r w:rsidR="00CD526E">
        <w:t xml:space="preserve">there needs to be awareness and transparency. </w:t>
      </w:r>
      <w:r w:rsidR="00DB541F">
        <w:t xml:space="preserve">In May 2022, </w:t>
      </w:r>
      <w:r w:rsidR="00681395">
        <w:t>the IOPC</w:t>
      </w:r>
      <w:r w:rsidR="00CF216E">
        <w:t xml:space="preserve"> </w:t>
      </w:r>
      <w:r w:rsidR="00C46FBF">
        <w:t>released their</w:t>
      </w:r>
      <w:r w:rsidR="00CF216E">
        <w:t xml:space="preserve"> annual</w:t>
      </w:r>
      <w:r w:rsidR="00962CAA">
        <w:t xml:space="preserve"> public perception tracker summary report</w:t>
      </w:r>
      <w:r w:rsidR="00F80C3D">
        <w:t xml:space="preserve"> (YONDER</w:t>
      </w:r>
      <w:r w:rsidR="00DE0D8D">
        <w:t xml:space="preserve"> 2022)</w:t>
      </w:r>
      <w:r w:rsidR="00C46FBF">
        <w:t xml:space="preserve">. </w:t>
      </w:r>
      <w:r w:rsidR="00CF216E">
        <w:t xml:space="preserve">Whilst </w:t>
      </w:r>
      <w:r w:rsidR="00DE0C5E">
        <w:t xml:space="preserve">the report is </w:t>
      </w:r>
      <w:r w:rsidR="00CF216E">
        <w:t xml:space="preserve">positive </w:t>
      </w:r>
      <w:r w:rsidR="00642B5E">
        <w:t xml:space="preserve">that </w:t>
      </w:r>
      <w:r w:rsidR="00CF216E">
        <w:t>the</w:t>
      </w:r>
      <w:r w:rsidR="00C26C3B">
        <w:t xml:space="preserve"> </w:t>
      </w:r>
      <w:r w:rsidR="00C46FBF">
        <w:t>awareness</w:t>
      </w:r>
      <w:r w:rsidR="00BF136D">
        <w:t xml:space="preserve"> of the </w:t>
      </w:r>
      <w:r w:rsidR="00DE0C5E">
        <w:t xml:space="preserve">IOPC </w:t>
      </w:r>
      <w:r w:rsidR="00894C58">
        <w:t>has</w:t>
      </w:r>
      <w:r w:rsidR="00C26C3B">
        <w:t xml:space="preserve"> risen</w:t>
      </w:r>
      <w:r w:rsidR="00C46FBF">
        <w:t xml:space="preserve">, the report confirms that the </w:t>
      </w:r>
      <w:r w:rsidR="00511280">
        <w:t>public’s</w:t>
      </w:r>
      <w:r w:rsidR="00644EDF">
        <w:t xml:space="preserve"> confidence </w:t>
      </w:r>
      <w:r w:rsidR="00C46FBF">
        <w:t xml:space="preserve">in the </w:t>
      </w:r>
      <w:r w:rsidR="00807E67">
        <w:t xml:space="preserve">IOPC </w:t>
      </w:r>
      <w:r w:rsidR="00644EDF">
        <w:t>has decreased</w:t>
      </w:r>
      <w:r w:rsidR="00C46FBF">
        <w:t>.</w:t>
      </w:r>
      <w:r w:rsidR="007310F7">
        <w:t xml:space="preserve"> </w:t>
      </w:r>
      <w:r w:rsidR="007F20C7">
        <w:t xml:space="preserve">They account for the decline </w:t>
      </w:r>
      <w:r w:rsidR="00034F5F">
        <w:t>in confidence due to recent media stories</w:t>
      </w:r>
      <w:r w:rsidR="00B94CE3">
        <w:t xml:space="preserve"> </w:t>
      </w:r>
      <w:r w:rsidR="008C7FBF">
        <w:t>relating to</w:t>
      </w:r>
      <w:r w:rsidR="00567544">
        <w:t xml:space="preserve"> the</w:t>
      </w:r>
      <w:r w:rsidR="001409E7">
        <w:t xml:space="preserve"> misconduct carried out by officers.</w:t>
      </w:r>
      <w:r w:rsidR="00BD262C">
        <w:t xml:space="preserve"> </w:t>
      </w:r>
      <w:r w:rsidR="0088398D">
        <w:t>The repor</w:t>
      </w:r>
      <w:r w:rsidR="00EF25E1">
        <w:t>t also highlighted a lack of understanding of the IOPC as</w:t>
      </w:r>
      <w:r w:rsidR="00257A81">
        <w:t xml:space="preserve"> they state that the public’s knowledge of what they do is merely ‘surface level’ (IOPC.2021)</w:t>
      </w:r>
      <w:r w:rsidR="00C36695">
        <w:t xml:space="preserve"> </w:t>
      </w:r>
      <w:r w:rsidR="00D45B73">
        <w:t xml:space="preserve">This limited knowledge can raise questions about just how transparent </w:t>
      </w:r>
      <w:r w:rsidR="003F7991">
        <w:t xml:space="preserve">these bodies are. </w:t>
      </w:r>
    </w:p>
    <w:p w14:paraId="5FF1D5A5" w14:textId="4756211C" w:rsidR="00A50E68" w:rsidRDefault="00D869A8">
      <w:r>
        <w:t xml:space="preserve">An </w:t>
      </w:r>
      <w:r w:rsidR="00A1269A">
        <w:t xml:space="preserve">increased </w:t>
      </w:r>
      <w:r w:rsidR="00744CFA">
        <w:t>number of complaints lo</w:t>
      </w:r>
      <w:r w:rsidR="00A10A4A">
        <w:t>d</w:t>
      </w:r>
      <w:r w:rsidR="00744CFA">
        <w:t>ged</w:t>
      </w:r>
      <w:r w:rsidR="00A10A4A">
        <w:t xml:space="preserve"> in </w:t>
      </w:r>
      <w:r w:rsidR="00744CFA">
        <w:t>the IOPC 20/21 Police Complaints Statistics report</w:t>
      </w:r>
      <w:r w:rsidR="007E7C80">
        <w:t xml:space="preserve">, </w:t>
      </w:r>
      <w:r w:rsidR="00744CFA">
        <w:t>are encouraging in the fact that the IOPC is being utilised by police forces</w:t>
      </w:r>
      <w:r w:rsidR="000A1E90">
        <w:t xml:space="preserve">. </w:t>
      </w:r>
      <w:r w:rsidR="00744CFA">
        <w:t xml:space="preserve">Also, </w:t>
      </w:r>
      <w:r w:rsidR="005E75A8">
        <w:t>t</w:t>
      </w:r>
      <w:r w:rsidR="00B80BF4">
        <w:t>he</w:t>
      </w:r>
      <w:r w:rsidR="00F32A42">
        <w:t xml:space="preserve"> </w:t>
      </w:r>
      <w:r w:rsidR="00744CFA">
        <w:t xml:space="preserve">media being made </w:t>
      </w:r>
      <w:r w:rsidR="00F32A42">
        <w:t xml:space="preserve">aware of </w:t>
      </w:r>
      <w:r w:rsidR="00744CFA">
        <w:t xml:space="preserve">any </w:t>
      </w:r>
      <w:r w:rsidR="00F32A42">
        <w:t>police misconduct shows</w:t>
      </w:r>
      <w:r w:rsidR="000A1E90">
        <w:t xml:space="preserve"> </w:t>
      </w:r>
      <w:r w:rsidR="00F32A42">
        <w:t>that the</w:t>
      </w:r>
      <w:r w:rsidR="00744CFA">
        <w:t xml:space="preserve">re is transparency </w:t>
      </w:r>
      <w:r w:rsidR="00E7741A">
        <w:t>the police</w:t>
      </w:r>
      <w:r w:rsidR="00556B52">
        <w:t xml:space="preserve"> are being held</w:t>
      </w:r>
      <w:r w:rsidR="00744CFA">
        <w:t xml:space="preserve"> </w:t>
      </w:r>
      <w:r w:rsidR="00E7741A">
        <w:t xml:space="preserve">to account. </w:t>
      </w:r>
      <w:r w:rsidR="007A624F">
        <w:t xml:space="preserve">The public also have access to the IOPC’s findings and are able to </w:t>
      </w:r>
      <w:r w:rsidR="008E4E79">
        <w:t xml:space="preserve">review cases that have been investigated. </w:t>
      </w:r>
    </w:p>
    <w:p w14:paraId="1412709C" w14:textId="0359BE62" w:rsidR="00225A66" w:rsidRDefault="00F406AE">
      <w:r>
        <w:t>Whilst th</w:t>
      </w:r>
      <w:r w:rsidR="00331045">
        <w:t>e</w:t>
      </w:r>
      <w:r>
        <w:t xml:space="preserve"> independent organisations are </w:t>
      </w:r>
      <w:r w:rsidR="00116534">
        <w:t xml:space="preserve">being </w:t>
      </w:r>
      <w:r w:rsidR="00407622">
        <w:t>transparent in their findings,</w:t>
      </w:r>
      <w:r w:rsidR="002079AB">
        <w:t xml:space="preserve"> </w:t>
      </w:r>
      <w:r w:rsidR="00407622">
        <w:t>there does need to be a balance bec</w:t>
      </w:r>
      <w:r w:rsidR="00683D6D">
        <w:t>ause i</w:t>
      </w:r>
      <w:r w:rsidR="00744CFA">
        <w:t>n a 20</w:t>
      </w:r>
      <w:r w:rsidR="005E5C16">
        <w:t>16</w:t>
      </w:r>
      <w:r w:rsidR="00744CFA">
        <w:t xml:space="preserve"> Harvard Business Review</w:t>
      </w:r>
      <w:r w:rsidR="0079040D">
        <w:t xml:space="preserve">, </w:t>
      </w:r>
      <w:r w:rsidR="00744CFA">
        <w:t>it was deemed</w:t>
      </w:r>
      <w:r w:rsidR="003E0091">
        <w:t xml:space="preserve"> that</w:t>
      </w:r>
      <w:r w:rsidR="00744CFA">
        <w:t xml:space="preserve"> too much </w:t>
      </w:r>
      <w:r w:rsidR="0058529D">
        <w:t>transparency can spark a resistance</w:t>
      </w:r>
      <w:r w:rsidR="004F69F5">
        <w:t xml:space="preserve">. </w:t>
      </w:r>
      <w:r w:rsidR="00FC0F7F">
        <w:t xml:space="preserve">They state that </w:t>
      </w:r>
      <w:r w:rsidR="007A624F">
        <w:t>‘</w:t>
      </w:r>
      <w:r w:rsidR="00FC0F7F">
        <w:t xml:space="preserve">organisations advocating that complete transparency with the </w:t>
      </w:r>
      <w:r w:rsidR="002F4058">
        <w:t>sole aim of punishing bad behaviour</w:t>
      </w:r>
      <w:r w:rsidR="00E613A5">
        <w:t xml:space="preserve"> and rewarding good behaviour may</w:t>
      </w:r>
      <w:r w:rsidR="00794A90">
        <w:t xml:space="preserve"> come across as</w:t>
      </w:r>
      <w:r w:rsidR="00E613A5">
        <w:t xml:space="preserve"> communic</w:t>
      </w:r>
      <w:r w:rsidR="000C2E5E">
        <w:t>ating moral standards that are impossible to meet</w:t>
      </w:r>
      <w:r w:rsidR="007A624F">
        <w:t>’.</w:t>
      </w:r>
      <w:r w:rsidR="006C419C">
        <w:t xml:space="preserve"> </w:t>
      </w:r>
      <w:r w:rsidR="00CB63BE">
        <w:t>However,</w:t>
      </w:r>
      <w:r w:rsidR="001F1EEB">
        <w:t xml:space="preserve"> what</w:t>
      </w:r>
      <w:r w:rsidR="00325A47">
        <w:t xml:space="preserve"> has been</w:t>
      </w:r>
      <w:r w:rsidR="001F1EEB">
        <w:t xml:space="preserve"> considered </w:t>
      </w:r>
      <w:r w:rsidR="00CB63BE">
        <w:t xml:space="preserve">thus far </w:t>
      </w:r>
      <w:r w:rsidR="001F1EEB">
        <w:t xml:space="preserve">is that </w:t>
      </w:r>
      <w:r w:rsidR="001347A4">
        <w:t xml:space="preserve">transparency is not intended to be </w:t>
      </w:r>
      <w:r w:rsidR="0073292C">
        <w:t xml:space="preserve">an advertisement of bad behaviours but </w:t>
      </w:r>
      <w:r w:rsidR="00D6137E">
        <w:t xml:space="preserve">the ability for the police to learn from the mistakes made </w:t>
      </w:r>
      <w:r w:rsidR="00EB690B">
        <w:t xml:space="preserve">and </w:t>
      </w:r>
      <w:r w:rsidR="00C13F62">
        <w:t>the public to be encouraged by the</w:t>
      </w:r>
      <w:r w:rsidR="00EB690B">
        <w:t xml:space="preserve"> </w:t>
      </w:r>
      <w:r w:rsidR="00400E1C">
        <w:t xml:space="preserve">developments that follow. </w:t>
      </w:r>
    </w:p>
    <w:p w14:paraId="2787138B" w14:textId="556E573D" w:rsidR="00FC562C" w:rsidRDefault="00B53327">
      <w:r>
        <w:t xml:space="preserve">It </w:t>
      </w:r>
      <w:r w:rsidR="004D2981">
        <w:t xml:space="preserve">is </w:t>
      </w:r>
      <w:r w:rsidR="00CB63BE">
        <w:t>evident</w:t>
      </w:r>
      <w:r>
        <w:t xml:space="preserve">, </w:t>
      </w:r>
      <w:r w:rsidR="00CB63BE">
        <w:t xml:space="preserve">that prior to the 2014 review concerns </w:t>
      </w:r>
      <w:r w:rsidR="005D00FD">
        <w:t>were</w:t>
      </w:r>
      <w:r w:rsidR="00CB63BE">
        <w:t xml:space="preserve"> raised about the independence, </w:t>
      </w:r>
      <w:r w:rsidR="00282787">
        <w:t>impartiality,</w:t>
      </w:r>
      <w:r w:rsidR="00F17901">
        <w:t xml:space="preserve"> and transparency of </w:t>
      </w:r>
      <w:r w:rsidR="00444334">
        <w:t>independent</w:t>
      </w:r>
      <w:r w:rsidR="00F17901">
        <w:t xml:space="preserve"> bodies and whether they were effectively holding the police to account. </w:t>
      </w:r>
      <w:r w:rsidR="00AB47EE">
        <w:t xml:space="preserve">The reforms that were implemented </w:t>
      </w:r>
      <w:r w:rsidR="00282787">
        <w:t>were</w:t>
      </w:r>
      <w:r w:rsidR="00AB47EE">
        <w:t xml:space="preserve"> </w:t>
      </w:r>
      <w:r w:rsidR="005619C8">
        <w:t xml:space="preserve">evidently </w:t>
      </w:r>
      <w:r w:rsidR="00AB47EE">
        <w:t>a</w:t>
      </w:r>
      <w:r w:rsidR="00282787">
        <w:t xml:space="preserve"> necessary step in ensuring </w:t>
      </w:r>
      <w:r w:rsidR="00146986">
        <w:t xml:space="preserve">consistency, transparency and </w:t>
      </w:r>
      <w:r w:rsidR="00490B22">
        <w:t xml:space="preserve">maintaining </w:t>
      </w:r>
      <w:r w:rsidR="00C866EC">
        <w:t xml:space="preserve">public </w:t>
      </w:r>
      <w:r w:rsidR="00490B22">
        <w:t xml:space="preserve">confidence in the </w:t>
      </w:r>
      <w:r w:rsidR="00C866EC">
        <w:t xml:space="preserve">complaints system and ultimately in the police. </w:t>
      </w:r>
      <w:r w:rsidR="00BC0177">
        <w:t>There does however need to be greater public awareness</w:t>
      </w:r>
      <w:r w:rsidR="00332058">
        <w:t xml:space="preserve"> </w:t>
      </w:r>
      <w:r w:rsidR="00432321">
        <w:t xml:space="preserve">around the </w:t>
      </w:r>
      <w:r w:rsidR="0043766A">
        <w:t xml:space="preserve">system and the independent </w:t>
      </w:r>
      <w:r w:rsidR="00432321">
        <w:t>bodies as we have seen in the Yonder Report in 2022</w:t>
      </w:r>
      <w:r w:rsidR="00335ADF">
        <w:t xml:space="preserve">. </w:t>
      </w:r>
      <w:r w:rsidR="0055083D">
        <w:t>Also,</w:t>
      </w:r>
      <w:r w:rsidR="00335ADF">
        <w:t xml:space="preserve"> to</w:t>
      </w:r>
      <w:r w:rsidR="00734942">
        <w:t xml:space="preserve"> adequately determine their effectiveness, further research is required</w:t>
      </w:r>
      <w:r w:rsidR="008A647A">
        <w:t xml:space="preserve"> Staddon </w:t>
      </w:r>
      <w:r w:rsidR="00F3595B">
        <w:t xml:space="preserve">(2017) </w:t>
      </w:r>
      <w:r w:rsidR="008A647A">
        <w:t xml:space="preserve">in his thesis confirmed that there has been a ‘lack of academic research into the complaints system’. </w:t>
      </w:r>
    </w:p>
    <w:p w14:paraId="60CC8920" w14:textId="6C74BD70" w:rsidR="00FC562C" w:rsidRDefault="004D6388">
      <w:r>
        <w:t>Word</w:t>
      </w:r>
      <w:r w:rsidR="00864F83">
        <w:t xml:space="preserve"> Count</w:t>
      </w:r>
      <w:r w:rsidR="00497445">
        <w:t>:</w:t>
      </w:r>
      <w:r w:rsidR="00D77028">
        <w:t xml:space="preserve"> </w:t>
      </w:r>
      <w:r w:rsidR="00792EDE">
        <w:t>1</w:t>
      </w:r>
      <w:r w:rsidR="0091370C">
        <w:t>099</w:t>
      </w:r>
    </w:p>
    <w:p w14:paraId="7D8A05F3" w14:textId="77777777" w:rsidR="00ED216B" w:rsidRDefault="00ED216B"/>
    <w:p w14:paraId="489E207B" w14:textId="77777777" w:rsidR="00A522EC" w:rsidRDefault="00A522EC">
      <w:pPr>
        <w:rPr>
          <w:b/>
          <w:bCs/>
        </w:rPr>
      </w:pPr>
    </w:p>
    <w:p w14:paraId="3B2BC2BB" w14:textId="70ECD46C" w:rsidR="00123493" w:rsidRDefault="00813F54">
      <w:pPr>
        <w:rPr>
          <w:b/>
          <w:bCs/>
        </w:rPr>
      </w:pPr>
      <w:bookmarkStart w:id="2" w:name="_Hlk141519332"/>
      <w:r w:rsidRPr="00013C6A">
        <w:rPr>
          <w:b/>
          <w:bCs/>
        </w:rPr>
        <w:t>Essay</w:t>
      </w:r>
      <w:r w:rsidR="00F12F80" w:rsidRPr="00013C6A">
        <w:rPr>
          <w:b/>
          <w:bCs/>
        </w:rPr>
        <w:t xml:space="preserve"> Two: </w:t>
      </w:r>
      <w:r w:rsidR="00013C6A" w:rsidRPr="00013C6A">
        <w:rPr>
          <w:b/>
          <w:bCs/>
        </w:rPr>
        <w:t>Outline potential links between serious and organised crime and public protection issues.</w:t>
      </w:r>
    </w:p>
    <w:bookmarkEnd w:id="2"/>
    <w:p w14:paraId="67357219" w14:textId="650EF3F6" w:rsidR="00E54FF8" w:rsidRDefault="005411E3">
      <w:r>
        <w:t>Serious and Organised Crime</w:t>
      </w:r>
      <w:r w:rsidR="003D7669">
        <w:t xml:space="preserve"> continues to have</w:t>
      </w:r>
      <w:r w:rsidR="00996CB3">
        <w:t xml:space="preserve"> more of an impact on the </w:t>
      </w:r>
      <w:r w:rsidR="003F1D13">
        <w:t xml:space="preserve">economy and UK citizens </w:t>
      </w:r>
      <w:r w:rsidR="00996CB3">
        <w:t>than any</w:t>
      </w:r>
      <w:r w:rsidR="009D7D84">
        <w:t xml:space="preserve"> other national security threat</w:t>
      </w:r>
      <w:r w:rsidR="009E0E8B">
        <w:t xml:space="preserve"> (National Strategic Assessment </w:t>
      </w:r>
      <w:r w:rsidR="007C69ED">
        <w:t>(NSA</w:t>
      </w:r>
      <w:r w:rsidR="006C0C60">
        <w:t>)</w:t>
      </w:r>
      <w:r w:rsidR="007C69ED">
        <w:t xml:space="preserve"> </w:t>
      </w:r>
      <w:r w:rsidR="009E0E8B">
        <w:t>2021)</w:t>
      </w:r>
      <w:r w:rsidR="009D7D84">
        <w:t xml:space="preserve">. </w:t>
      </w:r>
      <w:r>
        <w:t xml:space="preserve">It </w:t>
      </w:r>
      <w:r w:rsidR="00A24DE2">
        <w:t>is estimated</w:t>
      </w:r>
      <w:r>
        <w:t xml:space="preserve"> to cost the UK £</w:t>
      </w:r>
      <w:r w:rsidR="001E660E">
        <w:t>37</w:t>
      </w:r>
      <w:r>
        <w:t xml:space="preserve"> </w:t>
      </w:r>
      <w:r w:rsidR="00D529C4">
        <w:t>billion</w:t>
      </w:r>
      <w:r>
        <w:t xml:space="preserve"> each year</w:t>
      </w:r>
      <w:r w:rsidR="00A24DE2">
        <w:t xml:space="preserve"> and </w:t>
      </w:r>
      <w:r w:rsidR="009E0E8B">
        <w:t xml:space="preserve">there are </w:t>
      </w:r>
      <w:r w:rsidR="00A24DE2">
        <w:t xml:space="preserve">estimated </w:t>
      </w:r>
      <w:r w:rsidR="00015A72">
        <w:t xml:space="preserve">to be </w:t>
      </w:r>
      <w:r w:rsidR="006C0C60">
        <w:t>4500 organised criminal</w:t>
      </w:r>
      <w:r w:rsidR="009E0E8B">
        <w:t xml:space="preserve"> </w:t>
      </w:r>
      <w:r w:rsidR="00A24DE2">
        <w:t>groups in the UK</w:t>
      </w:r>
      <w:r w:rsidR="008A647C">
        <w:t xml:space="preserve"> with the threat continuing to grow</w:t>
      </w:r>
      <w:r w:rsidR="006C0C60">
        <w:t xml:space="preserve"> (NCA 2021)</w:t>
      </w:r>
      <w:r w:rsidR="00C279EF">
        <w:t>.</w:t>
      </w:r>
      <w:r w:rsidR="006C0C60">
        <w:t xml:space="preserve"> </w:t>
      </w:r>
    </w:p>
    <w:p w14:paraId="6F8CFA13" w14:textId="464DD649" w:rsidR="00467791" w:rsidRDefault="00E54FF8" w:rsidP="001F42FD">
      <w:pPr>
        <w:tabs>
          <w:tab w:val="left" w:pos="7650"/>
        </w:tabs>
      </w:pPr>
      <w:r>
        <w:t xml:space="preserve">The National Crime Agency (NCA) defines Serious and Organised Crime (SOC) as “planned, coordinated and conducted by people working together on a continuing basis. Their motivation is often, but not always, financial gain”. </w:t>
      </w:r>
      <w:r w:rsidR="007C69ED">
        <w:t xml:space="preserve">Organised crime </w:t>
      </w:r>
      <w:r>
        <w:t xml:space="preserve">was traditionally centred around drug dealing and acquisitive crime however it is </w:t>
      </w:r>
      <w:r w:rsidR="003910B1">
        <w:t>evolving,</w:t>
      </w:r>
      <w:r>
        <w:t xml:space="preserve"> and </w:t>
      </w:r>
      <w:r w:rsidR="006C0C60">
        <w:t xml:space="preserve">other examples </w:t>
      </w:r>
      <w:r>
        <w:t xml:space="preserve">include modern slavery, child exploitation and fraud (Crocker et al 2017). </w:t>
      </w:r>
      <w:r w:rsidR="003910B1">
        <w:t>The offences associated with SOC are usually committed with the use of violence, corruption and intimidation (Winchester</w:t>
      </w:r>
      <w:r w:rsidR="00FE50CB">
        <w:t>.</w:t>
      </w:r>
      <w:r w:rsidR="003910B1">
        <w:t xml:space="preserve"> 2020) and targeted against the more vulnerable within communities</w:t>
      </w:r>
      <w:r w:rsidR="001F42FD">
        <w:t xml:space="preserve"> (Counsellor Blackburn).  </w:t>
      </w:r>
      <w:r w:rsidR="00467791">
        <w:t>Those who are considered vulnerable include</w:t>
      </w:r>
      <w:r w:rsidR="001F42FD">
        <w:t xml:space="preserve"> the</w:t>
      </w:r>
      <w:r w:rsidR="00467791">
        <w:t xml:space="preserve"> elderly</w:t>
      </w:r>
      <w:r w:rsidR="001F42FD">
        <w:t xml:space="preserve">, children, </w:t>
      </w:r>
      <w:r w:rsidR="00467791">
        <w:t>ethnic minorities</w:t>
      </w:r>
      <w:r w:rsidR="001F42FD">
        <w:t>, t</w:t>
      </w:r>
      <w:r w:rsidR="00D04F26">
        <w:t>hose with mental health issues</w:t>
      </w:r>
      <w:r w:rsidR="001F42FD">
        <w:t xml:space="preserve"> and people on low incomes</w:t>
      </w:r>
      <w:r w:rsidR="00D04F26">
        <w:t xml:space="preserve"> (NCA 2021)</w:t>
      </w:r>
      <w:r w:rsidR="00467791">
        <w:t xml:space="preserve">. </w:t>
      </w:r>
      <w:r w:rsidR="006C3DF2">
        <w:t xml:space="preserve">It is thought that </w:t>
      </w:r>
      <w:r w:rsidR="00F3595B">
        <w:t>‘</w:t>
      </w:r>
      <w:r w:rsidR="00467791">
        <w:t>Economic austerity can lead to communities not only becoming power basis for serious organised crime but feeding grounds for them, recruitment areas</w:t>
      </w:r>
      <w:r w:rsidR="009E0E8B">
        <w:t>’</w:t>
      </w:r>
      <w:r w:rsidR="00467791">
        <w:t xml:space="preserve"> (Hamilton-Smith. 2013).  </w:t>
      </w:r>
    </w:p>
    <w:p w14:paraId="1C419F32" w14:textId="1A08F159" w:rsidR="00516031" w:rsidRDefault="00F66DAE">
      <w:pPr>
        <w:rPr>
          <w:rStyle w:val="Strong"/>
          <w:rFonts w:cstheme="minorHAnsi"/>
          <w:b w:val="0"/>
          <w:bCs w:val="0"/>
          <w:color w:val="111111"/>
          <w:shd w:val="clear" w:color="auto" w:fill="FFFFFF"/>
        </w:rPr>
      </w:pPr>
      <w:r>
        <w:t>The potential of a</w:t>
      </w:r>
      <w:r w:rsidR="0015703E">
        <w:t xml:space="preserve"> </w:t>
      </w:r>
      <w:r>
        <w:t>vulnerable</w:t>
      </w:r>
      <w:r w:rsidR="000E0338">
        <w:t xml:space="preserve"> person</w:t>
      </w:r>
      <w:r>
        <w:t xml:space="preserve"> </w:t>
      </w:r>
      <w:r w:rsidR="009E3754">
        <w:t>falling into the hands of</w:t>
      </w:r>
      <w:r w:rsidR="0015703E">
        <w:t xml:space="preserve"> a</w:t>
      </w:r>
      <w:r w:rsidR="009E3754">
        <w:t xml:space="preserve"> Serious Organised Crime group </w:t>
      </w:r>
      <w:r w:rsidR="0039154E">
        <w:t>for drug related activities</w:t>
      </w:r>
      <w:r w:rsidR="009E3754">
        <w:t xml:space="preserve"> is </w:t>
      </w:r>
      <w:r w:rsidR="005F7E80">
        <w:t>effortless</w:t>
      </w:r>
      <w:r w:rsidR="006C3DF2">
        <w:t xml:space="preserve">, especially if that individual already has an addiction to drugs (Robinson et al 2018). </w:t>
      </w:r>
      <w:r w:rsidR="0039154E">
        <w:t xml:space="preserve">The criminals befriend the vulnerable person and then exploit that person by forcing them to transport drugs from one area to another, a concept known as ‘County Lines’ (NCA 2021) or </w:t>
      </w:r>
      <w:r w:rsidR="0039154E">
        <w:rPr>
          <w:rStyle w:val="Strong"/>
          <w:rFonts w:cstheme="minorHAnsi"/>
          <w:b w:val="0"/>
          <w:bCs w:val="0"/>
          <w:color w:val="111111"/>
          <w:shd w:val="clear" w:color="auto" w:fill="FFFFFF"/>
        </w:rPr>
        <w:t>they</w:t>
      </w:r>
      <w:r w:rsidR="00500409" w:rsidRPr="00500409">
        <w:rPr>
          <w:rStyle w:val="Strong"/>
          <w:rFonts w:cstheme="minorHAnsi"/>
          <w:b w:val="0"/>
          <w:bCs w:val="0"/>
          <w:color w:val="111111"/>
          <w:shd w:val="clear" w:color="auto" w:fill="FFFFFF"/>
        </w:rPr>
        <w:t xml:space="preserve"> take over the home of</w:t>
      </w:r>
      <w:r w:rsidR="0039154E">
        <w:rPr>
          <w:rStyle w:val="Strong"/>
          <w:rFonts w:cstheme="minorHAnsi"/>
          <w:b w:val="0"/>
          <w:bCs w:val="0"/>
          <w:color w:val="111111"/>
          <w:shd w:val="clear" w:color="auto" w:fill="FFFFFF"/>
        </w:rPr>
        <w:t xml:space="preserve"> that person </w:t>
      </w:r>
      <w:r w:rsidR="00500409" w:rsidRPr="00500409">
        <w:rPr>
          <w:rStyle w:val="Strong"/>
          <w:rFonts w:cstheme="minorHAnsi"/>
          <w:b w:val="0"/>
          <w:bCs w:val="0"/>
          <w:color w:val="111111"/>
          <w:shd w:val="clear" w:color="auto" w:fill="FFFFFF"/>
        </w:rPr>
        <w:t>to use it for criminal activities</w:t>
      </w:r>
      <w:r w:rsidR="00717F86">
        <w:rPr>
          <w:rStyle w:val="Strong"/>
          <w:rFonts w:cstheme="minorHAnsi"/>
          <w:b w:val="0"/>
          <w:bCs w:val="0"/>
          <w:color w:val="111111"/>
          <w:shd w:val="clear" w:color="auto" w:fill="FFFFFF"/>
        </w:rPr>
        <w:t>.</w:t>
      </w:r>
      <w:r w:rsidR="004C2E68">
        <w:rPr>
          <w:rStyle w:val="Strong"/>
          <w:rFonts w:cstheme="minorHAnsi"/>
          <w:b w:val="0"/>
          <w:bCs w:val="0"/>
          <w:color w:val="111111"/>
          <w:shd w:val="clear" w:color="auto" w:fill="FFFFFF"/>
        </w:rPr>
        <w:t xml:space="preserve"> </w:t>
      </w:r>
      <w:r w:rsidR="0039154E">
        <w:rPr>
          <w:rStyle w:val="Strong"/>
          <w:rFonts w:cstheme="minorHAnsi"/>
          <w:b w:val="0"/>
          <w:bCs w:val="0"/>
          <w:color w:val="111111"/>
          <w:shd w:val="clear" w:color="auto" w:fill="FFFFFF"/>
        </w:rPr>
        <w:t>A concept the police define as cuckooing</w:t>
      </w:r>
      <w:r w:rsidR="006C3DF2">
        <w:rPr>
          <w:rStyle w:val="Strong"/>
          <w:rFonts w:cstheme="minorHAnsi"/>
          <w:b w:val="0"/>
          <w:bCs w:val="0"/>
          <w:color w:val="111111"/>
          <w:shd w:val="clear" w:color="auto" w:fill="FFFFFF"/>
        </w:rPr>
        <w:t xml:space="preserve"> (NCA 2023). </w:t>
      </w:r>
      <w:r w:rsidR="00FD1CBD">
        <w:rPr>
          <w:rStyle w:val="Strong"/>
          <w:rFonts w:cstheme="minorHAnsi"/>
          <w:b w:val="0"/>
          <w:bCs w:val="0"/>
          <w:color w:val="111111"/>
          <w:shd w:val="clear" w:color="auto" w:fill="FFFFFF"/>
        </w:rPr>
        <w:t>Once this is achieved, the victim becomes a prisoner in their own home</w:t>
      </w:r>
      <w:r w:rsidR="006C3DF2">
        <w:rPr>
          <w:rStyle w:val="Strong"/>
          <w:rFonts w:cstheme="minorHAnsi"/>
          <w:b w:val="0"/>
          <w:bCs w:val="0"/>
          <w:color w:val="111111"/>
          <w:shd w:val="clear" w:color="auto" w:fill="FFFFFF"/>
        </w:rPr>
        <w:t xml:space="preserve">. </w:t>
      </w:r>
      <w:r w:rsidR="00FD1CBD">
        <w:rPr>
          <w:rStyle w:val="Strong"/>
          <w:rFonts w:cstheme="minorHAnsi"/>
          <w:b w:val="0"/>
          <w:bCs w:val="0"/>
          <w:color w:val="111111"/>
          <w:shd w:val="clear" w:color="auto" w:fill="FFFFFF"/>
        </w:rPr>
        <w:t xml:space="preserve"> </w:t>
      </w:r>
      <w:r w:rsidR="006C3DF2">
        <w:rPr>
          <w:rStyle w:val="Strong"/>
          <w:rFonts w:cstheme="minorHAnsi"/>
          <w:b w:val="0"/>
          <w:bCs w:val="0"/>
          <w:color w:val="111111"/>
          <w:shd w:val="clear" w:color="auto" w:fill="FFFFFF"/>
        </w:rPr>
        <w:t>This allows the main criminals to conduct covert drug operations whilst remaining hidden from the police</w:t>
      </w:r>
      <w:r w:rsidR="003674E9">
        <w:rPr>
          <w:rStyle w:val="Strong"/>
          <w:rFonts w:cstheme="minorHAnsi"/>
          <w:b w:val="0"/>
          <w:bCs w:val="0"/>
          <w:color w:val="111111"/>
          <w:shd w:val="clear" w:color="auto" w:fill="FFFFFF"/>
        </w:rPr>
        <w:t xml:space="preserve">. The difficulty with tackling County Lines operations, and something acknowledged by the Government is that there is very little information about how it is </w:t>
      </w:r>
      <w:r w:rsidR="00FE50CB">
        <w:rPr>
          <w:rStyle w:val="Strong"/>
          <w:rFonts w:cstheme="minorHAnsi"/>
          <w:b w:val="0"/>
          <w:bCs w:val="0"/>
          <w:color w:val="111111"/>
          <w:shd w:val="clear" w:color="auto" w:fill="FFFFFF"/>
        </w:rPr>
        <w:t xml:space="preserve">arranged and </w:t>
      </w:r>
      <w:r w:rsidR="003674E9">
        <w:rPr>
          <w:rStyle w:val="Strong"/>
          <w:rFonts w:cstheme="minorHAnsi"/>
          <w:b w:val="0"/>
          <w:bCs w:val="0"/>
          <w:color w:val="111111"/>
          <w:shd w:val="clear" w:color="auto" w:fill="FFFFFF"/>
        </w:rPr>
        <w:t xml:space="preserve">organised (Robinson et al 2018). </w:t>
      </w:r>
      <w:r w:rsidR="00764225">
        <w:rPr>
          <w:rStyle w:val="Strong"/>
          <w:rFonts w:cstheme="minorHAnsi"/>
          <w:b w:val="0"/>
          <w:bCs w:val="0"/>
          <w:color w:val="111111"/>
          <w:shd w:val="clear" w:color="auto" w:fill="FFFFFF"/>
        </w:rPr>
        <w:t>Communication between forces</w:t>
      </w:r>
      <w:r w:rsidR="003674E9">
        <w:rPr>
          <w:rStyle w:val="Strong"/>
          <w:rFonts w:cstheme="minorHAnsi"/>
          <w:b w:val="0"/>
          <w:bCs w:val="0"/>
          <w:color w:val="111111"/>
          <w:shd w:val="clear" w:color="auto" w:fill="FFFFFF"/>
        </w:rPr>
        <w:t xml:space="preserve"> and local councils</w:t>
      </w:r>
      <w:r w:rsidR="00864BEE">
        <w:rPr>
          <w:rStyle w:val="Strong"/>
          <w:rFonts w:cstheme="minorHAnsi"/>
          <w:b w:val="0"/>
          <w:bCs w:val="0"/>
          <w:color w:val="111111"/>
          <w:shd w:val="clear" w:color="auto" w:fill="FFFFFF"/>
        </w:rPr>
        <w:t xml:space="preserve"> surrounding operations within their areas</w:t>
      </w:r>
      <w:r w:rsidR="00764225">
        <w:rPr>
          <w:rStyle w:val="Strong"/>
          <w:rFonts w:cstheme="minorHAnsi"/>
          <w:b w:val="0"/>
          <w:bCs w:val="0"/>
          <w:color w:val="111111"/>
          <w:shd w:val="clear" w:color="auto" w:fill="FFFFFF"/>
        </w:rPr>
        <w:t xml:space="preserve"> is therefore </w:t>
      </w:r>
      <w:r w:rsidR="00864BEE">
        <w:rPr>
          <w:rStyle w:val="Strong"/>
          <w:rFonts w:cstheme="minorHAnsi"/>
          <w:b w:val="0"/>
          <w:bCs w:val="0"/>
          <w:color w:val="111111"/>
          <w:shd w:val="clear" w:color="auto" w:fill="FFFFFF"/>
        </w:rPr>
        <w:t>pivotal</w:t>
      </w:r>
      <w:r w:rsidR="00764225">
        <w:rPr>
          <w:rStyle w:val="Strong"/>
          <w:rFonts w:cstheme="minorHAnsi"/>
          <w:b w:val="0"/>
          <w:bCs w:val="0"/>
          <w:color w:val="111111"/>
          <w:shd w:val="clear" w:color="auto" w:fill="FFFFFF"/>
        </w:rPr>
        <w:t xml:space="preserve"> in tackling </w:t>
      </w:r>
      <w:r w:rsidR="00864BEE">
        <w:rPr>
          <w:rStyle w:val="Strong"/>
          <w:rFonts w:cstheme="minorHAnsi"/>
          <w:b w:val="0"/>
          <w:bCs w:val="0"/>
          <w:color w:val="111111"/>
          <w:shd w:val="clear" w:color="auto" w:fill="FFFFFF"/>
        </w:rPr>
        <w:t xml:space="preserve">SOC. </w:t>
      </w:r>
    </w:p>
    <w:p w14:paraId="1734B5CD" w14:textId="18DB4D66" w:rsidR="0077766C" w:rsidRDefault="0077766C" w:rsidP="0077766C">
      <w:r>
        <w:t xml:space="preserve">Public protection is about preventing harm to these vulnerable groups within society. The Public Protection Unit is ‘dedicated to ensuring the safety of those in danger of becoming victims of crimes’ (HMICFRS) and safeguarding those who are vulnerable. </w:t>
      </w:r>
      <w:r w:rsidR="001E0833">
        <w:t>For organisations to work together to prevent individuals from being involved in SOC, then it is imperative they risk assess individuals (Boulton.</w:t>
      </w:r>
      <w:r w:rsidR="00A370B1">
        <w:t xml:space="preserve"> </w:t>
      </w:r>
      <w:r w:rsidR="001E0833">
        <w:t>Hurley</w:t>
      </w:r>
      <w:r w:rsidR="00A370B1">
        <w:t>.</w:t>
      </w:r>
      <w:r w:rsidR="001E0833">
        <w:t xml:space="preserve"> 2021) </w:t>
      </w:r>
      <w:r w:rsidR="00FE50CB">
        <w:t>and</w:t>
      </w:r>
      <w:r w:rsidR="00F17642">
        <w:t xml:space="preserve"> prevent people from engaging in th</w:t>
      </w:r>
      <w:r w:rsidR="00FE50CB">
        <w:t>e</w:t>
      </w:r>
      <w:r w:rsidR="00F17642">
        <w:t xml:space="preserve"> activity. ‘Prevent’ is one of the</w:t>
      </w:r>
      <w:r w:rsidR="00533E69">
        <w:t xml:space="preserve"> four</w:t>
      </w:r>
      <w:r w:rsidR="00F17642">
        <w:t xml:space="preserve"> key pillars </w:t>
      </w:r>
      <w:r w:rsidR="00533E69">
        <w:t xml:space="preserve">set out by the Home Office in 2013 as part of their Serious and Organised Crime Strategy. </w:t>
      </w:r>
    </w:p>
    <w:p w14:paraId="1521237C" w14:textId="202E355C" w:rsidR="00824F71" w:rsidRDefault="0077766C" w:rsidP="00B72CFE">
      <w:r>
        <w:t xml:space="preserve">The House of Commons Child Sexual Exploitation by Organised Networks investigation report in 2022, noted 2 clear indicators of ‘heightened vulnerability to child exploitation’. These are disabilities and being in residential care. </w:t>
      </w:r>
      <w:r w:rsidR="00A370B1">
        <w:t>There are other</w:t>
      </w:r>
      <w:r w:rsidR="00FE50CB">
        <w:t xml:space="preserve"> recognised characteristics; </w:t>
      </w:r>
      <w:r w:rsidR="0035195F">
        <w:t xml:space="preserve">Project Engage </w:t>
      </w:r>
      <w:r w:rsidR="00A370B1">
        <w:t xml:space="preserve">which was </w:t>
      </w:r>
      <w:r w:rsidR="0035195F">
        <w:t xml:space="preserve">part of a wider project by the Greater Manchester Police in 2016 to identify risk </w:t>
      </w:r>
      <w:r w:rsidR="008173F5">
        <w:t>factor</w:t>
      </w:r>
      <w:r w:rsidR="00FE50CB">
        <w:t>s</w:t>
      </w:r>
      <w:r w:rsidR="008173F5">
        <w:t xml:space="preserve"> (Bolton.</w:t>
      </w:r>
      <w:r w:rsidR="00A370B1">
        <w:t xml:space="preserve"> Hurley.</w:t>
      </w:r>
      <w:r w:rsidR="008173F5">
        <w:t xml:space="preserve"> 2021)</w:t>
      </w:r>
      <w:r w:rsidR="00B6005E">
        <w:t xml:space="preserve"> and other studies have highlighted that a child is more at risk of being </w:t>
      </w:r>
      <w:r w:rsidR="005563D4">
        <w:t>exploited</w:t>
      </w:r>
      <w:r w:rsidR="00B6005E">
        <w:t xml:space="preserve"> if they have been excluded from school or have special educational needs, have a problematic home life, like being neglected or suffer from domestic or sexual abuse (NSPCC.2023</w:t>
      </w:r>
      <w:r w:rsidR="008173F5">
        <w:t>)</w:t>
      </w:r>
      <w:r w:rsidR="00A370B1">
        <w:t xml:space="preserve">. </w:t>
      </w:r>
      <w:r w:rsidR="00E06F29">
        <w:t xml:space="preserve">Despite this, the NCA’s National Strategic Assessment in 2018 confirmed that whilst there was a </w:t>
      </w:r>
      <w:r w:rsidR="00E06F29">
        <w:lastRenderedPageBreak/>
        <w:t xml:space="preserve">number of different pathways, </w:t>
      </w:r>
      <w:r w:rsidR="003F773D">
        <w:t xml:space="preserve">there is no “definitive set of characteristics to identify those most at risk of becoming an offender or a victim”. This makes it extremely difficult for the police to recognise, prevent and protect those susceptible to </w:t>
      </w:r>
      <w:r w:rsidR="00BF0AB4">
        <w:t xml:space="preserve">exploitation from organised crime groups. </w:t>
      </w:r>
      <w:r w:rsidR="003F773D">
        <w:t xml:space="preserve"> </w:t>
      </w:r>
    </w:p>
    <w:p w14:paraId="556531A1" w14:textId="6B149696" w:rsidR="006C0D83" w:rsidRDefault="006C0D83" w:rsidP="00B72CFE">
      <w:r>
        <w:t xml:space="preserve">The reporting of certain crimes </w:t>
      </w:r>
      <w:r w:rsidR="009D4811">
        <w:t xml:space="preserve">can be considered </w:t>
      </w:r>
      <w:r>
        <w:t xml:space="preserve">a barrier to </w:t>
      </w:r>
      <w:r w:rsidR="009D4811">
        <w:t>public protection. The most common recorded offences that are linked to SOC are drug related and fraud (Crocker et al</w:t>
      </w:r>
      <w:r w:rsidR="007C0CCF">
        <w:t>.</w:t>
      </w:r>
      <w:r w:rsidR="009D4811">
        <w:t xml:space="preserve"> 2017). Many victims of sexual exploitation</w:t>
      </w:r>
      <w:r w:rsidR="007C0CCF">
        <w:t xml:space="preserve"> or human trafficking</w:t>
      </w:r>
      <w:r w:rsidR="009D4811">
        <w:t xml:space="preserve"> do not come forward to the police due to the nature of the offence which means many cases will go unreported</w:t>
      </w:r>
      <w:r w:rsidR="007C0CCF">
        <w:t xml:space="preserve">. Although, it is positive that modern slavery and human trafficking referrals have increased by 10.3% on the previous year (NCA. </w:t>
      </w:r>
      <w:r w:rsidR="004D07E2">
        <w:t>It is also difficult in some communities where organised crime groups are feared for intelligence to be gathered (Crocker et al</w:t>
      </w:r>
      <w:r w:rsidR="006A440A">
        <w:t>.</w:t>
      </w:r>
      <w:r w:rsidR="004D07E2">
        <w:t xml:space="preserve"> 2017). </w:t>
      </w:r>
      <w:r w:rsidR="007C0CCF">
        <w:t>As Police and Crime Commissioners allocate funding according to their local concerns, organised crime does not attract the resources it needs (Crocker et al. 2017)</w:t>
      </w:r>
    </w:p>
    <w:p w14:paraId="6C5D0AC3" w14:textId="20DDBCB8" w:rsidR="00751DD2" w:rsidRDefault="00BF0AB4" w:rsidP="00B72CFE">
      <w:r>
        <w:t xml:space="preserve">Organised crime however is so complex and the scope of its offences so wide ranging which means the specialist skills required to target organised crime is only available at national level (Crocker et al. 2017). One of the initiatives from the Serious and Organised Crime Strategy in 2013 was to see local councils and other agencies working alongside the police to tackle SOC. </w:t>
      </w:r>
      <w:r w:rsidR="009B34A8">
        <w:t xml:space="preserve">Counsellor Blackburn in his report Tackling Serious and organised crime: A Local Response stated that to disrupt activity relies on ‘good, appropriate information sharing between local partner agencies’. However, the research by Ruth Crocker et al in 2017 concluded with there being ‘poor information exchanges’ </w:t>
      </w:r>
      <w:r w:rsidR="00C37A70">
        <w:t xml:space="preserve">between agencies </w:t>
      </w:r>
      <w:r w:rsidR="009B34A8">
        <w:t xml:space="preserve">and there was no ‘clear guidance’ on what information to gather and who this should be shared with. It was </w:t>
      </w:r>
      <w:r w:rsidR="00226343">
        <w:t xml:space="preserve">suggested from her research that front line officers and other agencies should have specialist training around the recognition and recording of organised crime groups and exploitation with public awareness. </w:t>
      </w:r>
      <w:r w:rsidR="00C37A70">
        <w:t xml:space="preserve">The skills required will therefore not be confined to just national level. </w:t>
      </w:r>
    </w:p>
    <w:p w14:paraId="3F88B6EB" w14:textId="22B6DE2C" w:rsidR="0027167A" w:rsidRDefault="00C37A70" w:rsidP="005605F0">
      <w:r>
        <w:t xml:space="preserve">What has been considered thus far is that </w:t>
      </w:r>
      <w:r w:rsidR="001E660E">
        <w:t>SOC is an ever-evolving crime which</w:t>
      </w:r>
      <w:r>
        <w:t xml:space="preserve"> </w:t>
      </w:r>
      <w:r w:rsidR="001E660E">
        <w:t>re</w:t>
      </w:r>
      <w:r w:rsidR="00AC60A8">
        <w:t>quires</w:t>
      </w:r>
      <w:r w:rsidR="001E660E">
        <w:t xml:space="preserve"> new tactics</w:t>
      </w:r>
      <w:r w:rsidR="00AC60A8">
        <w:t>,</w:t>
      </w:r>
      <w:r w:rsidR="001E660E">
        <w:t xml:space="preserve"> new techniques</w:t>
      </w:r>
      <w:r w:rsidR="00AC60A8">
        <w:t xml:space="preserve"> and specialist skills from </w:t>
      </w:r>
      <w:r w:rsidR="0027167A">
        <w:t>all agencies</w:t>
      </w:r>
      <w:r w:rsidR="003E50BB">
        <w:t>, on a local, regional and national level</w:t>
      </w:r>
      <w:r w:rsidR="0027167A">
        <w:t xml:space="preserve"> </w:t>
      </w:r>
      <w:r>
        <w:t xml:space="preserve">to identify </w:t>
      </w:r>
      <w:r w:rsidR="003E50BB">
        <w:t xml:space="preserve">and protect those vulnerable </w:t>
      </w:r>
      <w:r>
        <w:t xml:space="preserve">and </w:t>
      </w:r>
      <w:r w:rsidR="003E50BB">
        <w:t xml:space="preserve">to </w:t>
      </w:r>
      <w:r>
        <w:t>disrupt organised crime groups.</w:t>
      </w:r>
      <w:r w:rsidR="00AC60A8">
        <w:t xml:space="preserve"> </w:t>
      </w:r>
      <w:r>
        <w:t>Communication</w:t>
      </w:r>
      <w:r w:rsidR="003E50BB">
        <w:t xml:space="preserve">, recording </w:t>
      </w:r>
      <w:r>
        <w:t xml:space="preserve">and sharing of knowledge is crucial not just between police forces but all agencies </w:t>
      </w:r>
      <w:r w:rsidR="003E50BB">
        <w:t>to raise</w:t>
      </w:r>
      <w:r>
        <w:t xml:space="preserve"> awareness and understanding </w:t>
      </w:r>
      <w:r w:rsidR="003E50BB">
        <w:t xml:space="preserve">to prevent exploitation and intervene at the earliest opportunity. </w:t>
      </w:r>
      <w:r>
        <w:t xml:space="preserve"> </w:t>
      </w:r>
      <w:r w:rsidR="0027167A">
        <w:t>What is encouraging</w:t>
      </w:r>
      <w:r w:rsidR="003E50BB">
        <w:t xml:space="preserve">, </w:t>
      </w:r>
      <w:r w:rsidR="0027167A">
        <w:t>is the Annual Report of The NCA for 21/22 which confirms a strong operational performance with 13%</w:t>
      </w:r>
      <w:r w:rsidR="003E50BB">
        <w:t xml:space="preserve"> </w:t>
      </w:r>
      <w:r w:rsidR="0027167A">
        <w:t xml:space="preserve">more high impact disruptions against the most harmful offenders of SOC compared to the previous year. </w:t>
      </w:r>
      <w:r w:rsidR="007C0CCF">
        <w:t xml:space="preserve">The </w:t>
      </w:r>
      <w:r w:rsidR="0027167A">
        <w:t>NCA</w:t>
      </w:r>
      <w:r w:rsidR="007C0CCF">
        <w:t xml:space="preserve"> </w:t>
      </w:r>
      <w:r w:rsidR="0027167A">
        <w:t xml:space="preserve">have also reacted to the growing online threats that our communities face in their Strategy for 2023 </w:t>
      </w:r>
      <w:r w:rsidR="007C0CCF">
        <w:t>with the Director General Graeme Biggar stating,</w:t>
      </w:r>
      <w:r w:rsidR="0027167A">
        <w:t xml:space="preserve"> “Online is the new frontline”</w:t>
      </w:r>
      <w:r w:rsidR="007C0CCF">
        <w:t xml:space="preserve">. </w:t>
      </w:r>
    </w:p>
    <w:p w14:paraId="078A70DC" w14:textId="65184D3C" w:rsidR="00F025D0" w:rsidRDefault="00F025D0" w:rsidP="00C82DA0"/>
    <w:p w14:paraId="131E572A" w14:textId="12928382" w:rsidR="00C3407C" w:rsidRDefault="00C3407C" w:rsidP="00C82DA0">
      <w:r>
        <w:t xml:space="preserve">Word Count </w:t>
      </w:r>
      <w:r w:rsidR="005605F0">
        <w:t>1066</w:t>
      </w:r>
    </w:p>
    <w:p w14:paraId="259000FB" w14:textId="5A3F69AA" w:rsidR="00D63A43" w:rsidRDefault="00D63A43"/>
    <w:p w14:paraId="4DC59212" w14:textId="2F81AB49" w:rsidR="000E1F8F" w:rsidRDefault="000E1F8F"/>
    <w:p w14:paraId="1C94D4D5" w14:textId="14B5A388" w:rsidR="000E1F8F" w:rsidRDefault="000E1F8F"/>
    <w:p w14:paraId="174F5C12" w14:textId="5A8BD2D6" w:rsidR="000E1F8F" w:rsidRDefault="000E1F8F"/>
    <w:p w14:paraId="412453B4" w14:textId="77777777" w:rsidR="000E1F8F" w:rsidRDefault="000E1F8F"/>
    <w:p w14:paraId="2806F3FC" w14:textId="2DCAC584" w:rsidR="009023C0" w:rsidRDefault="009023C0"/>
    <w:p w14:paraId="1CB7AC9C" w14:textId="107D5B6B" w:rsidR="009023C0" w:rsidRDefault="009023C0">
      <w:pPr>
        <w:rPr>
          <w:b/>
          <w:bCs/>
        </w:rPr>
      </w:pPr>
      <w:r>
        <w:rPr>
          <w:b/>
          <w:bCs/>
        </w:rPr>
        <w:lastRenderedPageBreak/>
        <w:t>Essay Three: Is early intervention the most effective means of preventing young people from becoming involved in gangs?</w:t>
      </w:r>
    </w:p>
    <w:p w14:paraId="60A1AC09" w14:textId="7DE4C594" w:rsidR="00A91239" w:rsidRDefault="00A91239" w:rsidP="00395870">
      <w:r>
        <w:t>In 2019</w:t>
      </w:r>
      <w:r w:rsidR="00695CD9">
        <w:t xml:space="preserve">, </w:t>
      </w:r>
      <w:r>
        <w:t>the BBC released an article which, based on crime survey data, indicated that there could be around 27,000 children in gangs at that time. The Children’s commissioner also estimated that 300,000 children may know someone in a gang and 34,000 children had been a victim of gang violence in the previous 12 months. (House of Lords Library 2022)</w:t>
      </w:r>
    </w:p>
    <w:p w14:paraId="60CBC7E3" w14:textId="6E87DA99" w:rsidR="009023C0" w:rsidRDefault="009023C0">
      <w:r>
        <w:t>The Policing and Crime Act 2009, section 34(5) as amended by the Serious Crime Act 2015 states that something</w:t>
      </w:r>
      <w:r w:rsidR="00395870">
        <w:t>, for example a crime,</w:t>
      </w:r>
      <w:r>
        <w:t xml:space="preserve"> is gang related </w:t>
      </w:r>
      <w:r w:rsidR="00395870">
        <w:t>if it occurs in the course of or is related to the activities of a group that consists of three or more people and has at least one characteristic that enables its members to be identified by others of that group. This could be a certain colour that the group w</w:t>
      </w:r>
      <w:r w:rsidR="00592F02">
        <w:t>ear</w:t>
      </w:r>
      <w:r w:rsidR="00395870">
        <w:t xml:space="preserve">, a uniform so to speak or it could be that all members live within the same borough or postcode area. </w:t>
      </w:r>
    </w:p>
    <w:p w14:paraId="2D78BF2C" w14:textId="672D8F1E" w:rsidR="00E0134A" w:rsidRDefault="00E0134A">
      <w:r>
        <w:t>Young people choose or are coerced into joining gangs for many reasons, they could be doing it to fit in with friends or other members of that gang</w:t>
      </w:r>
      <w:r w:rsidR="00625CE3">
        <w:t xml:space="preserve">. </w:t>
      </w:r>
      <w:r>
        <w:t>That young person may want to feel important, respected, powerful or safe from other gangs</w:t>
      </w:r>
      <w:r w:rsidR="00625CE3">
        <w:t xml:space="preserve"> (NSPCC 2023). </w:t>
      </w:r>
      <w:r>
        <w:t xml:space="preserve"> It may be a way for that young person to make money, by selling drugs</w:t>
      </w:r>
      <w:r w:rsidR="00AD7897">
        <w:t xml:space="preserve"> or members may have been exploited by </w:t>
      </w:r>
      <w:r w:rsidR="00625CE3">
        <w:t>serious organised crime groups</w:t>
      </w:r>
      <w:r w:rsidR="00AD7897">
        <w:t>.</w:t>
      </w:r>
      <w:r w:rsidR="00D11FA6">
        <w:t xml:space="preserve"> </w:t>
      </w:r>
    </w:p>
    <w:p w14:paraId="6C73973B" w14:textId="77777777" w:rsidR="00D11FA6" w:rsidRDefault="00444E99">
      <w:r>
        <w:t xml:space="preserve">In </w:t>
      </w:r>
      <w:r w:rsidR="00E0134A">
        <w:t xml:space="preserve">November 2011, the then Home Secretary, Theresa May published a government strategy under the </w:t>
      </w:r>
      <w:r>
        <w:t>coalition government entitled ‘Ending Gang and Youth Violence’. She stated that “</w:t>
      </w:r>
      <w:r w:rsidR="001B2573">
        <w:t>young people were at risk of being drawn into gangs and violence will be targeted at every stage of their lives – from toddlers to teenagers”</w:t>
      </w:r>
      <w:r>
        <w:t xml:space="preserve"> and that more needed to be done to prevent young people joining gangs. The report continued to say that previous initiatives </w:t>
      </w:r>
      <w:r w:rsidR="00204D61">
        <w:t>ha</w:t>
      </w:r>
      <w:r>
        <w:t xml:space="preserve">d </w:t>
      </w:r>
      <w:r w:rsidR="00204D61">
        <w:t>failed,</w:t>
      </w:r>
      <w:r>
        <w:t xml:space="preserve"> and a longer-term plan was needed. Enforcement alone would not solve the problem, the life stories of those destined for gang life would have to be changed</w:t>
      </w:r>
      <w:r w:rsidR="00204D61">
        <w:t xml:space="preserve"> (HM Government. 2011). </w:t>
      </w:r>
      <w:r w:rsidR="00D11FA6">
        <w:t xml:space="preserve"> </w:t>
      </w:r>
    </w:p>
    <w:p w14:paraId="7D3C86D6" w14:textId="5A984A94" w:rsidR="005B787E" w:rsidRPr="00CF66DC" w:rsidRDefault="00D11FA6" w:rsidP="00CF66DC">
      <w:r>
        <w:t>The Early Intervention Foundation supports th</w:t>
      </w:r>
      <w:r w:rsidR="000924CC">
        <w:t>e Government’s</w:t>
      </w:r>
      <w:r>
        <w:t xml:space="preserve"> notion and defines early intervention as “taking action as soon as possible to tackle problems for children and families before they become more difficult to reverse”. Other scholars are also supportive, Waller and Weiler (1984)</w:t>
      </w:r>
      <w:r w:rsidR="000924CC">
        <w:t xml:space="preserve"> </w:t>
      </w:r>
      <w:r>
        <w:t>argue that persistent criminals often come from socially disadvantaged background</w:t>
      </w:r>
      <w:r w:rsidR="000924CC">
        <w:t>s.</w:t>
      </w:r>
    </w:p>
    <w:p w14:paraId="589C7092" w14:textId="24BCDE13" w:rsidR="00B21479" w:rsidRDefault="0087490C"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The </w:t>
      </w:r>
      <w:r w:rsidR="00B21479">
        <w:rPr>
          <w:rFonts w:eastAsia="Times New Roman" w:cstheme="minorHAnsi"/>
          <w:color w:val="0B0C0C"/>
          <w:lang w:eastAsia="en-GB"/>
        </w:rPr>
        <w:t>Early Intervention Foundation</w:t>
      </w:r>
      <w:r w:rsidR="000924CC">
        <w:rPr>
          <w:rFonts w:eastAsia="Times New Roman" w:cstheme="minorHAnsi"/>
          <w:color w:val="0B0C0C"/>
          <w:lang w:eastAsia="en-GB"/>
        </w:rPr>
        <w:t xml:space="preserve"> (EIF)</w:t>
      </w:r>
      <w:r w:rsidR="00B21479">
        <w:rPr>
          <w:rFonts w:eastAsia="Times New Roman" w:cstheme="minorHAnsi"/>
          <w:color w:val="0B0C0C"/>
          <w:lang w:eastAsia="en-GB"/>
        </w:rPr>
        <w:t xml:space="preserve"> </w:t>
      </w:r>
      <w:r w:rsidR="00C24E15">
        <w:rPr>
          <w:rFonts w:eastAsia="Times New Roman" w:cstheme="minorHAnsi"/>
          <w:color w:val="0B0C0C"/>
          <w:lang w:eastAsia="en-GB"/>
        </w:rPr>
        <w:t>believes</w:t>
      </w:r>
      <w:r w:rsidR="00B21479">
        <w:rPr>
          <w:rFonts w:eastAsia="Times New Roman" w:cstheme="minorHAnsi"/>
          <w:color w:val="0B0C0C"/>
          <w:lang w:eastAsia="en-GB"/>
        </w:rPr>
        <w:t xml:space="preserve"> that focusing support on four key aspects of a child’s development has the potential </w:t>
      </w:r>
      <w:r>
        <w:rPr>
          <w:rFonts w:eastAsia="Times New Roman" w:cstheme="minorHAnsi"/>
          <w:color w:val="0B0C0C"/>
          <w:lang w:eastAsia="en-GB"/>
        </w:rPr>
        <w:t xml:space="preserve">to </w:t>
      </w:r>
      <w:r w:rsidR="00B21479">
        <w:rPr>
          <w:rFonts w:eastAsia="Times New Roman" w:cstheme="minorHAnsi"/>
          <w:color w:val="0B0C0C"/>
          <w:lang w:eastAsia="en-GB"/>
        </w:rPr>
        <w:t>provid</w:t>
      </w:r>
      <w:r>
        <w:rPr>
          <w:rFonts w:eastAsia="Times New Roman" w:cstheme="minorHAnsi"/>
          <w:color w:val="0B0C0C"/>
          <w:lang w:eastAsia="en-GB"/>
        </w:rPr>
        <w:t>e</w:t>
      </w:r>
      <w:r w:rsidR="00B21479">
        <w:rPr>
          <w:rFonts w:eastAsia="Times New Roman" w:cstheme="minorHAnsi"/>
          <w:color w:val="0B0C0C"/>
          <w:lang w:eastAsia="en-GB"/>
        </w:rPr>
        <w:t xml:space="preserve"> big differences. The aspects being physical health, social and emotional wellbeing, cognitive and behavioural.</w:t>
      </w:r>
      <w:r w:rsidR="001235E4">
        <w:rPr>
          <w:rFonts w:eastAsia="Times New Roman" w:cstheme="minorHAnsi"/>
          <w:color w:val="0B0C0C"/>
          <w:lang w:eastAsia="en-GB"/>
        </w:rPr>
        <w:t xml:space="preserve"> </w:t>
      </w:r>
      <w:r w:rsidR="000924CC">
        <w:rPr>
          <w:rFonts w:eastAsia="Times New Roman" w:cstheme="minorHAnsi"/>
          <w:color w:val="0B0C0C"/>
          <w:lang w:eastAsia="en-GB"/>
        </w:rPr>
        <w:t xml:space="preserve">In 2015, the EIF completed a review on ‘What Works to Prevent Gang Involvement’. In this review, 67 programmes were identified which were aimed at preventing gang involvement with 54 being effective and 13 ineffective. </w:t>
      </w:r>
      <w:r w:rsidR="002E274D">
        <w:rPr>
          <w:rFonts w:eastAsia="Times New Roman" w:cstheme="minorHAnsi"/>
          <w:color w:val="0B0C0C"/>
          <w:lang w:eastAsia="en-GB"/>
        </w:rPr>
        <w:t xml:space="preserve">They considered that the ‘most effective’ approaches had therapeutic principles that create positive changes in the lives of young people and their families by using skills and </w:t>
      </w:r>
      <w:r w:rsidR="00EB48D9">
        <w:rPr>
          <w:rFonts w:eastAsia="Times New Roman" w:cstheme="minorHAnsi"/>
          <w:color w:val="0B0C0C"/>
          <w:lang w:eastAsia="en-GB"/>
        </w:rPr>
        <w:t>therapy-based</w:t>
      </w:r>
      <w:r w:rsidR="002E274D">
        <w:rPr>
          <w:rFonts w:eastAsia="Times New Roman" w:cstheme="minorHAnsi"/>
          <w:color w:val="0B0C0C"/>
          <w:lang w:eastAsia="en-GB"/>
        </w:rPr>
        <w:t xml:space="preserve"> programmes. </w:t>
      </w:r>
      <w:r w:rsidR="00EB48D9">
        <w:rPr>
          <w:rFonts w:eastAsia="Times New Roman" w:cstheme="minorHAnsi"/>
          <w:color w:val="0B0C0C"/>
          <w:lang w:eastAsia="en-GB"/>
        </w:rPr>
        <w:t xml:space="preserve">The EIF Review cites the workings of Bellis et al. 2012 and Ross et al. 2011 who found that </w:t>
      </w:r>
      <w:r w:rsidR="002633F4">
        <w:rPr>
          <w:rFonts w:eastAsia="Times New Roman" w:cstheme="minorHAnsi"/>
          <w:color w:val="0B0C0C"/>
          <w:lang w:eastAsia="en-GB"/>
        </w:rPr>
        <w:t>skills-based</w:t>
      </w:r>
      <w:r w:rsidR="00EB48D9">
        <w:rPr>
          <w:rFonts w:eastAsia="Times New Roman" w:cstheme="minorHAnsi"/>
          <w:color w:val="0B0C0C"/>
          <w:lang w:eastAsia="en-GB"/>
        </w:rPr>
        <w:t xml:space="preserve"> programmes helped to prevent problem behaviours through developing problem solving, anger management and other life skills. </w:t>
      </w:r>
      <w:r w:rsidR="001235E4">
        <w:rPr>
          <w:rFonts w:eastAsia="Times New Roman" w:cstheme="minorHAnsi"/>
          <w:color w:val="0B0C0C"/>
          <w:lang w:eastAsia="en-GB"/>
        </w:rPr>
        <w:t>It is however noted in the review that there is still a lack of high-quality evidence on whether these approaches work</w:t>
      </w:r>
      <w:r w:rsidR="002633F4">
        <w:rPr>
          <w:rFonts w:eastAsia="Times New Roman" w:cstheme="minorHAnsi"/>
          <w:color w:val="0B0C0C"/>
          <w:lang w:eastAsia="en-GB"/>
        </w:rPr>
        <w:t xml:space="preserve"> and the research on what works is limited. There is also a difficult in measuring gang involvement on the front line</w:t>
      </w:r>
      <w:r w:rsidR="00BE6022">
        <w:rPr>
          <w:rFonts w:eastAsia="Times New Roman" w:cstheme="minorHAnsi"/>
          <w:color w:val="0B0C0C"/>
          <w:lang w:eastAsia="en-GB"/>
        </w:rPr>
        <w:t xml:space="preserve"> (EIF. 2015).</w:t>
      </w:r>
    </w:p>
    <w:p w14:paraId="3FB44A9D" w14:textId="271B5CD2" w:rsidR="0087490C" w:rsidRDefault="007A02E4" w:rsidP="00073E96">
      <w:pPr>
        <w:shd w:val="clear" w:color="auto" w:fill="FFFFFF"/>
        <w:spacing w:after="75" w:line="240" w:lineRule="auto"/>
        <w:rPr>
          <w:rFonts w:eastAsia="Times New Roman" w:cstheme="minorHAnsi"/>
          <w:color w:val="0B0C0C"/>
          <w:lang w:eastAsia="en-GB"/>
        </w:rPr>
      </w:pPr>
      <w:r>
        <w:t>Within the</w:t>
      </w:r>
      <w:r w:rsidR="000924CC">
        <w:t xml:space="preserve"> Government</w:t>
      </w:r>
      <w:r>
        <w:t>’s 2011 review they</w:t>
      </w:r>
      <w:r w:rsidR="000924CC">
        <w:t xml:space="preserve"> proposed five key principles designed to tackle the ongoing issue of gang culture they were prevention, pathways out, punishment, partnership and providing support (HM Government. 2011). </w:t>
      </w:r>
      <w:r>
        <w:rPr>
          <w:rFonts w:eastAsia="Times New Roman" w:cstheme="minorHAnsi"/>
          <w:color w:val="0B0C0C"/>
          <w:lang w:eastAsia="en-GB"/>
        </w:rPr>
        <w:t xml:space="preserve"> </w:t>
      </w:r>
      <w:r w:rsidR="00116D1E">
        <w:rPr>
          <w:rFonts w:eastAsia="Times New Roman" w:cstheme="minorHAnsi"/>
          <w:color w:val="0B0C0C"/>
          <w:lang w:eastAsia="en-GB"/>
        </w:rPr>
        <w:t xml:space="preserve">A </w:t>
      </w:r>
      <w:r>
        <w:rPr>
          <w:rFonts w:eastAsia="Times New Roman" w:cstheme="minorHAnsi"/>
          <w:color w:val="0B0C0C"/>
          <w:lang w:eastAsia="en-GB"/>
        </w:rPr>
        <w:t>successful example of a pathway out</w:t>
      </w:r>
      <w:r w:rsidR="00116D1E">
        <w:rPr>
          <w:rFonts w:eastAsia="Times New Roman" w:cstheme="minorHAnsi"/>
          <w:color w:val="0B0C0C"/>
          <w:lang w:eastAsia="en-GB"/>
        </w:rPr>
        <w:t xml:space="preserve"> was demonstrated in Enfield</w:t>
      </w:r>
      <w:r w:rsidR="00C24E15">
        <w:rPr>
          <w:rFonts w:eastAsia="Times New Roman" w:cstheme="minorHAnsi"/>
          <w:color w:val="0B0C0C"/>
          <w:lang w:eastAsia="en-GB"/>
        </w:rPr>
        <w:t xml:space="preserve">. </w:t>
      </w:r>
      <w:r w:rsidR="00116D1E">
        <w:rPr>
          <w:rFonts w:eastAsia="Times New Roman" w:cstheme="minorHAnsi"/>
          <w:color w:val="0B0C0C"/>
          <w:lang w:eastAsia="en-GB"/>
        </w:rPr>
        <w:t>Enfield had been experiencing constant levels of problems regarding youth behaviour and gangs since the mid 1990’s. By</w:t>
      </w:r>
      <w:r w:rsidR="004D2B1A">
        <w:rPr>
          <w:rFonts w:eastAsia="Times New Roman" w:cstheme="minorHAnsi"/>
          <w:color w:val="0B0C0C"/>
          <w:lang w:eastAsia="en-GB"/>
        </w:rPr>
        <w:t xml:space="preserve"> </w:t>
      </w:r>
      <w:r w:rsidR="0087490C">
        <w:rPr>
          <w:rFonts w:eastAsia="Times New Roman" w:cstheme="minorHAnsi"/>
          <w:color w:val="0B0C0C"/>
          <w:lang w:eastAsia="en-GB"/>
        </w:rPr>
        <w:t xml:space="preserve">utilising </w:t>
      </w:r>
      <w:r w:rsidR="00116D1E">
        <w:rPr>
          <w:rFonts w:eastAsia="Times New Roman" w:cstheme="minorHAnsi"/>
          <w:color w:val="0B0C0C"/>
          <w:lang w:eastAsia="en-GB"/>
        </w:rPr>
        <w:t>agencies, such as the police</w:t>
      </w:r>
      <w:r w:rsidR="004D2B1A">
        <w:rPr>
          <w:rFonts w:eastAsia="Times New Roman" w:cstheme="minorHAnsi"/>
          <w:color w:val="0B0C0C"/>
          <w:lang w:eastAsia="en-GB"/>
        </w:rPr>
        <w:t xml:space="preserve">, youth offending </w:t>
      </w:r>
      <w:r w:rsidR="004D2B1A">
        <w:rPr>
          <w:rFonts w:eastAsia="Times New Roman" w:cstheme="minorHAnsi"/>
          <w:color w:val="0B0C0C"/>
          <w:lang w:eastAsia="en-GB"/>
        </w:rPr>
        <w:lastRenderedPageBreak/>
        <w:t>services, school representatives and council community safety units,</w:t>
      </w:r>
      <w:r>
        <w:rPr>
          <w:rFonts w:eastAsia="Times New Roman" w:cstheme="minorHAnsi"/>
          <w:color w:val="0B0C0C"/>
          <w:lang w:eastAsia="en-GB"/>
        </w:rPr>
        <w:t xml:space="preserve"> they invited</w:t>
      </w:r>
      <w:r w:rsidR="004D2B1A">
        <w:rPr>
          <w:rFonts w:eastAsia="Times New Roman" w:cstheme="minorHAnsi"/>
          <w:color w:val="0B0C0C"/>
          <w:lang w:eastAsia="en-GB"/>
        </w:rPr>
        <w:t xml:space="preserve"> 40 known gang members and youth violent perpetrators</w:t>
      </w:r>
      <w:r>
        <w:rPr>
          <w:rFonts w:eastAsia="Times New Roman" w:cstheme="minorHAnsi"/>
          <w:color w:val="0B0C0C"/>
          <w:lang w:eastAsia="en-GB"/>
        </w:rPr>
        <w:t xml:space="preserve"> </w:t>
      </w:r>
      <w:r w:rsidR="004D2B1A">
        <w:rPr>
          <w:rFonts w:eastAsia="Times New Roman" w:cstheme="minorHAnsi"/>
          <w:color w:val="0B0C0C"/>
          <w:lang w:eastAsia="en-GB"/>
        </w:rPr>
        <w:t xml:space="preserve">into a courtroom for dramatic effect and </w:t>
      </w:r>
      <w:r w:rsidR="000D715E">
        <w:rPr>
          <w:rFonts w:eastAsia="Times New Roman" w:cstheme="minorHAnsi"/>
          <w:color w:val="0B0C0C"/>
          <w:lang w:eastAsia="en-GB"/>
        </w:rPr>
        <w:t xml:space="preserve">were given a series of hard-hitting presentations from a senior police officer, </w:t>
      </w:r>
      <w:r w:rsidR="003D56E6">
        <w:rPr>
          <w:rFonts w:eastAsia="Times New Roman" w:cstheme="minorHAnsi"/>
          <w:color w:val="0B0C0C"/>
          <w:lang w:eastAsia="en-GB"/>
        </w:rPr>
        <w:t>surgeon</w:t>
      </w:r>
      <w:r w:rsidR="000203C4">
        <w:rPr>
          <w:rFonts w:eastAsia="Times New Roman" w:cstheme="minorHAnsi"/>
          <w:color w:val="0B0C0C"/>
          <w:lang w:eastAsia="en-GB"/>
        </w:rPr>
        <w:t xml:space="preserve">, ex-gang member and </w:t>
      </w:r>
      <w:r w:rsidR="003D56E6">
        <w:rPr>
          <w:rFonts w:eastAsia="Times New Roman" w:cstheme="minorHAnsi"/>
          <w:color w:val="0B0C0C"/>
          <w:lang w:eastAsia="en-GB"/>
        </w:rPr>
        <w:t xml:space="preserve">a mother, </w:t>
      </w:r>
      <w:r w:rsidR="000D715E">
        <w:rPr>
          <w:rFonts w:eastAsia="Times New Roman" w:cstheme="minorHAnsi"/>
          <w:color w:val="0B0C0C"/>
          <w:lang w:eastAsia="en-GB"/>
        </w:rPr>
        <w:t xml:space="preserve">who </w:t>
      </w:r>
      <w:r w:rsidR="003D56E6">
        <w:rPr>
          <w:rFonts w:eastAsia="Times New Roman" w:cstheme="minorHAnsi"/>
          <w:color w:val="0B0C0C"/>
          <w:lang w:eastAsia="en-GB"/>
        </w:rPr>
        <w:t xml:space="preserve">each </w:t>
      </w:r>
      <w:r w:rsidR="000D715E">
        <w:rPr>
          <w:rFonts w:eastAsia="Times New Roman" w:cstheme="minorHAnsi"/>
          <w:color w:val="0B0C0C"/>
          <w:lang w:eastAsia="en-GB"/>
        </w:rPr>
        <w:t xml:space="preserve">explained that the event was an opportunity for them to stop offending and move on to a supported pathway away from crime. </w:t>
      </w:r>
      <w:r w:rsidR="0087490C">
        <w:rPr>
          <w:rFonts w:eastAsia="Times New Roman" w:cstheme="minorHAnsi"/>
          <w:color w:val="0B0C0C"/>
          <w:lang w:eastAsia="en-GB"/>
        </w:rPr>
        <w:t>Th</w:t>
      </w:r>
      <w:r>
        <w:rPr>
          <w:rFonts w:eastAsia="Times New Roman" w:cstheme="minorHAnsi"/>
          <w:color w:val="0B0C0C"/>
          <w:lang w:eastAsia="en-GB"/>
        </w:rPr>
        <w:t xml:space="preserve">e initiative </w:t>
      </w:r>
      <w:r w:rsidR="0087490C">
        <w:rPr>
          <w:rFonts w:eastAsia="Times New Roman" w:cstheme="minorHAnsi"/>
          <w:color w:val="0B0C0C"/>
          <w:lang w:eastAsia="en-GB"/>
        </w:rPr>
        <w:t xml:space="preserve">saw a decline in </w:t>
      </w:r>
      <w:r w:rsidR="000D715E">
        <w:rPr>
          <w:rFonts w:eastAsia="Times New Roman" w:cstheme="minorHAnsi"/>
          <w:color w:val="0B0C0C"/>
          <w:lang w:eastAsia="en-GB"/>
        </w:rPr>
        <w:t>youth violence by 11% between 2009 and 2011</w:t>
      </w:r>
      <w:r w:rsidR="0087490C">
        <w:rPr>
          <w:rFonts w:eastAsia="Times New Roman" w:cstheme="minorHAnsi"/>
          <w:color w:val="0B0C0C"/>
          <w:lang w:eastAsia="en-GB"/>
        </w:rPr>
        <w:t xml:space="preserve"> with</w:t>
      </w:r>
      <w:r w:rsidR="000D715E">
        <w:rPr>
          <w:rFonts w:eastAsia="Times New Roman" w:cstheme="minorHAnsi"/>
          <w:color w:val="0B0C0C"/>
          <w:lang w:eastAsia="en-GB"/>
        </w:rPr>
        <w:t xml:space="preserve"> longer term figures show</w:t>
      </w:r>
      <w:r w:rsidR="0087490C">
        <w:rPr>
          <w:rFonts w:eastAsia="Times New Roman" w:cstheme="minorHAnsi"/>
          <w:color w:val="0B0C0C"/>
          <w:lang w:eastAsia="en-GB"/>
        </w:rPr>
        <w:t>ing</w:t>
      </w:r>
      <w:r w:rsidR="000D715E">
        <w:rPr>
          <w:rFonts w:eastAsia="Times New Roman" w:cstheme="minorHAnsi"/>
          <w:color w:val="0B0C0C"/>
          <w:lang w:eastAsia="en-GB"/>
        </w:rPr>
        <w:t xml:space="preserve"> a 40% reduction between 2009 and 2012. </w:t>
      </w:r>
      <w:r w:rsidR="000530CF">
        <w:rPr>
          <w:rFonts w:eastAsia="Times New Roman" w:cstheme="minorHAnsi"/>
          <w:color w:val="0B0C0C"/>
          <w:lang w:eastAsia="en-GB"/>
        </w:rPr>
        <w:t xml:space="preserve">Serious </w:t>
      </w:r>
      <w:r w:rsidR="000D715E">
        <w:rPr>
          <w:rFonts w:eastAsia="Times New Roman" w:cstheme="minorHAnsi"/>
          <w:color w:val="0B0C0C"/>
          <w:lang w:eastAsia="en-GB"/>
        </w:rPr>
        <w:t xml:space="preserve">youth violence also reduced by 28% in main gang hotspots and gang related estates experienced a 16% decrease in anti-social behaviour with one estate showing a remarkable 50% reduction. </w:t>
      </w:r>
      <w:r>
        <w:rPr>
          <w:rFonts w:eastAsia="Times New Roman" w:cstheme="minorHAnsi"/>
          <w:color w:val="0B0C0C"/>
          <w:lang w:eastAsia="en-GB"/>
        </w:rPr>
        <w:t xml:space="preserve">(Local Government Association. 2013). </w:t>
      </w:r>
      <w:r w:rsidR="003C3F9A">
        <w:rPr>
          <w:rFonts w:eastAsia="Times New Roman" w:cstheme="minorHAnsi"/>
          <w:color w:val="0B0C0C"/>
          <w:lang w:eastAsia="en-GB"/>
        </w:rPr>
        <w:t xml:space="preserve"> </w:t>
      </w:r>
    </w:p>
    <w:p w14:paraId="081AC9AC" w14:textId="6837284F" w:rsidR="003C3F9A" w:rsidRDefault="003C3F9A"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Although youth crime has fallen in recent times, it is still recognised that young people are more likely to commit offences (Loeber &amp; Stallings. 2011 as cited in Hobson et al</w:t>
      </w:r>
      <w:r w:rsidR="003D56E6">
        <w:rPr>
          <w:rFonts w:eastAsia="Times New Roman" w:cstheme="minorHAnsi"/>
          <w:color w:val="0B0C0C"/>
          <w:lang w:eastAsia="en-GB"/>
        </w:rPr>
        <w:t>. 2018</w:t>
      </w:r>
      <w:r>
        <w:rPr>
          <w:rFonts w:eastAsia="Times New Roman" w:cstheme="minorHAnsi"/>
          <w:color w:val="0B0C0C"/>
          <w:lang w:eastAsia="en-GB"/>
        </w:rPr>
        <w:t>)</w:t>
      </w:r>
      <w:r w:rsidR="003D56E6">
        <w:rPr>
          <w:rFonts w:eastAsia="Times New Roman" w:cstheme="minorHAnsi"/>
          <w:color w:val="0B0C0C"/>
          <w:lang w:eastAsia="en-GB"/>
        </w:rPr>
        <w:t>.</w:t>
      </w:r>
      <w:r>
        <w:rPr>
          <w:rFonts w:eastAsia="Times New Roman" w:cstheme="minorHAnsi"/>
          <w:color w:val="0B0C0C"/>
          <w:lang w:eastAsia="en-GB"/>
        </w:rPr>
        <w:t xml:space="preserve"> Hobson et al considers that the way police interact with young people is vital and that police led social crime prevention initiatives allow police to become involved in the community. These police led initiatives are not common and whilst crime prevention schemes are widespread in the UK, they are found in alternative forms such as Youth Services. </w:t>
      </w:r>
      <w:r w:rsidR="003D56E6">
        <w:rPr>
          <w:rFonts w:eastAsia="Times New Roman" w:cstheme="minorHAnsi"/>
          <w:color w:val="0B0C0C"/>
          <w:lang w:eastAsia="en-GB"/>
        </w:rPr>
        <w:t>During the Aston Project, concerns were raised by the PCSO’s that once volunteers led an activity it becomes less relevant, and some volunteers are unreliable (Hobson et al. 2018). It is inevitable however that Police resources will be stretched</w:t>
      </w:r>
      <w:r w:rsidR="000203C4">
        <w:rPr>
          <w:rFonts w:eastAsia="Times New Roman" w:cstheme="minorHAnsi"/>
          <w:color w:val="0B0C0C"/>
          <w:lang w:eastAsia="en-GB"/>
        </w:rPr>
        <w:t>.</w:t>
      </w:r>
    </w:p>
    <w:p w14:paraId="159179C6" w14:textId="689201D9" w:rsidR="000203C4" w:rsidRDefault="000203C4"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From the research above, there are studies that support </w:t>
      </w:r>
      <w:r w:rsidR="008D4846">
        <w:rPr>
          <w:rFonts w:eastAsia="Times New Roman" w:cstheme="minorHAnsi"/>
          <w:color w:val="0B0C0C"/>
          <w:lang w:eastAsia="en-GB"/>
        </w:rPr>
        <w:t xml:space="preserve">certain early intervention approaches can be effective </w:t>
      </w:r>
      <w:r>
        <w:rPr>
          <w:rFonts w:eastAsia="Times New Roman" w:cstheme="minorHAnsi"/>
          <w:color w:val="0B0C0C"/>
          <w:lang w:eastAsia="en-GB"/>
        </w:rPr>
        <w:t>in preventing young people from becoming involved in gangs</w:t>
      </w:r>
      <w:r w:rsidR="008D4846">
        <w:rPr>
          <w:rFonts w:eastAsia="Times New Roman" w:cstheme="minorHAnsi"/>
          <w:color w:val="0B0C0C"/>
          <w:lang w:eastAsia="en-GB"/>
        </w:rPr>
        <w:t xml:space="preserve"> however it is also noted that there is a lack of </w:t>
      </w:r>
      <w:r w:rsidR="007C40A8">
        <w:rPr>
          <w:rFonts w:eastAsia="Times New Roman" w:cstheme="minorHAnsi"/>
          <w:color w:val="0B0C0C"/>
          <w:lang w:eastAsia="en-GB"/>
        </w:rPr>
        <w:t xml:space="preserve">high-quality evidence on the initiatives. The issue of gang violence evidently remains </w:t>
      </w:r>
      <w:r w:rsidR="0043257C">
        <w:rPr>
          <w:rFonts w:eastAsia="Times New Roman" w:cstheme="minorHAnsi"/>
          <w:color w:val="0B0C0C"/>
          <w:lang w:eastAsia="en-GB"/>
        </w:rPr>
        <w:t xml:space="preserve">prevalent today as in </w:t>
      </w:r>
      <w:r w:rsidR="007C40A8">
        <w:rPr>
          <w:rFonts w:eastAsia="Times New Roman" w:cstheme="minorHAnsi"/>
          <w:color w:val="0B0C0C"/>
          <w:lang w:eastAsia="en-GB"/>
        </w:rPr>
        <w:t>January 2023, the Government announced for the police to adopt a new ‘Clear, Hold, Build</w:t>
      </w:r>
      <w:r w:rsidR="0043257C">
        <w:rPr>
          <w:rFonts w:eastAsia="Times New Roman" w:cstheme="minorHAnsi"/>
          <w:color w:val="0B0C0C"/>
          <w:lang w:eastAsia="en-GB"/>
        </w:rPr>
        <w:t xml:space="preserve">’ tactic in an attempt to crack down on organised criminal gangs. </w:t>
      </w:r>
    </w:p>
    <w:p w14:paraId="552089E8" w14:textId="77777777" w:rsidR="000203C4" w:rsidRDefault="000203C4" w:rsidP="00073E96">
      <w:pPr>
        <w:shd w:val="clear" w:color="auto" w:fill="FFFFFF"/>
        <w:spacing w:after="75" w:line="240" w:lineRule="auto"/>
        <w:rPr>
          <w:rFonts w:eastAsia="Times New Roman" w:cstheme="minorHAnsi"/>
          <w:color w:val="0B0C0C"/>
          <w:lang w:eastAsia="en-GB"/>
        </w:rPr>
      </w:pPr>
    </w:p>
    <w:p w14:paraId="2210FCD5" w14:textId="76AC2B3C" w:rsidR="00AD3A53" w:rsidRDefault="00AD3A53"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Word Count</w:t>
      </w:r>
      <w:r w:rsidR="005175BA">
        <w:rPr>
          <w:rFonts w:eastAsia="Times New Roman" w:cstheme="minorHAnsi"/>
          <w:color w:val="0B0C0C"/>
          <w:lang w:eastAsia="en-GB"/>
        </w:rPr>
        <w:t>: 967</w:t>
      </w:r>
    </w:p>
    <w:p w14:paraId="33E657FC" w14:textId="77777777" w:rsidR="000D715E" w:rsidRDefault="000D715E" w:rsidP="00073E96">
      <w:pPr>
        <w:shd w:val="clear" w:color="auto" w:fill="FFFFFF"/>
        <w:spacing w:after="75" w:line="240" w:lineRule="auto"/>
        <w:rPr>
          <w:rFonts w:eastAsia="Times New Roman" w:cstheme="minorHAnsi"/>
          <w:color w:val="0B0C0C"/>
          <w:lang w:eastAsia="en-GB"/>
        </w:rPr>
      </w:pPr>
    </w:p>
    <w:p w14:paraId="5A341E73"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1CFF3A07"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73B4251D"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72DB70EC" w14:textId="26BB6FD1" w:rsidR="0087490C" w:rsidRDefault="0087490C" w:rsidP="00073E96">
      <w:pPr>
        <w:shd w:val="clear" w:color="auto" w:fill="FFFFFF"/>
        <w:spacing w:after="75" w:line="240" w:lineRule="auto"/>
        <w:rPr>
          <w:rFonts w:eastAsia="Times New Roman" w:cstheme="minorHAnsi"/>
          <w:b/>
          <w:bCs/>
          <w:color w:val="0B0C0C"/>
          <w:lang w:eastAsia="en-GB"/>
        </w:rPr>
      </w:pPr>
    </w:p>
    <w:p w14:paraId="7FBD667C" w14:textId="59BFB77B" w:rsidR="005175BA" w:rsidRDefault="005175BA" w:rsidP="00073E96">
      <w:pPr>
        <w:shd w:val="clear" w:color="auto" w:fill="FFFFFF"/>
        <w:spacing w:after="75" w:line="240" w:lineRule="auto"/>
        <w:rPr>
          <w:rFonts w:eastAsia="Times New Roman" w:cstheme="minorHAnsi"/>
          <w:b/>
          <w:bCs/>
          <w:color w:val="0B0C0C"/>
          <w:lang w:eastAsia="en-GB"/>
        </w:rPr>
      </w:pPr>
    </w:p>
    <w:p w14:paraId="2AEECDDD" w14:textId="265C6B82" w:rsidR="001C511F" w:rsidRDefault="001C511F" w:rsidP="00073E96">
      <w:pPr>
        <w:shd w:val="clear" w:color="auto" w:fill="FFFFFF"/>
        <w:spacing w:after="75" w:line="240" w:lineRule="auto"/>
        <w:rPr>
          <w:rFonts w:eastAsia="Times New Roman" w:cstheme="minorHAnsi"/>
          <w:b/>
          <w:bCs/>
          <w:color w:val="0B0C0C"/>
          <w:lang w:eastAsia="en-GB"/>
        </w:rPr>
      </w:pPr>
    </w:p>
    <w:p w14:paraId="429513FF" w14:textId="6C2CF932" w:rsidR="001C511F" w:rsidRDefault="001C511F" w:rsidP="00073E96">
      <w:pPr>
        <w:shd w:val="clear" w:color="auto" w:fill="FFFFFF"/>
        <w:spacing w:after="75" w:line="240" w:lineRule="auto"/>
        <w:rPr>
          <w:rFonts w:eastAsia="Times New Roman" w:cstheme="minorHAnsi"/>
          <w:b/>
          <w:bCs/>
          <w:color w:val="0B0C0C"/>
          <w:lang w:eastAsia="en-GB"/>
        </w:rPr>
      </w:pPr>
    </w:p>
    <w:p w14:paraId="1460F205" w14:textId="66317139" w:rsidR="001C511F" w:rsidRDefault="001C511F" w:rsidP="00073E96">
      <w:pPr>
        <w:shd w:val="clear" w:color="auto" w:fill="FFFFFF"/>
        <w:spacing w:after="75" w:line="240" w:lineRule="auto"/>
        <w:rPr>
          <w:rFonts w:eastAsia="Times New Roman" w:cstheme="minorHAnsi"/>
          <w:b/>
          <w:bCs/>
          <w:color w:val="0B0C0C"/>
          <w:lang w:eastAsia="en-GB"/>
        </w:rPr>
      </w:pPr>
    </w:p>
    <w:p w14:paraId="11D17585" w14:textId="2B9632AE" w:rsidR="001C511F" w:rsidRDefault="001C511F" w:rsidP="00073E96">
      <w:pPr>
        <w:shd w:val="clear" w:color="auto" w:fill="FFFFFF"/>
        <w:spacing w:after="75" w:line="240" w:lineRule="auto"/>
        <w:rPr>
          <w:rFonts w:eastAsia="Times New Roman" w:cstheme="minorHAnsi"/>
          <w:b/>
          <w:bCs/>
          <w:color w:val="0B0C0C"/>
          <w:lang w:eastAsia="en-GB"/>
        </w:rPr>
      </w:pPr>
    </w:p>
    <w:p w14:paraId="3C22FC00" w14:textId="252A6E15" w:rsidR="001C511F" w:rsidRDefault="001C511F" w:rsidP="00073E96">
      <w:pPr>
        <w:shd w:val="clear" w:color="auto" w:fill="FFFFFF"/>
        <w:spacing w:after="75" w:line="240" w:lineRule="auto"/>
        <w:rPr>
          <w:rFonts w:eastAsia="Times New Roman" w:cstheme="minorHAnsi"/>
          <w:b/>
          <w:bCs/>
          <w:color w:val="0B0C0C"/>
          <w:lang w:eastAsia="en-GB"/>
        </w:rPr>
      </w:pPr>
    </w:p>
    <w:p w14:paraId="67CDEC8D" w14:textId="61F8BDA7" w:rsidR="001C511F" w:rsidRDefault="001C511F" w:rsidP="00073E96">
      <w:pPr>
        <w:shd w:val="clear" w:color="auto" w:fill="FFFFFF"/>
        <w:spacing w:after="75" w:line="240" w:lineRule="auto"/>
        <w:rPr>
          <w:rFonts w:eastAsia="Times New Roman" w:cstheme="minorHAnsi"/>
          <w:b/>
          <w:bCs/>
          <w:color w:val="0B0C0C"/>
          <w:lang w:eastAsia="en-GB"/>
        </w:rPr>
      </w:pPr>
    </w:p>
    <w:p w14:paraId="1E90A71B" w14:textId="2E677ED1" w:rsidR="001C511F" w:rsidRDefault="001C511F" w:rsidP="00073E96">
      <w:pPr>
        <w:shd w:val="clear" w:color="auto" w:fill="FFFFFF"/>
        <w:spacing w:after="75" w:line="240" w:lineRule="auto"/>
        <w:rPr>
          <w:rFonts w:eastAsia="Times New Roman" w:cstheme="minorHAnsi"/>
          <w:b/>
          <w:bCs/>
          <w:color w:val="0B0C0C"/>
          <w:lang w:eastAsia="en-GB"/>
        </w:rPr>
      </w:pPr>
    </w:p>
    <w:p w14:paraId="5378E0C1" w14:textId="5F533B3B" w:rsidR="001C511F" w:rsidRDefault="001C511F" w:rsidP="00073E96">
      <w:pPr>
        <w:shd w:val="clear" w:color="auto" w:fill="FFFFFF"/>
        <w:spacing w:after="75" w:line="240" w:lineRule="auto"/>
        <w:rPr>
          <w:rFonts w:eastAsia="Times New Roman" w:cstheme="minorHAnsi"/>
          <w:b/>
          <w:bCs/>
          <w:color w:val="0B0C0C"/>
          <w:lang w:eastAsia="en-GB"/>
        </w:rPr>
      </w:pPr>
    </w:p>
    <w:p w14:paraId="17142E96" w14:textId="7C4BF666" w:rsidR="001C511F" w:rsidRDefault="001C511F" w:rsidP="00073E96">
      <w:pPr>
        <w:shd w:val="clear" w:color="auto" w:fill="FFFFFF"/>
        <w:spacing w:after="75" w:line="240" w:lineRule="auto"/>
        <w:rPr>
          <w:rFonts w:eastAsia="Times New Roman" w:cstheme="minorHAnsi"/>
          <w:b/>
          <w:bCs/>
          <w:color w:val="0B0C0C"/>
          <w:lang w:eastAsia="en-GB"/>
        </w:rPr>
      </w:pPr>
    </w:p>
    <w:p w14:paraId="093892F5" w14:textId="5A6A63B2" w:rsidR="001C511F" w:rsidRDefault="001C511F" w:rsidP="00073E96">
      <w:pPr>
        <w:shd w:val="clear" w:color="auto" w:fill="FFFFFF"/>
        <w:spacing w:after="75" w:line="240" w:lineRule="auto"/>
        <w:rPr>
          <w:rFonts w:eastAsia="Times New Roman" w:cstheme="minorHAnsi"/>
          <w:b/>
          <w:bCs/>
          <w:color w:val="0B0C0C"/>
          <w:lang w:eastAsia="en-GB"/>
        </w:rPr>
      </w:pPr>
    </w:p>
    <w:p w14:paraId="3E7F8153" w14:textId="3C9128F1" w:rsidR="001C511F" w:rsidRDefault="001C511F" w:rsidP="00073E96">
      <w:pPr>
        <w:shd w:val="clear" w:color="auto" w:fill="FFFFFF"/>
        <w:spacing w:after="75" w:line="240" w:lineRule="auto"/>
        <w:rPr>
          <w:rFonts w:eastAsia="Times New Roman" w:cstheme="minorHAnsi"/>
          <w:b/>
          <w:bCs/>
          <w:color w:val="0B0C0C"/>
          <w:lang w:eastAsia="en-GB"/>
        </w:rPr>
      </w:pPr>
    </w:p>
    <w:p w14:paraId="27DC6C96" w14:textId="4E3E7176" w:rsidR="001C511F" w:rsidRDefault="001C511F" w:rsidP="00073E96">
      <w:pPr>
        <w:shd w:val="clear" w:color="auto" w:fill="FFFFFF"/>
        <w:spacing w:after="75" w:line="240" w:lineRule="auto"/>
        <w:rPr>
          <w:rFonts w:eastAsia="Times New Roman" w:cstheme="minorHAnsi"/>
          <w:b/>
          <w:bCs/>
          <w:color w:val="0B0C0C"/>
          <w:lang w:eastAsia="en-GB"/>
        </w:rPr>
      </w:pPr>
    </w:p>
    <w:p w14:paraId="4C9393D5" w14:textId="77777777" w:rsidR="001C511F" w:rsidRDefault="001C511F" w:rsidP="00073E96">
      <w:pPr>
        <w:shd w:val="clear" w:color="auto" w:fill="FFFFFF"/>
        <w:spacing w:after="75" w:line="240" w:lineRule="auto"/>
        <w:rPr>
          <w:rFonts w:eastAsia="Times New Roman" w:cstheme="minorHAnsi"/>
          <w:b/>
          <w:bCs/>
          <w:color w:val="0B0C0C"/>
          <w:lang w:eastAsia="en-GB"/>
        </w:rPr>
      </w:pPr>
    </w:p>
    <w:p w14:paraId="6A351A60"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3A84518E" w14:textId="6788125B" w:rsidR="000D715E" w:rsidRPr="00D90F63" w:rsidRDefault="00D90F63" w:rsidP="00073E96">
      <w:pPr>
        <w:shd w:val="clear" w:color="auto" w:fill="FFFFFF"/>
        <w:spacing w:after="75" w:line="240" w:lineRule="auto"/>
        <w:rPr>
          <w:rFonts w:eastAsia="Times New Roman" w:cstheme="minorHAnsi"/>
          <w:b/>
          <w:bCs/>
          <w:color w:val="0B0C0C"/>
          <w:lang w:eastAsia="en-GB"/>
        </w:rPr>
      </w:pPr>
      <w:r w:rsidRPr="00D90F63">
        <w:rPr>
          <w:rFonts w:eastAsia="Times New Roman" w:cstheme="minorHAnsi"/>
          <w:b/>
          <w:bCs/>
          <w:color w:val="0B0C0C"/>
          <w:lang w:eastAsia="en-GB"/>
        </w:rPr>
        <w:lastRenderedPageBreak/>
        <w:t xml:space="preserve">Essay Four: </w:t>
      </w:r>
      <w:r w:rsidRPr="00D90F63">
        <w:rPr>
          <w:b/>
          <w:bCs/>
        </w:rPr>
        <w:t>“When the public looks markedly different to its police service, it creates a distance between the two and a sense the police service no longer serves their community” (Orr Munro, n.d.). Assess the effectiveness of police strategies to overcome this distance (e.g. the Code of Ethics, PACE, neighbourhood policing strategies, targeted recruitment).</w:t>
      </w:r>
    </w:p>
    <w:p w14:paraId="14E0C264" w14:textId="48F07232" w:rsidR="000D715E" w:rsidRDefault="000D715E" w:rsidP="00073E96">
      <w:pPr>
        <w:shd w:val="clear" w:color="auto" w:fill="FFFFFF"/>
        <w:spacing w:after="75" w:line="240" w:lineRule="auto"/>
        <w:rPr>
          <w:rFonts w:eastAsia="Times New Roman" w:cstheme="minorHAnsi"/>
          <w:color w:val="0B0C0C"/>
          <w:lang w:eastAsia="en-GB"/>
        </w:rPr>
      </w:pPr>
    </w:p>
    <w:p w14:paraId="2B4894F6" w14:textId="7561785A" w:rsidR="002B009D" w:rsidRDefault="007F508B" w:rsidP="00FC4381">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In 1829, Sir Robert Peel </w:t>
      </w:r>
      <w:r w:rsidR="002B009D">
        <w:rPr>
          <w:rFonts w:eastAsia="Times New Roman" w:cstheme="minorHAnsi"/>
          <w:color w:val="0B0C0C"/>
          <w:lang w:eastAsia="en-GB"/>
        </w:rPr>
        <w:t>said that</w:t>
      </w:r>
      <w:r w:rsidR="000B4FDE">
        <w:rPr>
          <w:rFonts w:eastAsia="Times New Roman" w:cstheme="minorHAnsi"/>
          <w:color w:val="0B0C0C"/>
          <w:lang w:eastAsia="en-GB"/>
        </w:rPr>
        <w:t xml:space="preserve"> “</w:t>
      </w:r>
      <w:r>
        <w:rPr>
          <w:rFonts w:eastAsia="Times New Roman" w:cstheme="minorHAnsi"/>
          <w:color w:val="0B0C0C"/>
          <w:lang w:eastAsia="en-GB"/>
        </w:rPr>
        <w:t>The police are the public and the public are the police</w:t>
      </w:r>
      <w:r w:rsidR="000B4FDE">
        <w:rPr>
          <w:rFonts w:eastAsia="Times New Roman" w:cstheme="minorHAnsi"/>
          <w:color w:val="0B0C0C"/>
          <w:lang w:eastAsia="en-GB"/>
        </w:rPr>
        <w:t>”</w:t>
      </w:r>
      <w:r w:rsidR="00B66D8B">
        <w:rPr>
          <w:rFonts w:eastAsia="Times New Roman" w:cstheme="minorHAnsi"/>
          <w:color w:val="0B0C0C"/>
          <w:lang w:eastAsia="en-GB"/>
        </w:rPr>
        <w:t xml:space="preserve">. </w:t>
      </w:r>
    </w:p>
    <w:p w14:paraId="0AA07028" w14:textId="3510492E" w:rsidR="000B4FDE" w:rsidRDefault="007F508B" w:rsidP="00FC4381">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Tina Orr Munro </w:t>
      </w:r>
      <w:r w:rsidR="002B009D">
        <w:rPr>
          <w:rFonts w:eastAsia="Times New Roman" w:cstheme="minorHAnsi"/>
          <w:color w:val="0B0C0C"/>
          <w:lang w:eastAsia="en-GB"/>
        </w:rPr>
        <w:t xml:space="preserve">comments </w:t>
      </w:r>
      <w:r>
        <w:rPr>
          <w:rFonts w:eastAsia="Times New Roman" w:cstheme="minorHAnsi"/>
          <w:color w:val="0B0C0C"/>
          <w:lang w:eastAsia="en-GB"/>
        </w:rPr>
        <w:t xml:space="preserve">in her article that the public will only engage with the police if they have trust in them and that trust can only be built if the public believes they are the police and the </w:t>
      </w:r>
      <w:r w:rsidR="00FC4381">
        <w:rPr>
          <w:rFonts w:eastAsia="Times New Roman" w:cstheme="minorHAnsi"/>
          <w:color w:val="0B0C0C"/>
          <w:lang w:eastAsia="en-GB"/>
        </w:rPr>
        <w:t>belief</w:t>
      </w:r>
      <w:r>
        <w:rPr>
          <w:rFonts w:eastAsia="Times New Roman" w:cstheme="minorHAnsi"/>
          <w:color w:val="0B0C0C"/>
          <w:lang w:eastAsia="en-GB"/>
        </w:rPr>
        <w:t xml:space="preserve"> that the police serve everyone. This </w:t>
      </w:r>
      <w:r w:rsidR="002B009D">
        <w:rPr>
          <w:rFonts w:eastAsia="Times New Roman" w:cstheme="minorHAnsi"/>
          <w:color w:val="0B0C0C"/>
          <w:lang w:eastAsia="en-GB"/>
        </w:rPr>
        <w:t xml:space="preserve">can be </w:t>
      </w:r>
      <w:r>
        <w:rPr>
          <w:rFonts w:eastAsia="Times New Roman" w:cstheme="minorHAnsi"/>
          <w:color w:val="0B0C0C"/>
          <w:lang w:eastAsia="en-GB"/>
        </w:rPr>
        <w:t xml:space="preserve">achieved by the police ensuring </w:t>
      </w:r>
      <w:r w:rsidR="00FC4381">
        <w:rPr>
          <w:rFonts w:eastAsia="Times New Roman" w:cstheme="minorHAnsi"/>
          <w:color w:val="0B0C0C"/>
          <w:lang w:eastAsia="en-GB"/>
        </w:rPr>
        <w:t>that they employ a diverse workforce representing all sections of society</w:t>
      </w:r>
      <w:r w:rsidR="002B009D">
        <w:rPr>
          <w:rFonts w:eastAsia="Times New Roman" w:cstheme="minorHAnsi"/>
          <w:color w:val="0B0C0C"/>
          <w:lang w:eastAsia="en-GB"/>
        </w:rPr>
        <w:t xml:space="preserve"> and by addressing societal inequalities (Graham et al. 2020). </w:t>
      </w:r>
    </w:p>
    <w:p w14:paraId="61948AA2" w14:textId="097ABBEA" w:rsidR="00FC4381" w:rsidRDefault="006C71C6" w:rsidP="00FC4381">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According to </w:t>
      </w:r>
      <w:r w:rsidR="002B009D">
        <w:rPr>
          <w:rFonts w:eastAsia="Times New Roman" w:cstheme="minorHAnsi"/>
          <w:color w:val="0B0C0C"/>
          <w:lang w:eastAsia="en-GB"/>
        </w:rPr>
        <w:t>the</w:t>
      </w:r>
      <w:r>
        <w:rPr>
          <w:rFonts w:eastAsia="Times New Roman" w:cstheme="minorHAnsi"/>
          <w:color w:val="0B0C0C"/>
          <w:lang w:eastAsia="en-GB"/>
        </w:rPr>
        <w:t xml:space="preserve"> 2021 census</w:t>
      </w:r>
      <w:r w:rsidR="004415A7">
        <w:rPr>
          <w:rFonts w:eastAsia="Times New Roman" w:cstheme="minorHAnsi"/>
          <w:color w:val="0B0C0C"/>
          <w:lang w:eastAsia="en-GB"/>
        </w:rPr>
        <w:t xml:space="preserve">, the </w:t>
      </w:r>
      <w:r>
        <w:rPr>
          <w:rFonts w:eastAsia="Times New Roman" w:cstheme="minorHAnsi"/>
          <w:color w:val="0B0C0C"/>
          <w:lang w:eastAsia="en-GB"/>
        </w:rPr>
        <w:t>total population of England an</w:t>
      </w:r>
      <w:r w:rsidR="009E1E62">
        <w:rPr>
          <w:rFonts w:eastAsia="Times New Roman" w:cstheme="minorHAnsi"/>
          <w:color w:val="0B0C0C"/>
          <w:lang w:eastAsia="en-GB"/>
        </w:rPr>
        <w:t>d</w:t>
      </w:r>
      <w:r>
        <w:rPr>
          <w:rFonts w:eastAsia="Times New Roman" w:cstheme="minorHAnsi"/>
          <w:color w:val="0B0C0C"/>
          <w:lang w:eastAsia="en-GB"/>
        </w:rPr>
        <w:t xml:space="preserve"> Wales was 59.6 million people, of whom 81</w:t>
      </w:r>
      <w:r w:rsidR="009E1E62">
        <w:rPr>
          <w:rFonts w:eastAsia="Times New Roman" w:cstheme="minorHAnsi"/>
          <w:color w:val="0B0C0C"/>
          <w:lang w:eastAsia="en-GB"/>
        </w:rPr>
        <w:t>.7% were white. People of Asian ethnicity made up the second largest percentage of the population with 9.3% followed by black 4%, mixed 2.9% and other ethnic groups at 2.1%.</w:t>
      </w:r>
      <w:r w:rsidR="00FC4381">
        <w:rPr>
          <w:rFonts w:eastAsia="Times New Roman" w:cstheme="minorHAnsi"/>
          <w:color w:val="0B0C0C"/>
          <w:lang w:eastAsia="en-GB"/>
        </w:rPr>
        <w:t xml:space="preserve"> </w:t>
      </w:r>
      <w:r w:rsidR="0091389F">
        <w:rPr>
          <w:rFonts w:eastAsia="Times New Roman" w:cstheme="minorHAnsi"/>
          <w:color w:val="0B0C0C"/>
          <w:lang w:eastAsia="en-GB"/>
        </w:rPr>
        <w:t xml:space="preserve"> </w:t>
      </w:r>
      <w:r w:rsidR="002D4943">
        <w:rPr>
          <w:rFonts w:eastAsia="Times New Roman" w:cstheme="minorHAnsi"/>
          <w:color w:val="0B0C0C"/>
          <w:lang w:eastAsia="en-GB"/>
        </w:rPr>
        <w:t xml:space="preserve">The </w:t>
      </w:r>
      <w:r w:rsidR="009E1E62">
        <w:rPr>
          <w:rFonts w:eastAsia="Times New Roman" w:cstheme="minorHAnsi"/>
          <w:color w:val="0B0C0C"/>
          <w:lang w:eastAsia="en-GB"/>
        </w:rPr>
        <w:t>National statistics released by the home office in 2022, show</w:t>
      </w:r>
      <w:r w:rsidR="00FC4381">
        <w:rPr>
          <w:rFonts w:eastAsia="Times New Roman" w:cstheme="minorHAnsi"/>
          <w:color w:val="0B0C0C"/>
          <w:lang w:eastAsia="en-GB"/>
        </w:rPr>
        <w:t>ed</w:t>
      </w:r>
      <w:r w:rsidR="009E1E62">
        <w:rPr>
          <w:rFonts w:eastAsia="Times New Roman" w:cstheme="minorHAnsi"/>
          <w:color w:val="0B0C0C"/>
          <w:lang w:eastAsia="en-GB"/>
        </w:rPr>
        <w:t xml:space="preserve"> the </w:t>
      </w:r>
      <w:r w:rsidR="00FC4381">
        <w:rPr>
          <w:rFonts w:eastAsia="Times New Roman" w:cstheme="minorHAnsi"/>
          <w:color w:val="0B0C0C"/>
          <w:lang w:eastAsia="en-GB"/>
        </w:rPr>
        <w:t>makeup</w:t>
      </w:r>
      <w:r w:rsidR="009E1E62">
        <w:rPr>
          <w:rFonts w:eastAsia="Times New Roman" w:cstheme="minorHAnsi"/>
          <w:color w:val="0B0C0C"/>
          <w:lang w:eastAsia="en-GB"/>
        </w:rPr>
        <w:t xml:space="preserve"> of the police workforce in general</w:t>
      </w:r>
      <w:r w:rsidR="00FC4381">
        <w:rPr>
          <w:rFonts w:eastAsia="Times New Roman" w:cstheme="minorHAnsi"/>
          <w:color w:val="0B0C0C"/>
          <w:lang w:eastAsia="en-GB"/>
        </w:rPr>
        <w:t xml:space="preserve">; </w:t>
      </w:r>
      <w:r w:rsidR="00E25929">
        <w:rPr>
          <w:rFonts w:eastAsia="Times New Roman" w:cstheme="minorHAnsi"/>
          <w:color w:val="0B0C0C"/>
          <w:lang w:eastAsia="en-GB"/>
        </w:rPr>
        <w:t>92.4% of all police officers are white, whilst officers who identify as black, mixed, or Asian account for 7.6%. (GOV.UK 2022)</w:t>
      </w:r>
      <w:r w:rsidR="00FC4381">
        <w:rPr>
          <w:rFonts w:eastAsia="Times New Roman" w:cstheme="minorHAnsi"/>
          <w:color w:val="0B0C0C"/>
          <w:lang w:eastAsia="en-GB"/>
        </w:rPr>
        <w:t xml:space="preserve">. According to these statistics the force looks markedly the same as the public. </w:t>
      </w:r>
    </w:p>
    <w:p w14:paraId="18CE38FE" w14:textId="490EB0C1" w:rsidR="00FC4381" w:rsidRDefault="000B4FDE"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The </w:t>
      </w:r>
      <w:r w:rsidR="00FC4381">
        <w:rPr>
          <w:rFonts w:eastAsia="Times New Roman" w:cstheme="minorHAnsi"/>
          <w:color w:val="0B0C0C"/>
          <w:lang w:eastAsia="en-GB"/>
        </w:rPr>
        <w:t xml:space="preserve">same can also be said for genders within the police force. </w:t>
      </w:r>
      <w:r w:rsidR="009A2B1F">
        <w:rPr>
          <w:rFonts w:eastAsia="Times New Roman" w:cstheme="minorHAnsi"/>
          <w:color w:val="0B0C0C"/>
          <w:lang w:eastAsia="en-GB"/>
        </w:rPr>
        <w:t>In 2021 a census released by the</w:t>
      </w:r>
      <w:r w:rsidR="00B66D8B">
        <w:rPr>
          <w:rFonts w:eastAsia="Times New Roman" w:cstheme="minorHAnsi"/>
          <w:color w:val="0B0C0C"/>
          <w:lang w:eastAsia="en-GB"/>
        </w:rPr>
        <w:t xml:space="preserve"> </w:t>
      </w:r>
      <w:r w:rsidR="00FC4381">
        <w:rPr>
          <w:rFonts w:eastAsia="Times New Roman" w:cstheme="minorHAnsi"/>
          <w:color w:val="0B0C0C"/>
          <w:lang w:eastAsia="en-GB"/>
        </w:rPr>
        <w:t>O</w:t>
      </w:r>
      <w:r w:rsidR="009A2B1F">
        <w:rPr>
          <w:rFonts w:eastAsia="Times New Roman" w:cstheme="minorHAnsi"/>
          <w:color w:val="0B0C0C"/>
          <w:lang w:eastAsia="en-GB"/>
        </w:rPr>
        <w:t xml:space="preserve">ffice for </w:t>
      </w:r>
      <w:r w:rsidR="00FC4381">
        <w:rPr>
          <w:rFonts w:eastAsia="Times New Roman" w:cstheme="minorHAnsi"/>
          <w:color w:val="0B0C0C"/>
          <w:lang w:eastAsia="en-GB"/>
        </w:rPr>
        <w:t>N</w:t>
      </w:r>
      <w:r w:rsidR="009A2B1F">
        <w:rPr>
          <w:rFonts w:eastAsia="Times New Roman" w:cstheme="minorHAnsi"/>
          <w:color w:val="0B0C0C"/>
          <w:lang w:eastAsia="en-GB"/>
        </w:rPr>
        <w:t xml:space="preserve">ational </w:t>
      </w:r>
      <w:r w:rsidR="00FC4381">
        <w:rPr>
          <w:rFonts w:eastAsia="Times New Roman" w:cstheme="minorHAnsi"/>
          <w:color w:val="0B0C0C"/>
          <w:lang w:eastAsia="en-GB"/>
        </w:rPr>
        <w:t>S</w:t>
      </w:r>
      <w:r w:rsidR="009A2B1F">
        <w:rPr>
          <w:rFonts w:eastAsia="Times New Roman" w:cstheme="minorHAnsi"/>
          <w:color w:val="0B0C0C"/>
          <w:lang w:eastAsia="en-GB"/>
        </w:rPr>
        <w:t>tatistics</w:t>
      </w:r>
      <w:r w:rsidR="00FC4381">
        <w:rPr>
          <w:rFonts w:eastAsia="Times New Roman" w:cstheme="minorHAnsi"/>
          <w:color w:val="0B0C0C"/>
          <w:lang w:eastAsia="en-GB"/>
        </w:rPr>
        <w:t xml:space="preserve"> showed that</w:t>
      </w:r>
      <w:r w:rsidR="009A2B1F">
        <w:rPr>
          <w:rFonts w:eastAsia="Times New Roman" w:cstheme="minorHAnsi"/>
          <w:color w:val="0B0C0C"/>
          <w:lang w:eastAsia="en-GB"/>
        </w:rPr>
        <w:t xml:space="preserve"> the overall percentage of people who identify as male in England and Wales was 49% whilst those who identified as female was 51%.</w:t>
      </w:r>
      <w:r w:rsidR="00FC4381">
        <w:rPr>
          <w:rFonts w:eastAsia="Times New Roman" w:cstheme="minorHAnsi"/>
          <w:color w:val="0B0C0C"/>
          <w:lang w:eastAsia="en-GB"/>
        </w:rPr>
        <w:t xml:space="preserve"> Within the police force, t</w:t>
      </w:r>
      <w:r w:rsidR="00B5276C">
        <w:rPr>
          <w:rFonts w:eastAsia="Times New Roman" w:cstheme="minorHAnsi"/>
          <w:color w:val="0B0C0C"/>
          <w:lang w:eastAsia="en-GB"/>
        </w:rPr>
        <w:t xml:space="preserve">he recruitment of female officers since 2010 has grown year </w:t>
      </w:r>
      <w:r w:rsidR="001E35F7">
        <w:rPr>
          <w:rFonts w:eastAsia="Times New Roman" w:cstheme="minorHAnsi"/>
          <w:color w:val="0B0C0C"/>
          <w:lang w:eastAsia="en-GB"/>
        </w:rPr>
        <w:t>and</w:t>
      </w:r>
      <w:r w:rsidR="00B5276C">
        <w:rPr>
          <w:rFonts w:eastAsia="Times New Roman" w:cstheme="minorHAnsi"/>
          <w:color w:val="0B0C0C"/>
          <w:lang w:eastAsia="en-GB"/>
        </w:rPr>
        <w:t xml:space="preserve"> in 2021 it had risen to 32.4%</w:t>
      </w:r>
      <w:r w:rsidR="00FC4381">
        <w:rPr>
          <w:rFonts w:eastAsia="Times New Roman" w:cstheme="minorHAnsi"/>
          <w:color w:val="0B0C0C"/>
          <w:lang w:eastAsia="en-GB"/>
        </w:rPr>
        <w:t xml:space="preserve">. </w:t>
      </w:r>
      <w:r w:rsidR="00B5276C">
        <w:rPr>
          <w:rFonts w:eastAsia="Times New Roman" w:cstheme="minorHAnsi"/>
          <w:color w:val="0B0C0C"/>
          <w:lang w:eastAsia="en-GB"/>
        </w:rPr>
        <w:t>(GOV.UK 2022</w:t>
      </w:r>
      <w:r w:rsidR="00FC4381">
        <w:rPr>
          <w:rFonts w:eastAsia="Times New Roman" w:cstheme="minorHAnsi"/>
          <w:color w:val="0B0C0C"/>
          <w:lang w:eastAsia="en-GB"/>
        </w:rPr>
        <w:t>).</w:t>
      </w:r>
    </w:p>
    <w:p w14:paraId="60CFEC62" w14:textId="4454EFF6" w:rsidR="005F3259" w:rsidRDefault="00FC4381"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One of the reasons the police in England and Wales have achieved a diverse police force is by using targeted recruitment. </w:t>
      </w:r>
      <w:r w:rsidR="00A9173E">
        <w:rPr>
          <w:rFonts w:eastAsia="Times New Roman" w:cstheme="minorHAnsi"/>
          <w:color w:val="0B0C0C"/>
          <w:lang w:eastAsia="en-GB"/>
        </w:rPr>
        <w:t>Under the Equality Act of 2021, Section 158</w:t>
      </w:r>
      <w:r>
        <w:rPr>
          <w:rFonts w:eastAsia="Times New Roman" w:cstheme="minorHAnsi"/>
          <w:color w:val="0B0C0C"/>
          <w:lang w:eastAsia="en-GB"/>
        </w:rPr>
        <w:t xml:space="preserve">, </w:t>
      </w:r>
      <w:r w:rsidR="00A9173E">
        <w:rPr>
          <w:rFonts w:eastAsia="Times New Roman" w:cstheme="minorHAnsi"/>
          <w:color w:val="0B0C0C"/>
          <w:lang w:eastAsia="en-GB"/>
        </w:rPr>
        <w:t>if conditions are met</w:t>
      </w:r>
      <w:r w:rsidR="00EB61AA">
        <w:rPr>
          <w:rFonts w:eastAsia="Times New Roman" w:cstheme="minorHAnsi"/>
          <w:color w:val="0B0C0C"/>
          <w:lang w:eastAsia="en-GB"/>
        </w:rPr>
        <w:t xml:space="preserve">, an employer is allowed to take action to compensate for any perceived disadvantages that it reasonably believes are faced by people who share a particular protected characteristic. </w:t>
      </w:r>
    </w:p>
    <w:p w14:paraId="3C6C1B64" w14:textId="12615CBD" w:rsidR="00680EDA" w:rsidRDefault="005F3259"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A</w:t>
      </w:r>
      <w:r w:rsidR="004930DC">
        <w:rPr>
          <w:rFonts w:eastAsia="Times New Roman" w:cstheme="minorHAnsi"/>
          <w:color w:val="0B0C0C"/>
          <w:lang w:eastAsia="en-GB"/>
        </w:rPr>
        <w:t xml:space="preserve"> successful </w:t>
      </w:r>
      <w:r>
        <w:rPr>
          <w:rFonts w:eastAsia="Times New Roman" w:cstheme="minorHAnsi"/>
          <w:color w:val="0B0C0C"/>
          <w:lang w:eastAsia="en-GB"/>
        </w:rPr>
        <w:t xml:space="preserve">example of targeted recruitment was seen by </w:t>
      </w:r>
      <w:r w:rsidR="00EB61AA">
        <w:rPr>
          <w:rFonts w:eastAsia="Times New Roman" w:cstheme="minorHAnsi"/>
          <w:color w:val="0B0C0C"/>
          <w:lang w:eastAsia="en-GB"/>
        </w:rPr>
        <w:t xml:space="preserve">The Greater Manchester </w:t>
      </w:r>
      <w:r w:rsidR="004930DC">
        <w:rPr>
          <w:rFonts w:eastAsia="Times New Roman" w:cstheme="minorHAnsi"/>
          <w:color w:val="0B0C0C"/>
          <w:lang w:eastAsia="en-GB"/>
        </w:rPr>
        <w:t>p</w:t>
      </w:r>
      <w:r w:rsidR="00EB61AA">
        <w:rPr>
          <w:rFonts w:eastAsia="Times New Roman" w:cstheme="minorHAnsi"/>
          <w:color w:val="0B0C0C"/>
          <w:lang w:eastAsia="en-GB"/>
        </w:rPr>
        <w:t>olice</w:t>
      </w:r>
      <w:r w:rsidR="004930DC">
        <w:rPr>
          <w:rFonts w:eastAsia="Times New Roman" w:cstheme="minorHAnsi"/>
          <w:color w:val="0B0C0C"/>
          <w:lang w:eastAsia="en-GB"/>
        </w:rPr>
        <w:t xml:space="preserve"> (GMP)</w:t>
      </w:r>
      <w:r w:rsidR="00EB61AA">
        <w:rPr>
          <w:rFonts w:eastAsia="Times New Roman" w:cstheme="minorHAnsi"/>
          <w:color w:val="0B0C0C"/>
          <w:lang w:eastAsia="en-GB"/>
        </w:rPr>
        <w:t xml:space="preserve"> force, led by Chief Inspector Tony Alogba</w:t>
      </w:r>
      <w:r w:rsidR="00680EDA">
        <w:rPr>
          <w:rFonts w:eastAsia="Times New Roman" w:cstheme="minorHAnsi"/>
          <w:color w:val="0B0C0C"/>
          <w:lang w:eastAsia="en-GB"/>
        </w:rPr>
        <w:t xml:space="preserve"> (College of Policing. 2020)</w:t>
      </w:r>
      <w:r w:rsidR="00EB61AA">
        <w:rPr>
          <w:rFonts w:eastAsia="Times New Roman" w:cstheme="minorHAnsi"/>
          <w:color w:val="0B0C0C"/>
          <w:lang w:eastAsia="en-GB"/>
        </w:rPr>
        <w:t xml:space="preserve"> </w:t>
      </w:r>
      <w:r>
        <w:rPr>
          <w:rFonts w:eastAsia="Times New Roman" w:cstheme="minorHAnsi"/>
          <w:color w:val="0B0C0C"/>
          <w:lang w:eastAsia="en-GB"/>
        </w:rPr>
        <w:t xml:space="preserve">who </w:t>
      </w:r>
      <w:r w:rsidR="00EB61AA">
        <w:rPr>
          <w:rFonts w:eastAsia="Times New Roman" w:cstheme="minorHAnsi"/>
          <w:color w:val="0B0C0C"/>
          <w:lang w:eastAsia="en-GB"/>
        </w:rPr>
        <w:t xml:space="preserve">delivered a series of recruitment support events aimed at the Black, Asian and Minority Ethnic </w:t>
      </w:r>
      <w:r w:rsidR="000301DE">
        <w:rPr>
          <w:rFonts w:eastAsia="Times New Roman" w:cstheme="minorHAnsi"/>
          <w:color w:val="0B0C0C"/>
          <w:lang w:eastAsia="en-GB"/>
        </w:rPr>
        <w:t xml:space="preserve">(BAME) </w:t>
      </w:r>
      <w:r w:rsidR="00EB61AA">
        <w:rPr>
          <w:rFonts w:eastAsia="Times New Roman" w:cstheme="minorHAnsi"/>
          <w:color w:val="0B0C0C"/>
          <w:lang w:eastAsia="en-GB"/>
        </w:rPr>
        <w:t xml:space="preserve">community </w:t>
      </w:r>
      <w:r w:rsidR="00680EDA">
        <w:rPr>
          <w:rFonts w:eastAsia="Times New Roman" w:cstheme="minorHAnsi"/>
          <w:color w:val="0B0C0C"/>
          <w:lang w:eastAsia="en-GB"/>
        </w:rPr>
        <w:t>along with female candidates. These support events were designed to help the candidates during the recruitment process</w:t>
      </w:r>
      <w:r w:rsidR="00FC4381">
        <w:rPr>
          <w:rFonts w:eastAsia="Times New Roman" w:cstheme="minorHAnsi"/>
          <w:color w:val="0B0C0C"/>
          <w:lang w:eastAsia="en-GB"/>
        </w:rPr>
        <w:t xml:space="preserve"> and therefore encouraging those from specific backgrounds to apply. </w:t>
      </w:r>
      <w:r w:rsidR="00B5654D">
        <w:rPr>
          <w:rFonts w:eastAsia="Times New Roman" w:cstheme="minorHAnsi"/>
          <w:color w:val="0B0C0C"/>
          <w:lang w:eastAsia="en-GB"/>
        </w:rPr>
        <w:t xml:space="preserve">They </w:t>
      </w:r>
      <w:r w:rsidR="00680EDA">
        <w:rPr>
          <w:rFonts w:eastAsia="Times New Roman" w:cstheme="minorHAnsi"/>
          <w:color w:val="0B0C0C"/>
          <w:lang w:eastAsia="en-GB"/>
        </w:rPr>
        <w:t>encourag</w:t>
      </w:r>
      <w:r w:rsidR="00B5654D">
        <w:rPr>
          <w:rFonts w:eastAsia="Times New Roman" w:cstheme="minorHAnsi"/>
          <w:color w:val="0B0C0C"/>
          <w:lang w:eastAsia="en-GB"/>
        </w:rPr>
        <w:t>ed</w:t>
      </w:r>
      <w:r w:rsidR="00680EDA">
        <w:rPr>
          <w:rFonts w:eastAsia="Times New Roman" w:cstheme="minorHAnsi"/>
          <w:color w:val="0B0C0C"/>
          <w:lang w:eastAsia="en-GB"/>
        </w:rPr>
        <w:t xml:space="preserve"> members of </w:t>
      </w:r>
      <w:r w:rsidR="00B5654D">
        <w:rPr>
          <w:rFonts w:eastAsia="Times New Roman" w:cstheme="minorHAnsi"/>
          <w:color w:val="0B0C0C"/>
          <w:lang w:eastAsia="en-GB"/>
        </w:rPr>
        <w:t>the BAME</w:t>
      </w:r>
      <w:r w:rsidR="00680EDA">
        <w:rPr>
          <w:rFonts w:eastAsia="Times New Roman" w:cstheme="minorHAnsi"/>
          <w:color w:val="0B0C0C"/>
          <w:lang w:eastAsia="en-GB"/>
        </w:rPr>
        <w:t xml:space="preserve"> community to visit their recruitment vehicle and to speak to staff who had a good understanding of cultural awareness</w:t>
      </w:r>
      <w:r>
        <w:rPr>
          <w:rFonts w:eastAsia="Times New Roman" w:cstheme="minorHAnsi"/>
          <w:color w:val="0B0C0C"/>
          <w:lang w:eastAsia="en-GB"/>
        </w:rPr>
        <w:t>.</w:t>
      </w:r>
      <w:r w:rsidR="00680EDA">
        <w:rPr>
          <w:rFonts w:eastAsia="Times New Roman" w:cstheme="minorHAnsi"/>
          <w:color w:val="0B0C0C"/>
          <w:lang w:eastAsia="en-GB"/>
        </w:rPr>
        <w:t xml:space="preserve"> </w:t>
      </w:r>
      <w:r>
        <w:rPr>
          <w:rFonts w:eastAsia="Times New Roman" w:cstheme="minorHAnsi"/>
          <w:color w:val="0B0C0C"/>
          <w:lang w:eastAsia="en-GB"/>
        </w:rPr>
        <w:t xml:space="preserve">This </w:t>
      </w:r>
      <w:r w:rsidR="007718A2">
        <w:rPr>
          <w:rFonts w:eastAsia="Times New Roman" w:cstheme="minorHAnsi"/>
          <w:color w:val="0B0C0C"/>
          <w:lang w:eastAsia="en-GB"/>
        </w:rPr>
        <w:t>allowed for a more effective recruitment process, having officers and police staff who represented their communities on the ground reassuring</w:t>
      </w:r>
      <w:r w:rsidR="00680EDA">
        <w:rPr>
          <w:rFonts w:eastAsia="Times New Roman" w:cstheme="minorHAnsi"/>
          <w:color w:val="0B0C0C"/>
          <w:lang w:eastAsia="en-GB"/>
        </w:rPr>
        <w:t xml:space="preserve"> potential candidates</w:t>
      </w:r>
      <w:r w:rsidR="007718A2">
        <w:rPr>
          <w:rFonts w:eastAsia="Times New Roman" w:cstheme="minorHAnsi"/>
          <w:color w:val="0B0C0C"/>
          <w:lang w:eastAsia="en-GB"/>
        </w:rPr>
        <w:t xml:space="preserve"> that the police </w:t>
      </w:r>
      <w:r w:rsidR="0023215A">
        <w:rPr>
          <w:rFonts w:eastAsia="Times New Roman" w:cstheme="minorHAnsi"/>
          <w:color w:val="0B0C0C"/>
          <w:lang w:eastAsia="en-GB"/>
        </w:rPr>
        <w:t xml:space="preserve">force is a diverse and inclusive employer. </w:t>
      </w:r>
    </w:p>
    <w:p w14:paraId="5DFD660F" w14:textId="5FBF0783" w:rsidR="00223E79" w:rsidRDefault="00223E79"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Reviewing the overall police recruitment process, </w:t>
      </w:r>
      <w:r w:rsidR="004930DC">
        <w:rPr>
          <w:rFonts w:eastAsia="Times New Roman" w:cstheme="minorHAnsi"/>
          <w:color w:val="0B0C0C"/>
          <w:lang w:eastAsia="en-GB"/>
        </w:rPr>
        <w:t xml:space="preserve">the GMP force still </w:t>
      </w:r>
      <w:r>
        <w:rPr>
          <w:rFonts w:eastAsia="Times New Roman" w:cstheme="minorHAnsi"/>
          <w:color w:val="0B0C0C"/>
          <w:lang w:eastAsia="en-GB"/>
        </w:rPr>
        <w:t xml:space="preserve">wanted to recruit the strongest candidates, regardless of that person’s background </w:t>
      </w:r>
      <w:r w:rsidR="004930DC">
        <w:rPr>
          <w:rFonts w:eastAsia="Times New Roman" w:cstheme="minorHAnsi"/>
          <w:color w:val="0B0C0C"/>
          <w:lang w:eastAsia="en-GB"/>
        </w:rPr>
        <w:t>and</w:t>
      </w:r>
      <w:r>
        <w:rPr>
          <w:rFonts w:eastAsia="Times New Roman" w:cstheme="minorHAnsi"/>
          <w:color w:val="0B0C0C"/>
          <w:lang w:eastAsia="en-GB"/>
        </w:rPr>
        <w:t xml:space="preserve"> wanted </w:t>
      </w:r>
      <w:r w:rsidR="004F508D">
        <w:rPr>
          <w:rFonts w:eastAsia="Times New Roman" w:cstheme="minorHAnsi"/>
          <w:color w:val="0B0C0C"/>
          <w:lang w:eastAsia="en-GB"/>
        </w:rPr>
        <w:t xml:space="preserve">to ensure fairness for all </w:t>
      </w:r>
      <w:r>
        <w:rPr>
          <w:rFonts w:eastAsia="Times New Roman" w:cstheme="minorHAnsi"/>
          <w:color w:val="0B0C0C"/>
          <w:lang w:eastAsia="en-GB"/>
        </w:rPr>
        <w:t xml:space="preserve">involved </w:t>
      </w:r>
      <w:r w:rsidR="00180F1D">
        <w:rPr>
          <w:rFonts w:eastAsia="Times New Roman" w:cstheme="minorHAnsi"/>
          <w:color w:val="0B0C0C"/>
          <w:lang w:eastAsia="en-GB"/>
        </w:rPr>
        <w:t>so they</w:t>
      </w:r>
      <w:r>
        <w:rPr>
          <w:rFonts w:eastAsia="Times New Roman" w:cstheme="minorHAnsi"/>
          <w:color w:val="0B0C0C"/>
          <w:lang w:eastAsia="en-GB"/>
        </w:rPr>
        <w:t xml:space="preserve"> amend</w:t>
      </w:r>
      <w:r w:rsidR="00180F1D">
        <w:rPr>
          <w:rFonts w:eastAsia="Times New Roman" w:cstheme="minorHAnsi"/>
          <w:color w:val="0B0C0C"/>
          <w:lang w:eastAsia="en-GB"/>
        </w:rPr>
        <w:t>ed</w:t>
      </w:r>
      <w:r>
        <w:rPr>
          <w:rFonts w:eastAsia="Times New Roman" w:cstheme="minorHAnsi"/>
          <w:color w:val="0B0C0C"/>
          <w:lang w:eastAsia="en-GB"/>
        </w:rPr>
        <w:t xml:space="preserve"> certain</w:t>
      </w:r>
      <w:r w:rsidR="000B0FBA">
        <w:rPr>
          <w:rFonts w:eastAsia="Times New Roman" w:cstheme="minorHAnsi"/>
          <w:color w:val="0B0C0C"/>
          <w:lang w:eastAsia="en-GB"/>
        </w:rPr>
        <w:t xml:space="preserve"> </w:t>
      </w:r>
      <w:r>
        <w:rPr>
          <w:rFonts w:eastAsia="Times New Roman" w:cstheme="minorHAnsi"/>
          <w:color w:val="0B0C0C"/>
          <w:lang w:eastAsia="en-GB"/>
        </w:rPr>
        <w:t xml:space="preserve">questions that were deemed to be of a discriminative nature. This led to the Greater Manchester Police recruiting 20% of </w:t>
      </w:r>
      <w:r w:rsidR="00683CF5">
        <w:rPr>
          <w:rFonts w:eastAsia="Times New Roman" w:cstheme="minorHAnsi"/>
          <w:color w:val="0B0C0C"/>
          <w:lang w:eastAsia="en-GB"/>
        </w:rPr>
        <w:t xml:space="preserve">BAME </w:t>
      </w:r>
      <w:r>
        <w:rPr>
          <w:rFonts w:eastAsia="Times New Roman" w:cstheme="minorHAnsi"/>
          <w:color w:val="0B0C0C"/>
          <w:lang w:eastAsia="en-GB"/>
        </w:rPr>
        <w:t xml:space="preserve">staff, exceeding the </w:t>
      </w:r>
      <w:r w:rsidR="007718A2">
        <w:rPr>
          <w:rFonts w:eastAsia="Times New Roman" w:cstheme="minorHAnsi"/>
          <w:color w:val="0B0C0C"/>
          <w:lang w:eastAsia="en-GB"/>
        </w:rPr>
        <w:t>BAME proportion of that local area</w:t>
      </w:r>
      <w:r w:rsidR="004F508D">
        <w:rPr>
          <w:rFonts w:eastAsia="Times New Roman" w:cstheme="minorHAnsi"/>
          <w:color w:val="0B0C0C"/>
          <w:lang w:eastAsia="en-GB"/>
        </w:rPr>
        <w:t xml:space="preserve"> and j</w:t>
      </w:r>
      <w:r w:rsidR="007718A2">
        <w:rPr>
          <w:rFonts w:eastAsia="Times New Roman" w:cstheme="minorHAnsi"/>
          <w:color w:val="0B0C0C"/>
          <w:lang w:eastAsia="en-GB"/>
        </w:rPr>
        <w:t>ustifiably winning the Guardian Diversity in Recruitment Award in 2017.</w:t>
      </w:r>
    </w:p>
    <w:p w14:paraId="47CDC657" w14:textId="7A1F6BBE" w:rsidR="0023215A" w:rsidRDefault="000301DE" w:rsidP="00B300AF">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Having targeted recruitment is not enough; the force needs to be able to retain staff. </w:t>
      </w:r>
      <w:r w:rsidR="0023215A">
        <w:rPr>
          <w:rFonts w:eastAsia="Times New Roman" w:cstheme="minorHAnsi"/>
          <w:color w:val="0B0C0C"/>
          <w:lang w:eastAsia="en-GB"/>
        </w:rPr>
        <w:t xml:space="preserve">The </w:t>
      </w:r>
      <w:r w:rsidR="007718A2">
        <w:rPr>
          <w:rFonts w:eastAsia="Times New Roman" w:cstheme="minorHAnsi"/>
          <w:color w:val="0B0C0C"/>
          <w:lang w:eastAsia="en-GB"/>
        </w:rPr>
        <w:t xml:space="preserve">Code of Ethics is at the heart of </w:t>
      </w:r>
      <w:r w:rsidR="0055497A">
        <w:rPr>
          <w:rFonts w:eastAsia="Times New Roman" w:cstheme="minorHAnsi"/>
          <w:color w:val="0B0C0C"/>
          <w:lang w:eastAsia="en-GB"/>
        </w:rPr>
        <w:t>modern-day</w:t>
      </w:r>
      <w:r w:rsidR="007718A2">
        <w:rPr>
          <w:rFonts w:eastAsia="Times New Roman" w:cstheme="minorHAnsi"/>
          <w:color w:val="0B0C0C"/>
          <w:lang w:eastAsia="en-GB"/>
        </w:rPr>
        <w:t xml:space="preserve"> policing</w:t>
      </w:r>
      <w:r w:rsidR="0023215A">
        <w:rPr>
          <w:rFonts w:eastAsia="Times New Roman" w:cstheme="minorHAnsi"/>
          <w:color w:val="0B0C0C"/>
          <w:lang w:eastAsia="en-GB"/>
        </w:rPr>
        <w:t xml:space="preserve"> and</w:t>
      </w:r>
      <w:r w:rsidR="0055497A">
        <w:rPr>
          <w:rFonts w:eastAsia="Times New Roman" w:cstheme="minorHAnsi"/>
          <w:color w:val="0B0C0C"/>
          <w:lang w:eastAsia="en-GB"/>
        </w:rPr>
        <w:t xml:space="preserve"> was </w:t>
      </w:r>
      <w:r w:rsidR="0023215A">
        <w:rPr>
          <w:rFonts w:eastAsia="Times New Roman" w:cstheme="minorHAnsi"/>
          <w:color w:val="0B0C0C"/>
          <w:lang w:eastAsia="en-GB"/>
        </w:rPr>
        <w:t xml:space="preserve">created </w:t>
      </w:r>
      <w:r w:rsidR="0055497A">
        <w:rPr>
          <w:rFonts w:eastAsia="Times New Roman" w:cstheme="minorHAnsi"/>
          <w:color w:val="0B0C0C"/>
          <w:lang w:eastAsia="en-GB"/>
        </w:rPr>
        <w:t>by the College of Policing in 2014</w:t>
      </w:r>
      <w:r w:rsidR="0023215A">
        <w:rPr>
          <w:rFonts w:eastAsia="Times New Roman" w:cstheme="minorHAnsi"/>
          <w:color w:val="0B0C0C"/>
          <w:lang w:eastAsia="en-GB"/>
        </w:rPr>
        <w:t>. The Code</w:t>
      </w:r>
      <w:r w:rsidR="0055497A">
        <w:rPr>
          <w:rFonts w:eastAsia="Times New Roman" w:cstheme="minorHAnsi"/>
          <w:color w:val="0B0C0C"/>
          <w:lang w:eastAsia="en-GB"/>
        </w:rPr>
        <w:t xml:space="preserve"> ‘defines the exemplary standards of behaviour for everyone who works in policing’. (College of Policing. 2023). </w:t>
      </w:r>
      <w:r w:rsidR="00B300AF">
        <w:rPr>
          <w:rFonts w:eastAsia="Times New Roman" w:cstheme="minorHAnsi"/>
          <w:color w:val="0B0C0C"/>
          <w:lang w:eastAsia="en-GB"/>
        </w:rPr>
        <w:t xml:space="preserve"> </w:t>
      </w:r>
      <w:r w:rsidR="004E6418">
        <w:rPr>
          <w:rFonts w:eastAsia="Times New Roman" w:cstheme="minorHAnsi"/>
          <w:color w:val="0B0C0C"/>
          <w:lang w:eastAsia="en-GB"/>
        </w:rPr>
        <w:t xml:space="preserve">It promotes respect, equality, diversity, conduct and the importance of not only challenging but reporting any </w:t>
      </w:r>
      <w:r w:rsidR="0023215A">
        <w:rPr>
          <w:rFonts w:eastAsia="Times New Roman" w:cstheme="minorHAnsi"/>
          <w:color w:val="0B0C0C"/>
          <w:lang w:eastAsia="en-GB"/>
        </w:rPr>
        <w:t>behaviour</w:t>
      </w:r>
      <w:r w:rsidR="004E6418">
        <w:rPr>
          <w:rFonts w:eastAsia="Times New Roman" w:cstheme="minorHAnsi"/>
          <w:color w:val="0B0C0C"/>
          <w:lang w:eastAsia="en-GB"/>
        </w:rPr>
        <w:t xml:space="preserve"> that an officer deems to be improper. </w:t>
      </w:r>
      <w:r w:rsidR="0023215A">
        <w:rPr>
          <w:rFonts w:eastAsia="Times New Roman" w:cstheme="minorHAnsi"/>
          <w:color w:val="0B0C0C"/>
          <w:lang w:eastAsia="en-GB"/>
        </w:rPr>
        <w:t xml:space="preserve"> </w:t>
      </w:r>
      <w:r w:rsidR="00BD0622">
        <w:rPr>
          <w:rFonts w:eastAsia="Times New Roman" w:cstheme="minorHAnsi"/>
          <w:color w:val="0B0C0C"/>
          <w:lang w:eastAsia="en-GB"/>
        </w:rPr>
        <w:t>For</w:t>
      </w:r>
      <w:r w:rsidR="0023215A">
        <w:rPr>
          <w:rFonts w:eastAsia="Times New Roman" w:cstheme="minorHAnsi"/>
          <w:color w:val="0B0C0C"/>
          <w:lang w:eastAsia="en-GB"/>
        </w:rPr>
        <w:t xml:space="preserve"> the police force </w:t>
      </w:r>
      <w:r w:rsidR="00C40C33">
        <w:rPr>
          <w:rFonts w:eastAsia="Times New Roman" w:cstheme="minorHAnsi"/>
          <w:color w:val="0B0C0C"/>
          <w:lang w:eastAsia="en-GB"/>
        </w:rPr>
        <w:t xml:space="preserve">to </w:t>
      </w:r>
      <w:r w:rsidR="0023215A">
        <w:rPr>
          <w:rFonts w:eastAsia="Times New Roman" w:cstheme="minorHAnsi"/>
          <w:color w:val="0B0C0C"/>
          <w:lang w:eastAsia="en-GB"/>
        </w:rPr>
        <w:t xml:space="preserve">effectively retain officers from all backgrounds the force must be inclusive as this enables individuals to feel they have a voice and contribute (Graham et al. 2020). </w:t>
      </w:r>
      <w:r w:rsidR="000A7219">
        <w:rPr>
          <w:rFonts w:eastAsia="Times New Roman" w:cstheme="minorHAnsi"/>
          <w:color w:val="0B0C0C"/>
          <w:lang w:eastAsia="en-GB"/>
        </w:rPr>
        <w:t xml:space="preserve">Zempi (2018) said that bias, prejudice and discrimination create a stressful environment and affects wellbeing. When a force was </w:t>
      </w:r>
      <w:r w:rsidR="000A7219">
        <w:rPr>
          <w:rFonts w:eastAsia="Times New Roman" w:cstheme="minorHAnsi"/>
          <w:color w:val="0B0C0C"/>
          <w:lang w:eastAsia="en-GB"/>
        </w:rPr>
        <w:lastRenderedPageBreak/>
        <w:t xml:space="preserve">deemed to be more inclusive, it was associated with higher levels of job satisfaction, effort and commitment (Graham et al. 2020). </w:t>
      </w:r>
    </w:p>
    <w:p w14:paraId="18C0CD1F" w14:textId="4D9B5E91" w:rsidR="00BD0622" w:rsidRDefault="00BD0622" w:rsidP="00B300AF">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As workplaces are becoming more inclusive, they need to communicate in non-bias ways and adopt a Supportive Organisational Approach (Graham et al. 2020). They also need to integrate differences within work team to ensure that differences between individuals are ‘appreciated, respected and valued’ (Graham et al. 2020). However, in a study found by Durham University in 2019, found that 17.2% of male police officers felt their career opportunities were negatively affected because of their gender and 27.4% of </w:t>
      </w:r>
      <w:r w:rsidR="00C446CD">
        <w:rPr>
          <w:rFonts w:eastAsia="Times New Roman" w:cstheme="minorHAnsi"/>
          <w:color w:val="0B0C0C"/>
          <w:lang w:eastAsia="en-GB"/>
        </w:rPr>
        <w:t xml:space="preserve">BAME respondents reported derogatory comments about their race or ethnicity. These statistics highlight that there remains prejudice within the force, despite efforts to combat this. Zempi (2018) maintains that the statistics on police diversity are ‘stark’ and that experiences of those who took part in her study will have implications for training, policies and leadership. </w:t>
      </w:r>
    </w:p>
    <w:p w14:paraId="04C1C756" w14:textId="14302192" w:rsidR="00904A48" w:rsidRPr="00C446CD" w:rsidRDefault="00D01F6C" w:rsidP="00C446CD">
      <w:pPr>
        <w:shd w:val="clear" w:color="auto" w:fill="FFFFFF"/>
        <w:spacing w:after="75" w:line="240" w:lineRule="auto"/>
        <w:rPr>
          <w:rFonts w:eastAsia="Times New Roman" w:cstheme="minorHAnsi"/>
          <w:color w:val="0F141C"/>
          <w:lang w:eastAsia="en-GB"/>
        </w:rPr>
      </w:pPr>
      <w:r>
        <w:rPr>
          <w:rFonts w:eastAsia="Times New Roman" w:cstheme="minorHAnsi"/>
          <w:color w:val="0B0C0C"/>
          <w:lang w:eastAsia="en-GB"/>
        </w:rPr>
        <w:t>Unfortunately,</w:t>
      </w:r>
      <w:r w:rsidR="00C446CD">
        <w:rPr>
          <w:rFonts w:eastAsia="Times New Roman" w:cstheme="minorHAnsi"/>
          <w:color w:val="0B0C0C"/>
          <w:lang w:eastAsia="en-GB"/>
        </w:rPr>
        <w:t xml:space="preserve"> further evidence of unacceptable behaviours was found when Baroness Casey completed her independent review</w:t>
      </w:r>
      <w:r>
        <w:rPr>
          <w:rFonts w:eastAsia="Times New Roman" w:cstheme="minorHAnsi"/>
          <w:color w:val="0B0C0C"/>
          <w:lang w:eastAsia="en-GB"/>
        </w:rPr>
        <w:t xml:space="preserve"> in </w:t>
      </w:r>
      <w:r w:rsidR="00F24592" w:rsidRPr="00F24592">
        <w:rPr>
          <w:rFonts w:eastAsia="Times New Roman" w:cstheme="minorHAnsi"/>
          <w:color w:val="0F141C"/>
          <w:lang w:eastAsia="en-GB"/>
        </w:rPr>
        <w:t xml:space="preserve">March 2023, </w:t>
      </w:r>
      <w:r w:rsidR="00C446CD">
        <w:rPr>
          <w:rFonts w:eastAsia="Times New Roman" w:cstheme="minorHAnsi"/>
          <w:color w:val="0F141C"/>
          <w:lang w:eastAsia="en-GB"/>
        </w:rPr>
        <w:t xml:space="preserve">into the behaviour and </w:t>
      </w:r>
      <w:r w:rsidR="00F24592" w:rsidRPr="00F24592">
        <w:rPr>
          <w:rFonts w:eastAsia="Times New Roman" w:cstheme="minorHAnsi"/>
          <w:color w:val="0F141C"/>
          <w:lang w:eastAsia="en-GB"/>
        </w:rPr>
        <w:t>internal culture of the Metropolitan Police Service. It was unforgiving</w:t>
      </w:r>
      <w:r w:rsidR="00B300AF">
        <w:rPr>
          <w:rFonts w:eastAsia="Times New Roman" w:cstheme="minorHAnsi"/>
          <w:color w:val="0F141C"/>
          <w:lang w:eastAsia="en-GB"/>
        </w:rPr>
        <w:t xml:space="preserve"> </w:t>
      </w:r>
      <w:r w:rsidR="00C446CD">
        <w:rPr>
          <w:rFonts w:eastAsia="Times New Roman" w:cstheme="minorHAnsi"/>
          <w:color w:val="0F141C"/>
          <w:lang w:eastAsia="en-GB"/>
        </w:rPr>
        <w:t>and found that there was</w:t>
      </w:r>
      <w:r w:rsidR="00904A48">
        <w:t xml:space="preserve"> bullying, discrimination, institutional homophobia, misogyny and racism</w:t>
      </w:r>
      <w:r w:rsidR="00C446CD">
        <w:t>…</w:t>
      </w:r>
      <w:r w:rsidR="00904A48">
        <w:t>behaviours which are a far cry from the high ethical standards the public rightly expects of its police officers</w:t>
      </w:r>
      <w:r w:rsidR="00C446CD">
        <w:t xml:space="preserve">” (Casey. 2023). </w:t>
      </w:r>
    </w:p>
    <w:p w14:paraId="43FA9755" w14:textId="03DDB1A3" w:rsidR="00EF3875" w:rsidRDefault="00D6244B" w:rsidP="00F24592">
      <w:r>
        <w:t>In conclusion, Baroness Casey’s report, will most likely have a detrimental effect on the Metropolitan police force’s recruitment drive</w:t>
      </w:r>
      <w:r w:rsidR="007D0648">
        <w:t xml:space="preserve"> and attempts </w:t>
      </w:r>
      <w:r w:rsidR="00B300AF">
        <w:t xml:space="preserve">to maintain diversity within their force. </w:t>
      </w:r>
      <w:r w:rsidR="00EF3875">
        <w:t xml:space="preserve">The Code of Ethics have been breached and any targeted recruitment would be flawed as the promise of an inclusive workplace are not being fulfilled. </w:t>
      </w:r>
      <w:r w:rsidR="00B300AF">
        <w:t>It</w:t>
      </w:r>
      <w:r>
        <w:t xml:space="preserve"> could result in a loss of trust from the BAME community along with potential female candidates</w:t>
      </w:r>
      <w:r w:rsidR="00EF3875">
        <w:t xml:space="preserve"> and therefore increasing the distance that Or Munro refers to. </w:t>
      </w:r>
    </w:p>
    <w:p w14:paraId="5ACBD4F2" w14:textId="5D98581F" w:rsidR="00F24592" w:rsidRPr="00B300AF" w:rsidRDefault="00EF3875" w:rsidP="00F24592">
      <w:r>
        <w:rPr>
          <w:rFonts w:eastAsia="Times New Roman" w:cstheme="minorHAnsi"/>
          <w:color w:val="0F141C"/>
          <w:lang w:eastAsia="en-GB"/>
        </w:rPr>
        <w:t>I</w:t>
      </w:r>
      <w:r w:rsidR="00904A48">
        <w:rPr>
          <w:rFonts w:eastAsia="Times New Roman" w:cstheme="minorHAnsi"/>
          <w:color w:val="0F141C"/>
          <w:lang w:eastAsia="en-GB"/>
        </w:rPr>
        <w:t xml:space="preserve">t </w:t>
      </w:r>
      <w:r w:rsidR="00D45C6F">
        <w:rPr>
          <w:rFonts w:eastAsia="Times New Roman" w:cstheme="minorHAnsi"/>
          <w:color w:val="0F141C"/>
          <w:lang w:eastAsia="en-GB"/>
        </w:rPr>
        <w:t>is evident from this research</w:t>
      </w:r>
      <w:r w:rsidR="00904A48">
        <w:rPr>
          <w:rFonts w:eastAsia="Times New Roman" w:cstheme="minorHAnsi"/>
          <w:color w:val="0F141C"/>
          <w:lang w:eastAsia="en-GB"/>
        </w:rPr>
        <w:t xml:space="preserve"> </w:t>
      </w:r>
      <w:r w:rsidR="00736AFA">
        <w:rPr>
          <w:rFonts w:eastAsia="Times New Roman" w:cstheme="minorHAnsi"/>
          <w:color w:val="0F141C"/>
          <w:lang w:eastAsia="en-GB"/>
        </w:rPr>
        <w:t xml:space="preserve">that </w:t>
      </w:r>
      <w:r w:rsidR="00FE40E2">
        <w:rPr>
          <w:rFonts w:eastAsia="Times New Roman" w:cstheme="minorHAnsi"/>
          <w:color w:val="0F141C"/>
          <w:lang w:eastAsia="en-GB"/>
        </w:rPr>
        <w:t>steps need to be taken towards building and maintaining a diverse police force that ‘mirrors 21</w:t>
      </w:r>
      <w:r w:rsidR="00FE40E2" w:rsidRPr="00FE40E2">
        <w:rPr>
          <w:rFonts w:eastAsia="Times New Roman" w:cstheme="minorHAnsi"/>
          <w:color w:val="0F141C"/>
          <w:vertAlign w:val="superscript"/>
          <w:lang w:eastAsia="en-GB"/>
        </w:rPr>
        <w:t>st</w:t>
      </w:r>
      <w:r w:rsidR="00FE40E2">
        <w:rPr>
          <w:rFonts w:eastAsia="Times New Roman" w:cstheme="minorHAnsi"/>
          <w:color w:val="0F141C"/>
          <w:lang w:eastAsia="en-GB"/>
        </w:rPr>
        <w:t xml:space="preserve"> century communities’ (Zempi. 2018)</w:t>
      </w:r>
      <w:r w:rsidR="00736AFA">
        <w:rPr>
          <w:rFonts w:eastAsia="Times New Roman" w:cstheme="minorHAnsi"/>
          <w:color w:val="0F141C"/>
          <w:lang w:eastAsia="en-GB"/>
        </w:rPr>
        <w:t>. Also to ensure</w:t>
      </w:r>
      <w:r w:rsidR="00D45C6F">
        <w:rPr>
          <w:rFonts w:eastAsia="Times New Roman" w:cstheme="minorHAnsi"/>
          <w:color w:val="0F141C"/>
          <w:lang w:eastAsia="en-GB"/>
        </w:rPr>
        <w:t xml:space="preserve"> that a diverse workforce is retained</w:t>
      </w:r>
      <w:r w:rsidR="005661C2">
        <w:rPr>
          <w:rFonts w:eastAsia="Times New Roman" w:cstheme="minorHAnsi"/>
          <w:color w:val="0F141C"/>
          <w:lang w:eastAsia="en-GB"/>
        </w:rPr>
        <w:t xml:space="preserve">, </w:t>
      </w:r>
      <w:r w:rsidR="00D45C6F">
        <w:rPr>
          <w:rFonts w:eastAsia="Times New Roman" w:cstheme="minorHAnsi"/>
          <w:color w:val="0F141C"/>
          <w:lang w:eastAsia="en-GB"/>
        </w:rPr>
        <w:t>that the force is promoting positive inclusivity</w:t>
      </w:r>
      <w:r w:rsidR="00736AFA">
        <w:rPr>
          <w:rFonts w:eastAsia="Times New Roman" w:cstheme="minorHAnsi"/>
          <w:color w:val="0F141C"/>
          <w:lang w:eastAsia="en-GB"/>
        </w:rPr>
        <w:t xml:space="preserve"> whilst honouring the Code of Ethics. </w:t>
      </w:r>
      <w:r w:rsidR="00FE40E2">
        <w:rPr>
          <w:rFonts w:eastAsia="Times New Roman" w:cstheme="minorHAnsi"/>
          <w:color w:val="0F141C"/>
          <w:lang w:eastAsia="en-GB"/>
        </w:rPr>
        <w:t xml:space="preserve"> </w:t>
      </w:r>
      <w:r w:rsidR="00000CFE">
        <w:rPr>
          <w:rFonts w:eastAsia="Times New Roman" w:cstheme="minorHAnsi"/>
          <w:color w:val="0F141C"/>
          <w:lang w:eastAsia="en-GB"/>
        </w:rPr>
        <w:t>Whilst targeted recruitment has shown to be effective, the</w:t>
      </w:r>
      <w:r w:rsidR="00D6244B">
        <w:rPr>
          <w:rFonts w:eastAsia="Times New Roman" w:cstheme="minorHAnsi"/>
          <w:color w:val="0F141C"/>
          <w:lang w:eastAsia="en-GB"/>
        </w:rPr>
        <w:t xml:space="preserve"> force must also be careful in </w:t>
      </w:r>
      <w:r w:rsidR="001F52BD">
        <w:rPr>
          <w:rFonts w:eastAsia="Times New Roman" w:cstheme="minorHAnsi"/>
          <w:color w:val="0F141C"/>
          <w:lang w:eastAsia="en-GB"/>
        </w:rPr>
        <w:t>its</w:t>
      </w:r>
      <w:r w:rsidR="00D6244B">
        <w:rPr>
          <w:rFonts w:eastAsia="Times New Roman" w:cstheme="minorHAnsi"/>
          <w:color w:val="0F141C"/>
          <w:lang w:eastAsia="en-GB"/>
        </w:rPr>
        <w:t xml:space="preserve"> attempts to recruit and retain officers who represent certain communities and backgrounds</w:t>
      </w:r>
      <w:r w:rsidR="00B300AF">
        <w:rPr>
          <w:rFonts w:eastAsia="Times New Roman" w:cstheme="minorHAnsi"/>
          <w:color w:val="0F141C"/>
          <w:lang w:eastAsia="en-GB"/>
        </w:rPr>
        <w:t xml:space="preserve">. </w:t>
      </w:r>
      <w:r w:rsidR="001F52BD">
        <w:rPr>
          <w:rFonts w:eastAsia="Times New Roman" w:cstheme="minorHAnsi"/>
          <w:color w:val="0F141C"/>
          <w:lang w:eastAsia="en-GB"/>
        </w:rPr>
        <w:t>T</w:t>
      </w:r>
      <w:r w:rsidR="00D6244B">
        <w:rPr>
          <w:rFonts w:eastAsia="Times New Roman" w:cstheme="minorHAnsi"/>
          <w:color w:val="0F141C"/>
          <w:lang w:eastAsia="en-GB"/>
        </w:rPr>
        <w:t>hey must always recruit the right type of officer</w:t>
      </w:r>
      <w:r w:rsidR="007D0648">
        <w:rPr>
          <w:rFonts w:eastAsia="Times New Roman" w:cstheme="minorHAnsi"/>
          <w:color w:val="0F141C"/>
          <w:lang w:eastAsia="en-GB"/>
        </w:rPr>
        <w:t>’</w:t>
      </w:r>
      <w:r w:rsidR="00D6244B">
        <w:rPr>
          <w:rFonts w:eastAsia="Times New Roman" w:cstheme="minorHAnsi"/>
          <w:color w:val="0F141C"/>
          <w:lang w:eastAsia="en-GB"/>
        </w:rPr>
        <w:t>s</w:t>
      </w:r>
      <w:r w:rsidR="001F52BD">
        <w:rPr>
          <w:rFonts w:eastAsia="Times New Roman" w:cstheme="minorHAnsi"/>
          <w:color w:val="0F141C"/>
          <w:lang w:eastAsia="en-GB"/>
        </w:rPr>
        <w:t>, with the desired skill set, who</w:t>
      </w:r>
      <w:r w:rsidR="00D6244B">
        <w:rPr>
          <w:rFonts w:eastAsia="Times New Roman" w:cstheme="minorHAnsi"/>
          <w:color w:val="0F141C"/>
          <w:lang w:eastAsia="en-GB"/>
        </w:rPr>
        <w:t xml:space="preserve"> will police to the highest of standards</w:t>
      </w:r>
      <w:r w:rsidR="001F52BD">
        <w:rPr>
          <w:rFonts w:eastAsia="Times New Roman" w:cstheme="minorHAnsi"/>
          <w:color w:val="0F141C"/>
          <w:lang w:eastAsia="en-GB"/>
        </w:rPr>
        <w:t xml:space="preserve"> and always keep fellow officers safe</w:t>
      </w:r>
      <w:r w:rsidR="00D6244B">
        <w:rPr>
          <w:rFonts w:eastAsia="Times New Roman" w:cstheme="minorHAnsi"/>
          <w:color w:val="0F141C"/>
          <w:lang w:eastAsia="en-GB"/>
        </w:rPr>
        <w:t xml:space="preserve"> along with </w:t>
      </w:r>
      <w:r w:rsidR="001F52BD">
        <w:rPr>
          <w:rFonts w:eastAsia="Times New Roman" w:cstheme="minorHAnsi"/>
          <w:color w:val="0F141C"/>
          <w:lang w:eastAsia="en-GB"/>
        </w:rPr>
        <w:t xml:space="preserve">members of the </w:t>
      </w:r>
      <w:r w:rsidR="00D6244B">
        <w:rPr>
          <w:rFonts w:eastAsia="Times New Roman" w:cstheme="minorHAnsi"/>
          <w:color w:val="0F141C"/>
          <w:lang w:eastAsia="en-GB"/>
        </w:rPr>
        <w:t>public</w:t>
      </w:r>
      <w:r w:rsidR="00B300AF">
        <w:rPr>
          <w:rFonts w:eastAsia="Times New Roman" w:cstheme="minorHAnsi"/>
          <w:color w:val="0F141C"/>
          <w:lang w:eastAsia="en-GB"/>
        </w:rPr>
        <w:t xml:space="preserve">. </w:t>
      </w:r>
      <w:r w:rsidR="001F52BD">
        <w:rPr>
          <w:rFonts w:eastAsia="Times New Roman" w:cstheme="minorHAnsi"/>
          <w:color w:val="0F141C"/>
          <w:lang w:eastAsia="en-GB"/>
        </w:rPr>
        <w:t xml:space="preserve">The force must not </w:t>
      </w:r>
      <w:r w:rsidR="00962CFD">
        <w:rPr>
          <w:rFonts w:eastAsia="Times New Roman" w:cstheme="minorHAnsi"/>
          <w:color w:val="0F141C"/>
          <w:lang w:eastAsia="en-GB"/>
        </w:rPr>
        <w:t xml:space="preserve">concentrate its </w:t>
      </w:r>
      <w:r w:rsidR="001F52BD">
        <w:rPr>
          <w:rFonts w:eastAsia="Times New Roman" w:cstheme="minorHAnsi"/>
          <w:color w:val="0F141C"/>
          <w:lang w:eastAsia="en-GB"/>
        </w:rPr>
        <w:t>recruit</w:t>
      </w:r>
      <w:r w:rsidR="00962CFD">
        <w:rPr>
          <w:rFonts w:eastAsia="Times New Roman" w:cstheme="minorHAnsi"/>
          <w:color w:val="0F141C"/>
          <w:lang w:eastAsia="en-GB"/>
        </w:rPr>
        <w:t>ment strategy</w:t>
      </w:r>
      <w:r w:rsidR="001F52BD">
        <w:rPr>
          <w:rFonts w:eastAsia="Times New Roman" w:cstheme="minorHAnsi"/>
          <w:color w:val="0F141C"/>
          <w:lang w:eastAsia="en-GB"/>
        </w:rPr>
        <w:t xml:space="preserve"> solely to appease certain people</w:t>
      </w:r>
      <w:r w:rsidR="000258E2">
        <w:rPr>
          <w:rFonts w:eastAsia="Times New Roman" w:cstheme="minorHAnsi"/>
          <w:color w:val="0F141C"/>
          <w:lang w:eastAsia="en-GB"/>
        </w:rPr>
        <w:t xml:space="preserve"> or</w:t>
      </w:r>
      <w:r w:rsidR="00CA2D70">
        <w:rPr>
          <w:rFonts w:eastAsia="Times New Roman" w:cstheme="minorHAnsi"/>
          <w:color w:val="0F141C"/>
          <w:lang w:eastAsia="en-GB"/>
        </w:rPr>
        <w:t xml:space="preserve"> a</w:t>
      </w:r>
      <w:r w:rsidR="000258E2">
        <w:rPr>
          <w:rFonts w:eastAsia="Times New Roman" w:cstheme="minorHAnsi"/>
          <w:color w:val="0F141C"/>
          <w:lang w:eastAsia="en-GB"/>
        </w:rPr>
        <w:t xml:space="preserve"> </w:t>
      </w:r>
      <w:r w:rsidR="001F52BD">
        <w:rPr>
          <w:rFonts w:eastAsia="Times New Roman" w:cstheme="minorHAnsi"/>
          <w:color w:val="0F141C"/>
          <w:lang w:eastAsia="en-GB"/>
        </w:rPr>
        <w:t xml:space="preserve">communities’ intolerance, outlooks, and refusal to integrate </w:t>
      </w:r>
      <w:r w:rsidR="00786219">
        <w:rPr>
          <w:rFonts w:eastAsia="Times New Roman" w:cstheme="minorHAnsi"/>
          <w:color w:val="0F141C"/>
          <w:lang w:eastAsia="en-GB"/>
        </w:rPr>
        <w:t>into</w:t>
      </w:r>
      <w:r w:rsidR="001F52BD">
        <w:rPr>
          <w:rFonts w:eastAsia="Times New Roman" w:cstheme="minorHAnsi"/>
          <w:color w:val="0F141C"/>
          <w:lang w:eastAsia="en-GB"/>
        </w:rPr>
        <w:t xml:space="preserve"> a multicultural society. </w:t>
      </w:r>
    </w:p>
    <w:p w14:paraId="752D4F7B" w14:textId="664F1299" w:rsidR="00663586" w:rsidRDefault="00663586" w:rsidP="00F24592">
      <w:pPr>
        <w:rPr>
          <w:rFonts w:eastAsia="Times New Roman" w:cstheme="minorHAnsi"/>
          <w:color w:val="0F141C"/>
          <w:lang w:eastAsia="en-GB"/>
        </w:rPr>
      </w:pPr>
    </w:p>
    <w:p w14:paraId="02896D99" w14:textId="79CD753B" w:rsidR="00663586" w:rsidRDefault="00663586" w:rsidP="00F24592">
      <w:pPr>
        <w:rPr>
          <w:rFonts w:eastAsia="Times New Roman" w:cstheme="minorHAnsi"/>
          <w:color w:val="0F141C"/>
          <w:lang w:eastAsia="en-GB"/>
        </w:rPr>
      </w:pPr>
      <w:r>
        <w:rPr>
          <w:rFonts w:eastAsia="Times New Roman" w:cstheme="minorHAnsi"/>
          <w:color w:val="0F141C"/>
          <w:lang w:eastAsia="en-GB"/>
        </w:rPr>
        <w:t>Word Count</w:t>
      </w:r>
      <w:r w:rsidR="004D3848">
        <w:rPr>
          <w:rFonts w:eastAsia="Times New Roman" w:cstheme="minorHAnsi"/>
          <w:color w:val="0F141C"/>
          <w:lang w:eastAsia="en-GB"/>
        </w:rPr>
        <w:t>: 1</w:t>
      </w:r>
      <w:r w:rsidR="004B563A">
        <w:rPr>
          <w:rFonts w:eastAsia="Times New Roman" w:cstheme="minorHAnsi"/>
          <w:color w:val="0F141C"/>
          <w:lang w:eastAsia="en-GB"/>
        </w:rPr>
        <w:t>088</w:t>
      </w:r>
    </w:p>
    <w:p w14:paraId="3B749167" w14:textId="77777777" w:rsidR="00F24592" w:rsidRDefault="00F24592" w:rsidP="00F24592">
      <w:pPr>
        <w:rPr>
          <w:rFonts w:eastAsia="Times New Roman" w:cstheme="minorHAnsi"/>
          <w:color w:val="0F141C"/>
          <w:lang w:eastAsia="en-GB"/>
        </w:rPr>
      </w:pPr>
    </w:p>
    <w:p w14:paraId="122D125D" w14:textId="58B539BB" w:rsidR="00F24592" w:rsidRDefault="00F24592" w:rsidP="00F24592">
      <w:pPr>
        <w:rPr>
          <w:rFonts w:eastAsia="Times New Roman" w:cstheme="minorHAnsi"/>
          <w:color w:val="0F141C"/>
          <w:lang w:eastAsia="en-GB"/>
        </w:rPr>
      </w:pPr>
      <w:r>
        <w:rPr>
          <w:rFonts w:eastAsia="Times New Roman" w:cstheme="minorHAnsi"/>
          <w:color w:val="0F141C"/>
          <w:lang w:eastAsia="en-GB"/>
        </w:rPr>
        <w:t xml:space="preserve"> </w:t>
      </w:r>
    </w:p>
    <w:p w14:paraId="6049E863" w14:textId="0E650E23" w:rsidR="00F24592" w:rsidRDefault="00F24592" w:rsidP="00F24592">
      <w:pPr>
        <w:rPr>
          <w:rFonts w:eastAsia="Times New Roman" w:cstheme="minorHAnsi"/>
          <w:color w:val="0F141C"/>
          <w:lang w:eastAsia="en-GB"/>
        </w:rPr>
      </w:pPr>
    </w:p>
    <w:p w14:paraId="55DC04F8" w14:textId="77777777" w:rsidR="00F24592" w:rsidRPr="00F24592" w:rsidRDefault="00F24592" w:rsidP="00F24592">
      <w:pPr>
        <w:rPr>
          <w:rFonts w:eastAsia="Times New Roman" w:cstheme="minorHAnsi"/>
          <w:color w:val="0F141C"/>
          <w:lang w:eastAsia="en-GB"/>
        </w:rPr>
      </w:pPr>
    </w:p>
    <w:p w14:paraId="6CC17782" w14:textId="662647EF" w:rsidR="00D01F6C" w:rsidRDefault="00D01F6C" w:rsidP="004E6418">
      <w:pPr>
        <w:shd w:val="clear" w:color="auto" w:fill="FFFFFF"/>
        <w:spacing w:after="75" w:line="240" w:lineRule="auto"/>
        <w:rPr>
          <w:rFonts w:eastAsia="Times New Roman" w:cstheme="minorHAnsi"/>
          <w:color w:val="0B0C0C"/>
          <w:lang w:eastAsia="en-GB"/>
        </w:rPr>
      </w:pPr>
    </w:p>
    <w:p w14:paraId="6A006E23" w14:textId="2D8E1B11" w:rsidR="00D01F6C" w:rsidRDefault="00D01F6C" w:rsidP="004E6418">
      <w:pPr>
        <w:shd w:val="clear" w:color="auto" w:fill="FFFFFF"/>
        <w:spacing w:after="75" w:line="240" w:lineRule="auto"/>
        <w:rPr>
          <w:rFonts w:eastAsia="Times New Roman" w:cstheme="minorHAnsi"/>
          <w:color w:val="0B0C0C"/>
          <w:lang w:eastAsia="en-GB"/>
        </w:rPr>
      </w:pPr>
    </w:p>
    <w:p w14:paraId="3FB139A9" w14:textId="77777777" w:rsidR="00D01F6C" w:rsidRPr="004E6418" w:rsidRDefault="00D01F6C" w:rsidP="004E6418">
      <w:pPr>
        <w:shd w:val="clear" w:color="auto" w:fill="FFFFFF"/>
        <w:spacing w:after="75" w:line="240" w:lineRule="auto"/>
        <w:rPr>
          <w:rFonts w:eastAsia="Times New Roman" w:cstheme="minorHAnsi"/>
          <w:color w:val="0B0C0C"/>
          <w:lang w:eastAsia="en-GB"/>
        </w:rPr>
      </w:pPr>
    </w:p>
    <w:p w14:paraId="312A2D7A" w14:textId="66B52DAD" w:rsidR="00891D7C" w:rsidRDefault="00891D7C" w:rsidP="00891D7C">
      <w:pPr>
        <w:shd w:val="clear" w:color="auto" w:fill="FFFFFF"/>
        <w:spacing w:after="75" w:line="240" w:lineRule="auto"/>
        <w:rPr>
          <w:rFonts w:eastAsia="Times New Roman" w:cstheme="minorHAnsi"/>
          <w:color w:val="0B0C0C"/>
          <w:lang w:eastAsia="en-GB"/>
        </w:rPr>
      </w:pPr>
    </w:p>
    <w:p w14:paraId="1CC736F7" w14:textId="77777777" w:rsidR="00087C5F" w:rsidRDefault="00087C5F">
      <w:pPr>
        <w:rPr>
          <w:rFonts w:eastAsia="Times New Roman" w:cstheme="minorHAnsi"/>
          <w:color w:val="0B0C0C"/>
          <w:lang w:eastAsia="en-GB"/>
        </w:rPr>
      </w:pPr>
    </w:p>
    <w:p w14:paraId="3C5CBC72" w14:textId="0AEC0D4F" w:rsidR="00F52CA0" w:rsidRPr="00087C5F" w:rsidRDefault="00E629CA">
      <w:r>
        <w:rPr>
          <w:b/>
          <w:bCs/>
        </w:rPr>
        <w:lastRenderedPageBreak/>
        <w:t xml:space="preserve">Bibliography </w:t>
      </w:r>
    </w:p>
    <w:p w14:paraId="2FDFDBEB" w14:textId="439B9CA8" w:rsidR="00680C9B" w:rsidRDefault="00680C9B" w:rsidP="00680C9B">
      <w:pPr>
        <w:pStyle w:val="NormalWeb"/>
        <w:ind w:left="567" w:hanging="567"/>
      </w:pPr>
      <w:r>
        <w:t xml:space="preserve">Blackburn, S. (2015) </w:t>
      </w:r>
      <w:r>
        <w:rPr>
          <w:i/>
          <w:iCs/>
        </w:rPr>
        <w:t>Tackling serious and organised crime - local government association</w:t>
      </w:r>
      <w:r>
        <w:t xml:space="preserve">, </w:t>
      </w:r>
      <w:r>
        <w:rPr>
          <w:i/>
          <w:iCs/>
        </w:rPr>
        <w:t>Tackling Serious Organised Crime, a local response</w:t>
      </w:r>
      <w:r>
        <w:t xml:space="preserve">. Available at: https://www.local.gov.uk/sites/default/files/documents/tackling-serious-and-orga-44a.pdf (Accessed: 30 July 2023). </w:t>
      </w:r>
    </w:p>
    <w:p w14:paraId="43D5B545" w14:textId="12BC48AF" w:rsidR="00BD0ED7" w:rsidRDefault="00BD0ED7" w:rsidP="00BD0ED7">
      <w:pPr>
        <w:pStyle w:val="NormalWeb"/>
        <w:ind w:left="567" w:hanging="567"/>
      </w:pPr>
      <w:r>
        <w:t xml:space="preserve">Boulton, L, Phythian, R, Kirby, S (2019) </w:t>
      </w:r>
      <w:r>
        <w:rPr>
          <w:i/>
          <w:iCs/>
        </w:rPr>
        <w:t>Diverting young men from gangs: A qualitative - proquest</w:t>
      </w:r>
      <w:r>
        <w:t xml:space="preserve">, </w:t>
      </w:r>
      <w:r>
        <w:rPr>
          <w:i/>
          <w:iCs/>
        </w:rPr>
        <w:t>Diverting young men from gangs: a qualitative evaluation - ProQuest</w:t>
      </w:r>
      <w:r>
        <w:t xml:space="preserve">. Available at: https://www.proquest.com/docview/2299758215 (Accessed: 30 July 2023). </w:t>
      </w:r>
    </w:p>
    <w:p w14:paraId="1E746E6F" w14:textId="6A6414C5" w:rsidR="00680C9B" w:rsidRDefault="00680C9B" w:rsidP="00680C9B">
      <w:pPr>
        <w:pStyle w:val="NormalWeb"/>
        <w:ind w:left="567" w:hanging="567"/>
      </w:pPr>
      <w:r>
        <w:rPr>
          <w:i/>
          <w:iCs/>
        </w:rPr>
        <w:t>The baroness casey review (2023) | metropolitan police</w:t>
      </w:r>
      <w:r>
        <w:t xml:space="preserve">. Available at: https://www.met.police.uk/police-forces/metropolitan-police/areas/about-us/about-the-met/bcr/baroness-casey-review/ (Accessed: 20 July 2023). </w:t>
      </w:r>
    </w:p>
    <w:p w14:paraId="1C7DC53D" w14:textId="2A8DDF43" w:rsidR="00680C9B" w:rsidRDefault="00680C9B" w:rsidP="00680C9B">
      <w:pPr>
        <w:pStyle w:val="NormalWeb"/>
        <w:ind w:left="567" w:hanging="567"/>
      </w:pPr>
      <w:r>
        <w:t xml:space="preserve">Chapman, C. (2014) </w:t>
      </w:r>
      <w:r>
        <w:rPr>
          <w:i/>
          <w:iCs/>
        </w:rPr>
        <w:t>An independent review of the Police Disciplinary System</w:t>
      </w:r>
      <w:r>
        <w:t xml:space="preserve">, </w:t>
      </w:r>
      <w:r>
        <w:rPr>
          <w:i/>
          <w:iCs/>
        </w:rPr>
        <w:t>https://assets.publishing.service.gov.uk/government/uploads/system/uploads/attachment_data/file/385911/An_Independent_Review_of_the_Police_Disciplinary_System_-_Report_-_Final....pdf</w:t>
      </w:r>
      <w:r>
        <w:t xml:space="preserve">. Available at: https://assets.publishing.service.gov.uk/government/uploads/system/uploads/attachment_data/file/385911/An_Independent_Review_of_the_Police_Disciplinary_System_-_Report_-_Final....pdf (Accessed: 27 July 2023). </w:t>
      </w:r>
    </w:p>
    <w:p w14:paraId="1FBAE828" w14:textId="438E2E96" w:rsidR="003F4CDB" w:rsidRDefault="003F4CDB" w:rsidP="003F4CDB">
      <w:pPr>
        <w:pStyle w:val="NormalWeb"/>
        <w:ind w:left="567" w:hanging="567"/>
      </w:pPr>
      <w:r>
        <w:rPr>
          <w:i/>
          <w:iCs/>
        </w:rPr>
        <w:t>Charman, Sara, Bennett, Stephanie (2021) Understanding voluntary resignations from the Police Service</w:t>
      </w:r>
      <w:r>
        <w:t xml:space="preserve"> (2021a) </w:t>
      </w:r>
      <w:r>
        <w:rPr>
          <w:i/>
          <w:iCs/>
        </w:rPr>
        <w:t>Strategic Review of Policing</w:t>
      </w:r>
      <w:r>
        <w:t xml:space="preserve">. Available at: https://www.policingreview.org.uk/understanding-voluntary-resignations-from-the-police-service/ (Accessed: 22 July 2023). </w:t>
      </w:r>
    </w:p>
    <w:p w14:paraId="665765EF" w14:textId="03763F4F" w:rsidR="00680C9B" w:rsidRDefault="00680C9B" w:rsidP="00680C9B">
      <w:pPr>
        <w:pStyle w:val="NormalWeb"/>
        <w:ind w:left="567" w:hanging="567"/>
      </w:pPr>
      <w:r>
        <w:rPr>
          <w:i/>
          <w:iCs/>
        </w:rPr>
        <w:t>About Us</w:t>
      </w:r>
      <w:r>
        <w:t xml:space="preserve"> (2023) </w:t>
      </w:r>
      <w:r>
        <w:rPr>
          <w:i/>
          <w:iCs/>
        </w:rPr>
        <w:t>College of Policing</w:t>
      </w:r>
      <w:r>
        <w:t xml:space="preserve">. Available at: https://www.college.police.uk/about (Accessed: 22 July 2023). </w:t>
      </w:r>
    </w:p>
    <w:p w14:paraId="1471B4D9" w14:textId="3FE46879" w:rsidR="00680C9B" w:rsidRDefault="00680C9B" w:rsidP="00680C9B">
      <w:pPr>
        <w:pStyle w:val="NormalWeb"/>
        <w:ind w:left="567" w:hanging="567"/>
      </w:pPr>
      <w:r>
        <w:rPr>
          <w:i/>
          <w:iCs/>
        </w:rPr>
        <w:t>Code of ethics</w:t>
      </w:r>
      <w:r>
        <w:rPr>
          <w:i/>
          <w:iCs/>
        </w:rPr>
        <w:t xml:space="preserve"> (2023)</w:t>
      </w:r>
      <w:r>
        <w:rPr>
          <w:i/>
          <w:iCs/>
        </w:rPr>
        <w:t xml:space="preserve"> | college of policing</w:t>
      </w:r>
      <w:r>
        <w:t xml:space="preserve">. Available at: https://www.college.police.uk/ethics/code-of-ethics (Accessed: 24 April 2023). </w:t>
      </w:r>
    </w:p>
    <w:p w14:paraId="45B37110" w14:textId="6F4857BF" w:rsidR="00680C9B" w:rsidRDefault="00680C9B" w:rsidP="00680C9B">
      <w:pPr>
        <w:pStyle w:val="NormalWeb"/>
      </w:pPr>
      <w:r>
        <w:rPr>
          <w:i/>
          <w:iCs/>
        </w:rPr>
        <w:t>Recruiting for diversity</w:t>
      </w:r>
      <w:r>
        <w:t xml:space="preserve"> (2020) </w:t>
      </w:r>
      <w:r>
        <w:rPr>
          <w:i/>
          <w:iCs/>
        </w:rPr>
        <w:t>College of Policing</w:t>
      </w:r>
      <w:r>
        <w:t xml:space="preserve">. Available at: </w:t>
      </w:r>
      <w:r>
        <w:t xml:space="preserve">  </w:t>
      </w:r>
      <w:r>
        <w:t xml:space="preserve">https://www.college.police.uk/article/recruiting-diversity (Accessed: 24 April 2023). </w:t>
      </w:r>
    </w:p>
    <w:p w14:paraId="24503EA3" w14:textId="0F90F03F" w:rsidR="00680C9B" w:rsidRDefault="00680C9B" w:rsidP="00680C9B">
      <w:pPr>
        <w:pStyle w:val="NormalWeb"/>
      </w:pPr>
      <w:r>
        <w:rPr>
          <w:i/>
          <w:iCs/>
        </w:rPr>
        <w:t>Vulnerability-related risks</w:t>
      </w:r>
      <w:r>
        <w:t xml:space="preserve"> (2020) </w:t>
      </w:r>
      <w:r>
        <w:rPr>
          <w:i/>
          <w:iCs/>
        </w:rPr>
        <w:t>College of Policing</w:t>
      </w:r>
      <w:r>
        <w:t xml:space="preserve">. Available at: https://www.college.police.uk/guidance/vulnerability-related-risks (Accessed: 20 July 2023). </w:t>
      </w:r>
    </w:p>
    <w:p w14:paraId="465D5317" w14:textId="0CD4A48F" w:rsidR="00680C9B" w:rsidRDefault="00680C9B" w:rsidP="00680C9B">
      <w:pPr>
        <w:pStyle w:val="NormalWeb"/>
        <w:ind w:left="567" w:hanging="567"/>
      </w:pPr>
      <w:r>
        <w:t xml:space="preserve">Commons, H. of (2019) </w:t>
      </w:r>
      <w:r>
        <w:rPr>
          <w:i/>
          <w:iCs/>
        </w:rPr>
        <w:t>One Hundred and Nineteenth Report of session 2017–19</w:t>
      </w:r>
      <w:r>
        <w:t xml:space="preserve">. Available at: https://publications.parliament.uk/pa/cm201719/cmselect/cmpubacc/2049/2049.pdf (Accessed: 30 July 2023). </w:t>
      </w:r>
    </w:p>
    <w:p w14:paraId="457353FB" w14:textId="77777777" w:rsidR="00680C9B" w:rsidRDefault="00680C9B" w:rsidP="00680C9B">
      <w:pPr>
        <w:pStyle w:val="NormalWeb"/>
        <w:ind w:left="567" w:hanging="567"/>
      </w:pPr>
      <w:r>
        <w:t xml:space="preserve">Crocker, R. </w:t>
      </w:r>
      <w:r>
        <w:rPr>
          <w:i/>
          <w:iCs/>
        </w:rPr>
        <w:t>et al.</w:t>
      </w:r>
      <w:r>
        <w:t xml:space="preserve"> (2017) </w:t>
      </w:r>
      <w:r>
        <w:rPr>
          <w:i/>
          <w:iCs/>
        </w:rPr>
        <w:t>The impact of organised crime in local communities</w:t>
      </w:r>
      <w:r>
        <w:t xml:space="preserve">, </w:t>
      </w:r>
      <w:r>
        <w:rPr>
          <w:i/>
          <w:iCs/>
        </w:rPr>
        <w:t>Police Foundation Organised Crime in Local Communities Final Re (police-foundation.org.uk)</w:t>
      </w:r>
      <w:r>
        <w:t xml:space="preserve">. Available at: https://www.police-foundation.org.uk/wp-content/uploads/2017/10/oc_in_local_communities_final.pdf (Accessed: 30 July 2023). </w:t>
      </w:r>
    </w:p>
    <w:p w14:paraId="57BCB788" w14:textId="5425EBE1" w:rsidR="00E346D5" w:rsidRDefault="00E346D5" w:rsidP="00E346D5">
      <w:pPr>
        <w:pStyle w:val="NormalWeb"/>
        <w:ind w:left="567" w:hanging="567"/>
      </w:pPr>
      <w:r>
        <w:rPr>
          <w:i/>
          <w:iCs/>
        </w:rPr>
        <w:lastRenderedPageBreak/>
        <w:t>What is early intervention?</w:t>
      </w:r>
      <w:r>
        <w:t xml:space="preserve"> (2020) </w:t>
      </w:r>
      <w:r>
        <w:rPr>
          <w:i/>
          <w:iCs/>
        </w:rPr>
        <w:t>Early Intervention Foundation</w:t>
      </w:r>
      <w:r>
        <w:t xml:space="preserve">. Available at: https://www.eif.org.uk/why-it-matters/what-is-early-intervention (Accessed: 18 April 2023). </w:t>
      </w:r>
    </w:p>
    <w:p w14:paraId="6C6DEE5E" w14:textId="77777777" w:rsidR="00BD0ED7" w:rsidRDefault="00BD0ED7" w:rsidP="00BD0ED7">
      <w:pPr>
        <w:pStyle w:val="NormalWeb"/>
        <w:ind w:left="567" w:hanging="567"/>
      </w:pPr>
      <w:r>
        <w:rPr>
          <w:i/>
          <w:iCs/>
        </w:rPr>
        <w:t>Enfield’s award-winning approach to tackling gangs and serious youth violence</w:t>
      </w:r>
      <w:r>
        <w:t xml:space="preserve"> (2013) </w:t>
      </w:r>
      <w:r>
        <w:rPr>
          <w:i/>
          <w:iCs/>
        </w:rPr>
        <w:t>Local Government Association</w:t>
      </w:r>
      <w:r>
        <w:t>. Available at: https://www.local.gov.uk/case-studies/enfields-award-winning-approach-tackling-gangs-and-serious-youth-violence (Accessed: 18 April 2023).</w:t>
      </w:r>
    </w:p>
    <w:p w14:paraId="4DD6FCCA" w14:textId="77777777" w:rsidR="00BD0ED7" w:rsidRDefault="00BD0ED7" w:rsidP="00E346D5">
      <w:pPr>
        <w:pStyle w:val="NormalWeb"/>
        <w:ind w:left="567" w:hanging="567"/>
      </w:pPr>
    </w:p>
    <w:p w14:paraId="5B61BB24" w14:textId="3E80E711" w:rsidR="00BD0ED7" w:rsidRDefault="00E346D5" w:rsidP="00BD0ED7">
      <w:pPr>
        <w:pStyle w:val="NormalWeb"/>
        <w:ind w:left="567" w:hanging="567"/>
      </w:pPr>
      <w:r>
        <w:t xml:space="preserve">Conduct, I.O. for P. (2023) </w:t>
      </w:r>
      <w:r>
        <w:rPr>
          <w:i/>
          <w:iCs/>
        </w:rPr>
        <w:t>Independent Office for Police Conduct Annual Report and accounts: 2021 to 2022</w:t>
      </w:r>
      <w:r>
        <w:t xml:space="preserve">, </w:t>
      </w:r>
      <w:r>
        <w:rPr>
          <w:i/>
          <w:iCs/>
        </w:rPr>
        <w:t>GOV.UK</w:t>
      </w:r>
      <w:r>
        <w:t xml:space="preserve">. Available at: https://www.gov.uk/government/publications/independent-office-for-police-conduct-annual-report-and-accounts-2021-to-2022 (Accessed: 09 April 2023). </w:t>
      </w:r>
    </w:p>
    <w:p w14:paraId="38D84216" w14:textId="722D53C9" w:rsidR="00BD0ED7" w:rsidRDefault="00BD0ED7" w:rsidP="00BD0ED7">
      <w:pPr>
        <w:pStyle w:val="NormalWeb"/>
        <w:ind w:left="567" w:hanging="567"/>
      </w:pPr>
      <w:r>
        <w:rPr>
          <w:i/>
          <w:iCs/>
        </w:rPr>
        <w:t>Police Complaints Statistics for England and Wales 2020/21 (experimental statistics)</w:t>
      </w:r>
      <w:r>
        <w:t xml:space="preserve"> (2021) </w:t>
      </w:r>
      <w:r>
        <w:rPr>
          <w:i/>
          <w:iCs/>
        </w:rPr>
        <w:t>Swyddfa Annibynnol Ymddygiad yr Heddlu</w:t>
      </w:r>
      <w:r>
        <w:t xml:space="preserve">. Available at: https://www.policeconduct.gov.uk/police-complaints-statistics-england-and-wales-202021-experimental-statistics (Accessed: 22 July 2023). </w:t>
      </w:r>
    </w:p>
    <w:p w14:paraId="202212E7" w14:textId="2DAC7D4B" w:rsidR="00E346D5" w:rsidRDefault="003F4CDB" w:rsidP="003F4CDB">
      <w:pPr>
        <w:pStyle w:val="NormalWeb"/>
      </w:pPr>
      <w:r>
        <w:t xml:space="preserve"> </w:t>
      </w:r>
      <w:r>
        <w:rPr>
          <w:i/>
          <w:iCs/>
        </w:rPr>
        <w:t>Ending gang and youth violence</w:t>
      </w:r>
      <w:r>
        <w:rPr>
          <w:i/>
          <w:iCs/>
        </w:rPr>
        <w:t xml:space="preserve"> (2011)</w:t>
      </w:r>
      <w:r>
        <w:rPr>
          <w:i/>
          <w:iCs/>
        </w:rPr>
        <w:t xml:space="preserve"> - gov.uk</w:t>
      </w:r>
      <w:r>
        <w:t xml:space="preserve">. Available at: https://assets.publishing.service.gov.uk/government/uploads/system/uploads/attachment_data/file/97862/gang-violence-detailreport.pdf (Accessed: 18 April 2023). </w:t>
      </w:r>
    </w:p>
    <w:p w14:paraId="5466F511" w14:textId="4D4F6A21" w:rsidR="00E346D5" w:rsidRDefault="00E346D5" w:rsidP="00E346D5">
      <w:pPr>
        <w:pStyle w:val="NormalWeb"/>
        <w:ind w:left="567" w:hanging="567"/>
      </w:pPr>
      <w:r>
        <w:rPr>
          <w:i/>
          <w:iCs/>
        </w:rPr>
        <w:t>Population of England and Wales</w:t>
      </w:r>
      <w:r>
        <w:t xml:space="preserve"> (2023) </w:t>
      </w:r>
      <w:r>
        <w:rPr>
          <w:i/>
          <w:iCs/>
        </w:rPr>
        <w:t>GOV.UK Ethnicity facts and figures</w:t>
      </w:r>
      <w:r>
        <w:t xml:space="preserve">. Available at: https://www.ethnicity-facts-figures.service.gov.uk/uk-population-by-ethnicity/national-and-regional-populations/population-of-england-and-wales/latest (Accessed: 24 April 2023). </w:t>
      </w:r>
    </w:p>
    <w:p w14:paraId="7AA7638E" w14:textId="3D514ACE" w:rsidR="003F4CDB" w:rsidRDefault="003F4CDB" w:rsidP="003F4CDB">
      <w:pPr>
        <w:pStyle w:val="NormalWeb"/>
        <w:ind w:left="567" w:hanging="567"/>
      </w:pPr>
      <w:r>
        <w:t xml:space="preserve">Hamilton-Smith, Niall, Senior Lecturer (2023) </w:t>
      </w:r>
      <w:r>
        <w:rPr>
          <w:i/>
          <w:iCs/>
        </w:rPr>
        <w:t>How organised crime affects the most vulnerable communities</w:t>
      </w:r>
      <w:r>
        <w:t xml:space="preserve">, </w:t>
      </w:r>
      <w:r>
        <w:rPr>
          <w:i/>
          <w:iCs/>
        </w:rPr>
        <w:t>The Conversation</w:t>
      </w:r>
      <w:r>
        <w:t xml:space="preserve">. Available at: https://theconversation.com/how-organised-crime-affects-the-most-vulnerable-communities-98262 (Accessed: 14 April 2023). </w:t>
      </w:r>
    </w:p>
    <w:p w14:paraId="2D8C8066" w14:textId="604463F7" w:rsidR="00E346D5" w:rsidRDefault="00E346D5" w:rsidP="00E346D5">
      <w:pPr>
        <w:pStyle w:val="NormalWeb"/>
        <w:ind w:left="567" w:hanging="567"/>
      </w:pPr>
      <w:r>
        <w:rPr>
          <w:i/>
          <w:iCs/>
        </w:rPr>
        <w:t>When transparency backfires, and how to prevent it</w:t>
      </w:r>
      <w:r>
        <w:t xml:space="preserve"> (2016) </w:t>
      </w:r>
      <w:r>
        <w:rPr>
          <w:i/>
          <w:iCs/>
        </w:rPr>
        <w:t>Harvard Business Review</w:t>
      </w:r>
      <w:r>
        <w:t xml:space="preserve">. Available at: https://hbr.org/2016/07/when-transparency-backfires-and-how-to-prevent-it (Accessed: 09 April 2023). </w:t>
      </w:r>
    </w:p>
    <w:p w14:paraId="3ABBF743" w14:textId="0AEB6C27" w:rsidR="00BD0ED7" w:rsidRDefault="00BD0ED7" w:rsidP="00BD0ED7">
      <w:pPr>
        <w:pStyle w:val="NormalWeb"/>
        <w:ind w:left="567" w:hanging="567"/>
      </w:pPr>
      <w:r>
        <w:rPr>
          <w:i/>
          <w:iCs/>
        </w:rPr>
        <w:t>The College of Policing and the IOPC</w:t>
      </w:r>
      <w:r>
        <w:t xml:space="preserve"> (2018) </w:t>
      </w:r>
      <w:r>
        <w:rPr>
          <w:i/>
          <w:iCs/>
        </w:rPr>
        <w:t>His Majesty’s Inspectorate of Constabulary and Fire &amp; Rescue Services</w:t>
      </w:r>
      <w:r>
        <w:t xml:space="preserve">. Available at: https://www.justiceinspectorates.gov.uk/hmicfrs/police-forces/working-with-others/college-policing-ipcc/ (Accessed: 22 July 2023). </w:t>
      </w:r>
    </w:p>
    <w:p w14:paraId="66626B0B" w14:textId="083B2699" w:rsidR="00BD0ED7" w:rsidRDefault="00BD0ED7" w:rsidP="00BD0ED7">
      <w:pPr>
        <w:pStyle w:val="NormalWeb"/>
        <w:ind w:left="567" w:hanging="567"/>
      </w:pPr>
      <w:r>
        <w:rPr>
          <w:i/>
          <w:iCs/>
        </w:rPr>
        <w:t>Police</w:t>
      </w:r>
      <w:r>
        <w:t xml:space="preserve"> (2023) </w:t>
      </w:r>
      <w:r>
        <w:rPr>
          <w:i/>
          <w:iCs/>
        </w:rPr>
        <w:t>His Majesty’s Inspectorate of Constabulary and Fire &amp; Rescue Services</w:t>
      </w:r>
      <w:r>
        <w:t>. Available at: https://www.justiceinspectorates.gov.uk/hmicfrs/police-forces/police-forces/ (Accessed: 09 April 2023).</w:t>
      </w:r>
    </w:p>
    <w:p w14:paraId="385F5B3E" w14:textId="7E04EE5E" w:rsidR="003F4CDB" w:rsidRDefault="003F4CDB" w:rsidP="003F4CDB">
      <w:pPr>
        <w:pStyle w:val="NormalWeb"/>
        <w:ind w:left="567" w:hanging="567"/>
      </w:pPr>
      <w:r>
        <w:t xml:space="preserve">Hobson, J., Lynch, K. and Ellis, L. (2018) </w:t>
      </w:r>
      <w:r>
        <w:rPr>
          <w:i/>
          <w:iCs/>
        </w:rPr>
        <w:t>Are police-led social crime prevention initiatives effective? A process ...</w:t>
      </w:r>
      <w:r>
        <w:t xml:space="preserve">, </w:t>
      </w:r>
      <w:r>
        <w:rPr>
          <w:i/>
          <w:iCs/>
        </w:rPr>
        <w:t xml:space="preserve">Are Police-Led Social Crime Prevention Initiatives Effective? A </w:t>
      </w:r>
      <w:r>
        <w:rPr>
          <w:i/>
          <w:iCs/>
        </w:rPr>
        <w:lastRenderedPageBreak/>
        <w:t>Process and Outcome Evaluation of a UK Youth Intervention</w:t>
      </w:r>
      <w:r>
        <w:t xml:space="preserve">. Available at: https://journals.sagepub.com/doi/abs/10.1177/1057567718814891 (Accessed: 30 July 2023). </w:t>
      </w:r>
    </w:p>
    <w:p w14:paraId="6CC641D9" w14:textId="3E425EF4" w:rsidR="003F4CDB" w:rsidRDefault="003F4CDB" w:rsidP="003F4CDB">
      <w:pPr>
        <w:pStyle w:val="NormalWeb"/>
        <w:ind w:left="567" w:hanging="567"/>
      </w:pPr>
      <w:r>
        <w:t xml:space="preserve">Hockey, D. (2020) </w:t>
      </w:r>
      <w:r>
        <w:rPr>
          <w:i/>
          <w:iCs/>
        </w:rPr>
        <w:t>The ombudsman complaint system; a lack of transparency and impartiality - public organization review</w:t>
      </w:r>
      <w:r>
        <w:t xml:space="preserve">, </w:t>
      </w:r>
      <w:r>
        <w:rPr>
          <w:i/>
          <w:iCs/>
        </w:rPr>
        <w:t>SpringerLink</w:t>
      </w:r>
      <w:r>
        <w:t xml:space="preserve">. Available at: https://link.springer.com/article/10.1007/s11115-020-00469-2 (Accessed: 27 July 2023). </w:t>
      </w:r>
    </w:p>
    <w:p w14:paraId="767BCFDC" w14:textId="1E399079" w:rsidR="003F4CDB" w:rsidRDefault="003F4CDB" w:rsidP="003F4CDB">
      <w:pPr>
        <w:pStyle w:val="NormalWeb"/>
        <w:ind w:left="567" w:hanging="567"/>
      </w:pPr>
      <w:r>
        <w:t xml:space="preserve">Home Office. (2022) </w:t>
      </w:r>
      <w:r>
        <w:rPr>
          <w:i/>
          <w:iCs/>
        </w:rPr>
        <w:t>IICSA: Child Sexual Exploitation by organised networks</w:t>
      </w:r>
      <w:r>
        <w:t xml:space="preserve">, </w:t>
      </w:r>
      <w:r>
        <w:rPr>
          <w:i/>
          <w:iCs/>
        </w:rPr>
        <w:t>GOV.UK</w:t>
      </w:r>
      <w:r>
        <w:t xml:space="preserve">. Available at: https://www.gov.uk/government/publications/iicsa-child-sexual-exploitation-by-organised-networks (Accessed: 14 April 2022). </w:t>
      </w:r>
    </w:p>
    <w:p w14:paraId="21684368" w14:textId="04A0C70C" w:rsidR="003F4CDB" w:rsidRDefault="003F4CDB" w:rsidP="003F4CDB">
      <w:pPr>
        <w:pStyle w:val="NormalWeb"/>
        <w:ind w:left="567" w:hanging="567"/>
      </w:pPr>
      <w:r>
        <w:t xml:space="preserve">Home Office (2018) </w:t>
      </w:r>
      <w:r>
        <w:rPr>
          <w:i/>
          <w:iCs/>
        </w:rPr>
        <w:t>Serious and organised crime strategy 2018</w:t>
      </w:r>
      <w:r>
        <w:t xml:space="preserve">, </w:t>
      </w:r>
      <w:r>
        <w:rPr>
          <w:i/>
          <w:iCs/>
        </w:rPr>
        <w:t>GOV.UK</w:t>
      </w:r>
      <w:r>
        <w:t xml:space="preserve">. Available at: https://www.gov.uk/government/publications/serious-and-organised-crime-strategy-2018 (Accessed: 30 July 2023). </w:t>
      </w:r>
    </w:p>
    <w:p w14:paraId="2700D7A6" w14:textId="70CE8C57" w:rsidR="00BD0ED7" w:rsidRDefault="00BD0ED7" w:rsidP="00BD0ED7">
      <w:pPr>
        <w:pStyle w:val="NormalWeb"/>
        <w:ind w:left="567" w:hanging="567"/>
      </w:pPr>
      <w:r>
        <w:t xml:space="preserve">Home Office (2022) </w:t>
      </w:r>
      <w:r>
        <w:rPr>
          <w:i/>
          <w:iCs/>
        </w:rPr>
        <w:t>Violent crime, burglaries and gang activity - House of Lords Library</w:t>
      </w:r>
      <w:r>
        <w:t xml:space="preserve">. Available at: https://lordslibrary.parliament.uk/violent-crime-burglaries-and-gang-activity/ (Accessed: 18 April 2022). </w:t>
      </w:r>
    </w:p>
    <w:p w14:paraId="3389E555" w14:textId="23E8638E" w:rsidR="003F4CDB" w:rsidRDefault="003F4CDB" w:rsidP="003F4CDB">
      <w:pPr>
        <w:pStyle w:val="NormalWeb"/>
        <w:ind w:left="567" w:hanging="567"/>
      </w:pPr>
      <w:r>
        <w:t xml:space="preserve">Hurley, M. and Boulton, L. (2021) </w:t>
      </w:r>
      <w:r>
        <w:rPr>
          <w:i/>
          <w:iCs/>
        </w:rPr>
        <w:t>Early identification and intervention with individuals at risk of becoming involved in serious and organised crime (SOC)</w:t>
      </w:r>
      <w:r>
        <w:t xml:space="preserve">, </w:t>
      </w:r>
      <w:r>
        <w:rPr>
          <w:i/>
          <w:iCs/>
        </w:rPr>
        <w:t>Early identification and intervention with individuals at risk of becoming involved in serious and organised crime (SOC) - ProQuest</w:t>
      </w:r>
      <w:r>
        <w:t xml:space="preserve">. Available at: </w:t>
      </w:r>
      <w:hyperlink r:id="rId10" w:history="1">
        <w:r>
          <w:rPr>
            <w:rStyle w:val="Hyperlink"/>
            <w:color w:val="auto"/>
            <w:u w:val="none"/>
          </w:rPr>
          <w:t>Early identification and intervention with individuals at risk of becoming involved in serious and organised crime (SOC) - ProQuest</w:t>
        </w:r>
      </w:hyperlink>
    </w:p>
    <w:p w14:paraId="254011C2" w14:textId="3EEAE37C" w:rsidR="00A72A38" w:rsidRDefault="00A72A38" w:rsidP="00BD0ED7">
      <w:pPr>
        <w:pStyle w:val="NormalWeb"/>
        <w:ind w:left="567" w:hanging="567"/>
      </w:pPr>
      <w:r>
        <w:t xml:space="preserve">Jones, P. (2022) </w:t>
      </w:r>
      <w:r>
        <w:rPr>
          <w:i/>
          <w:iCs/>
        </w:rPr>
        <w:t>Drug misuse in England and Wales: Year Ending June 2022</w:t>
      </w:r>
      <w:r>
        <w:t xml:space="preserve">, </w:t>
      </w:r>
      <w:r>
        <w:rPr>
          <w:i/>
          <w:iCs/>
        </w:rPr>
        <w:t>Drug misuse in England and Wales - Office for National Statistics</w:t>
      </w:r>
      <w:r>
        <w:t xml:space="preserve">. Available at: https://www.ons.gov.uk/peoplepopulationandcommunity/crimeandjustice/articles/drugmisuseinenglandandwales/yearendingjune2022 (Accessed: 14 April 2023). </w:t>
      </w:r>
    </w:p>
    <w:p w14:paraId="5FB19412" w14:textId="77777777" w:rsidR="00A72A38" w:rsidRDefault="00A72A38" w:rsidP="00A72A38">
      <w:pPr>
        <w:pStyle w:val="NormalWeb"/>
        <w:ind w:left="567" w:hanging="567"/>
      </w:pPr>
      <w:r>
        <w:t xml:space="preserve">Les, G. </w:t>
      </w:r>
      <w:r>
        <w:rPr>
          <w:i/>
          <w:iCs/>
        </w:rPr>
        <w:t>et al.</w:t>
      </w:r>
      <w:r>
        <w:t xml:space="preserve"> (2020) </w:t>
      </w:r>
      <w:r>
        <w:rPr>
          <w:i/>
          <w:iCs/>
        </w:rPr>
        <w:t>Diversity, equality and inclusion in policing 2019</w:t>
      </w:r>
      <w:r>
        <w:t xml:space="preserve">, </w:t>
      </w:r>
      <w:r>
        <w:rPr>
          <w:i/>
          <w:iCs/>
        </w:rPr>
        <w:t>Diversity, Equality and Inclusion in Policing 2019</w:t>
      </w:r>
      <w:r>
        <w:t xml:space="preserve">. Available at: https://www.apccs.police.uk/media/5817/diversity-equality-and-inclusion-in-policing-2019-report.pdf (Accessed: 30 July 2023). </w:t>
      </w:r>
    </w:p>
    <w:p w14:paraId="114743B9" w14:textId="77777777" w:rsidR="00A72A38" w:rsidRDefault="00A72A38" w:rsidP="00A72A38">
      <w:pPr>
        <w:pStyle w:val="NormalWeb"/>
        <w:ind w:left="567" w:hanging="567"/>
      </w:pPr>
      <w:r>
        <w:t xml:space="preserve">May, T. (2011) </w:t>
      </w:r>
      <w:r>
        <w:rPr>
          <w:i/>
          <w:iCs/>
        </w:rPr>
        <w:t>Ending gang and youth violence: A cross-government reportTh</w:t>
      </w:r>
      <w:r>
        <w:t xml:space="preserve">, </w:t>
      </w:r>
      <w:r>
        <w:rPr>
          <w:i/>
          <w:iCs/>
        </w:rPr>
        <w:t>Ending Gang and Youth Violence: A Cross-Government Report</w:t>
      </w:r>
      <w:r>
        <w:t>. Available at: https://assets.publishing.service.gov.uk/government/uploads/system/uploads/attachment_data/file/97861/gang-violence-summary.pdf (Accessed: 30 July 2023).</w:t>
      </w:r>
    </w:p>
    <w:p w14:paraId="111F6585" w14:textId="09329DEA" w:rsidR="00A72A38" w:rsidRDefault="00A72A38" w:rsidP="00A72A38">
      <w:pPr>
        <w:pStyle w:val="NormalWeb"/>
        <w:ind w:left="567" w:hanging="567"/>
      </w:pPr>
      <w:r>
        <w:t xml:space="preserve"> May, T. (2013) </w:t>
      </w:r>
      <w:r>
        <w:rPr>
          <w:i/>
          <w:iCs/>
        </w:rPr>
        <w:t>Serious and organised crime - GOV.UK</w:t>
      </w:r>
      <w:r>
        <w:t xml:space="preserve">, </w:t>
      </w:r>
      <w:r>
        <w:rPr>
          <w:i/>
          <w:iCs/>
        </w:rPr>
        <w:t>Serious and Organised Crime Strategy Publication</w:t>
      </w:r>
      <w:r>
        <w:t xml:space="preserve">. Available at: https://assets.publishing.service.gov.uk/government/uploads/system/uploads/attachment_data/file/248645/Serious_and_Organised_Crime_Strategy.pdf (Accessed: 30 July 2023). </w:t>
      </w:r>
    </w:p>
    <w:p w14:paraId="65C46FC9" w14:textId="77777777" w:rsidR="00A72A38" w:rsidRDefault="00A72A38" w:rsidP="00A72A38">
      <w:pPr>
        <w:pStyle w:val="NormalWeb"/>
        <w:ind w:left="567" w:hanging="567"/>
      </w:pPr>
      <w:r>
        <w:rPr>
          <w:i/>
          <w:iCs/>
        </w:rPr>
        <w:lastRenderedPageBreak/>
        <w:t>National Crime Agency</w:t>
      </w:r>
      <w:r>
        <w:t xml:space="preserve"> (2020) Available at: https://www.nationalcrimeagency.gov.uk/who-we-are/publications/437-national-strategic-assessment-of-serious-and-organised-crime-2020/file (Accessed: 22 July 2023). </w:t>
      </w:r>
    </w:p>
    <w:p w14:paraId="422E0544" w14:textId="1F76757D" w:rsidR="00A72A38" w:rsidRDefault="00A72A38" w:rsidP="00A72A38">
      <w:pPr>
        <w:pStyle w:val="NormalWeb"/>
        <w:ind w:left="567" w:hanging="567"/>
      </w:pPr>
      <w:r>
        <w:t xml:space="preserve">O’Connor, R. and Waddell (2015) </w:t>
      </w:r>
      <w:r>
        <w:rPr>
          <w:i/>
          <w:iCs/>
        </w:rPr>
        <w:t>What works to prevent gang involvement, youth violence and crime</w:t>
      </w:r>
      <w:r>
        <w:t xml:space="preserve">, </w:t>
      </w:r>
      <w:r>
        <w:rPr>
          <w:i/>
          <w:iCs/>
        </w:rPr>
        <w:t>What Works to Prevent Gang Involvement, Youth Violence and Crime</w:t>
      </w:r>
      <w:r>
        <w:t xml:space="preserve">. Available at: https://www.eif.org.uk/files/pdf/preventing-gang-and-youth-violence-rapid-review.pdf (Accessed: 30 July 2023). </w:t>
      </w:r>
    </w:p>
    <w:p w14:paraId="1E85FBBA" w14:textId="1458F94C" w:rsidR="00A72A38" w:rsidRDefault="00A72A38" w:rsidP="00A72A38">
      <w:pPr>
        <w:pStyle w:val="NormalWeb"/>
        <w:ind w:left="567" w:hanging="567"/>
      </w:pPr>
      <w:r>
        <w:t xml:space="preserve">Robinson, G., McLean, R. and Densley, J. (2018) </w:t>
      </w:r>
      <w:r>
        <w:rPr>
          <w:i/>
          <w:iCs/>
        </w:rPr>
        <w:t>Working County Lines: Child criminal exploitation and illicit drug ...g</w:t>
      </w:r>
      <w:r>
        <w:t xml:space="preserve">, </w:t>
      </w:r>
      <w:r>
        <w:rPr>
          <w:i/>
          <w:iCs/>
        </w:rPr>
        <w:t>Working County Lines: Child Criminal Exploitation and Illicit Drug Dealing in Glasgow and Merseyside</w:t>
      </w:r>
      <w:r>
        <w:t xml:space="preserve">. Available at: https://journals.sagepub.com/doi/10.1177/0306624X18806742 (Accessed: 30 July 2023). </w:t>
      </w:r>
    </w:p>
    <w:p w14:paraId="0322459E" w14:textId="75E0D37A" w:rsidR="00A72A38" w:rsidRDefault="00A72A38" w:rsidP="00A72A38">
      <w:pPr>
        <w:pStyle w:val="NormalWeb"/>
        <w:ind w:left="567" w:hanging="567"/>
      </w:pPr>
      <w:r>
        <w:t xml:space="preserve">Roskams, M. (2022) </w:t>
      </w:r>
      <w:r>
        <w:rPr>
          <w:i/>
          <w:iCs/>
        </w:rPr>
        <w:t>Population and household estimates, England and Wales: Census 2021</w:t>
      </w:r>
      <w:r>
        <w:t xml:space="preserve">, </w:t>
      </w:r>
      <w:r>
        <w:rPr>
          <w:i/>
          <w:iCs/>
        </w:rPr>
        <w:t>Population and household estimates, England and Wales - Office for National Statistics</w:t>
      </w:r>
      <w:r>
        <w:t xml:space="preserve">. Available at: https://www.ons.gov.uk/peoplepopulationandcommunity/populationandmigration/populationestimates/bulletins/populationandhouseholdestimatesenglandandwales/census2021 (Accessed: 24 April 2023). </w:t>
      </w:r>
    </w:p>
    <w:p w14:paraId="72C34620" w14:textId="77777777" w:rsidR="00A72A38" w:rsidRDefault="00A72A38" w:rsidP="00A72A38">
      <w:pPr>
        <w:pStyle w:val="NormalWeb"/>
        <w:ind w:left="567" w:hanging="567"/>
      </w:pPr>
      <w:r>
        <w:t xml:space="preserve">Smith, S.D. (2015) </w:t>
      </w:r>
      <w:r>
        <w:rPr>
          <w:i/>
          <w:iCs/>
        </w:rPr>
        <w:t>An independent review of the governance arrangements of the independent ...</w:t>
      </w:r>
      <w:r>
        <w:t xml:space="preserve">, </w:t>
      </w:r>
      <w:r>
        <w:rPr>
          <w:i/>
          <w:iCs/>
        </w:rPr>
        <w:t>publishing.service.gov.uk</w:t>
      </w:r>
      <w:r>
        <w:t xml:space="preserve">. Available at: https://assets.publishing.service.gov.uk/government/uploads/system/uploads/attachment_data/file/486702/20151215-Independent_review_of_IPCC_governance-WEB-UK_O.pdf (Accessed: 27 July 2023). </w:t>
      </w:r>
    </w:p>
    <w:p w14:paraId="04D39AE8" w14:textId="77777777" w:rsidR="00EF1EF8" w:rsidRDefault="00EF1EF8" w:rsidP="00EF1EF8">
      <w:pPr>
        <w:pStyle w:val="NormalWeb"/>
        <w:ind w:left="567" w:hanging="567"/>
      </w:pPr>
      <w:r>
        <w:t xml:space="preserve">Spicer, J., Moyle, L. and Comber, R. (2020) </w:t>
      </w:r>
      <w:r>
        <w:rPr>
          <w:i/>
          <w:iCs/>
        </w:rPr>
        <w:t>The variable and evolving nature of ‘cuckooing’ as a form of criminal ...</w:t>
      </w:r>
      <w:r>
        <w:t xml:space="preserve">, </w:t>
      </w:r>
      <w:r>
        <w:rPr>
          <w:i/>
          <w:iCs/>
        </w:rPr>
        <w:t>The variable and evolving nature of ‘cuckooing’ as a form of criminal exploitation in street level drug markets | SpringerLink (uwtsd.ac.uk) Jack Spicer, Leah Moyle and Ross Comber 2020</w:t>
      </w:r>
      <w:r>
        <w:t xml:space="preserve">. Available at: https://link.springer.com/content/pdf/10.1007/s12117-019-09368-5.pdf (Accessed: 27 July 2023). </w:t>
      </w:r>
    </w:p>
    <w:p w14:paraId="072599B0" w14:textId="77777777" w:rsidR="00EF1EF8" w:rsidRDefault="00EF1EF8" w:rsidP="00EF1EF8">
      <w:pPr>
        <w:pStyle w:val="NormalWeb"/>
        <w:ind w:left="567" w:hanging="567"/>
      </w:pPr>
      <w:r>
        <w:t xml:space="preserve">Staddon, L. (2021a) </w:t>
      </w:r>
      <w:r>
        <w:rPr>
          <w:i/>
          <w:iCs/>
        </w:rPr>
        <w:t>Policing the police: An analysis of practitioner views of the IOPC’s ...</w:t>
      </w:r>
      <w:r>
        <w:t xml:space="preserve">, </w:t>
      </w:r>
      <w:r>
        <w:rPr>
          <w:i/>
          <w:iCs/>
        </w:rPr>
        <w:t>Policing the police: An analysis of practitioner views of the IOPC’s Learning the Lessons Magazine. (canterbury.ac.uk)</w:t>
      </w:r>
      <w:r>
        <w:t xml:space="preserve">. Available at: https://repository.canterbury.ac.uk/download/6c107149571739e9ce3218470c090d6e145b324957ea9f6e4e031eb3d240011e/1848396/Luke%20Staddon%20MSc%20Thesis%20-%20Policing%20the%20police_An%20analysis%20of%20practitioner%20views%20of%20the%20IOPC%E2%80%99s%20Learning%20the%20Lessons%20Magazine..pdf (Accessed: 27 July 2023). </w:t>
      </w:r>
    </w:p>
    <w:p w14:paraId="41233CA1" w14:textId="576272B9" w:rsidR="00EF1EF8" w:rsidRDefault="00EF1EF8" w:rsidP="00EF1EF8">
      <w:pPr>
        <w:pStyle w:val="NormalWeb"/>
        <w:ind w:left="567" w:hanging="567"/>
      </w:pPr>
      <w:r>
        <w:t xml:space="preserve">Winchester, N. (2020) </w:t>
      </w:r>
      <w:r>
        <w:rPr>
          <w:i/>
          <w:iCs/>
        </w:rPr>
        <w:t>Policing in the UK: Serious and organised crime - House of Lords Library</w:t>
      </w:r>
      <w:r>
        <w:t xml:space="preserve">, </w:t>
      </w:r>
      <w:r>
        <w:rPr>
          <w:i/>
          <w:iCs/>
        </w:rPr>
        <w:t>Policing in the UK: Serious and Organised Crime</w:t>
      </w:r>
      <w:r>
        <w:t xml:space="preserve">. Available at: https://researchbriefings.files.parliament.uk/documents/LLN-2020-0016/LLN-2020-0016.pdf (Accessed: 30 July 2023). </w:t>
      </w:r>
    </w:p>
    <w:p w14:paraId="1CFEF6D4" w14:textId="699992A4" w:rsidR="00BD0ED7" w:rsidRDefault="00BD0ED7" w:rsidP="00BD0ED7">
      <w:pPr>
        <w:pStyle w:val="NormalWeb"/>
      </w:pPr>
      <w:r>
        <w:rPr>
          <w:i/>
          <w:iCs/>
        </w:rPr>
        <w:lastRenderedPageBreak/>
        <w:t>IOPC public perceptions tracker summary report (2022), waves 5.1 –5.3</w:t>
      </w:r>
      <w:r>
        <w:t xml:space="preserve">. Available at: https://www.policeconduct.gov.uk/sites/default/files/Documents/statistics/IOPC_Yonder_Public_Perceptions_Tracker_Annual_Summary_Report_2021_22_Final.pdf (Accessed: 09 April 2023). </w:t>
      </w:r>
    </w:p>
    <w:p w14:paraId="07EBD453" w14:textId="77777777" w:rsidR="00EF1EF8" w:rsidRDefault="00EF1EF8" w:rsidP="00EF1EF8">
      <w:pPr>
        <w:pStyle w:val="NormalWeb"/>
        <w:ind w:left="567" w:hanging="567"/>
      </w:pPr>
      <w:r>
        <w:t xml:space="preserve">Zempui, I. (2018) </w:t>
      </w:r>
      <w:r>
        <w:rPr>
          <w:i/>
          <w:iCs/>
        </w:rPr>
        <w:t>‘looking back, I wouldn’t join up again’: The lived experiences of ...</w:t>
      </w:r>
      <w:r>
        <w:t xml:space="preserve">, </w:t>
      </w:r>
      <w:r>
        <w:rPr>
          <w:i/>
          <w:iCs/>
        </w:rPr>
        <w:t>Looking back, I wouldn’t join up again’: the lived experiences of  police officers as victims of bias and prejudice perpetrated by fellow staff within an english police forces</w:t>
      </w:r>
      <w:r>
        <w:t xml:space="preserve">. Available at: https://www.tandfonline.com/doi/full/10.1080/15614263.2018.1525381 (Accessed: 30 July 2023). </w:t>
      </w:r>
    </w:p>
    <w:p w14:paraId="4D1DD55F" w14:textId="77777777" w:rsidR="00A72A38" w:rsidRDefault="00A72A38" w:rsidP="00A72A38">
      <w:pPr>
        <w:pStyle w:val="NormalWeb"/>
        <w:ind w:left="567" w:hanging="567"/>
      </w:pPr>
    </w:p>
    <w:p w14:paraId="7A3813A4" w14:textId="77777777" w:rsidR="00A72A38" w:rsidRDefault="00A72A38" w:rsidP="00A72A38">
      <w:pPr>
        <w:pStyle w:val="NormalWeb"/>
        <w:ind w:left="567" w:hanging="567"/>
      </w:pPr>
    </w:p>
    <w:p w14:paraId="54AF9799" w14:textId="77777777" w:rsidR="003F4CDB" w:rsidRDefault="003F4CDB" w:rsidP="003F4CDB">
      <w:pPr>
        <w:pStyle w:val="NormalWeb"/>
        <w:ind w:left="567" w:hanging="567"/>
      </w:pPr>
    </w:p>
    <w:p w14:paraId="567E789A" w14:textId="77777777" w:rsidR="003F4CDB" w:rsidRDefault="003F4CDB" w:rsidP="00E346D5">
      <w:pPr>
        <w:pStyle w:val="NormalWeb"/>
        <w:ind w:left="567" w:hanging="567"/>
      </w:pPr>
    </w:p>
    <w:p w14:paraId="1770B933" w14:textId="77777777" w:rsidR="00395870" w:rsidRDefault="00395870"/>
    <w:p w14:paraId="032615D6" w14:textId="199ECF2A" w:rsidR="005A5E06" w:rsidRPr="006A3FCF" w:rsidRDefault="005A5E06"/>
    <w:sectPr w:rsidR="005A5E06" w:rsidRPr="006A3F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610B3" w14:textId="77777777" w:rsidR="00BA519C" w:rsidRDefault="00BA519C" w:rsidP="00BF371E">
      <w:pPr>
        <w:spacing w:after="0" w:line="240" w:lineRule="auto"/>
      </w:pPr>
      <w:r>
        <w:separator/>
      </w:r>
    </w:p>
  </w:endnote>
  <w:endnote w:type="continuationSeparator" w:id="0">
    <w:p w14:paraId="3D25C1E2" w14:textId="77777777" w:rsidR="00BA519C" w:rsidRDefault="00BA519C" w:rsidP="00BF3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583D7" w14:textId="77777777" w:rsidR="00BA519C" w:rsidRDefault="00BA519C" w:rsidP="00BF371E">
      <w:pPr>
        <w:spacing w:after="0" w:line="240" w:lineRule="auto"/>
      </w:pPr>
      <w:r>
        <w:separator/>
      </w:r>
    </w:p>
  </w:footnote>
  <w:footnote w:type="continuationSeparator" w:id="0">
    <w:p w14:paraId="649D4B1B" w14:textId="77777777" w:rsidR="00BA519C" w:rsidRDefault="00BA519C" w:rsidP="00BF3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01B8"/>
    <w:multiLevelType w:val="multilevel"/>
    <w:tmpl w:val="6298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243EAD"/>
    <w:multiLevelType w:val="hybridMultilevel"/>
    <w:tmpl w:val="7884B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D2F48"/>
    <w:multiLevelType w:val="hybridMultilevel"/>
    <w:tmpl w:val="2B246B02"/>
    <w:lvl w:ilvl="0" w:tplc="C2C6BF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2459284">
    <w:abstractNumId w:val="0"/>
  </w:num>
  <w:num w:numId="2" w16cid:durableId="1539004867">
    <w:abstractNumId w:val="2"/>
  </w:num>
  <w:num w:numId="3" w16cid:durableId="1124620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71E"/>
    <w:rsid w:val="00000CFE"/>
    <w:rsid w:val="00001049"/>
    <w:rsid w:val="00010DFA"/>
    <w:rsid w:val="00012242"/>
    <w:rsid w:val="00012D8F"/>
    <w:rsid w:val="00013C6A"/>
    <w:rsid w:val="000150F2"/>
    <w:rsid w:val="00015A72"/>
    <w:rsid w:val="000203C4"/>
    <w:rsid w:val="00020F69"/>
    <w:rsid w:val="00022074"/>
    <w:rsid w:val="000254F5"/>
    <w:rsid w:val="000258E2"/>
    <w:rsid w:val="0002608D"/>
    <w:rsid w:val="00030019"/>
    <w:rsid w:val="000301DE"/>
    <w:rsid w:val="0003191C"/>
    <w:rsid w:val="00031AC9"/>
    <w:rsid w:val="000327A1"/>
    <w:rsid w:val="00034F5F"/>
    <w:rsid w:val="00034FE5"/>
    <w:rsid w:val="00036D9F"/>
    <w:rsid w:val="00041125"/>
    <w:rsid w:val="00041D75"/>
    <w:rsid w:val="00042798"/>
    <w:rsid w:val="00042C12"/>
    <w:rsid w:val="00042C2B"/>
    <w:rsid w:val="000450E0"/>
    <w:rsid w:val="00051DC8"/>
    <w:rsid w:val="0005308C"/>
    <w:rsid w:val="000530CF"/>
    <w:rsid w:val="00053FB3"/>
    <w:rsid w:val="00054891"/>
    <w:rsid w:val="00057FA5"/>
    <w:rsid w:val="00061A6D"/>
    <w:rsid w:val="000634B4"/>
    <w:rsid w:val="00066E98"/>
    <w:rsid w:val="00067E8D"/>
    <w:rsid w:val="000702DA"/>
    <w:rsid w:val="00073443"/>
    <w:rsid w:val="00073E96"/>
    <w:rsid w:val="00074270"/>
    <w:rsid w:val="00076580"/>
    <w:rsid w:val="00077341"/>
    <w:rsid w:val="000774D7"/>
    <w:rsid w:val="000808B1"/>
    <w:rsid w:val="00081508"/>
    <w:rsid w:val="0008401B"/>
    <w:rsid w:val="00085109"/>
    <w:rsid w:val="000861D5"/>
    <w:rsid w:val="00087C5F"/>
    <w:rsid w:val="000924CC"/>
    <w:rsid w:val="000944E2"/>
    <w:rsid w:val="000952C1"/>
    <w:rsid w:val="00097043"/>
    <w:rsid w:val="000A0E43"/>
    <w:rsid w:val="000A1E90"/>
    <w:rsid w:val="000A34EC"/>
    <w:rsid w:val="000A557F"/>
    <w:rsid w:val="000A70F3"/>
    <w:rsid w:val="000A7219"/>
    <w:rsid w:val="000B0FBA"/>
    <w:rsid w:val="000B49EB"/>
    <w:rsid w:val="000B4FDE"/>
    <w:rsid w:val="000C1B78"/>
    <w:rsid w:val="000C2E5E"/>
    <w:rsid w:val="000C5424"/>
    <w:rsid w:val="000C5FE5"/>
    <w:rsid w:val="000D23A9"/>
    <w:rsid w:val="000D715E"/>
    <w:rsid w:val="000E0338"/>
    <w:rsid w:val="000E1F8F"/>
    <w:rsid w:val="000F04C0"/>
    <w:rsid w:val="000F1074"/>
    <w:rsid w:val="000F1F46"/>
    <w:rsid w:val="000F1FDD"/>
    <w:rsid w:val="000F2234"/>
    <w:rsid w:val="000F2CED"/>
    <w:rsid w:val="000F3F95"/>
    <w:rsid w:val="000F61B3"/>
    <w:rsid w:val="001012E6"/>
    <w:rsid w:val="0010303B"/>
    <w:rsid w:val="0010344E"/>
    <w:rsid w:val="001108C6"/>
    <w:rsid w:val="00116534"/>
    <w:rsid w:val="00116D1E"/>
    <w:rsid w:val="00123493"/>
    <w:rsid w:val="001235E4"/>
    <w:rsid w:val="00123DA3"/>
    <w:rsid w:val="001243AA"/>
    <w:rsid w:val="00124E26"/>
    <w:rsid w:val="00132BAE"/>
    <w:rsid w:val="001347A4"/>
    <w:rsid w:val="00136D42"/>
    <w:rsid w:val="001409E7"/>
    <w:rsid w:val="00140FEB"/>
    <w:rsid w:val="0014348C"/>
    <w:rsid w:val="00146986"/>
    <w:rsid w:val="0015256E"/>
    <w:rsid w:val="0015703E"/>
    <w:rsid w:val="00160CD2"/>
    <w:rsid w:val="00162C25"/>
    <w:rsid w:val="00164EA1"/>
    <w:rsid w:val="00167804"/>
    <w:rsid w:val="001716FA"/>
    <w:rsid w:val="00171D8C"/>
    <w:rsid w:val="00172698"/>
    <w:rsid w:val="00180F1D"/>
    <w:rsid w:val="00186744"/>
    <w:rsid w:val="00186DA9"/>
    <w:rsid w:val="0019034B"/>
    <w:rsid w:val="00193564"/>
    <w:rsid w:val="001964B0"/>
    <w:rsid w:val="00196BA9"/>
    <w:rsid w:val="001A2716"/>
    <w:rsid w:val="001A2D8B"/>
    <w:rsid w:val="001A7668"/>
    <w:rsid w:val="001B1B3F"/>
    <w:rsid w:val="001B1EF6"/>
    <w:rsid w:val="001B23B7"/>
    <w:rsid w:val="001B2573"/>
    <w:rsid w:val="001B55CD"/>
    <w:rsid w:val="001B7F4F"/>
    <w:rsid w:val="001C00C3"/>
    <w:rsid w:val="001C06D1"/>
    <w:rsid w:val="001C1974"/>
    <w:rsid w:val="001C511F"/>
    <w:rsid w:val="001C7733"/>
    <w:rsid w:val="001D4FD7"/>
    <w:rsid w:val="001E0833"/>
    <w:rsid w:val="001E18CF"/>
    <w:rsid w:val="001E35F7"/>
    <w:rsid w:val="001E3A3B"/>
    <w:rsid w:val="001E6590"/>
    <w:rsid w:val="001E660E"/>
    <w:rsid w:val="001F14AC"/>
    <w:rsid w:val="001F183D"/>
    <w:rsid w:val="001F1EEB"/>
    <w:rsid w:val="001F33D0"/>
    <w:rsid w:val="001F42FD"/>
    <w:rsid w:val="001F52BD"/>
    <w:rsid w:val="00200E6B"/>
    <w:rsid w:val="00202C54"/>
    <w:rsid w:val="00203166"/>
    <w:rsid w:val="00204D61"/>
    <w:rsid w:val="00204F52"/>
    <w:rsid w:val="00206C12"/>
    <w:rsid w:val="002079AB"/>
    <w:rsid w:val="002106BE"/>
    <w:rsid w:val="00211BCA"/>
    <w:rsid w:val="002120D1"/>
    <w:rsid w:val="00212FC1"/>
    <w:rsid w:val="00217672"/>
    <w:rsid w:val="002235A5"/>
    <w:rsid w:val="00223E79"/>
    <w:rsid w:val="00225640"/>
    <w:rsid w:val="002257A5"/>
    <w:rsid w:val="00225A66"/>
    <w:rsid w:val="00226343"/>
    <w:rsid w:val="0023215A"/>
    <w:rsid w:val="00233593"/>
    <w:rsid w:val="00233F99"/>
    <w:rsid w:val="00240084"/>
    <w:rsid w:val="00240311"/>
    <w:rsid w:val="00242F81"/>
    <w:rsid w:val="00246193"/>
    <w:rsid w:val="002467C3"/>
    <w:rsid w:val="00247C74"/>
    <w:rsid w:val="002523CC"/>
    <w:rsid w:val="00257A46"/>
    <w:rsid w:val="00257A81"/>
    <w:rsid w:val="00260E3B"/>
    <w:rsid w:val="00261508"/>
    <w:rsid w:val="002633F4"/>
    <w:rsid w:val="00264870"/>
    <w:rsid w:val="00264A83"/>
    <w:rsid w:val="00265C02"/>
    <w:rsid w:val="0027167A"/>
    <w:rsid w:val="00271DB2"/>
    <w:rsid w:val="00272B0F"/>
    <w:rsid w:val="00274257"/>
    <w:rsid w:val="00276C01"/>
    <w:rsid w:val="00282787"/>
    <w:rsid w:val="00284793"/>
    <w:rsid w:val="0028631C"/>
    <w:rsid w:val="002873E0"/>
    <w:rsid w:val="00291AB8"/>
    <w:rsid w:val="002947B2"/>
    <w:rsid w:val="00297600"/>
    <w:rsid w:val="002A2238"/>
    <w:rsid w:val="002A3B24"/>
    <w:rsid w:val="002B009D"/>
    <w:rsid w:val="002B1956"/>
    <w:rsid w:val="002B1F55"/>
    <w:rsid w:val="002B21A5"/>
    <w:rsid w:val="002B2425"/>
    <w:rsid w:val="002B3BD6"/>
    <w:rsid w:val="002B4D0E"/>
    <w:rsid w:val="002B4DFC"/>
    <w:rsid w:val="002B6A4F"/>
    <w:rsid w:val="002B6D9F"/>
    <w:rsid w:val="002B7F80"/>
    <w:rsid w:val="002C17C7"/>
    <w:rsid w:val="002C5F08"/>
    <w:rsid w:val="002D2FA3"/>
    <w:rsid w:val="002D3D14"/>
    <w:rsid w:val="002D4943"/>
    <w:rsid w:val="002D557A"/>
    <w:rsid w:val="002D6111"/>
    <w:rsid w:val="002E16D0"/>
    <w:rsid w:val="002E235E"/>
    <w:rsid w:val="002E274D"/>
    <w:rsid w:val="002E3BC1"/>
    <w:rsid w:val="002F03B4"/>
    <w:rsid w:val="002F3324"/>
    <w:rsid w:val="002F4058"/>
    <w:rsid w:val="002F4ABA"/>
    <w:rsid w:val="0030050E"/>
    <w:rsid w:val="0030223A"/>
    <w:rsid w:val="003025CF"/>
    <w:rsid w:val="00302CA2"/>
    <w:rsid w:val="00305872"/>
    <w:rsid w:val="0031705E"/>
    <w:rsid w:val="00323C01"/>
    <w:rsid w:val="00325A47"/>
    <w:rsid w:val="003263F7"/>
    <w:rsid w:val="00326D02"/>
    <w:rsid w:val="00326E9F"/>
    <w:rsid w:val="00331045"/>
    <w:rsid w:val="00332058"/>
    <w:rsid w:val="00332CD0"/>
    <w:rsid w:val="00335ADF"/>
    <w:rsid w:val="00340DE4"/>
    <w:rsid w:val="003451CC"/>
    <w:rsid w:val="00350F17"/>
    <w:rsid w:val="0035195F"/>
    <w:rsid w:val="00351E13"/>
    <w:rsid w:val="003547FF"/>
    <w:rsid w:val="0035658A"/>
    <w:rsid w:val="0035796A"/>
    <w:rsid w:val="00360A9B"/>
    <w:rsid w:val="003650A4"/>
    <w:rsid w:val="00365A56"/>
    <w:rsid w:val="0036739F"/>
    <w:rsid w:val="003674E9"/>
    <w:rsid w:val="00367A03"/>
    <w:rsid w:val="00370D8D"/>
    <w:rsid w:val="0037209C"/>
    <w:rsid w:val="00374274"/>
    <w:rsid w:val="003771D4"/>
    <w:rsid w:val="003802C7"/>
    <w:rsid w:val="00380FD0"/>
    <w:rsid w:val="00381FB2"/>
    <w:rsid w:val="0038215B"/>
    <w:rsid w:val="00383181"/>
    <w:rsid w:val="00384A87"/>
    <w:rsid w:val="003850B2"/>
    <w:rsid w:val="0039079B"/>
    <w:rsid w:val="003910B1"/>
    <w:rsid w:val="0039154E"/>
    <w:rsid w:val="003924BF"/>
    <w:rsid w:val="00395870"/>
    <w:rsid w:val="003A0E9E"/>
    <w:rsid w:val="003A2F3C"/>
    <w:rsid w:val="003A4C82"/>
    <w:rsid w:val="003A572C"/>
    <w:rsid w:val="003B0C6F"/>
    <w:rsid w:val="003B2354"/>
    <w:rsid w:val="003C00B7"/>
    <w:rsid w:val="003C312B"/>
    <w:rsid w:val="003C3F9A"/>
    <w:rsid w:val="003C445D"/>
    <w:rsid w:val="003C6988"/>
    <w:rsid w:val="003D1EB2"/>
    <w:rsid w:val="003D3D3D"/>
    <w:rsid w:val="003D5437"/>
    <w:rsid w:val="003D56E6"/>
    <w:rsid w:val="003D663D"/>
    <w:rsid w:val="003D70FE"/>
    <w:rsid w:val="003D7669"/>
    <w:rsid w:val="003E0091"/>
    <w:rsid w:val="003E37A0"/>
    <w:rsid w:val="003E50BB"/>
    <w:rsid w:val="003F16FB"/>
    <w:rsid w:val="003F1D13"/>
    <w:rsid w:val="003F346D"/>
    <w:rsid w:val="003F4CDB"/>
    <w:rsid w:val="003F773D"/>
    <w:rsid w:val="003F7991"/>
    <w:rsid w:val="00400E1C"/>
    <w:rsid w:val="004024F8"/>
    <w:rsid w:val="004035AD"/>
    <w:rsid w:val="00407622"/>
    <w:rsid w:val="0041167F"/>
    <w:rsid w:val="004136D7"/>
    <w:rsid w:val="00414C66"/>
    <w:rsid w:val="0041598B"/>
    <w:rsid w:val="0041784F"/>
    <w:rsid w:val="004228C1"/>
    <w:rsid w:val="00423BAB"/>
    <w:rsid w:val="0043002B"/>
    <w:rsid w:val="00432321"/>
    <w:rsid w:val="0043257C"/>
    <w:rsid w:val="00434821"/>
    <w:rsid w:val="00436299"/>
    <w:rsid w:val="0043766A"/>
    <w:rsid w:val="004415A7"/>
    <w:rsid w:val="0044261E"/>
    <w:rsid w:val="00444334"/>
    <w:rsid w:val="00444E99"/>
    <w:rsid w:val="00445807"/>
    <w:rsid w:val="00450A2C"/>
    <w:rsid w:val="00454613"/>
    <w:rsid w:val="004550EA"/>
    <w:rsid w:val="004562F2"/>
    <w:rsid w:val="004609B1"/>
    <w:rsid w:val="00462963"/>
    <w:rsid w:val="0046442E"/>
    <w:rsid w:val="00467791"/>
    <w:rsid w:val="004723D0"/>
    <w:rsid w:val="00475388"/>
    <w:rsid w:val="0047638A"/>
    <w:rsid w:val="00477566"/>
    <w:rsid w:val="00481D9A"/>
    <w:rsid w:val="00484045"/>
    <w:rsid w:val="00490965"/>
    <w:rsid w:val="00490B22"/>
    <w:rsid w:val="004930DC"/>
    <w:rsid w:val="00497445"/>
    <w:rsid w:val="004A22AA"/>
    <w:rsid w:val="004A48F4"/>
    <w:rsid w:val="004B53B1"/>
    <w:rsid w:val="004B563A"/>
    <w:rsid w:val="004B78AB"/>
    <w:rsid w:val="004C248D"/>
    <w:rsid w:val="004C2E68"/>
    <w:rsid w:val="004C735B"/>
    <w:rsid w:val="004D07E2"/>
    <w:rsid w:val="004D2981"/>
    <w:rsid w:val="004D2B1A"/>
    <w:rsid w:val="004D3848"/>
    <w:rsid w:val="004D6388"/>
    <w:rsid w:val="004E212E"/>
    <w:rsid w:val="004E2C11"/>
    <w:rsid w:val="004E35FA"/>
    <w:rsid w:val="004E3808"/>
    <w:rsid w:val="004E584C"/>
    <w:rsid w:val="004E6418"/>
    <w:rsid w:val="004E7FE9"/>
    <w:rsid w:val="004F1CEF"/>
    <w:rsid w:val="004F2CFF"/>
    <w:rsid w:val="004F508D"/>
    <w:rsid w:val="004F69F5"/>
    <w:rsid w:val="004F75D9"/>
    <w:rsid w:val="004F7792"/>
    <w:rsid w:val="00500409"/>
    <w:rsid w:val="0050352A"/>
    <w:rsid w:val="00505B3E"/>
    <w:rsid w:val="00506986"/>
    <w:rsid w:val="005110D5"/>
    <w:rsid w:val="00511280"/>
    <w:rsid w:val="00513D99"/>
    <w:rsid w:val="00515C3D"/>
    <w:rsid w:val="00515ECF"/>
    <w:rsid w:val="00516031"/>
    <w:rsid w:val="005175BA"/>
    <w:rsid w:val="00517776"/>
    <w:rsid w:val="005225A8"/>
    <w:rsid w:val="00524FBA"/>
    <w:rsid w:val="005255DE"/>
    <w:rsid w:val="00527D1A"/>
    <w:rsid w:val="0053229B"/>
    <w:rsid w:val="00532AAD"/>
    <w:rsid w:val="00533E69"/>
    <w:rsid w:val="00536E96"/>
    <w:rsid w:val="005411E3"/>
    <w:rsid w:val="00542666"/>
    <w:rsid w:val="00543361"/>
    <w:rsid w:val="00544D13"/>
    <w:rsid w:val="0055083D"/>
    <w:rsid w:val="00552925"/>
    <w:rsid w:val="00552A0F"/>
    <w:rsid w:val="00553202"/>
    <w:rsid w:val="0055497A"/>
    <w:rsid w:val="005563D4"/>
    <w:rsid w:val="00556B52"/>
    <w:rsid w:val="00556C2F"/>
    <w:rsid w:val="005605F0"/>
    <w:rsid w:val="00561797"/>
    <w:rsid w:val="005619C8"/>
    <w:rsid w:val="005661C2"/>
    <w:rsid w:val="00566758"/>
    <w:rsid w:val="00566CEB"/>
    <w:rsid w:val="00567544"/>
    <w:rsid w:val="00567915"/>
    <w:rsid w:val="00567937"/>
    <w:rsid w:val="00573C2E"/>
    <w:rsid w:val="0058529D"/>
    <w:rsid w:val="00585C12"/>
    <w:rsid w:val="00586151"/>
    <w:rsid w:val="00592F02"/>
    <w:rsid w:val="0059422C"/>
    <w:rsid w:val="00594D6B"/>
    <w:rsid w:val="00597378"/>
    <w:rsid w:val="005A02B9"/>
    <w:rsid w:val="005A07B5"/>
    <w:rsid w:val="005A308D"/>
    <w:rsid w:val="005A4599"/>
    <w:rsid w:val="005A5299"/>
    <w:rsid w:val="005A5E06"/>
    <w:rsid w:val="005A600E"/>
    <w:rsid w:val="005B17FF"/>
    <w:rsid w:val="005B29D5"/>
    <w:rsid w:val="005B3A60"/>
    <w:rsid w:val="005B3B84"/>
    <w:rsid w:val="005B7227"/>
    <w:rsid w:val="005B75FB"/>
    <w:rsid w:val="005B787E"/>
    <w:rsid w:val="005C245E"/>
    <w:rsid w:val="005C6400"/>
    <w:rsid w:val="005C6546"/>
    <w:rsid w:val="005C7988"/>
    <w:rsid w:val="005D00FD"/>
    <w:rsid w:val="005D1159"/>
    <w:rsid w:val="005D22CD"/>
    <w:rsid w:val="005D5957"/>
    <w:rsid w:val="005E2C70"/>
    <w:rsid w:val="005E394C"/>
    <w:rsid w:val="005E57C0"/>
    <w:rsid w:val="005E5C16"/>
    <w:rsid w:val="005E75A8"/>
    <w:rsid w:val="005F25BC"/>
    <w:rsid w:val="005F3242"/>
    <w:rsid w:val="005F3259"/>
    <w:rsid w:val="005F3C68"/>
    <w:rsid w:val="005F678E"/>
    <w:rsid w:val="005F704A"/>
    <w:rsid w:val="005F7E80"/>
    <w:rsid w:val="00607FE5"/>
    <w:rsid w:val="00611ED5"/>
    <w:rsid w:val="00613785"/>
    <w:rsid w:val="00613838"/>
    <w:rsid w:val="00620E24"/>
    <w:rsid w:val="00625CE3"/>
    <w:rsid w:val="00630F75"/>
    <w:rsid w:val="00635363"/>
    <w:rsid w:val="00636642"/>
    <w:rsid w:val="00636899"/>
    <w:rsid w:val="00637CBD"/>
    <w:rsid w:val="00641AD1"/>
    <w:rsid w:val="00642B5E"/>
    <w:rsid w:val="006435CD"/>
    <w:rsid w:val="00644EDF"/>
    <w:rsid w:val="00645AA8"/>
    <w:rsid w:val="00652A56"/>
    <w:rsid w:val="0065759E"/>
    <w:rsid w:val="00657C73"/>
    <w:rsid w:val="00660DB5"/>
    <w:rsid w:val="00663586"/>
    <w:rsid w:val="00663A52"/>
    <w:rsid w:val="006725EB"/>
    <w:rsid w:val="00673B6A"/>
    <w:rsid w:val="00676307"/>
    <w:rsid w:val="006765EB"/>
    <w:rsid w:val="00676E2E"/>
    <w:rsid w:val="00680C9B"/>
    <w:rsid w:val="00680EDA"/>
    <w:rsid w:val="00681395"/>
    <w:rsid w:val="00681CA6"/>
    <w:rsid w:val="00683CF5"/>
    <w:rsid w:val="00683D6D"/>
    <w:rsid w:val="00687D9F"/>
    <w:rsid w:val="00690F42"/>
    <w:rsid w:val="00691090"/>
    <w:rsid w:val="006916E8"/>
    <w:rsid w:val="00693C8D"/>
    <w:rsid w:val="00695CD9"/>
    <w:rsid w:val="00695E5E"/>
    <w:rsid w:val="00696E47"/>
    <w:rsid w:val="006978F4"/>
    <w:rsid w:val="006A1D62"/>
    <w:rsid w:val="006A3FCF"/>
    <w:rsid w:val="006A440A"/>
    <w:rsid w:val="006B1654"/>
    <w:rsid w:val="006B2218"/>
    <w:rsid w:val="006B4DA0"/>
    <w:rsid w:val="006B62C7"/>
    <w:rsid w:val="006C0619"/>
    <w:rsid w:val="006C0C60"/>
    <w:rsid w:val="006C0D83"/>
    <w:rsid w:val="006C1894"/>
    <w:rsid w:val="006C2206"/>
    <w:rsid w:val="006C29D3"/>
    <w:rsid w:val="006C3DF2"/>
    <w:rsid w:val="006C419C"/>
    <w:rsid w:val="006C71C6"/>
    <w:rsid w:val="006D474F"/>
    <w:rsid w:val="006D5223"/>
    <w:rsid w:val="006D5993"/>
    <w:rsid w:val="006D7972"/>
    <w:rsid w:val="006D7BD0"/>
    <w:rsid w:val="006E28D0"/>
    <w:rsid w:val="006E357C"/>
    <w:rsid w:val="006E6005"/>
    <w:rsid w:val="006E665A"/>
    <w:rsid w:val="006E6D74"/>
    <w:rsid w:val="006F2338"/>
    <w:rsid w:val="006F7041"/>
    <w:rsid w:val="00713F46"/>
    <w:rsid w:val="00713FBD"/>
    <w:rsid w:val="007146AB"/>
    <w:rsid w:val="007148EC"/>
    <w:rsid w:val="00715E44"/>
    <w:rsid w:val="007177F8"/>
    <w:rsid w:val="00717F86"/>
    <w:rsid w:val="007310F7"/>
    <w:rsid w:val="0073292C"/>
    <w:rsid w:val="00734942"/>
    <w:rsid w:val="00736AFA"/>
    <w:rsid w:val="00737660"/>
    <w:rsid w:val="0074012E"/>
    <w:rsid w:val="00741E06"/>
    <w:rsid w:val="00744CFA"/>
    <w:rsid w:val="00745E2E"/>
    <w:rsid w:val="00751DD2"/>
    <w:rsid w:val="00752F68"/>
    <w:rsid w:val="007565E2"/>
    <w:rsid w:val="00762BF8"/>
    <w:rsid w:val="00764225"/>
    <w:rsid w:val="007646F1"/>
    <w:rsid w:val="00765A4B"/>
    <w:rsid w:val="007718A2"/>
    <w:rsid w:val="00773383"/>
    <w:rsid w:val="0077766C"/>
    <w:rsid w:val="00781A9F"/>
    <w:rsid w:val="00784510"/>
    <w:rsid w:val="007856A8"/>
    <w:rsid w:val="00786219"/>
    <w:rsid w:val="0078653D"/>
    <w:rsid w:val="00786FAA"/>
    <w:rsid w:val="00787146"/>
    <w:rsid w:val="00787293"/>
    <w:rsid w:val="0079040D"/>
    <w:rsid w:val="007914AD"/>
    <w:rsid w:val="00791EA2"/>
    <w:rsid w:val="00792EDE"/>
    <w:rsid w:val="00794A90"/>
    <w:rsid w:val="0079528A"/>
    <w:rsid w:val="007965D8"/>
    <w:rsid w:val="00796913"/>
    <w:rsid w:val="00796DB8"/>
    <w:rsid w:val="007971B5"/>
    <w:rsid w:val="007A02E4"/>
    <w:rsid w:val="007A4A66"/>
    <w:rsid w:val="007A4D4C"/>
    <w:rsid w:val="007A624F"/>
    <w:rsid w:val="007A70D7"/>
    <w:rsid w:val="007B03C9"/>
    <w:rsid w:val="007B1BB2"/>
    <w:rsid w:val="007B3F52"/>
    <w:rsid w:val="007B56EE"/>
    <w:rsid w:val="007B674B"/>
    <w:rsid w:val="007C0CCF"/>
    <w:rsid w:val="007C40A8"/>
    <w:rsid w:val="007C69ED"/>
    <w:rsid w:val="007D0648"/>
    <w:rsid w:val="007D726A"/>
    <w:rsid w:val="007E2DD8"/>
    <w:rsid w:val="007E4B05"/>
    <w:rsid w:val="007E6A45"/>
    <w:rsid w:val="007E7C80"/>
    <w:rsid w:val="007F1384"/>
    <w:rsid w:val="007F20C7"/>
    <w:rsid w:val="007F508B"/>
    <w:rsid w:val="007F6CA4"/>
    <w:rsid w:val="00801468"/>
    <w:rsid w:val="00803193"/>
    <w:rsid w:val="00807E67"/>
    <w:rsid w:val="0081041C"/>
    <w:rsid w:val="008119CF"/>
    <w:rsid w:val="00813F54"/>
    <w:rsid w:val="0081446F"/>
    <w:rsid w:val="008173F5"/>
    <w:rsid w:val="00820A8E"/>
    <w:rsid w:val="00824F71"/>
    <w:rsid w:val="0083491D"/>
    <w:rsid w:val="00842AC9"/>
    <w:rsid w:val="00843CF4"/>
    <w:rsid w:val="008442DA"/>
    <w:rsid w:val="008455BD"/>
    <w:rsid w:val="0084796C"/>
    <w:rsid w:val="008501E0"/>
    <w:rsid w:val="008512B1"/>
    <w:rsid w:val="0085635B"/>
    <w:rsid w:val="00860A4C"/>
    <w:rsid w:val="008633E2"/>
    <w:rsid w:val="008649D1"/>
    <w:rsid w:val="00864BEE"/>
    <w:rsid w:val="00864F83"/>
    <w:rsid w:val="00865393"/>
    <w:rsid w:val="008714FD"/>
    <w:rsid w:val="0087207B"/>
    <w:rsid w:val="008721A4"/>
    <w:rsid w:val="00872C17"/>
    <w:rsid w:val="00873C8E"/>
    <w:rsid w:val="00873CA5"/>
    <w:rsid w:val="00874439"/>
    <w:rsid w:val="0087490C"/>
    <w:rsid w:val="008754AA"/>
    <w:rsid w:val="00876C33"/>
    <w:rsid w:val="008770AE"/>
    <w:rsid w:val="00882EE0"/>
    <w:rsid w:val="0088398D"/>
    <w:rsid w:val="00886A9B"/>
    <w:rsid w:val="00891B6B"/>
    <w:rsid w:val="00891D7C"/>
    <w:rsid w:val="008937AE"/>
    <w:rsid w:val="00894C58"/>
    <w:rsid w:val="0089539D"/>
    <w:rsid w:val="00897B05"/>
    <w:rsid w:val="008A3077"/>
    <w:rsid w:val="008A647A"/>
    <w:rsid w:val="008A647C"/>
    <w:rsid w:val="008B1DD9"/>
    <w:rsid w:val="008B41AF"/>
    <w:rsid w:val="008B4753"/>
    <w:rsid w:val="008C35DF"/>
    <w:rsid w:val="008C3941"/>
    <w:rsid w:val="008C5209"/>
    <w:rsid w:val="008C55C9"/>
    <w:rsid w:val="008C634E"/>
    <w:rsid w:val="008C648C"/>
    <w:rsid w:val="008C6EC8"/>
    <w:rsid w:val="008C7FBF"/>
    <w:rsid w:val="008C7FE4"/>
    <w:rsid w:val="008D0533"/>
    <w:rsid w:val="008D05DC"/>
    <w:rsid w:val="008D1F02"/>
    <w:rsid w:val="008D362C"/>
    <w:rsid w:val="008D4846"/>
    <w:rsid w:val="008D7EA1"/>
    <w:rsid w:val="008E4E79"/>
    <w:rsid w:val="008F0C45"/>
    <w:rsid w:val="008F5B0B"/>
    <w:rsid w:val="008F5D3E"/>
    <w:rsid w:val="0090088D"/>
    <w:rsid w:val="00902333"/>
    <w:rsid w:val="009023C0"/>
    <w:rsid w:val="00902E9E"/>
    <w:rsid w:val="00902F50"/>
    <w:rsid w:val="00903CF8"/>
    <w:rsid w:val="0090446F"/>
    <w:rsid w:val="00904A48"/>
    <w:rsid w:val="009124D3"/>
    <w:rsid w:val="0091370C"/>
    <w:rsid w:val="0091389F"/>
    <w:rsid w:val="00922C6A"/>
    <w:rsid w:val="00923A5C"/>
    <w:rsid w:val="00925DA2"/>
    <w:rsid w:val="00927763"/>
    <w:rsid w:val="0093430A"/>
    <w:rsid w:val="009354AB"/>
    <w:rsid w:val="009365D1"/>
    <w:rsid w:val="00936661"/>
    <w:rsid w:val="0094171E"/>
    <w:rsid w:val="00943121"/>
    <w:rsid w:val="0094473F"/>
    <w:rsid w:val="009534FA"/>
    <w:rsid w:val="009603FE"/>
    <w:rsid w:val="00962B8E"/>
    <w:rsid w:val="00962CAA"/>
    <w:rsid w:val="00962CFD"/>
    <w:rsid w:val="00963992"/>
    <w:rsid w:val="00966ED6"/>
    <w:rsid w:val="00970A0B"/>
    <w:rsid w:val="009713B0"/>
    <w:rsid w:val="009725AD"/>
    <w:rsid w:val="00975FF2"/>
    <w:rsid w:val="00976AD8"/>
    <w:rsid w:val="00980E6B"/>
    <w:rsid w:val="0098328B"/>
    <w:rsid w:val="009845DA"/>
    <w:rsid w:val="009851FA"/>
    <w:rsid w:val="00985544"/>
    <w:rsid w:val="0099229D"/>
    <w:rsid w:val="00992629"/>
    <w:rsid w:val="00996CB3"/>
    <w:rsid w:val="009A2AC6"/>
    <w:rsid w:val="009A2B1F"/>
    <w:rsid w:val="009A3970"/>
    <w:rsid w:val="009A4128"/>
    <w:rsid w:val="009B26AB"/>
    <w:rsid w:val="009B34A8"/>
    <w:rsid w:val="009C1CA6"/>
    <w:rsid w:val="009C6999"/>
    <w:rsid w:val="009D2630"/>
    <w:rsid w:val="009D4377"/>
    <w:rsid w:val="009D45FA"/>
    <w:rsid w:val="009D4811"/>
    <w:rsid w:val="009D79C6"/>
    <w:rsid w:val="009D7D84"/>
    <w:rsid w:val="009E0E8B"/>
    <w:rsid w:val="009E1E62"/>
    <w:rsid w:val="009E3754"/>
    <w:rsid w:val="009E4942"/>
    <w:rsid w:val="009F01C3"/>
    <w:rsid w:val="009F3209"/>
    <w:rsid w:val="009F4D68"/>
    <w:rsid w:val="00A00CD8"/>
    <w:rsid w:val="00A01D52"/>
    <w:rsid w:val="00A03691"/>
    <w:rsid w:val="00A038DC"/>
    <w:rsid w:val="00A04C8E"/>
    <w:rsid w:val="00A055CB"/>
    <w:rsid w:val="00A05B98"/>
    <w:rsid w:val="00A06F03"/>
    <w:rsid w:val="00A10A4A"/>
    <w:rsid w:val="00A1269A"/>
    <w:rsid w:val="00A13A85"/>
    <w:rsid w:val="00A146ED"/>
    <w:rsid w:val="00A1593A"/>
    <w:rsid w:val="00A16896"/>
    <w:rsid w:val="00A177B7"/>
    <w:rsid w:val="00A17DE9"/>
    <w:rsid w:val="00A24DE2"/>
    <w:rsid w:val="00A26552"/>
    <w:rsid w:val="00A2708B"/>
    <w:rsid w:val="00A32806"/>
    <w:rsid w:val="00A32968"/>
    <w:rsid w:val="00A32E0C"/>
    <w:rsid w:val="00A34EBD"/>
    <w:rsid w:val="00A35DED"/>
    <w:rsid w:val="00A36F38"/>
    <w:rsid w:val="00A370B1"/>
    <w:rsid w:val="00A40B5F"/>
    <w:rsid w:val="00A472BE"/>
    <w:rsid w:val="00A50203"/>
    <w:rsid w:val="00A50E68"/>
    <w:rsid w:val="00A51852"/>
    <w:rsid w:val="00A522EC"/>
    <w:rsid w:val="00A53371"/>
    <w:rsid w:val="00A56EE8"/>
    <w:rsid w:val="00A57498"/>
    <w:rsid w:val="00A65027"/>
    <w:rsid w:val="00A665F6"/>
    <w:rsid w:val="00A672C8"/>
    <w:rsid w:val="00A67A80"/>
    <w:rsid w:val="00A709A5"/>
    <w:rsid w:val="00A72A38"/>
    <w:rsid w:val="00A73082"/>
    <w:rsid w:val="00A76CAA"/>
    <w:rsid w:val="00A779C1"/>
    <w:rsid w:val="00A810B8"/>
    <w:rsid w:val="00A82F18"/>
    <w:rsid w:val="00A84591"/>
    <w:rsid w:val="00A91239"/>
    <w:rsid w:val="00A9173E"/>
    <w:rsid w:val="00A939B3"/>
    <w:rsid w:val="00A95E72"/>
    <w:rsid w:val="00A9679B"/>
    <w:rsid w:val="00A969B7"/>
    <w:rsid w:val="00A96BAF"/>
    <w:rsid w:val="00A974CD"/>
    <w:rsid w:val="00AA20A9"/>
    <w:rsid w:val="00AA7561"/>
    <w:rsid w:val="00AB47EE"/>
    <w:rsid w:val="00AB4D62"/>
    <w:rsid w:val="00AB6CF6"/>
    <w:rsid w:val="00AB70DF"/>
    <w:rsid w:val="00AB73B2"/>
    <w:rsid w:val="00AC5A08"/>
    <w:rsid w:val="00AC60A8"/>
    <w:rsid w:val="00AD228C"/>
    <w:rsid w:val="00AD3A53"/>
    <w:rsid w:val="00AD7897"/>
    <w:rsid w:val="00AE00F8"/>
    <w:rsid w:val="00AE2F87"/>
    <w:rsid w:val="00AE3DAE"/>
    <w:rsid w:val="00AF3407"/>
    <w:rsid w:val="00AF3706"/>
    <w:rsid w:val="00AF78DA"/>
    <w:rsid w:val="00B001D9"/>
    <w:rsid w:val="00B031AE"/>
    <w:rsid w:val="00B10686"/>
    <w:rsid w:val="00B11F76"/>
    <w:rsid w:val="00B1627E"/>
    <w:rsid w:val="00B21479"/>
    <w:rsid w:val="00B226B5"/>
    <w:rsid w:val="00B22A9D"/>
    <w:rsid w:val="00B239CA"/>
    <w:rsid w:val="00B23C1A"/>
    <w:rsid w:val="00B25F27"/>
    <w:rsid w:val="00B27AF0"/>
    <w:rsid w:val="00B300AF"/>
    <w:rsid w:val="00B3144D"/>
    <w:rsid w:val="00B32B38"/>
    <w:rsid w:val="00B33409"/>
    <w:rsid w:val="00B420DF"/>
    <w:rsid w:val="00B4323F"/>
    <w:rsid w:val="00B47FBC"/>
    <w:rsid w:val="00B50583"/>
    <w:rsid w:val="00B5276C"/>
    <w:rsid w:val="00B53327"/>
    <w:rsid w:val="00B558E9"/>
    <w:rsid w:val="00B5654D"/>
    <w:rsid w:val="00B56BB0"/>
    <w:rsid w:val="00B56DEF"/>
    <w:rsid w:val="00B56FF6"/>
    <w:rsid w:val="00B5725F"/>
    <w:rsid w:val="00B6005E"/>
    <w:rsid w:val="00B622AB"/>
    <w:rsid w:val="00B62479"/>
    <w:rsid w:val="00B6452E"/>
    <w:rsid w:val="00B662A5"/>
    <w:rsid w:val="00B66D8B"/>
    <w:rsid w:val="00B66FBD"/>
    <w:rsid w:val="00B71C75"/>
    <w:rsid w:val="00B72CFE"/>
    <w:rsid w:val="00B76532"/>
    <w:rsid w:val="00B76CB9"/>
    <w:rsid w:val="00B80BF4"/>
    <w:rsid w:val="00B82968"/>
    <w:rsid w:val="00B85F49"/>
    <w:rsid w:val="00B9033E"/>
    <w:rsid w:val="00B94CE3"/>
    <w:rsid w:val="00BA0215"/>
    <w:rsid w:val="00BA0BE8"/>
    <w:rsid w:val="00BA35E7"/>
    <w:rsid w:val="00BA519C"/>
    <w:rsid w:val="00BB1AB5"/>
    <w:rsid w:val="00BB2CEC"/>
    <w:rsid w:val="00BC0177"/>
    <w:rsid w:val="00BC11AE"/>
    <w:rsid w:val="00BC337E"/>
    <w:rsid w:val="00BC7417"/>
    <w:rsid w:val="00BD03A9"/>
    <w:rsid w:val="00BD0622"/>
    <w:rsid w:val="00BD0ED7"/>
    <w:rsid w:val="00BD262C"/>
    <w:rsid w:val="00BD387E"/>
    <w:rsid w:val="00BE0DEE"/>
    <w:rsid w:val="00BE14F4"/>
    <w:rsid w:val="00BE1E4B"/>
    <w:rsid w:val="00BE6022"/>
    <w:rsid w:val="00BE7652"/>
    <w:rsid w:val="00BF0AB4"/>
    <w:rsid w:val="00BF136D"/>
    <w:rsid w:val="00BF2304"/>
    <w:rsid w:val="00BF371E"/>
    <w:rsid w:val="00BF3A9D"/>
    <w:rsid w:val="00BF6E55"/>
    <w:rsid w:val="00BF716C"/>
    <w:rsid w:val="00C0073B"/>
    <w:rsid w:val="00C01FD2"/>
    <w:rsid w:val="00C04CC8"/>
    <w:rsid w:val="00C055C4"/>
    <w:rsid w:val="00C13F62"/>
    <w:rsid w:val="00C1740E"/>
    <w:rsid w:val="00C209AB"/>
    <w:rsid w:val="00C24E15"/>
    <w:rsid w:val="00C25973"/>
    <w:rsid w:val="00C25CBA"/>
    <w:rsid w:val="00C26C3B"/>
    <w:rsid w:val="00C2709F"/>
    <w:rsid w:val="00C279EF"/>
    <w:rsid w:val="00C30E7A"/>
    <w:rsid w:val="00C3245D"/>
    <w:rsid w:val="00C3297B"/>
    <w:rsid w:val="00C32F67"/>
    <w:rsid w:val="00C33406"/>
    <w:rsid w:val="00C3407C"/>
    <w:rsid w:val="00C3464E"/>
    <w:rsid w:val="00C36695"/>
    <w:rsid w:val="00C36B18"/>
    <w:rsid w:val="00C37A70"/>
    <w:rsid w:val="00C40C33"/>
    <w:rsid w:val="00C446CD"/>
    <w:rsid w:val="00C46FBF"/>
    <w:rsid w:val="00C518BC"/>
    <w:rsid w:val="00C57008"/>
    <w:rsid w:val="00C60F36"/>
    <w:rsid w:val="00C612D8"/>
    <w:rsid w:val="00C62628"/>
    <w:rsid w:val="00C82DA0"/>
    <w:rsid w:val="00C845E0"/>
    <w:rsid w:val="00C85383"/>
    <w:rsid w:val="00C866EC"/>
    <w:rsid w:val="00C92820"/>
    <w:rsid w:val="00C928E3"/>
    <w:rsid w:val="00C968A2"/>
    <w:rsid w:val="00C977FD"/>
    <w:rsid w:val="00CA2D70"/>
    <w:rsid w:val="00CA407E"/>
    <w:rsid w:val="00CA667E"/>
    <w:rsid w:val="00CB1F3F"/>
    <w:rsid w:val="00CB418D"/>
    <w:rsid w:val="00CB4C18"/>
    <w:rsid w:val="00CB63BE"/>
    <w:rsid w:val="00CB6DF4"/>
    <w:rsid w:val="00CB754A"/>
    <w:rsid w:val="00CC04D7"/>
    <w:rsid w:val="00CC0C0B"/>
    <w:rsid w:val="00CC1BBB"/>
    <w:rsid w:val="00CC621D"/>
    <w:rsid w:val="00CD00C4"/>
    <w:rsid w:val="00CD36B5"/>
    <w:rsid w:val="00CD399B"/>
    <w:rsid w:val="00CD4533"/>
    <w:rsid w:val="00CD4F35"/>
    <w:rsid w:val="00CD526E"/>
    <w:rsid w:val="00CE0333"/>
    <w:rsid w:val="00CE671C"/>
    <w:rsid w:val="00CF0388"/>
    <w:rsid w:val="00CF03B9"/>
    <w:rsid w:val="00CF216E"/>
    <w:rsid w:val="00CF34EB"/>
    <w:rsid w:val="00CF66DC"/>
    <w:rsid w:val="00D01F6C"/>
    <w:rsid w:val="00D02A9C"/>
    <w:rsid w:val="00D04F26"/>
    <w:rsid w:val="00D05DC7"/>
    <w:rsid w:val="00D11FA6"/>
    <w:rsid w:val="00D1587E"/>
    <w:rsid w:val="00D15D56"/>
    <w:rsid w:val="00D163F0"/>
    <w:rsid w:val="00D17270"/>
    <w:rsid w:val="00D174AD"/>
    <w:rsid w:val="00D17FCE"/>
    <w:rsid w:val="00D20181"/>
    <w:rsid w:val="00D2120D"/>
    <w:rsid w:val="00D22A94"/>
    <w:rsid w:val="00D233A2"/>
    <w:rsid w:val="00D24639"/>
    <w:rsid w:val="00D30F45"/>
    <w:rsid w:val="00D31296"/>
    <w:rsid w:val="00D345FE"/>
    <w:rsid w:val="00D34B3C"/>
    <w:rsid w:val="00D3502F"/>
    <w:rsid w:val="00D3503F"/>
    <w:rsid w:val="00D36208"/>
    <w:rsid w:val="00D3784D"/>
    <w:rsid w:val="00D40C68"/>
    <w:rsid w:val="00D41D00"/>
    <w:rsid w:val="00D42039"/>
    <w:rsid w:val="00D42EFA"/>
    <w:rsid w:val="00D43E83"/>
    <w:rsid w:val="00D45B73"/>
    <w:rsid w:val="00D45C6F"/>
    <w:rsid w:val="00D529C4"/>
    <w:rsid w:val="00D6137E"/>
    <w:rsid w:val="00D6148E"/>
    <w:rsid w:val="00D6244B"/>
    <w:rsid w:val="00D62C65"/>
    <w:rsid w:val="00D63A43"/>
    <w:rsid w:val="00D662EA"/>
    <w:rsid w:val="00D71DB9"/>
    <w:rsid w:val="00D71EE1"/>
    <w:rsid w:val="00D77028"/>
    <w:rsid w:val="00D8221E"/>
    <w:rsid w:val="00D82CFB"/>
    <w:rsid w:val="00D82DB2"/>
    <w:rsid w:val="00D83938"/>
    <w:rsid w:val="00D869A8"/>
    <w:rsid w:val="00D90F63"/>
    <w:rsid w:val="00D91BA6"/>
    <w:rsid w:val="00D9288F"/>
    <w:rsid w:val="00D938AB"/>
    <w:rsid w:val="00D97F75"/>
    <w:rsid w:val="00DA34AC"/>
    <w:rsid w:val="00DA61B4"/>
    <w:rsid w:val="00DA65D0"/>
    <w:rsid w:val="00DA7C76"/>
    <w:rsid w:val="00DB45FB"/>
    <w:rsid w:val="00DB541F"/>
    <w:rsid w:val="00DC0240"/>
    <w:rsid w:val="00DC13A8"/>
    <w:rsid w:val="00DD149B"/>
    <w:rsid w:val="00DD3273"/>
    <w:rsid w:val="00DE0C5E"/>
    <w:rsid w:val="00DE0D8D"/>
    <w:rsid w:val="00DE10BE"/>
    <w:rsid w:val="00DE3F18"/>
    <w:rsid w:val="00DE4FAA"/>
    <w:rsid w:val="00DE579F"/>
    <w:rsid w:val="00DE705B"/>
    <w:rsid w:val="00DF01ED"/>
    <w:rsid w:val="00DF0FDB"/>
    <w:rsid w:val="00DF5BD8"/>
    <w:rsid w:val="00E0134A"/>
    <w:rsid w:val="00E02180"/>
    <w:rsid w:val="00E05DB6"/>
    <w:rsid w:val="00E061CF"/>
    <w:rsid w:val="00E06F29"/>
    <w:rsid w:val="00E0791D"/>
    <w:rsid w:val="00E1168B"/>
    <w:rsid w:val="00E13E53"/>
    <w:rsid w:val="00E16C98"/>
    <w:rsid w:val="00E24308"/>
    <w:rsid w:val="00E24D2C"/>
    <w:rsid w:val="00E257BB"/>
    <w:rsid w:val="00E25929"/>
    <w:rsid w:val="00E27EC6"/>
    <w:rsid w:val="00E346D5"/>
    <w:rsid w:val="00E36112"/>
    <w:rsid w:val="00E37259"/>
    <w:rsid w:val="00E444CA"/>
    <w:rsid w:val="00E44548"/>
    <w:rsid w:val="00E4615B"/>
    <w:rsid w:val="00E46EF6"/>
    <w:rsid w:val="00E52D34"/>
    <w:rsid w:val="00E54FF8"/>
    <w:rsid w:val="00E613A5"/>
    <w:rsid w:val="00E629CA"/>
    <w:rsid w:val="00E72F11"/>
    <w:rsid w:val="00E7741A"/>
    <w:rsid w:val="00E77657"/>
    <w:rsid w:val="00E77E79"/>
    <w:rsid w:val="00E828A8"/>
    <w:rsid w:val="00E86C26"/>
    <w:rsid w:val="00E90B7A"/>
    <w:rsid w:val="00E95387"/>
    <w:rsid w:val="00EB0A9D"/>
    <w:rsid w:val="00EB202B"/>
    <w:rsid w:val="00EB389C"/>
    <w:rsid w:val="00EB48D9"/>
    <w:rsid w:val="00EB4BD1"/>
    <w:rsid w:val="00EB50C8"/>
    <w:rsid w:val="00EB61AA"/>
    <w:rsid w:val="00EB6487"/>
    <w:rsid w:val="00EB690B"/>
    <w:rsid w:val="00EC4771"/>
    <w:rsid w:val="00EC69B1"/>
    <w:rsid w:val="00ED1990"/>
    <w:rsid w:val="00ED216B"/>
    <w:rsid w:val="00ED3CA1"/>
    <w:rsid w:val="00ED3CCD"/>
    <w:rsid w:val="00ED445C"/>
    <w:rsid w:val="00EE2A14"/>
    <w:rsid w:val="00EE5285"/>
    <w:rsid w:val="00EE74D9"/>
    <w:rsid w:val="00EE765C"/>
    <w:rsid w:val="00EF019F"/>
    <w:rsid w:val="00EF1EF8"/>
    <w:rsid w:val="00EF25E1"/>
    <w:rsid w:val="00EF3875"/>
    <w:rsid w:val="00EF4F35"/>
    <w:rsid w:val="00EF55A5"/>
    <w:rsid w:val="00EF6D0D"/>
    <w:rsid w:val="00EF7899"/>
    <w:rsid w:val="00F0004B"/>
    <w:rsid w:val="00F00D46"/>
    <w:rsid w:val="00F01D7C"/>
    <w:rsid w:val="00F025D0"/>
    <w:rsid w:val="00F03E3D"/>
    <w:rsid w:val="00F049E0"/>
    <w:rsid w:val="00F07774"/>
    <w:rsid w:val="00F10546"/>
    <w:rsid w:val="00F10F44"/>
    <w:rsid w:val="00F12F80"/>
    <w:rsid w:val="00F1328B"/>
    <w:rsid w:val="00F15F89"/>
    <w:rsid w:val="00F17642"/>
    <w:rsid w:val="00F17901"/>
    <w:rsid w:val="00F24592"/>
    <w:rsid w:val="00F25BED"/>
    <w:rsid w:val="00F27DE7"/>
    <w:rsid w:val="00F315A6"/>
    <w:rsid w:val="00F32A42"/>
    <w:rsid w:val="00F32CE6"/>
    <w:rsid w:val="00F3595B"/>
    <w:rsid w:val="00F406AE"/>
    <w:rsid w:val="00F4125E"/>
    <w:rsid w:val="00F42201"/>
    <w:rsid w:val="00F438A0"/>
    <w:rsid w:val="00F453FB"/>
    <w:rsid w:val="00F52CA0"/>
    <w:rsid w:val="00F54745"/>
    <w:rsid w:val="00F638E3"/>
    <w:rsid w:val="00F6505E"/>
    <w:rsid w:val="00F65B06"/>
    <w:rsid w:val="00F66DAE"/>
    <w:rsid w:val="00F67C22"/>
    <w:rsid w:val="00F71FC4"/>
    <w:rsid w:val="00F736D9"/>
    <w:rsid w:val="00F73C34"/>
    <w:rsid w:val="00F74E9A"/>
    <w:rsid w:val="00F80C3D"/>
    <w:rsid w:val="00F852FE"/>
    <w:rsid w:val="00F85954"/>
    <w:rsid w:val="00F908D3"/>
    <w:rsid w:val="00F9608F"/>
    <w:rsid w:val="00F96EA2"/>
    <w:rsid w:val="00FA26E0"/>
    <w:rsid w:val="00FA43CE"/>
    <w:rsid w:val="00FA4A2E"/>
    <w:rsid w:val="00FA5F15"/>
    <w:rsid w:val="00FA737C"/>
    <w:rsid w:val="00FB127D"/>
    <w:rsid w:val="00FB1EEA"/>
    <w:rsid w:val="00FB2038"/>
    <w:rsid w:val="00FB51C6"/>
    <w:rsid w:val="00FB6BBA"/>
    <w:rsid w:val="00FC0F7F"/>
    <w:rsid w:val="00FC11F2"/>
    <w:rsid w:val="00FC19F1"/>
    <w:rsid w:val="00FC2B9F"/>
    <w:rsid w:val="00FC4381"/>
    <w:rsid w:val="00FC562C"/>
    <w:rsid w:val="00FD1CBD"/>
    <w:rsid w:val="00FD3852"/>
    <w:rsid w:val="00FD5CE3"/>
    <w:rsid w:val="00FD616C"/>
    <w:rsid w:val="00FD67CD"/>
    <w:rsid w:val="00FE1FF6"/>
    <w:rsid w:val="00FE40E2"/>
    <w:rsid w:val="00FE50CB"/>
    <w:rsid w:val="00FE5A37"/>
    <w:rsid w:val="00FE5F18"/>
    <w:rsid w:val="00FF1441"/>
    <w:rsid w:val="00FF2564"/>
    <w:rsid w:val="00FF4DC9"/>
    <w:rsid w:val="00FF5074"/>
    <w:rsid w:val="00FF74A6"/>
    <w:rsid w:val="00FF7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3F0A9B"/>
  <w15:chartTrackingRefBased/>
  <w15:docId w15:val="{8B453BD7-3C59-4AD0-8D97-EC04E1774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311"/>
    <w:rPr>
      <w:color w:val="0000FF"/>
      <w:u w:val="single"/>
    </w:rPr>
  </w:style>
  <w:style w:type="character" w:styleId="UnresolvedMention">
    <w:name w:val="Unresolved Mention"/>
    <w:basedOn w:val="DefaultParagraphFont"/>
    <w:uiPriority w:val="99"/>
    <w:semiHidden/>
    <w:unhideWhenUsed/>
    <w:rsid w:val="00BD387E"/>
    <w:rPr>
      <w:color w:val="605E5C"/>
      <w:shd w:val="clear" w:color="auto" w:fill="E1DFDD"/>
    </w:rPr>
  </w:style>
  <w:style w:type="character" w:styleId="Strong">
    <w:name w:val="Strong"/>
    <w:basedOn w:val="DefaultParagraphFont"/>
    <w:uiPriority w:val="22"/>
    <w:qFormat/>
    <w:rsid w:val="00500409"/>
    <w:rPr>
      <w:b/>
      <w:bCs/>
    </w:rPr>
  </w:style>
  <w:style w:type="paragraph" w:styleId="Header">
    <w:name w:val="header"/>
    <w:basedOn w:val="Normal"/>
    <w:link w:val="HeaderChar"/>
    <w:uiPriority w:val="99"/>
    <w:unhideWhenUsed/>
    <w:rsid w:val="00073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E96"/>
  </w:style>
  <w:style w:type="paragraph" w:styleId="Footer">
    <w:name w:val="footer"/>
    <w:basedOn w:val="Normal"/>
    <w:link w:val="FooterChar"/>
    <w:uiPriority w:val="99"/>
    <w:unhideWhenUsed/>
    <w:rsid w:val="00073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E96"/>
  </w:style>
  <w:style w:type="paragraph" w:styleId="ListParagraph">
    <w:name w:val="List Paragraph"/>
    <w:basedOn w:val="Normal"/>
    <w:uiPriority w:val="34"/>
    <w:qFormat/>
    <w:rsid w:val="00891D7C"/>
    <w:pPr>
      <w:ind w:left="720"/>
      <w:contextualSpacing/>
    </w:pPr>
  </w:style>
  <w:style w:type="paragraph" w:styleId="NormalWeb">
    <w:name w:val="Normal (Web)"/>
    <w:basedOn w:val="Normal"/>
    <w:uiPriority w:val="99"/>
    <w:unhideWhenUsed/>
    <w:rsid w:val="00CF34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124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9793">
      <w:bodyDiv w:val="1"/>
      <w:marLeft w:val="0"/>
      <w:marRight w:val="0"/>
      <w:marTop w:val="0"/>
      <w:marBottom w:val="0"/>
      <w:divBdr>
        <w:top w:val="none" w:sz="0" w:space="0" w:color="auto"/>
        <w:left w:val="none" w:sz="0" w:space="0" w:color="auto"/>
        <w:bottom w:val="none" w:sz="0" w:space="0" w:color="auto"/>
        <w:right w:val="none" w:sz="0" w:space="0" w:color="auto"/>
      </w:divBdr>
    </w:div>
    <w:div w:id="110249137">
      <w:bodyDiv w:val="1"/>
      <w:marLeft w:val="0"/>
      <w:marRight w:val="0"/>
      <w:marTop w:val="0"/>
      <w:marBottom w:val="0"/>
      <w:divBdr>
        <w:top w:val="none" w:sz="0" w:space="0" w:color="auto"/>
        <w:left w:val="none" w:sz="0" w:space="0" w:color="auto"/>
        <w:bottom w:val="none" w:sz="0" w:space="0" w:color="auto"/>
        <w:right w:val="none" w:sz="0" w:space="0" w:color="auto"/>
      </w:divBdr>
    </w:div>
    <w:div w:id="120658290">
      <w:bodyDiv w:val="1"/>
      <w:marLeft w:val="0"/>
      <w:marRight w:val="0"/>
      <w:marTop w:val="0"/>
      <w:marBottom w:val="0"/>
      <w:divBdr>
        <w:top w:val="none" w:sz="0" w:space="0" w:color="auto"/>
        <w:left w:val="none" w:sz="0" w:space="0" w:color="auto"/>
        <w:bottom w:val="none" w:sz="0" w:space="0" w:color="auto"/>
        <w:right w:val="none" w:sz="0" w:space="0" w:color="auto"/>
      </w:divBdr>
    </w:div>
    <w:div w:id="171379014">
      <w:bodyDiv w:val="1"/>
      <w:marLeft w:val="0"/>
      <w:marRight w:val="0"/>
      <w:marTop w:val="0"/>
      <w:marBottom w:val="0"/>
      <w:divBdr>
        <w:top w:val="none" w:sz="0" w:space="0" w:color="auto"/>
        <w:left w:val="none" w:sz="0" w:space="0" w:color="auto"/>
        <w:bottom w:val="none" w:sz="0" w:space="0" w:color="auto"/>
        <w:right w:val="none" w:sz="0" w:space="0" w:color="auto"/>
      </w:divBdr>
    </w:div>
    <w:div w:id="264584706">
      <w:bodyDiv w:val="1"/>
      <w:marLeft w:val="0"/>
      <w:marRight w:val="0"/>
      <w:marTop w:val="0"/>
      <w:marBottom w:val="0"/>
      <w:divBdr>
        <w:top w:val="none" w:sz="0" w:space="0" w:color="auto"/>
        <w:left w:val="none" w:sz="0" w:space="0" w:color="auto"/>
        <w:bottom w:val="none" w:sz="0" w:space="0" w:color="auto"/>
        <w:right w:val="none" w:sz="0" w:space="0" w:color="auto"/>
      </w:divBdr>
    </w:div>
    <w:div w:id="289214406">
      <w:bodyDiv w:val="1"/>
      <w:marLeft w:val="0"/>
      <w:marRight w:val="0"/>
      <w:marTop w:val="0"/>
      <w:marBottom w:val="0"/>
      <w:divBdr>
        <w:top w:val="none" w:sz="0" w:space="0" w:color="auto"/>
        <w:left w:val="none" w:sz="0" w:space="0" w:color="auto"/>
        <w:bottom w:val="none" w:sz="0" w:space="0" w:color="auto"/>
        <w:right w:val="none" w:sz="0" w:space="0" w:color="auto"/>
      </w:divBdr>
    </w:div>
    <w:div w:id="292907860">
      <w:bodyDiv w:val="1"/>
      <w:marLeft w:val="0"/>
      <w:marRight w:val="0"/>
      <w:marTop w:val="0"/>
      <w:marBottom w:val="0"/>
      <w:divBdr>
        <w:top w:val="none" w:sz="0" w:space="0" w:color="auto"/>
        <w:left w:val="none" w:sz="0" w:space="0" w:color="auto"/>
        <w:bottom w:val="none" w:sz="0" w:space="0" w:color="auto"/>
        <w:right w:val="none" w:sz="0" w:space="0" w:color="auto"/>
      </w:divBdr>
    </w:div>
    <w:div w:id="300694237">
      <w:bodyDiv w:val="1"/>
      <w:marLeft w:val="0"/>
      <w:marRight w:val="0"/>
      <w:marTop w:val="0"/>
      <w:marBottom w:val="0"/>
      <w:divBdr>
        <w:top w:val="none" w:sz="0" w:space="0" w:color="auto"/>
        <w:left w:val="none" w:sz="0" w:space="0" w:color="auto"/>
        <w:bottom w:val="none" w:sz="0" w:space="0" w:color="auto"/>
        <w:right w:val="none" w:sz="0" w:space="0" w:color="auto"/>
      </w:divBdr>
    </w:div>
    <w:div w:id="327680100">
      <w:bodyDiv w:val="1"/>
      <w:marLeft w:val="0"/>
      <w:marRight w:val="0"/>
      <w:marTop w:val="0"/>
      <w:marBottom w:val="0"/>
      <w:divBdr>
        <w:top w:val="none" w:sz="0" w:space="0" w:color="auto"/>
        <w:left w:val="none" w:sz="0" w:space="0" w:color="auto"/>
        <w:bottom w:val="none" w:sz="0" w:space="0" w:color="auto"/>
        <w:right w:val="none" w:sz="0" w:space="0" w:color="auto"/>
      </w:divBdr>
    </w:div>
    <w:div w:id="356396667">
      <w:bodyDiv w:val="1"/>
      <w:marLeft w:val="0"/>
      <w:marRight w:val="0"/>
      <w:marTop w:val="0"/>
      <w:marBottom w:val="0"/>
      <w:divBdr>
        <w:top w:val="none" w:sz="0" w:space="0" w:color="auto"/>
        <w:left w:val="none" w:sz="0" w:space="0" w:color="auto"/>
        <w:bottom w:val="none" w:sz="0" w:space="0" w:color="auto"/>
        <w:right w:val="none" w:sz="0" w:space="0" w:color="auto"/>
      </w:divBdr>
    </w:div>
    <w:div w:id="380861061">
      <w:bodyDiv w:val="1"/>
      <w:marLeft w:val="0"/>
      <w:marRight w:val="0"/>
      <w:marTop w:val="0"/>
      <w:marBottom w:val="0"/>
      <w:divBdr>
        <w:top w:val="none" w:sz="0" w:space="0" w:color="auto"/>
        <w:left w:val="none" w:sz="0" w:space="0" w:color="auto"/>
        <w:bottom w:val="none" w:sz="0" w:space="0" w:color="auto"/>
        <w:right w:val="none" w:sz="0" w:space="0" w:color="auto"/>
      </w:divBdr>
    </w:div>
    <w:div w:id="409812398">
      <w:bodyDiv w:val="1"/>
      <w:marLeft w:val="0"/>
      <w:marRight w:val="0"/>
      <w:marTop w:val="0"/>
      <w:marBottom w:val="0"/>
      <w:divBdr>
        <w:top w:val="none" w:sz="0" w:space="0" w:color="auto"/>
        <w:left w:val="none" w:sz="0" w:space="0" w:color="auto"/>
        <w:bottom w:val="none" w:sz="0" w:space="0" w:color="auto"/>
        <w:right w:val="none" w:sz="0" w:space="0" w:color="auto"/>
      </w:divBdr>
    </w:div>
    <w:div w:id="451098500">
      <w:bodyDiv w:val="1"/>
      <w:marLeft w:val="0"/>
      <w:marRight w:val="0"/>
      <w:marTop w:val="0"/>
      <w:marBottom w:val="0"/>
      <w:divBdr>
        <w:top w:val="none" w:sz="0" w:space="0" w:color="auto"/>
        <w:left w:val="none" w:sz="0" w:space="0" w:color="auto"/>
        <w:bottom w:val="none" w:sz="0" w:space="0" w:color="auto"/>
        <w:right w:val="none" w:sz="0" w:space="0" w:color="auto"/>
      </w:divBdr>
    </w:div>
    <w:div w:id="551116173">
      <w:bodyDiv w:val="1"/>
      <w:marLeft w:val="0"/>
      <w:marRight w:val="0"/>
      <w:marTop w:val="0"/>
      <w:marBottom w:val="0"/>
      <w:divBdr>
        <w:top w:val="none" w:sz="0" w:space="0" w:color="auto"/>
        <w:left w:val="none" w:sz="0" w:space="0" w:color="auto"/>
        <w:bottom w:val="none" w:sz="0" w:space="0" w:color="auto"/>
        <w:right w:val="none" w:sz="0" w:space="0" w:color="auto"/>
      </w:divBdr>
    </w:div>
    <w:div w:id="593588231">
      <w:bodyDiv w:val="1"/>
      <w:marLeft w:val="0"/>
      <w:marRight w:val="0"/>
      <w:marTop w:val="0"/>
      <w:marBottom w:val="0"/>
      <w:divBdr>
        <w:top w:val="none" w:sz="0" w:space="0" w:color="auto"/>
        <w:left w:val="none" w:sz="0" w:space="0" w:color="auto"/>
        <w:bottom w:val="none" w:sz="0" w:space="0" w:color="auto"/>
        <w:right w:val="none" w:sz="0" w:space="0" w:color="auto"/>
      </w:divBdr>
    </w:div>
    <w:div w:id="612785671">
      <w:bodyDiv w:val="1"/>
      <w:marLeft w:val="0"/>
      <w:marRight w:val="0"/>
      <w:marTop w:val="0"/>
      <w:marBottom w:val="0"/>
      <w:divBdr>
        <w:top w:val="none" w:sz="0" w:space="0" w:color="auto"/>
        <w:left w:val="none" w:sz="0" w:space="0" w:color="auto"/>
        <w:bottom w:val="none" w:sz="0" w:space="0" w:color="auto"/>
        <w:right w:val="none" w:sz="0" w:space="0" w:color="auto"/>
      </w:divBdr>
    </w:div>
    <w:div w:id="637492588">
      <w:bodyDiv w:val="1"/>
      <w:marLeft w:val="0"/>
      <w:marRight w:val="0"/>
      <w:marTop w:val="0"/>
      <w:marBottom w:val="0"/>
      <w:divBdr>
        <w:top w:val="none" w:sz="0" w:space="0" w:color="auto"/>
        <w:left w:val="none" w:sz="0" w:space="0" w:color="auto"/>
        <w:bottom w:val="none" w:sz="0" w:space="0" w:color="auto"/>
        <w:right w:val="none" w:sz="0" w:space="0" w:color="auto"/>
      </w:divBdr>
    </w:div>
    <w:div w:id="654187855">
      <w:bodyDiv w:val="1"/>
      <w:marLeft w:val="0"/>
      <w:marRight w:val="0"/>
      <w:marTop w:val="0"/>
      <w:marBottom w:val="0"/>
      <w:divBdr>
        <w:top w:val="none" w:sz="0" w:space="0" w:color="auto"/>
        <w:left w:val="none" w:sz="0" w:space="0" w:color="auto"/>
        <w:bottom w:val="none" w:sz="0" w:space="0" w:color="auto"/>
        <w:right w:val="none" w:sz="0" w:space="0" w:color="auto"/>
      </w:divBdr>
    </w:div>
    <w:div w:id="655299615">
      <w:bodyDiv w:val="1"/>
      <w:marLeft w:val="0"/>
      <w:marRight w:val="0"/>
      <w:marTop w:val="0"/>
      <w:marBottom w:val="0"/>
      <w:divBdr>
        <w:top w:val="none" w:sz="0" w:space="0" w:color="auto"/>
        <w:left w:val="none" w:sz="0" w:space="0" w:color="auto"/>
        <w:bottom w:val="none" w:sz="0" w:space="0" w:color="auto"/>
        <w:right w:val="none" w:sz="0" w:space="0" w:color="auto"/>
      </w:divBdr>
    </w:div>
    <w:div w:id="669797869">
      <w:bodyDiv w:val="1"/>
      <w:marLeft w:val="0"/>
      <w:marRight w:val="0"/>
      <w:marTop w:val="0"/>
      <w:marBottom w:val="0"/>
      <w:divBdr>
        <w:top w:val="none" w:sz="0" w:space="0" w:color="auto"/>
        <w:left w:val="none" w:sz="0" w:space="0" w:color="auto"/>
        <w:bottom w:val="none" w:sz="0" w:space="0" w:color="auto"/>
        <w:right w:val="none" w:sz="0" w:space="0" w:color="auto"/>
      </w:divBdr>
    </w:div>
    <w:div w:id="767772662">
      <w:bodyDiv w:val="1"/>
      <w:marLeft w:val="0"/>
      <w:marRight w:val="0"/>
      <w:marTop w:val="0"/>
      <w:marBottom w:val="0"/>
      <w:divBdr>
        <w:top w:val="none" w:sz="0" w:space="0" w:color="auto"/>
        <w:left w:val="none" w:sz="0" w:space="0" w:color="auto"/>
        <w:bottom w:val="none" w:sz="0" w:space="0" w:color="auto"/>
        <w:right w:val="none" w:sz="0" w:space="0" w:color="auto"/>
      </w:divBdr>
    </w:div>
    <w:div w:id="785001684">
      <w:bodyDiv w:val="1"/>
      <w:marLeft w:val="0"/>
      <w:marRight w:val="0"/>
      <w:marTop w:val="0"/>
      <w:marBottom w:val="0"/>
      <w:divBdr>
        <w:top w:val="none" w:sz="0" w:space="0" w:color="auto"/>
        <w:left w:val="none" w:sz="0" w:space="0" w:color="auto"/>
        <w:bottom w:val="none" w:sz="0" w:space="0" w:color="auto"/>
        <w:right w:val="none" w:sz="0" w:space="0" w:color="auto"/>
      </w:divBdr>
    </w:div>
    <w:div w:id="818837780">
      <w:bodyDiv w:val="1"/>
      <w:marLeft w:val="0"/>
      <w:marRight w:val="0"/>
      <w:marTop w:val="0"/>
      <w:marBottom w:val="0"/>
      <w:divBdr>
        <w:top w:val="none" w:sz="0" w:space="0" w:color="auto"/>
        <w:left w:val="none" w:sz="0" w:space="0" w:color="auto"/>
        <w:bottom w:val="none" w:sz="0" w:space="0" w:color="auto"/>
        <w:right w:val="none" w:sz="0" w:space="0" w:color="auto"/>
      </w:divBdr>
    </w:div>
    <w:div w:id="841507889">
      <w:bodyDiv w:val="1"/>
      <w:marLeft w:val="0"/>
      <w:marRight w:val="0"/>
      <w:marTop w:val="0"/>
      <w:marBottom w:val="0"/>
      <w:divBdr>
        <w:top w:val="none" w:sz="0" w:space="0" w:color="auto"/>
        <w:left w:val="none" w:sz="0" w:space="0" w:color="auto"/>
        <w:bottom w:val="none" w:sz="0" w:space="0" w:color="auto"/>
        <w:right w:val="none" w:sz="0" w:space="0" w:color="auto"/>
      </w:divBdr>
    </w:div>
    <w:div w:id="899824439">
      <w:bodyDiv w:val="1"/>
      <w:marLeft w:val="0"/>
      <w:marRight w:val="0"/>
      <w:marTop w:val="0"/>
      <w:marBottom w:val="0"/>
      <w:divBdr>
        <w:top w:val="none" w:sz="0" w:space="0" w:color="auto"/>
        <w:left w:val="none" w:sz="0" w:space="0" w:color="auto"/>
        <w:bottom w:val="none" w:sz="0" w:space="0" w:color="auto"/>
        <w:right w:val="none" w:sz="0" w:space="0" w:color="auto"/>
      </w:divBdr>
    </w:div>
    <w:div w:id="925306034">
      <w:bodyDiv w:val="1"/>
      <w:marLeft w:val="0"/>
      <w:marRight w:val="0"/>
      <w:marTop w:val="0"/>
      <w:marBottom w:val="0"/>
      <w:divBdr>
        <w:top w:val="none" w:sz="0" w:space="0" w:color="auto"/>
        <w:left w:val="none" w:sz="0" w:space="0" w:color="auto"/>
        <w:bottom w:val="none" w:sz="0" w:space="0" w:color="auto"/>
        <w:right w:val="none" w:sz="0" w:space="0" w:color="auto"/>
      </w:divBdr>
    </w:div>
    <w:div w:id="956641622">
      <w:bodyDiv w:val="1"/>
      <w:marLeft w:val="0"/>
      <w:marRight w:val="0"/>
      <w:marTop w:val="0"/>
      <w:marBottom w:val="0"/>
      <w:divBdr>
        <w:top w:val="none" w:sz="0" w:space="0" w:color="auto"/>
        <w:left w:val="none" w:sz="0" w:space="0" w:color="auto"/>
        <w:bottom w:val="none" w:sz="0" w:space="0" w:color="auto"/>
        <w:right w:val="none" w:sz="0" w:space="0" w:color="auto"/>
      </w:divBdr>
    </w:div>
    <w:div w:id="964240390">
      <w:bodyDiv w:val="1"/>
      <w:marLeft w:val="0"/>
      <w:marRight w:val="0"/>
      <w:marTop w:val="0"/>
      <w:marBottom w:val="0"/>
      <w:divBdr>
        <w:top w:val="none" w:sz="0" w:space="0" w:color="auto"/>
        <w:left w:val="none" w:sz="0" w:space="0" w:color="auto"/>
        <w:bottom w:val="none" w:sz="0" w:space="0" w:color="auto"/>
        <w:right w:val="none" w:sz="0" w:space="0" w:color="auto"/>
      </w:divBdr>
    </w:div>
    <w:div w:id="978338942">
      <w:bodyDiv w:val="1"/>
      <w:marLeft w:val="0"/>
      <w:marRight w:val="0"/>
      <w:marTop w:val="0"/>
      <w:marBottom w:val="0"/>
      <w:divBdr>
        <w:top w:val="none" w:sz="0" w:space="0" w:color="auto"/>
        <w:left w:val="none" w:sz="0" w:space="0" w:color="auto"/>
        <w:bottom w:val="none" w:sz="0" w:space="0" w:color="auto"/>
        <w:right w:val="none" w:sz="0" w:space="0" w:color="auto"/>
      </w:divBdr>
    </w:div>
    <w:div w:id="1023091214">
      <w:bodyDiv w:val="1"/>
      <w:marLeft w:val="0"/>
      <w:marRight w:val="0"/>
      <w:marTop w:val="0"/>
      <w:marBottom w:val="0"/>
      <w:divBdr>
        <w:top w:val="none" w:sz="0" w:space="0" w:color="auto"/>
        <w:left w:val="none" w:sz="0" w:space="0" w:color="auto"/>
        <w:bottom w:val="none" w:sz="0" w:space="0" w:color="auto"/>
        <w:right w:val="none" w:sz="0" w:space="0" w:color="auto"/>
      </w:divBdr>
    </w:div>
    <w:div w:id="1035153955">
      <w:bodyDiv w:val="1"/>
      <w:marLeft w:val="0"/>
      <w:marRight w:val="0"/>
      <w:marTop w:val="0"/>
      <w:marBottom w:val="0"/>
      <w:divBdr>
        <w:top w:val="none" w:sz="0" w:space="0" w:color="auto"/>
        <w:left w:val="none" w:sz="0" w:space="0" w:color="auto"/>
        <w:bottom w:val="none" w:sz="0" w:space="0" w:color="auto"/>
        <w:right w:val="none" w:sz="0" w:space="0" w:color="auto"/>
      </w:divBdr>
    </w:div>
    <w:div w:id="1052657334">
      <w:bodyDiv w:val="1"/>
      <w:marLeft w:val="0"/>
      <w:marRight w:val="0"/>
      <w:marTop w:val="0"/>
      <w:marBottom w:val="0"/>
      <w:divBdr>
        <w:top w:val="none" w:sz="0" w:space="0" w:color="auto"/>
        <w:left w:val="none" w:sz="0" w:space="0" w:color="auto"/>
        <w:bottom w:val="none" w:sz="0" w:space="0" w:color="auto"/>
        <w:right w:val="none" w:sz="0" w:space="0" w:color="auto"/>
      </w:divBdr>
    </w:div>
    <w:div w:id="1090732629">
      <w:bodyDiv w:val="1"/>
      <w:marLeft w:val="0"/>
      <w:marRight w:val="0"/>
      <w:marTop w:val="0"/>
      <w:marBottom w:val="0"/>
      <w:divBdr>
        <w:top w:val="none" w:sz="0" w:space="0" w:color="auto"/>
        <w:left w:val="none" w:sz="0" w:space="0" w:color="auto"/>
        <w:bottom w:val="none" w:sz="0" w:space="0" w:color="auto"/>
        <w:right w:val="none" w:sz="0" w:space="0" w:color="auto"/>
      </w:divBdr>
    </w:div>
    <w:div w:id="1128738163">
      <w:bodyDiv w:val="1"/>
      <w:marLeft w:val="0"/>
      <w:marRight w:val="0"/>
      <w:marTop w:val="0"/>
      <w:marBottom w:val="0"/>
      <w:divBdr>
        <w:top w:val="none" w:sz="0" w:space="0" w:color="auto"/>
        <w:left w:val="none" w:sz="0" w:space="0" w:color="auto"/>
        <w:bottom w:val="none" w:sz="0" w:space="0" w:color="auto"/>
        <w:right w:val="none" w:sz="0" w:space="0" w:color="auto"/>
      </w:divBdr>
    </w:div>
    <w:div w:id="1140928336">
      <w:bodyDiv w:val="1"/>
      <w:marLeft w:val="0"/>
      <w:marRight w:val="0"/>
      <w:marTop w:val="0"/>
      <w:marBottom w:val="0"/>
      <w:divBdr>
        <w:top w:val="none" w:sz="0" w:space="0" w:color="auto"/>
        <w:left w:val="none" w:sz="0" w:space="0" w:color="auto"/>
        <w:bottom w:val="none" w:sz="0" w:space="0" w:color="auto"/>
        <w:right w:val="none" w:sz="0" w:space="0" w:color="auto"/>
      </w:divBdr>
    </w:div>
    <w:div w:id="1186407784">
      <w:bodyDiv w:val="1"/>
      <w:marLeft w:val="0"/>
      <w:marRight w:val="0"/>
      <w:marTop w:val="0"/>
      <w:marBottom w:val="0"/>
      <w:divBdr>
        <w:top w:val="none" w:sz="0" w:space="0" w:color="auto"/>
        <w:left w:val="none" w:sz="0" w:space="0" w:color="auto"/>
        <w:bottom w:val="none" w:sz="0" w:space="0" w:color="auto"/>
        <w:right w:val="none" w:sz="0" w:space="0" w:color="auto"/>
      </w:divBdr>
    </w:div>
    <w:div w:id="1193959256">
      <w:bodyDiv w:val="1"/>
      <w:marLeft w:val="0"/>
      <w:marRight w:val="0"/>
      <w:marTop w:val="0"/>
      <w:marBottom w:val="0"/>
      <w:divBdr>
        <w:top w:val="none" w:sz="0" w:space="0" w:color="auto"/>
        <w:left w:val="none" w:sz="0" w:space="0" w:color="auto"/>
        <w:bottom w:val="none" w:sz="0" w:space="0" w:color="auto"/>
        <w:right w:val="none" w:sz="0" w:space="0" w:color="auto"/>
      </w:divBdr>
    </w:div>
    <w:div w:id="1234507550">
      <w:bodyDiv w:val="1"/>
      <w:marLeft w:val="0"/>
      <w:marRight w:val="0"/>
      <w:marTop w:val="0"/>
      <w:marBottom w:val="0"/>
      <w:divBdr>
        <w:top w:val="none" w:sz="0" w:space="0" w:color="auto"/>
        <w:left w:val="none" w:sz="0" w:space="0" w:color="auto"/>
        <w:bottom w:val="none" w:sz="0" w:space="0" w:color="auto"/>
        <w:right w:val="none" w:sz="0" w:space="0" w:color="auto"/>
      </w:divBdr>
    </w:div>
    <w:div w:id="1267536558">
      <w:bodyDiv w:val="1"/>
      <w:marLeft w:val="0"/>
      <w:marRight w:val="0"/>
      <w:marTop w:val="0"/>
      <w:marBottom w:val="0"/>
      <w:divBdr>
        <w:top w:val="none" w:sz="0" w:space="0" w:color="auto"/>
        <w:left w:val="none" w:sz="0" w:space="0" w:color="auto"/>
        <w:bottom w:val="none" w:sz="0" w:space="0" w:color="auto"/>
        <w:right w:val="none" w:sz="0" w:space="0" w:color="auto"/>
      </w:divBdr>
    </w:div>
    <w:div w:id="1272472119">
      <w:bodyDiv w:val="1"/>
      <w:marLeft w:val="0"/>
      <w:marRight w:val="0"/>
      <w:marTop w:val="0"/>
      <w:marBottom w:val="0"/>
      <w:divBdr>
        <w:top w:val="none" w:sz="0" w:space="0" w:color="auto"/>
        <w:left w:val="none" w:sz="0" w:space="0" w:color="auto"/>
        <w:bottom w:val="none" w:sz="0" w:space="0" w:color="auto"/>
        <w:right w:val="none" w:sz="0" w:space="0" w:color="auto"/>
      </w:divBdr>
    </w:div>
    <w:div w:id="1282616180">
      <w:bodyDiv w:val="1"/>
      <w:marLeft w:val="0"/>
      <w:marRight w:val="0"/>
      <w:marTop w:val="0"/>
      <w:marBottom w:val="0"/>
      <w:divBdr>
        <w:top w:val="none" w:sz="0" w:space="0" w:color="auto"/>
        <w:left w:val="none" w:sz="0" w:space="0" w:color="auto"/>
        <w:bottom w:val="none" w:sz="0" w:space="0" w:color="auto"/>
        <w:right w:val="none" w:sz="0" w:space="0" w:color="auto"/>
      </w:divBdr>
    </w:div>
    <w:div w:id="1286622590">
      <w:bodyDiv w:val="1"/>
      <w:marLeft w:val="0"/>
      <w:marRight w:val="0"/>
      <w:marTop w:val="0"/>
      <w:marBottom w:val="0"/>
      <w:divBdr>
        <w:top w:val="none" w:sz="0" w:space="0" w:color="auto"/>
        <w:left w:val="none" w:sz="0" w:space="0" w:color="auto"/>
        <w:bottom w:val="none" w:sz="0" w:space="0" w:color="auto"/>
        <w:right w:val="none" w:sz="0" w:space="0" w:color="auto"/>
      </w:divBdr>
    </w:div>
    <w:div w:id="1357317130">
      <w:bodyDiv w:val="1"/>
      <w:marLeft w:val="0"/>
      <w:marRight w:val="0"/>
      <w:marTop w:val="0"/>
      <w:marBottom w:val="0"/>
      <w:divBdr>
        <w:top w:val="none" w:sz="0" w:space="0" w:color="auto"/>
        <w:left w:val="none" w:sz="0" w:space="0" w:color="auto"/>
        <w:bottom w:val="none" w:sz="0" w:space="0" w:color="auto"/>
        <w:right w:val="none" w:sz="0" w:space="0" w:color="auto"/>
      </w:divBdr>
    </w:div>
    <w:div w:id="1394817493">
      <w:bodyDiv w:val="1"/>
      <w:marLeft w:val="0"/>
      <w:marRight w:val="0"/>
      <w:marTop w:val="0"/>
      <w:marBottom w:val="0"/>
      <w:divBdr>
        <w:top w:val="none" w:sz="0" w:space="0" w:color="auto"/>
        <w:left w:val="none" w:sz="0" w:space="0" w:color="auto"/>
        <w:bottom w:val="none" w:sz="0" w:space="0" w:color="auto"/>
        <w:right w:val="none" w:sz="0" w:space="0" w:color="auto"/>
      </w:divBdr>
    </w:div>
    <w:div w:id="1404333777">
      <w:bodyDiv w:val="1"/>
      <w:marLeft w:val="0"/>
      <w:marRight w:val="0"/>
      <w:marTop w:val="0"/>
      <w:marBottom w:val="0"/>
      <w:divBdr>
        <w:top w:val="none" w:sz="0" w:space="0" w:color="auto"/>
        <w:left w:val="none" w:sz="0" w:space="0" w:color="auto"/>
        <w:bottom w:val="none" w:sz="0" w:space="0" w:color="auto"/>
        <w:right w:val="none" w:sz="0" w:space="0" w:color="auto"/>
      </w:divBdr>
    </w:div>
    <w:div w:id="1431585777">
      <w:bodyDiv w:val="1"/>
      <w:marLeft w:val="0"/>
      <w:marRight w:val="0"/>
      <w:marTop w:val="0"/>
      <w:marBottom w:val="0"/>
      <w:divBdr>
        <w:top w:val="none" w:sz="0" w:space="0" w:color="auto"/>
        <w:left w:val="none" w:sz="0" w:space="0" w:color="auto"/>
        <w:bottom w:val="none" w:sz="0" w:space="0" w:color="auto"/>
        <w:right w:val="none" w:sz="0" w:space="0" w:color="auto"/>
      </w:divBdr>
    </w:div>
    <w:div w:id="1439985787">
      <w:bodyDiv w:val="1"/>
      <w:marLeft w:val="0"/>
      <w:marRight w:val="0"/>
      <w:marTop w:val="0"/>
      <w:marBottom w:val="0"/>
      <w:divBdr>
        <w:top w:val="none" w:sz="0" w:space="0" w:color="auto"/>
        <w:left w:val="none" w:sz="0" w:space="0" w:color="auto"/>
        <w:bottom w:val="none" w:sz="0" w:space="0" w:color="auto"/>
        <w:right w:val="none" w:sz="0" w:space="0" w:color="auto"/>
      </w:divBdr>
    </w:div>
    <w:div w:id="1475216189">
      <w:bodyDiv w:val="1"/>
      <w:marLeft w:val="0"/>
      <w:marRight w:val="0"/>
      <w:marTop w:val="0"/>
      <w:marBottom w:val="0"/>
      <w:divBdr>
        <w:top w:val="none" w:sz="0" w:space="0" w:color="auto"/>
        <w:left w:val="none" w:sz="0" w:space="0" w:color="auto"/>
        <w:bottom w:val="none" w:sz="0" w:space="0" w:color="auto"/>
        <w:right w:val="none" w:sz="0" w:space="0" w:color="auto"/>
      </w:divBdr>
    </w:div>
    <w:div w:id="1553885068">
      <w:bodyDiv w:val="1"/>
      <w:marLeft w:val="0"/>
      <w:marRight w:val="0"/>
      <w:marTop w:val="0"/>
      <w:marBottom w:val="0"/>
      <w:divBdr>
        <w:top w:val="none" w:sz="0" w:space="0" w:color="auto"/>
        <w:left w:val="none" w:sz="0" w:space="0" w:color="auto"/>
        <w:bottom w:val="none" w:sz="0" w:space="0" w:color="auto"/>
        <w:right w:val="none" w:sz="0" w:space="0" w:color="auto"/>
      </w:divBdr>
    </w:div>
    <w:div w:id="1598295212">
      <w:bodyDiv w:val="1"/>
      <w:marLeft w:val="0"/>
      <w:marRight w:val="0"/>
      <w:marTop w:val="0"/>
      <w:marBottom w:val="0"/>
      <w:divBdr>
        <w:top w:val="none" w:sz="0" w:space="0" w:color="auto"/>
        <w:left w:val="none" w:sz="0" w:space="0" w:color="auto"/>
        <w:bottom w:val="none" w:sz="0" w:space="0" w:color="auto"/>
        <w:right w:val="none" w:sz="0" w:space="0" w:color="auto"/>
      </w:divBdr>
    </w:div>
    <w:div w:id="1603756564">
      <w:bodyDiv w:val="1"/>
      <w:marLeft w:val="0"/>
      <w:marRight w:val="0"/>
      <w:marTop w:val="0"/>
      <w:marBottom w:val="0"/>
      <w:divBdr>
        <w:top w:val="none" w:sz="0" w:space="0" w:color="auto"/>
        <w:left w:val="none" w:sz="0" w:space="0" w:color="auto"/>
        <w:bottom w:val="none" w:sz="0" w:space="0" w:color="auto"/>
        <w:right w:val="none" w:sz="0" w:space="0" w:color="auto"/>
      </w:divBdr>
    </w:div>
    <w:div w:id="1605379201">
      <w:bodyDiv w:val="1"/>
      <w:marLeft w:val="0"/>
      <w:marRight w:val="0"/>
      <w:marTop w:val="0"/>
      <w:marBottom w:val="0"/>
      <w:divBdr>
        <w:top w:val="none" w:sz="0" w:space="0" w:color="auto"/>
        <w:left w:val="none" w:sz="0" w:space="0" w:color="auto"/>
        <w:bottom w:val="none" w:sz="0" w:space="0" w:color="auto"/>
        <w:right w:val="none" w:sz="0" w:space="0" w:color="auto"/>
      </w:divBdr>
    </w:div>
    <w:div w:id="1608928919">
      <w:bodyDiv w:val="1"/>
      <w:marLeft w:val="0"/>
      <w:marRight w:val="0"/>
      <w:marTop w:val="0"/>
      <w:marBottom w:val="0"/>
      <w:divBdr>
        <w:top w:val="none" w:sz="0" w:space="0" w:color="auto"/>
        <w:left w:val="none" w:sz="0" w:space="0" w:color="auto"/>
        <w:bottom w:val="none" w:sz="0" w:space="0" w:color="auto"/>
        <w:right w:val="none" w:sz="0" w:space="0" w:color="auto"/>
      </w:divBdr>
    </w:div>
    <w:div w:id="1682197198">
      <w:bodyDiv w:val="1"/>
      <w:marLeft w:val="0"/>
      <w:marRight w:val="0"/>
      <w:marTop w:val="0"/>
      <w:marBottom w:val="0"/>
      <w:divBdr>
        <w:top w:val="none" w:sz="0" w:space="0" w:color="auto"/>
        <w:left w:val="none" w:sz="0" w:space="0" w:color="auto"/>
        <w:bottom w:val="none" w:sz="0" w:space="0" w:color="auto"/>
        <w:right w:val="none" w:sz="0" w:space="0" w:color="auto"/>
      </w:divBdr>
    </w:div>
    <w:div w:id="1709913732">
      <w:bodyDiv w:val="1"/>
      <w:marLeft w:val="0"/>
      <w:marRight w:val="0"/>
      <w:marTop w:val="0"/>
      <w:marBottom w:val="0"/>
      <w:divBdr>
        <w:top w:val="none" w:sz="0" w:space="0" w:color="auto"/>
        <w:left w:val="none" w:sz="0" w:space="0" w:color="auto"/>
        <w:bottom w:val="none" w:sz="0" w:space="0" w:color="auto"/>
        <w:right w:val="none" w:sz="0" w:space="0" w:color="auto"/>
      </w:divBdr>
    </w:div>
    <w:div w:id="1738554555">
      <w:bodyDiv w:val="1"/>
      <w:marLeft w:val="0"/>
      <w:marRight w:val="0"/>
      <w:marTop w:val="0"/>
      <w:marBottom w:val="0"/>
      <w:divBdr>
        <w:top w:val="none" w:sz="0" w:space="0" w:color="auto"/>
        <w:left w:val="none" w:sz="0" w:space="0" w:color="auto"/>
        <w:bottom w:val="none" w:sz="0" w:space="0" w:color="auto"/>
        <w:right w:val="none" w:sz="0" w:space="0" w:color="auto"/>
      </w:divBdr>
    </w:div>
    <w:div w:id="1741057180">
      <w:bodyDiv w:val="1"/>
      <w:marLeft w:val="0"/>
      <w:marRight w:val="0"/>
      <w:marTop w:val="0"/>
      <w:marBottom w:val="0"/>
      <w:divBdr>
        <w:top w:val="none" w:sz="0" w:space="0" w:color="auto"/>
        <w:left w:val="none" w:sz="0" w:space="0" w:color="auto"/>
        <w:bottom w:val="none" w:sz="0" w:space="0" w:color="auto"/>
        <w:right w:val="none" w:sz="0" w:space="0" w:color="auto"/>
      </w:divBdr>
    </w:div>
    <w:div w:id="1757510660">
      <w:bodyDiv w:val="1"/>
      <w:marLeft w:val="0"/>
      <w:marRight w:val="0"/>
      <w:marTop w:val="0"/>
      <w:marBottom w:val="0"/>
      <w:divBdr>
        <w:top w:val="none" w:sz="0" w:space="0" w:color="auto"/>
        <w:left w:val="none" w:sz="0" w:space="0" w:color="auto"/>
        <w:bottom w:val="none" w:sz="0" w:space="0" w:color="auto"/>
        <w:right w:val="none" w:sz="0" w:space="0" w:color="auto"/>
      </w:divBdr>
    </w:div>
    <w:div w:id="1770002734">
      <w:bodyDiv w:val="1"/>
      <w:marLeft w:val="0"/>
      <w:marRight w:val="0"/>
      <w:marTop w:val="0"/>
      <w:marBottom w:val="0"/>
      <w:divBdr>
        <w:top w:val="none" w:sz="0" w:space="0" w:color="auto"/>
        <w:left w:val="none" w:sz="0" w:space="0" w:color="auto"/>
        <w:bottom w:val="none" w:sz="0" w:space="0" w:color="auto"/>
        <w:right w:val="none" w:sz="0" w:space="0" w:color="auto"/>
      </w:divBdr>
    </w:div>
    <w:div w:id="1777284625">
      <w:bodyDiv w:val="1"/>
      <w:marLeft w:val="0"/>
      <w:marRight w:val="0"/>
      <w:marTop w:val="0"/>
      <w:marBottom w:val="0"/>
      <w:divBdr>
        <w:top w:val="none" w:sz="0" w:space="0" w:color="auto"/>
        <w:left w:val="none" w:sz="0" w:space="0" w:color="auto"/>
        <w:bottom w:val="none" w:sz="0" w:space="0" w:color="auto"/>
        <w:right w:val="none" w:sz="0" w:space="0" w:color="auto"/>
      </w:divBdr>
    </w:div>
    <w:div w:id="1781608338">
      <w:bodyDiv w:val="1"/>
      <w:marLeft w:val="0"/>
      <w:marRight w:val="0"/>
      <w:marTop w:val="0"/>
      <w:marBottom w:val="0"/>
      <w:divBdr>
        <w:top w:val="none" w:sz="0" w:space="0" w:color="auto"/>
        <w:left w:val="none" w:sz="0" w:space="0" w:color="auto"/>
        <w:bottom w:val="none" w:sz="0" w:space="0" w:color="auto"/>
        <w:right w:val="none" w:sz="0" w:space="0" w:color="auto"/>
      </w:divBdr>
    </w:div>
    <w:div w:id="1808468613">
      <w:bodyDiv w:val="1"/>
      <w:marLeft w:val="0"/>
      <w:marRight w:val="0"/>
      <w:marTop w:val="0"/>
      <w:marBottom w:val="0"/>
      <w:divBdr>
        <w:top w:val="none" w:sz="0" w:space="0" w:color="auto"/>
        <w:left w:val="none" w:sz="0" w:space="0" w:color="auto"/>
        <w:bottom w:val="none" w:sz="0" w:space="0" w:color="auto"/>
        <w:right w:val="none" w:sz="0" w:space="0" w:color="auto"/>
      </w:divBdr>
    </w:div>
    <w:div w:id="1810702301">
      <w:bodyDiv w:val="1"/>
      <w:marLeft w:val="0"/>
      <w:marRight w:val="0"/>
      <w:marTop w:val="0"/>
      <w:marBottom w:val="0"/>
      <w:divBdr>
        <w:top w:val="none" w:sz="0" w:space="0" w:color="auto"/>
        <w:left w:val="none" w:sz="0" w:space="0" w:color="auto"/>
        <w:bottom w:val="none" w:sz="0" w:space="0" w:color="auto"/>
        <w:right w:val="none" w:sz="0" w:space="0" w:color="auto"/>
      </w:divBdr>
    </w:div>
    <w:div w:id="1810977356">
      <w:bodyDiv w:val="1"/>
      <w:marLeft w:val="0"/>
      <w:marRight w:val="0"/>
      <w:marTop w:val="0"/>
      <w:marBottom w:val="0"/>
      <w:divBdr>
        <w:top w:val="none" w:sz="0" w:space="0" w:color="auto"/>
        <w:left w:val="none" w:sz="0" w:space="0" w:color="auto"/>
        <w:bottom w:val="none" w:sz="0" w:space="0" w:color="auto"/>
        <w:right w:val="none" w:sz="0" w:space="0" w:color="auto"/>
      </w:divBdr>
    </w:div>
    <w:div w:id="1879273896">
      <w:bodyDiv w:val="1"/>
      <w:marLeft w:val="0"/>
      <w:marRight w:val="0"/>
      <w:marTop w:val="0"/>
      <w:marBottom w:val="0"/>
      <w:divBdr>
        <w:top w:val="none" w:sz="0" w:space="0" w:color="auto"/>
        <w:left w:val="none" w:sz="0" w:space="0" w:color="auto"/>
        <w:bottom w:val="none" w:sz="0" w:space="0" w:color="auto"/>
        <w:right w:val="none" w:sz="0" w:space="0" w:color="auto"/>
      </w:divBdr>
    </w:div>
    <w:div w:id="1930459382">
      <w:bodyDiv w:val="1"/>
      <w:marLeft w:val="0"/>
      <w:marRight w:val="0"/>
      <w:marTop w:val="0"/>
      <w:marBottom w:val="0"/>
      <w:divBdr>
        <w:top w:val="none" w:sz="0" w:space="0" w:color="auto"/>
        <w:left w:val="none" w:sz="0" w:space="0" w:color="auto"/>
        <w:bottom w:val="none" w:sz="0" w:space="0" w:color="auto"/>
        <w:right w:val="none" w:sz="0" w:space="0" w:color="auto"/>
      </w:divBdr>
    </w:div>
    <w:div w:id="1989899312">
      <w:bodyDiv w:val="1"/>
      <w:marLeft w:val="0"/>
      <w:marRight w:val="0"/>
      <w:marTop w:val="0"/>
      <w:marBottom w:val="0"/>
      <w:divBdr>
        <w:top w:val="none" w:sz="0" w:space="0" w:color="auto"/>
        <w:left w:val="none" w:sz="0" w:space="0" w:color="auto"/>
        <w:bottom w:val="none" w:sz="0" w:space="0" w:color="auto"/>
        <w:right w:val="none" w:sz="0" w:space="0" w:color="auto"/>
      </w:divBdr>
    </w:div>
    <w:div w:id="1995142558">
      <w:bodyDiv w:val="1"/>
      <w:marLeft w:val="0"/>
      <w:marRight w:val="0"/>
      <w:marTop w:val="0"/>
      <w:marBottom w:val="0"/>
      <w:divBdr>
        <w:top w:val="none" w:sz="0" w:space="0" w:color="auto"/>
        <w:left w:val="none" w:sz="0" w:space="0" w:color="auto"/>
        <w:bottom w:val="none" w:sz="0" w:space="0" w:color="auto"/>
        <w:right w:val="none" w:sz="0" w:space="0" w:color="auto"/>
      </w:divBdr>
    </w:div>
    <w:div w:id="2003073606">
      <w:bodyDiv w:val="1"/>
      <w:marLeft w:val="0"/>
      <w:marRight w:val="0"/>
      <w:marTop w:val="0"/>
      <w:marBottom w:val="0"/>
      <w:divBdr>
        <w:top w:val="none" w:sz="0" w:space="0" w:color="auto"/>
        <w:left w:val="none" w:sz="0" w:space="0" w:color="auto"/>
        <w:bottom w:val="none" w:sz="0" w:space="0" w:color="auto"/>
        <w:right w:val="none" w:sz="0" w:space="0" w:color="auto"/>
      </w:divBdr>
    </w:div>
    <w:div w:id="2010862497">
      <w:bodyDiv w:val="1"/>
      <w:marLeft w:val="0"/>
      <w:marRight w:val="0"/>
      <w:marTop w:val="0"/>
      <w:marBottom w:val="0"/>
      <w:divBdr>
        <w:top w:val="none" w:sz="0" w:space="0" w:color="auto"/>
        <w:left w:val="none" w:sz="0" w:space="0" w:color="auto"/>
        <w:bottom w:val="none" w:sz="0" w:space="0" w:color="auto"/>
        <w:right w:val="none" w:sz="0" w:space="0" w:color="auto"/>
      </w:divBdr>
    </w:div>
    <w:div w:id="2016882630">
      <w:bodyDiv w:val="1"/>
      <w:marLeft w:val="0"/>
      <w:marRight w:val="0"/>
      <w:marTop w:val="0"/>
      <w:marBottom w:val="0"/>
      <w:divBdr>
        <w:top w:val="none" w:sz="0" w:space="0" w:color="auto"/>
        <w:left w:val="none" w:sz="0" w:space="0" w:color="auto"/>
        <w:bottom w:val="none" w:sz="0" w:space="0" w:color="auto"/>
        <w:right w:val="none" w:sz="0" w:space="0" w:color="auto"/>
      </w:divBdr>
    </w:div>
    <w:div w:id="2019892082">
      <w:bodyDiv w:val="1"/>
      <w:marLeft w:val="0"/>
      <w:marRight w:val="0"/>
      <w:marTop w:val="0"/>
      <w:marBottom w:val="0"/>
      <w:divBdr>
        <w:top w:val="none" w:sz="0" w:space="0" w:color="auto"/>
        <w:left w:val="none" w:sz="0" w:space="0" w:color="auto"/>
        <w:bottom w:val="none" w:sz="0" w:space="0" w:color="auto"/>
        <w:right w:val="none" w:sz="0" w:space="0" w:color="auto"/>
      </w:divBdr>
    </w:div>
    <w:div w:id="2033139634">
      <w:bodyDiv w:val="1"/>
      <w:marLeft w:val="0"/>
      <w:marRight w:val="0"/>
      <w:marTop w:val="0"/>
      <w:marBottom w:val="0"/>
      <w:divBdr>
        <w:top w:val="none" w:sz="0" w:space="0" w:color="auto"/>
        <w:left w:val="none" w:sz="0" w:space="0" w:color="auto"/>
        <w:bottom w:val="none" w:sz="0" w:space="0" w:color="auto"/>
        <w:right w:val="none" w:sz="0" w:space="0" w:color="auto"/>
      </w:divBdr>
    </w:div>
    <w:div w:id="211289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proquest.com/docview/2550998129?accountid=130472"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3" ma:contentTypeDescription="Create a new document." ma:contentTypeScope="" ma:versionID="c2e74210189dafcfd4542bc0ad940614">
  <xsd:schema xmlns:xsd="http://www.w3.org/2001/XMLSchema" xmlns:xs="http://www.w3.org/2001/XMLSchema" xmlns:p="http://schemas.microsoft.com/office/2006/metadata/properties" xmlns:ns3="c3cf753b-860d-49c6-a1c8-3899c238fb54" xmlns:ns4="4ecf5373-daef-4c4f-aab9-16a3217b0a53" targetNamespace="http://schemas.microsoft.com/office/2006/metadata/properties" ma:root="true" ma:fieldsID="7048ef5351b1b691bb0d946869121b64" ns3:_="" ns4:_="">
    <xsd:import namespace="c3cf753b-860d-49c6-a1c8-3899c238fb54"/>
    <xsd:import namespace="4ecf5373-daef-4c4f-aab9-16a3217b0a5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Props1.xml><?xml version="1.0" encoding="utf-8"?>
<ds:datastoreItem xmlns:ds="http://schemas.openxmlformats.org/officeDocument/2006/customXml" ds:itemID="{7C4A211E-7868-4CE0-B7CB-EB5B7442DC9A}">
  <ds:schemaRefs>
    <ds:schemaRef ds:uri="http://schemas.microsoft.com/sharepoint/v3/contenttype/forms"/>
  </ds:schemaRefs>
</ds:datastoreItem>
</file>

<file path=customXml/itemProps2.xml><?xml version="1.0" encoding="utf-8"?>
<ds:datastoreItem xmlns:ds="http://schemas.openxmlformats.org/officeDocument/2006/customXml" ds:itemID="{6F23AA5F-36DC-4F9D-8BBD-4925D45CFF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cf753b-860d-49c6-a1c8-3899c238fb54"/>
    <ds:schemaRef ds:uri="4ecf5373-daef-4c4f-aab9-16a3217b0a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2D2EB0-3C52-47A2-B7E4-0FACFF28DAF7}">
  <ds:schemaRefs>
    <ds:schemaRef ds:uri="http://schemas.microsoft.com/office/2006/metadata/properties"/>
    <ds:schemaRef ds:uri="http://schemas.microsoft.com/office/infopath/2007/PartnerControls"/>
    <ds:schemaRef ds:uri="4ecf5373-daef-4c4f-aab9-16a3217b0a53"/>
  </ds:schemaRefs>
</ds:datastoreItem>
</file>

<file path=docProps/app.xml><?xml version="1.0" encoding="utf-8"?>
<Properties xmlns="http://schemas.openxmlformats.org/officeDocument/2006/extended-properties" xmlns:vt="http://schemas.openxmlformats.org/officeDocument/2006/docPropsVTypes">
  <Template>Normal</Template>
  <TotalTime>3061</TotalTime>
  <Pages>13</Pages>
  <Words>5782</Words>
  <Characters>32958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Mahoney, Lee</dc:creator>
  <cp:keywords/>
  <dc:description/>
  <cp:lastModifiedBy>Mahoney, Lee</cp:lastModifiedBy>
  <cp:revision>1008</cp:revision>
  <dcterms:created xsi:type="dcterms:W3CDTF">2023-04-09T07:20:00Z</dcterms:created>
  <dcterms:modified xsi:type="dcterms:W3CDTF">2023-07-30T15:50:00Z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2023-04-09T07:20:30Z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cda63af5-8fd2-4d6f-b639-05e31a8d1f5f</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