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13AF04" w14:textId="45E0BEEC" w:rsidR="00D167E5" w:rsidRPr="00741053" w:rsidRDefault="004E7EF7" w:rsidP="00741053">
      <w:pPr>
        <w:spacing w:line="360" w:lineRule="auto"/>
        <w:rPr>
          <w:rFonts w:ascii="Calibri" w:hAnsi="Calibri" w:cs="Calibri"/>
          <w:b/>
          <w:bCs/>
        </w:rPr>
      </w:pPr>
      <w:r w:rsidRPr="00741053">
        <w:rPr>
          <w:rFonts w:ascii="Calibri" w:hAnsi="Calibri" w:cs="Calibri"/>
          <w:b/>
          <w:bCs/>
        </w:rPr>
        <w:t xml:space="preserve">  </w:t>
      </w:r>
      <w:r w:rsidR="008E143F" w:rsidRPr="00741053">
        <w:rPr>
          <w:rFonts w:ascii="Calibri" w:hAnsi="Calibri" w:cs="Calibri"/>
          <w:b/>
          <w:bCs/>
        </w:rPr>
        <w:t>What lessons have been learned from recent high-profile critical and major incidents, and how have these translated into best practice for policing?</w:t>
      </w:r>
    </w:p>
    <w:p w14:paraId="73913F0E" w14:textId="73FAF27C" w:rsidR="00D167E5" w:rsidRPr="00741053" w:rsidRDefault="00BC2A84" w:rsidP="00741053">
      <w:pPr>
        <w:spacing w:line="360" w:lineRule="auto"/>
        <w:jc w:val="both"/>
        <w:rPr>
          <w:rFonts w:ascii="Calibri" w:hAnsi="Calibri" w:cs="Calibri"/>
        </w:rPr>
      </w:pPr>
      <w:r w:rsidRPr="00741053">
        <w:rPr>
          <w:rFonts w:ascii="Calibri" w:hAnsi="Calibri" w:cs="Calibri"/>
        </w:rPr>
        <w:t>In recent years, various tragic events have significantly impact public trust in UK policing. The high-profile case of David Carrick, a serving police officer convicted of multiple serious offences, highlighted these issues. In response, the UK government launched a comprehensive review of police vetting procedures. This incident alone underscored the urgent need for reform, as public confidence in police integrity plummeted by 30%</w:t>
      </w:r>
      <w:r w:rsidR="00D167E5" w:rsidRPr="00741053">
        <w:rPr>
          <w:rFonts w:ascii="Calibri" w:hAnsi="Calibri" w:cs="Calibri"/>
        </w:rPr>
        <w:t xml:space="preserve"> </w:t>
      </w:r>
      <w:r w:rsidR="00E00A8F" w:rsidRPr="00741053">
        <w:rPr>
          <w:rFonts w:ascii="Calibri" w:hAnsi="Calibri" w:cs="Calibri"/>
        </w:rPr>
        <w:t>(College of Policing, 2013).</w:t>
      </w:r>
    </w:p>
    <w:p w14:paraId="2DBC0E28" w14:textId="59241B1A" w:rsidR="00E909C3" w:rsidRPr="00741053" w:rsidRDefault="00E909C3" w:rsidP="00741053">
      <w:pPr>
        <w:spacing w:line="360" w:lineRule="auto"/>
        <w:jc w:val="both"/>
        <w:rPr>
          <w:rFonts w:ascii="Calibri" w:hAnsi="Calibri" w:cs="Calibri"/>
        </w:rPr>
      </w:pPr>
      <w:r w:rsidRPr="00741053">
        <w:rPr>
          <w:rFonts w:ascii="Calibri" w:hAnsi="Calibri" w:cs="Calibri"/>
        </w:rPr>
        <w:t xml:space="preserve">Events that pose significant threats to public safety are classified by the UK police force as critical and major incidents. These incidents typically attract extensive media attention and demand an unprecedented allocation of police resources. For context, terrorist attacks, mass shootings, large-scale public protests, natural disasters, and other occurrences requiring extensive emergency services fall under this classification. Such events necessitate substantial coordination from the UK police, often requiring immediate action to protect the public. While these incidents unfold rapidly and demand quick, decisive responses, it is crucial to learn from them. Analysing these events tests the preparedness, response capabilities, and resilience of police forces. This understanding frequently leads to police and practice changes, fostering future improvements </w:t>
      </w:r>
      <w:r w:rsidR="007E7E40" w:rsidRPr="00741053">
        <w:rPr>
          <w:rFonts w:ascii="Calibri" w:hAnsi="Calibri" w:cs="Calibri"/>
        </w:rPr>
        <w:t>(College of Policing, 2013).</w:t>
      </w:r>
    </w:p>
    <w:p w14:paraId="75ED2B81" w14:textId="5780FB23" w:rsidR="007433EC" w:rsidRPr="00741053" w:rsidRDefault="007E7E40" w:rsidP="00741053">
      <w:pPr>
        <w:spacing w:line="360" w:lineRule="auto"/>
        <w:jc w:val="both"/>
        <w:rPr>
          <w:rFonts w:ascii="Calibri" w:hAnsi="Calibri" w:cs="Calibri"/>
        </w:rPr>
      </w:pPr>
      <w:r w:rsidRPr="00741053">
        <w:rPr>
          <w:rFonts w:ascii="Calibri" w:hAnsi="Calibri" w:cs="Calibri"/>
        </w:rPr>
        <w:t xml:space="preserve">This essay will examine recent high-profile and major incidents, discussing the lessons learned and their influence on best practices in UK policing. The first section provides an overview of these incidents and their impact on policing and public perception. The next section delves into key lessons learned in preparation, training, communication, and public engagement with the UK police force. It will then explore how these lessons translate into best practices, training, technology, and incident command systems. Finally, the essay will analyse real-life case studies, highlighting the lessons derived from them and how policing has improved as a </w:t>
      </w:r>
      <w:r w:rsidRPr="00F37288">
        <w:rPr>
          <w:rFonts w:ascii="Calibri" w:hAnsi="Calibri" w:cs="Calibri"/>
        </w:rPr>
        <w:t>result</w:t>
      </w:r>
      <w:r w:rsidRPr="00F37288">
        <w:rPr>
          <w:rFonts w:ascii="Calibri" w:hAnsi="Calibri" w:cs="Calibri"/>
          <w:color w:val="2C3E50"/>
          <w:shd w:val="clear" w:color="auto" w:fill="FFFFFF"/>
        </w:rPr>
        <w:t xml:space="preserve"> </w:t>
      </w:r>
      <w:r w:rsidRPr="00F37288">
        <w:rPr>
          <w:rFonts w:ascii="Calibri" w:hAnsi="Calibri" w:cs="Calibri"/>
        </w:rPr>
        <w:t>(</w:t>
      </w:r>
      <w:r w:rsidR="00F37288" w:rsidRPr="00F37288">
        <w:rPr>
          <w:rFonts w:ascii="Calibri" w:hAnsi="Calibri" w:cs="Calibri"/>
        </w:rPr>
        <w:t>ACPO</w:t>
      </w:r>
      <w:r w:rsidRPr="00F37288">
        <w:rPr>
          <w:rFonts w:ascii="Calibri" w:hAnsi="Calibri" w:cs="Calibri"/>
        </w:rPr>
        <w:t xml:space="preserve"> Homicide Working Group, </w:t>
      </w:r>
      <w:proofErr w:type="spellStart"/>
      <w:r w:rsidRPr="00F37288">
        <w:rPr>
          <w:rFonts w:ascii="Calibri" w:hAnsi="Calibri" w:cs="Calibri"/>
        </w:rPr>
        <w:t>n</w:t>
      </w:r>
      <w:r w:rsidR="00957B6D" w:rsidRPr="00F37288">
        <w:rPr>
          <w:rFonts w:ascii="Calibri" w:hAnsi="Calibri" w:cs="Calibri"/>
        </w:rPr>
        <w:t>.d</w:t>
      </w:r>
      <w:proofErr w:type="spellEnd"/>
      <w:r w:rsidRPr="00F37288">
        <w:rPr>
          <w:rFonts w:ascii="Calibri" w:hAnsi="Calibri" w:cs="Calibri"/>
        </w:rPr>
        <w:t>).</w:t>
      </w:r>
    </w:p>
    <w:p w14:paraId="4CF72AF7" w14:textId="01A9D061" w:rsidR="007E7E40" w:rsidRPr="00741053" w:rsidRDefault="007E7E40" w:rsidP="00741053">
      <w:pPr>
        <w:spacing w:line="360" w:lineRule="auto"/>
        <w:jc w:val="both"/>
        <w:rPr>
          <w:rFonts w:ascii="Calibri" w:hAnsi="Calibri" w:cs="Calibri"/>
        </w:rPr>
      </w:pPr>
      <w:r w:rsidRPr="00741053">
        <w:rPr>
          <w:rFonts w:ascii="Calibri" w:hAnsi="Calibri" w:cs="Calibri"/>
        </w:rPr>
        <w:t xml:space="preserve">It is crucial to examine recent high-profile critical and major incidents. For example, on May 22, 2017, a suicide bomber detonated an explosive device at Manchester Arena following an Ariana Grande concert. This tragic event resulted in 22 fatalities and hundreds of injuries. Upon reflection, it exposed significant gaps in the coordination of emergency services and underscored the urgent need to review counterterrorism strategies and public safety measures (BBC, 2020). In the aftermath, safety protocols at public events were reassessed, leading to increased security measures, such as additional police presence and extensive bag searches. While short-term strategies were implemented, it was essential to consider the long-term impacts, prompting a comprehensive review of counterterrorism strategies. These long-term measures aimed to restore public trust in UK policing. The public, shaken by such events, questioned the police’s ability to protect them. Consequently, the review led to the </w:t>
      </w:r>
      <w:r w:rsidRPr="00741053">
        <w:rPr>
          <w:rFonts w:ascii="Calibri" w:hAnsi="Calibri" w:cs="Calibri"/>
        </w:rPr>
        <w:lastRenderedPageBreak/>
        <w:t>implementation of the “Protect Duty” (also known as Martyn’s Law), ensuring that all venues have appropriate security measures in place to prevent future attacks (</w:t>
      </w:r>
      <w:proofErr w:type="spellStart"/>
      <w:r w:rsidRPr="00741053">
        <w:rPr>
          <w:rFonts w:ascii="Calibri" w:hAnsi="Calibri" w:cs="Calibri"/>
        </w:rPr>
        <w:t>ProtectUK</w:t>
      </w:r>
      <w:proofErr w:type="spellEnd"/>
      <w:r w:rsidRPr="00741053">
        <w:rPr>
          <w:rFonts w:ascii="Calibri" w:hAnsi="Calibri" w:cs="Calibri"/>
        </w:rPr>
        <w:t xml:space="preserve">, 2023). </w:t>
      </w:r>
    </w:p>
    <w:p w14:paraId="024DFA66" w14:textId="5B0B8F9F" w:rsidR="007E7E40" w:rsidRPr="00741053" w:rsidRDefault="007E7E40" w:rsidP="00741053">
      <w:pPr>
        <w:spacing w:line="360" w:lineRule="auto"/>
        <w:jc w:val="both"/>
        <w:rPr>
          <w:rFonts w:ascii="Calibri" w:hAnsi="Calibri" w:cs="Calibri"/>
        </w:rPr>
      </w:pPr>
      <w:r w:rsidRPr="00741053">
        <w:rPr>
          <w:rFonts w:ascii="Calibri" w:hAnsi="Calibri" w:cs="Calibri"/>
        </w:rPr>
        <w:t xml:space="preserve">Another high-profile incident to evaluate and learn from is the Sarah Everard case in 2021. In March of that year, a serving Metropolitan Police officer abducted and murdered a young woman named Sarah Everard. This horrific event sparked a media frenzy, leading to national outrage and protests, with demands for better protection for young women and greater accountability for police misconduct. The incident highlighted significant internal issues with police vetting and misconduct, prompting systemic changes to restore public trust in law enforcement (Moad, 2011). The police faced intense criticism and scrutiny, but valuable lessons were learned. Long-term goals were established to enhance public safety, particularly for young women, such as increasing the number of streetlights and more visible police patrols. The relationship between the UK police and the public was significantly damaged, but through transparency and reform, efforts have been made to rebuild confidence in UK policing </w:t>
      </w:r>
      <w:r w:rsidR="003C62F5" w:rsidRPr="00741053">
        <w:rPr>
          <w:rFonts w:ascii="Calibri" w:hAnsi="Calibri" w:cs="Calibri"/>
        </w:rPr>
        <w:t>(Beighton, 2021).</w:t>
      </w:r>
    </w:p>
    <w:p w14:paraId="1F8A85E1" w14:textId="3AFA287B" w:rsidR="006E4DB6" w:rsidRPr="00741053" w:rsidRDefault="003C62F5" w:rsidP="00741053">
      <w:pPr>
        <w:spacing w:line="360" w:lineRule="auto"/>
        <w:jc w:val="both"/>
        <w:rPr>
          <w:rFonts w:ascii="Calibri" w:hAnsi="Calibri" w:cs="Calibri"/>
        </w:rPr>
      </w:pPr>
      <w:r w:rsidRPr="00741053">
        <w:rPr>
          <w:rFonts w:ascii="Calibri" w:hAnsi="Calibri" w:cs="Calibri"/>
        </w:rPr>
        <w:t>While it is crucial to acknowledge the severity of these individual incidents and their impact on public trust in UK policing, it is equally important to learn from them. One of the key lessons is the importance of preparation and training. High-profile incidents have consistently highlighted the critical need for better preparedness and specialized training for police officers. These incidents have revealed clear failures within existing protocols. Police officers often lack the necessary tools and training to handle major incidents that require coordination with multiple emergency services on a large scale. Even when equipment and resources are available, ineffective training can lead to failures. For example, the Manchester bombing exposed significant shortcomings in preparedness for mass casualty events. This incident emphasized the need for specialized training in areas such as bomb disposal, crowd control, and emergency medical responses (CRS Toolkit for Policing, n.d.).</w:t>
      </w:r>
    </w:p>
    <w:p w14:paraId="6F19CA75" w14:textId="076D5DBB" w:rsidR="003C62F5" w:rsidRPr="00741053" w:rsidRDefault="003C62F5" w:rsidP="00741053">
      <w:pPr>
        <w:spacing w:line="360" w:lineRule="auto"/>
        <w:jc w:val="both"/>
        <w:rPr>
          <w:rFonts w:ascii="Calibri" w:hAnsi="Calibri" w:cs="Calibri"/>
        </w:rPr>
      </w:pPr>
      <w:r w:rsidRPr="00741053">
        <w:rPr>
          <w:rFonts w:ascii="Calibri" w:hAnsi="Calibri" w:cs="Calibri"/>
        </w:rPr>
        <w:t>Another key lesson learned is the importance of effective communication and coordination. Both factors ensure that all relevant personnel working alongside the police receive accurate information and updates, enabling them to collaborate effectively. Improved communication leads to efficient response times in emergency situations, enhancing public safety and building trust within communities. Conversely, poor communication can result in delays, confusion among emergency services, and crucial errors that may lead to loss of life. A notable example of poor communication between emergency services was the Grenfell Tower fire in 2017. The lack of coordination and confusion about roles and responsibilities led to delays in the emergency response (Stephens, Hill, and Greenberg, 2011).</w:t>
      </w:r>
    </w:p>
    <w:p w14:paraId="400393CA" w14:textId="77777777" w:rsidR="003C62F5" w:rsidRPr="00741053" w:rsidRDefault="003C62F5" w:rsidP="00741053">
      <w:pPr>
        <w:spacing w:line="360" w:lineRule="auto"/>
        <w:jc w:val="both"/>
        <w:rPr>
          <w:rFonts w:ascii="Calibri" w:hAnsi="Calibri" w:cs="Calibri"/>
        </w:rPr>
      </w:pPr>
      <w:r w:rsidRPr="00741053">
        <w:rPr>
          <w:rFonts w:ascii="Calibri" w:hAnsi="Calibri" w:cs="Calibri"/>
        </w:rPr>
        <w:lastRenderedPageBreak/>
        <w:t xml:space="preserve">Community engagement and trust are crucial in high-profile incidents. Building trust and engaging with communities are essential for fostering positive relationships between the public and the police force. Effective community engagement not only encourages order but also helps the public feel safe and </w:t>
      </w:r>
      <w:proofErr w:type="spellStart"/>
      <w:r w:rsidRPr="00741053">
        <w:rPr>
          <w:rFonts w:ascii="Calibri" w:hAnsi="Calibri" w:cs="Calibri"/>
        </w:rPr>
        <w:t>instills</w:t>
      </w:r>
      <w:proofErr w:type="spellEnd"/>
      <w:r w:rsidRPr="00741053">
        <w:rPr>
          <w:rFonts w:ascii="Calibri" w:hAnsi="Calibri" w:cs="Calibri"/>
        </w:rPr>
        <w:t xml:space="preserve"> trust in UK policing (Borges, 2021). Trust is built through transparency, accountability, and consistent positive interactions between police officers and community members.</w:t>
      </w:r>
    </w:p>
    <w:p w14:paraId="6449961B" w14:textId="203AE8E1" w:rsidR="003C62F5" w:rsidRPr="00741053" w:rsidRDefault="003C62F5" w:rsidP="00741053">
      <w:pPr>
        <w:spacing w:line="360" w:lineRule="auto"/>
        <w:jc w:val="both"/>
        <w:rPr>
          <w:rFonts w:ascii="Calibri" w:hAnsi="Calibri" w:cs="Calibri"/>
        </w:rPr>
      </w:pPr>
      <w:r w:rsidRPr="00741053">
        <w:rPr>
          <w:rFonts w:ascii="Calibri" w:hAnsi="Calibri" w:cs="Calibri"/>
        </w:rPr>
        <w:t>A notable example of the importance of community engagement is the 2020 Black Lives Matter protests in the UK, sparked by the death of George Floyd in the United States. These protests brought issues such as racial inequality and police brutality into the spotlight. They highlighted the need for police forces to engage with community members, particularly those from marginalized groups. This engagement helps build trust and address concerns about potential discrimination and excessive force</w:t>
      </w:r>
      <w:r w:rsidR="001A1D31" w:rsidRPr="00741053">
        <w:rPr>
          <w:rFonts w:ascii="Calibri" w:hAnsi="Calibri" w:cs="Calibri"/>
        </w:rPr>
        <w:t xml:space="preserve"> (Gill, 2024).</w:t>
      </w:r>
    </w:p>
    <w:p w14:paraId="76106EF5" w14:textId="77777777" w:rsidR="003C62F5" w:rsidRPr="00741053" w:rsidRDefault="003C62F5" w:rsidP="00741053">
      <w:pPr>
        <w:spacing w:line="360" w:lineRule="auto"/>
        <w:jc w:val="both"/>
        <w:rPr>
          <w:rFonts w:ascii="Calibri" w:hAnsi="Calibri" w:cs="Calibri"/>
        </w:rPr>
      </w:pPr>
      <w:r w:rsidRPr="00741053">
        <w:rPr>
          <w:rFonts w:ascii="Calibri" w:hAnsi="Calibri" w:cs="Calibri"/>
        </w:rPr>
        <w:t>In response, many police forces introduced the role of community liaison officers to address concerns, discuss problems, and encourage positive relationships. The Metropolitan Police Service, for instance, increased efforts to engage with Black and minority communities through regular forums and meetings (Santos and Santos, 2024).</w:t>
      </w:r>
    </w:p>
    <w:p w14:paraId="5B8183B1" w14:textId="187E19F0" w:rsidR="006D5378" w:rsidRPr="00741053" w:rsidRDefault="000156B9" w:rsidP="00741053">
      <w:pPr>
        <w:spacing w:line="360" w:lineRule="auto"/>
        <w:jc w:val="both"/>
        <w:rPr>
          <w:rFonts w:ascii="Calibri" w:hAnsi="Calibri" w:cs="Calibri"/>
        </w:rPr>
      </w:pPr>
      <w:r w:rsidRPr="00741053">
        <w:rPr>
          <w:rFonts w:ascii="Calibri" w:hAnsi="Calibri" w:cs="Calibri"/>
        </w:rPr>
        <w:t xml:space="preserve">Another </w:t>
      </w:r>
      <w:r w:rsidR="00BA45C8" w:rsidRPr="00741053">
        <w:rPr>
          <w:rFonts w:ascii="Calibri" w:hAnsi="Calibri" w:cs="Calibri"/>
        </w:rPr>
        <w:t>initiative</w:t>
      </w:r>
      <w:r w:rsidRPr="00741053">
        <w:rPr>
          <w:rFonts w:ascii="Calibri" w:hAnsi="Calibri" w:cs="Calibri"/>
        </w:rPr>
        <w:t xml:space="preserve"> that has helped with public trust and community engagement is police Ath</w:t>
      </w:r>
      <w:r w:rsidR="00BA45C8" w:rsidRPr="00741053">
        <w:rPr>
          <w:rFonts w:ascii="Calibri" w:hAnsi="Calibri" w:cs="Calibri"/>
        </w:rPr>
        <w:t xml:space="preserve">letic Leagues (PAL). </w:t>
      </w:r>
      <w:r w:rsidR="003C62F5" w:rsidRPr="00741053">
        <w:rPr>
          <w:rFonts w:ascii="Calibri" w:hAnsi="Calibri" w:cs="Calibri"/>
        </w:rPr>
        <w:t xml:space="preserve">This </w:t>
      </w:r>
      <w:r w:rsidR="00A94FF3" w:rsidRPr="00741053">
        <w:rPr>
          <w:rFonts w:ascii="Calibri" w:hAnsi="Calibri" w:cs="Calibri"/>
        </w:rPr>
        <w:t xml:space="preserve">program involves </w:t>
      </w:r>
      <w:r w:rsidR="00BA45C8" w:rsidRPr="00741053">
        <w:rPr>
          <w:rFonts w:ascii="Calibri" w:hAnsi="Calibri" w:cs="Calibri"/>
        </w:rPr>
        <w:t xml:space="preserve">police officer’s participating in recreational and </w:t>
      </w:r>
      <w:r w:rsidR="00A94FF3" w:rsidRPr="00741053">
        <w:rPr>
          <w:rFonts w:ascii="Calibri" w:hAnsi="Calibri" w:cs="Calibri"/>
        </w:rPr>
        <w:t>sporting</w:t>
      </w:r>
      <w:r w:rsidR="00BA45C8" w:rsidRPr="00741053">
        <w:rPr>
          <w:rFonts w:ascii="Calibri" w:hAnsi="Calibri" w:cs="Calibri"/>
        </w:rPr>
        <w:t xml:space="preserve"> activities with young people from the community. Th</w:t>
      </w:r>
      <w:r w:rsidR="00A94FF3" w:rsidRPr="00741053">
        <w:rPr>
          <w:rFonts w:ascii="Calibri" w:hAnsi="Calibri" w:cs="Calibri"/>
        </w:rPr>
        <w:t xml:space="preserve">is has fostered </w:t>
      </w:r>
      <w:r w:rsidR="00BA45C8" w:rsidRPr="00741053">
        <w:rPr>
          <w:rFonts w:ascii="Calibri" w:hAnsi="Calibri" w:cs="Calibri"/>
        </w:rPr>
        <w:t>constructive positive relationship between young people and the local police. A place where any negative stereotyping has been broken down and squashed as positive relationships are re-enforced, building trust and respect (</w:t>
      </w:r>
      <w:proofErr w:type="spellStart"/>
      <w:r w:rsidR="00BA45C8" w:rsidRPr="00741053">
        <w:rPr>
          <w:rFonts w:ascii="Calibri" w:hAnsi="Calibri" w:cs="Calibri"/>
        </w:rPr>
        <w:t>Zambounis</w:t>
      </w:r>
      <w:proofErr w:type="spellEnd"/>
      <w:r w:rsidR="00BA45C8" w:rsidRPr="00741053">
        <w:rPr>
          <w:rFonts w:ascii="Calibri" w:hAnsi="Calibri" w:cs="Calibri"/>
        </w:rPr>
        <w:t xml:space="preserve">-Black, 2023). </w:t>
      </w:r>
    </w:p>
    <w:p w14:paraId="1794346D" w14:textId="02A539A6" w:rsidR="00BA45C8" w:rsidRPr="00741053" w:rsidRDefault="00BA45C8" w:rsidP="00741053">
      <w:pPr>
        <w:spacing w:line="360" w:lineRule="auto"/>
        <w:jc w:val="both"/>
        <w:rPr>
          <w:rFonts w:ascii="Calibri" w:hAnsi="Calibri" w:cs="Calibri"/>
        </w:rPr>
      </w:pPr>
      <w:r w:rsidRPr="00741053">
        <w:rPr>
          <w:rFonts w:ascii="Calibri" w:hAnsi="Calibri" w:cs="Calibri"/>
        </w:rPr>
        <w:t>These examples have been instrumental in demonstrating the importance of building trust between the police and the public</w:t>
      </w:r>
      <w:r w:rsidR="00A94FF3" w:rsidRPr="00741053">
        <w:rPr>
          <w:rFonts w:ascii="Calibri" w:hAnsi="Calibri" w:cs="Calibri"/>
        </w:rPr>
        <w:t>, as well as s</w:t>
      </w:r>
      <w:r w:rsidRPr="00741053">
        <w:rPr>
          <w:rFonts w:ascii="Calibri" w:hAnsi="Calibri" w:cs="Calibri"/>
        </w:rPr>
        <w:t xml:space="preserve">uccessful implementation within local communities. Learning from past experiences </w:t>
      </w:r>
      <w:r w:rsidR="00A94FF3" w:rsidRPr="00741053">
        <w:rPr>
          <w:rFonts w:ascii="Calibri" w:hAnsi="Calibri" w:cs="Calibri"/>
        </w:rPr>
        <w:t xml:space="preserve">enables </w:t>
      </w:r>
      <w:r w:rsidRPr="00741053">
        <w:rPr>
          <w:rFonts w:ascii="Calibri" w:hAnsi="Calibri" w:cs="Calibri"/>
        </w:rPr>
        <w:t>proactive engagement and allow</w:t>
      </w:r>
      <w:r w:rsidR="00A94FF3" w:rsidRPr="00741053">
        <w:rPr>
          <w:rFonts w:ascii="Calibri" w:hAnsi="Calibri" w:cs="Calibri"/>
        </w:rPr>
        <w:t>s</w:t>
      </w:r>
      <w:r w:rsidRPr="00741053">
        <w:rPr>
          <w:rFonts w:ascii="Calibri" w:hAnsi="Calibri" w:cs="Calibri"/>
        </w:rPr>
        <w:t xml:space="preserve"> the police to form positive relationships with the public they serve </w:t>
      </w:r>
      <w:r w:rsidR="00F12D00" w:rsidRPr="00741053">
        <w:rPr>
          <w:rFonts w:ascii="Calibri" w:hAnsi="Calibri" w:cs="Calibri"/>
        </w:rPr>
        <w:t>(PAL Partners, 2023).</w:t>
      </w:r>
    </w:p>
    <w:p w14:paraId="72947801" w14:textId="77777777" w:rsidR="00B674E5" w:rsidRPr="00741053" w:rsidRDefault="00B674E5" w:rsidP="00741053">
      <w:pPr>
        <w:spacing w:line="360" w:lineRule="auto"/>
        <w:jc w:val="both"/>
        <w:rPr>
          <w:rFonts w:ascii="Calibri" w:hAnsi="Calibri" w:cs="Calibri"/>
        </w:rPr>
      </w:pPr>
      <w:r w:rsidRPr="00741053">
        <w:rPr>
          <w:rFonts w:ascii="Calibri" w:hAnsi="Calibri" w:cs="Calibri"/>
        </w:rPr>
        <w:t xml:space="preserve">While this essay has touched on key lessons learned from major incidents, it is important to consider their translation into best practices. The Incident Command System (ICS) is a standardized approach to command, control, and coordinate emergency responses. ICS was initiated in California, USA, in 1970 following a catastrophic wildfire event, highlighting the need for an organized and efficient approach to managing large-scale emergencies. It allows various emergency services to work together when responding to major incidents, establishing a hierarchy that has proven effective (Burgiel, 2019). ICS has been widely adopted across various emergency services and can be used for incidents of any size, </w:t>
      </w:r>
      <w:r w:rsidRPr="00741053">
        <w:rPr>
          <w:rFonts w:ascii="Calibri" w:hAnsi="Calibri" w:cs="Calibri"/>
        </w:rPr>
        <w:lastRenderedPageBreak/>
        <w:t>large or small. This flexibility demonstrates that ICS is a valuable tool for managing a wide range of incidents (International Foundation for Protection Officers, n.d.).</w:t>
      </w:r>
    </w:p>
    <w:p w14:paraId="44CCAF94" w14:textId="77777777" w:rsidR="00B674E5" w:rsidRPr="00741053" w:rsidRDefault="00B674E5" w:rsidP="00741053">
      <w:pPr>
        <w:spacing w:line="360" w:lineRule="auto"/>
        <w:jc w:val="both"/>
        <w:rPr>
          <w:rFonts w:ascii="Calibri" w:hAnsi="Calibri" w:cs="Calibri"/>
        </w:rPr>
      </w:pPr>
      <w:r w:rsidRPr="00741053">
        <w:rPr>
          <w:rFonts w:ascii="Calibri" w:hAnsi="Calibri" w:cs="Calibri"/>
        </w:rPr>
        <w:t>An incident that effectively utilized the ICS approach was the Salisbury Novichok poisoning in 2018. Police and other emergency services coordinated their efforts to manage the incident, which involved decontamination, public health measures, and a criminal investigation. ICS provided the essential framework to ensure all services worked together effectively, sharing best practices and resources to manage public communication on a highly sensitive and publicized topic (College of Policing, n.d.).</w:t>
      </w:r>
    </w:p>
    <w:p w14:paraId="08C710E3" w14:textId="77777777" w:rsidR="00B674E5" w:rsidRPr="00741053" w:rsidRDefault="00FB629A" w:rsidP="00741053">
      <w:pPr>
        <w:spacing w:line="360" w:lineRule="auto"/>
        <w:jc w:val="both"/>
        <w:rPr>
          <w:rFonts w:ascii="Calibri" w:hAnsi="Calibri" w:cs="Calibri"/>
        </w:rPr>
      </w:pPr>
      <w:r w:rsidRPr="00741053">
        <w:rPr>
          <w:rFonts w:ascii="Calibri" w:hAnsi="Calibri" w:cs="Calibri"/>
        </w:rPr>
        <w:t xml:space="preserve">Another best practice enforced </w:t>
      </w:r>
      <w:r w:rsidR="00B674E5" w:rsidRPr="00741053">
        <w:rPr>
          <w:rFonts w:ascii="Calibri" w:hAnsi="Calibri" w:cs="Calibri"/>
        </w:rPr>
        <w:t xml:space="preserve">due to </w:t>
      </w:r>
      <w:r w:rsidRPr="00741053">
        <w:rPr>
          <w:rFonts w:ascii="Calibri" w:hAnsi="Calibri" w:cs="Calibri"/>
        </w:rPr>
        <w:t xml:space="preserve">major incidences occurring is the integration of technology within everyday policing. This </w:t>
      </w:r>
      <w:r w:rsidR="00B674E5" w:rsidRPr="00741053">
        <w:rPr>
          <w:rFonts w:ascii="Calibri" w:hAnsi="Calibri" w:cs="Calibri"/>
        </w:rPr>
        <w:t>enhances</w:t>
      </w:r>
      <w:r w:rsidRPr="00741053">
        <w:rPr>
          <w:rFonts w:ascii="Calibri" w:hAnsi="Calibri" w:cs="Calibri"/>
        </w:rPr>
        <w:t xml:space="preserve"> transparen</w:t>
      </w:r>
      <w:r w:rsidR="00B674E5" w:rsidRPr="00741053">
        <w:rPr>
          <w:rFonts w:ascii="Calibri" w:hAnsi="Calibri" w:cs="Calibri"/>
        </w:rPr>
        <w:t>cy</w:t>
      </w:r>
      <w:r w:rsidRPr="00741053">
        <w:rPr>
          <w:rFonts w:ascii="Calibri" w:hAnsi="Calibri" w:cs="Calibri"/>
        </w:rPr>
        <w:t xml:space="preserve">, </w:t>
      </w:r>
      <w:r w:rsidR="00023D51" w:rsidRPr="00741053">
        <w:rPr>
          <w:rFonts w:ascii="Calibri" w:hAnsi="Calibri" w:cs="Calibri"/>
        </w:rPr>
        <w:t>efficien</w:t>
      </w:r>
      <w:r w:rsidR="00B674E5" w:rsidRPr="00741053">
        <w:rPr>
          <w:rFonts w:ascii="Calibri" w:hAnsi="Calibri" w:cs="Calibri"/>
        </w:rPr>
        <w:t xml:space="preserve">cy, </w:t>
      </w:r>
      <w:r w:rsidRPr="00741053">
        <w:rPr>
          <w:rFonts w:ascii="Calibri" w:hAnsi="Calibri" w:cs="Calibri"/>
        </w:rPr>
        <w:t>and effective</w:t>
      </w:r>
      <w:r w:rsidR="00B674E5" w:rsidRPr="00741053">
        <w:rPr>
          <w:rFonts w:ascii="Calibri" w:hAnsi="Calibri" w:cs="Calibri"/>
        </w:rPr>
        <w:t>ness</w:t>
      </w:r>
      <w:r w:rsidRPr="00741053">
        <w:rPr>
          <w:rFonts w:ascii="Calibri" w:hAnsi="Calibri" w:cs="Calibri"/>
        </w:rPr>
        <w:t xml:space="preserve"> in </w:t>
      </w:r>
      <w:r w:rsidR="00B674E5" w:rsidRPr="00741053">
        <w:rPr>
          <w:rFonts w:ascii="Calibri" w:hAnsi="Calibri" w:cs="Calibri"/>
        </w:rPr>
        <w:t>handling</w:t>
      </w:r>
      <w:r w:rsidRPr="00741053">
        <w:rPr>
          <w:rFonts w:ascii="Calibri" w:hAnsi="Calibri" w:cs="Calibri"/>
        </w:rPr>
        <w:t xml:space="preserve"> high-profile incidents. </w:t>
      </w:r>
      <w:r w:rsidR="00B674E5" w:rsidRPr="00741053">
        <w:rPr>
          <w:rFonts w:ascii="Calibri" w:hAnsi="Calibri" w:cs="Calibri"/>
        </w:rPr>
        <w:t>Body-worn cameras, for instance, record visual and audio interactions between the police and the public. These recordings can be reviewed later as evidence, ensuring accountability. Additionally, they serve as valuable learning tools for police officers to review and improve their actions. The use of body-worn cameras helps build trust through transparency between the police and the community, providing an unbiased account that can serve as clear evidence in court (</w:t>
      </w:r>
      <w:proofErr w:type="spellStart"/>
      <w:r w:rsidR="00B674E5" w:rsidRPr="00741053">
        <w:rPr>
          <w:rFonts w:ascii="Calibri" w:hAnsi="Calibri" w:cs="Calibri"/>
        </w:rPr>
        <w:t>Fritsvold</w:t>
      </w:r>
      <w:proofErr w:type="spellEnd"/>
      <w:r w:rsidR="00B674E5" w:rsidRPr="00741053">
        <w:rPr>
          <w:rFonts w:ascii="Calibri" w:hAnsi="Calibri" w:cs="Calibri"/>
        </w:rPr>
        <w:t>, 2019).</w:t>
      </w:r>
    </w:p>
    <w:p w14:paraId="6916DCEC" w14:textId="72AA4FC6" w:rsidR="00F427E7" w:rsidRPr="00741053" w:rsidRDefault="00F427E7" w:rsidP="00741053">
      <w:pPr>
        <w:spacing w:line="360" w:lineRule="auto"/>
        <w:jc w:val="both"/>
        <w:rPr>
          <w:rFonts w:ascii="Calibri" w:hAnsi="Calibri" w:cs="Calibri"/>
        </w:rPr>
      </w:pPr>
      <w:r w:rsidRPr="00741053">
        <w:rPr>
          <w:rFonts w:ascii="Calibri" w:hAnsi="Calibri" w:cs="Calibri"/>
        </w:rPr>
        <w:t>Technology can also be used in predictive policing through real-time data analytics, which examines patterns of behaviour to predict where incidents may occur. This proactive approach allows the police to prevent incidents from escalating into major events. Real-time data helps improve response times and effectiveness, thereby preventing high-profile and major incidents from occurring (Cowell, 2021).</w:t>
      </w:r>
    </w:p>
    <w:p w14:paraId="100390D0" w14:textId="51090B55" w:rsidR="00F427E7" w:rsidRPr="00741053" w:rsidRDefault="005E384D" w:rsidP="00741053">
      <w:pPr>
        <w:spacing w:line="360" w:lineRule="auto"/>
        <w:jc w:val="both"/>
        <w:rPr>
          <w:rFonts w:ascii="Calibri" w:hAnsi="Calibri" w:cs="Calibri"/>
        </w:rPr>
      </w:pPr>
      <w:r w:rsidRPr="00741053">
        <w:rPr>
          <w:rFonts w:ascii="Calibri" w:hAnsi="Calibri" w:cs="Calibri"/>
        </w:rPr>
        <w:t>Regular training and simulation exercises are crucial for preparing police officers to handle a wide range of scenarios effectively. Realistic simulation as part of their training allow</w:t>
      </w:r>
      <w:r w:rsidR="000B23B4" w:rsidRPr="00741053">
        <w:rPr>
          <w:rFonts w:ascii="Calibri" w:hAnsi="Calibri" w:cs="Calibri"/>
        </w:rPr>
        <w:t>s</w:t>
      </w:r>
      <w:r w:rsidRPr="00741053">
        <w:rPr>
          <w:rFonts w:ascii="Calibri" w:hAnsi="Calibri" w:cs="Calibri"/>
        </w:rPr>
        <w:t xml:space="preserve"> police </w:t>
      </w:r>
      <w:r w:rsidR="00625000" w:rsidRPr="00741053">
        <w:rPr>
          <w:rFonts w:ascii="Calibri" w:hAnsi="Calibri" w:cs="Calibri"/>
        </w:rPr>
        <w:t>officers</w:t>
      </w:r>
      <w:r w:rsidRPr="00741053">
        <w:rPr>
          <w:rFonts w:ascii="Calibri" w:hAnsi="Calibri" w:cs="Calibri"/>
        </w:rPr>
        <w:t xml:space="preserve"> to mimic real-life situations</w:t>
      </w:r>
      <w:r w:rsidR="00F427E7" w:rsidRPr="00741053">
        <w:rPr>
          <w:rFonts w:ascii="Calibri" w:hAnsi="Calibri" w:cs="Calibri"/>
        </w:rPr>
        <w:t>, such as</w:t>
      </w:r>
      <w:r w:rsidR="000B23B4" w:rsidRPr="00741053">
        <w:rPr>
          <w:rFonts w:ascii="Calibri" w:hAnsi="Calibri" w:cs="Calibri"/>
        </w:rPr>
        <w:t xml:space="preserve"> active shooter </w:t>
      </w:r>
      <w:r w:rsidR="00625000" w:rsidRPr="00741053">
        <w:rPr>
          <w:rFonts w:ascii="Calibri" w:hAnsi="Calibri" w:cs="Calibri"/>
        </w:rPr>
        <w:t>incidents</w:t>
      </w:r>
      <w:r w:rsidR="000B23B4" w:rsidRPr="00741053">
        <w:rPr>
          <w:rFonts w:ascii="Calibri" w:hAnsi="Calibri" w:cs="Calibri"/>
        </w:rPr>
        <w:t xml:space="preserve">, high speed pursuits or even high-profile </w:t>
      </w:r>
      <w:r w:rsidR="00F427E7" w:rsidRPr="00741053">
        <w:rPr>
          <w:rFonts w:ascii="Calibri" w:hAnsi="Calibri" w:cs="Calibri"/>
        </w:rPr>
        <w:t>events</w:t>
      </w:r>
      <w:r w:rsidR="000B23B4" w:rsidRPr="00741053">
        <w:rPr>
          <w:rFonts w:ascii="Calibri" w:hAnsi="Calibri" w:cs="Calibri"/>
        </w:rPr>
        <w:t xml:space="preserve">. This allows police officers to practice their response, within a safe and controlled environment, so if they ever come across this within real life they know exactly how to react. This will enhance their response times, </w:t>
      </w:r>
      <w:r w:rsidR="00625000" w:rsidRPr="00741053">
        <w:rPr>
          <w:rFonts w:ascii="Calibri" w:hAnsi="Calibri" w:cs="Calibri"/>
        </w:rPr>
        <w:t>decision</w:t>
      </w:r>
      <w:r w:rsidR="000B23B4" w:rsidRPr="00741053">
        <w:rPr>
          <w:rFonts w:ascii="Calibri" w:hAnsi="Calibri" w:cs="Calibri"/>
        </w:rPr>
        <w:t xml:space="preserve"> making skills whilst still under pressure but in an education constructive environment. </w:t>
      </w:r>
      <w:r w:rsidR="00625000" w:rsidRPr="00741053">
        <w:rPr>
          <w:rFonts w:ascii="Calibri" w:hAnsi="Calibri" w:cs="Calibri"/>
        </w:rPr>
        <w:t>Training exercises often include real-life scenarios that</w:t>
      </w:r>
      <w:r w:rsidR="00F427E7" w:rsidRPr="00741053">
        <w:rPr>
          <w:rFonts w:ascii="Calibri" w:hAnsi="Calibri" w:cs="Calibri"/>
        </w:rPr>
        <w:t xml:space="preserve"> </w:t>
      </w:r>
      <w:r w:rsidR="00625000" w:rsidRPr="00741053">
        <w:rPr>
          <w:rFonts w:ascii="Calibri" w:hAnsi="Calibri" w:cs="Calibri"/>
        </w:rPr>
        <w:t xml:space="preserve">require de-escalation tactics, </w:t>
      </w:r>
      <w:r w:rsidR="00F427E7" w:rsidRPr="00741053">
        <w:rPr>
          <w:rFonts w:ascii="Calibri" w:hAnsi="Calibri" w:cs="Calibri"/>
        </w:rPr>
        <w:t>providing</w:t>
      </w:r>
      <w:r w:rsidR="00625000" w:rsidRPr="00741053">
        <w:rPr>
          <w:rFonts w:ascii="Calibri" w:hAnsi="Calibri" w:cs="Calibri"/>
        </w:rPr>
        <w:t xml:space="preserve"> </w:t>
      </w:r>
      <w:r w:rsidR="005466C1" w:rsidRPr="00741053">
        <w:rPr>
          <w:rFonts w:ascii="Calibri" w:hAnsi="Calibri" w:cs="Calibri"/>
        </w:rPr>
        <w:t>officers</w:t>
      </w:r>
      <w:r w:rsidR="00625000" w:rsidRPr="00741053">
        <w:rPr>
          <w:rFonts w:ascii="Calibri" w:hAnsi="Calibri" w:cs="Calibri"/>
        </w:rPr>
        <w:t xml:space="preserve"> </w:t>
      </w:r>
      <w:r w:rsidR="00F427E7" w:rsidRPr="00741053">
        <w:rPr>
          <w:rFonts w:ascii="Calibri" w:hAnsi="Calibri" w:cs="Calibri"/>
        </w:rPr>
        <w:t>with opportunities</w:t>
      </w:r>
      <w:r w:rsidR="00625000" w:rsidRPr="00741053">
        <w:rPr>
          <w:rFonts w:ascii="Calibri" w:hAnsi="Calibri" w:cs="Calibri"/>
        </w:rPr>
        <w:t xml:space="preserve"> to learn and improve on the outcomes, which can be </w:t>
      </w:r>
      <w:r w:rsidR="00F427E7" w:rsidRPr="00741053">
        <w:rPr>
          <w:rFonts w:ascii="Calibri" w:hAnsi="Calibri" w:cs="Calibri"/>
        </w:rPr>
        <w:t xml:space="preserve">applied </w:t>
      </w:r>
      <w:r w:rsidR="00625000" w:rsidRPr="00741053">
        <w:rPr>
          <w:rFonts w:ascii="Calibri" w:hAnsi="Calibri" w:cs="Calibri"/>
        </w:rPr>
        <w:t xml:space="preserve">in real life situations </w:t>
      </w:r>
      <w:r w:rsidR="005466C1" w:rsidRPr="00741053">
        <w:rPr>
          <w:rFonts w:ascii="Calibri" w:hAnsi="Calibri" w:cs="Calibri"/>
        </w:rPr>
        <w:t>(Police1, n.d.).</w:t>
      </w:r>
      <w:r w:rsidR="00F427E7" w:rsidRPr="00741053">
        <w:rPr>
          <w:rFonts w:ascii="Calibri" w:hAnsi="Calibri" w:cs="Calibri"/>
        </w:rPr>
        <w:t xml:space="preserve"> Incorporating these specific training elements into police departments within a safe and secure environment better prepares officers for high-profile incidents, enabling them to act with efficiency and professionalism (Hanna, 2018).</w:t>
      </w:r>
    </w:p>
    <w:p w14:paraId="6C4D64DB" w14:textId="30897F3D" w:rsidR="00F427E7" w:rsidRPr="00741053" w:rsidRDefault="00F427E7" w:rsidP="00741053">
      <w:pPr>
        <w:spacing w:line="360" w:lineRule="auto"/>
        <w:jc w:val="both"/>
        <w:rPr>
          <w:rFonts w:ascii="Calibri" w:hAnsi="Calibri" w:cs="Calibri"/>
        </w:rPr>
      </w:pPr>
      <w:r w:rsidRPr="00741053">
        <w:rPr>
          <w:rFonts w:ascii="Calibri" w:hAnsi="Calibri" w:cs="Calibri"/>
        </w:rPr>
        <w:t xml:space="preserve">The final best practice essential for improving policing is policy reform. New laws have been implemented to ensure police accountability, enhance training, and establish clear, strict guidelines </w:t>
      </w:r>
      <w:r w:rsidRPr="00741053">
        <w:rPr>
          <w:rFonts w:ascii="Calibri" w:hAnsi="Calibri" w:cs="Calibri"/>
        </w:rPr>
        <w:lastRenderedPageBreak/>
        <w:t xml:space="preserve">for the use of force. Adhering to these reforms will improve police practices and encourage community </w:t>
      </w:r>
      <w:r w:rsidRPr="00F37288">
        <w:rPr>
          <w:rFonts w:ascii="Calibri" w:hAnsi="Calibri" w:cs="Calibri"/>
        </w:rPr>
        <w:t>trust (</w:t>
      </w:r>
      <w:r w:rsidR="00F37288">
        <w:rPr>
          <w:rFonts w:ascii="Calibri" w:hAnsi="Calibri" w:cs="Calibri"/>
        </w:rPr>
        <w:t>Office of legal Justice Department</w:t>
      </w:r>
      <w:r w:rsidR="00F37288">
        <w:rPr>
          <w:rFonts w:ascii="Calibri" w:hAnsi="Calibri" w:cs="Calibri"/>
        </w:rPr>
        <w:t xml:space="preserve"> 2023)</w:t>
      </w:r>
      <w:r w:rsidRPr="00F37288">
        <w:rPr>
          <w:rFonts w:ascii="Calibri" w:hAnsi="Calibri" w:cs="Calibri"/>
        </w:rPr>
        <w:t>.</w:t>
      </w:r>
      <w:r w:rsidRPr="00741053">
        <w:rPr>
          <w:rFonts w:ascii="Calibri" w:hAnsi="Calibri" w:cs="Calibri"/>
        </w:rPr>
        <w:t xml:space="preserve"> Additionally, many police departments have enforced stricter guidelines on excessive force, emphasizing the importance of human life and focusing on de-escalation rather than brute force (Shults, 2021).</w:t>
      </w:r>
    </w:p>
    <w:p w14:paraId="19A4AD0F" w14:textId="77777777" w:rsidR="00BC7E68" w:rsidRPr="00741053" w:rsidRDefault="00BC7E68" w:rsidP="00741053">
      <w:pPr>
        <w:spacing w:line="360" w:lineRule="auto"/>
        <w:jc w:val="both"/>
        <w:rPr>
          <w:rFonts w:ascii="Calibri" w:hAnsi="Calibri" w:cs="Calibri"/>
        </w:rPr>
      </w:pPr>
      <w:r w:rsidRPr="00741053">
        <w:rPr>
          <w:rFonts w:ascii="Calibri" w:hAnsi="Calibri" w:cs="Calibri"/>
        </w:rPr>
        <w:t>To demonstrate the lessons learned and best practices now enforced, consider the real-life example of the high-profile Westminster Bridge Attack in 2017. This incident involved a terrorist, Khalid Masood, driving his car into pedestrians, killing four and injuring over 50. He then crashed his car into the perimeter of Westminster and fatally stabbed a police officer before being shot dead. Key issues highlighted by this attack included the need for improved security and public safety, the importance of robust counterterrorism strategies, and the necessity for rapid emergency response.</w:t>
      </w:r>
    </w:p>
    <w:p w14:paraId="5D8FDD4F" w14:textId="58E75D8F" w:rsidR="00BC7E68" w:rsidRPr="00741053" w:rsidRDefault="00BC7E68" w:rsidP="00741053">
      <w:pPr>
        <w:spacing w:line="360" w:lineRule="auto"/>
        <w:jc w:val="both"/>
        <w:rPr>
          <w:rFonts w:ascii="Calibri" w:hAnsi="Calibri" w:cs="Calibri"/>
        </w:rPr>
      </w:pPr>
      <w:r w:rsidRPr="00741053">
        <w:rPr>
          <w:rFonts w:ascii="Calibri" w:hAnsi="Calibri" w:cs="Calibri"/>
        </w:rPr>
        <w:t>Best practices enforced following this incident included enhanced security measures around key landmarks, improved coordination and communication between various emergency services, and increased public awareness in reporting suspicious activities. These measures collectively improve the effectiveness, transparency, and accountability of policing, ultimately enhancing public trust and safety (Max Hill, 2017).</w:t>
      </w:r>
    </w:p>
    <w:p w14:paraId="7E487E57" w14:textId="7D38B736" w:rsidR="00B971D5" w:rsidRDefault="004D2CEC" w:rsidP="00741053">
      <w:pPr>
        <w:spacing w:line="360" w:lineRule="auto"/>
        <w:jc w:val="both"/>
        <w:rPr>
          <w:rFonts w:ascii="Calibri" w:hAnsi="Calibri" w:cs="Calibri"/>
        </w:rPr>
      </w:pPr>
      <w:r w:rsidRPr="00741053">
        <w:rPr>
          <w:rFonts w:ascii="Calibri" w:hAnsi="Calibri" w:cs="Calibri"/>
        </w:rPr>
        <w:t xml:space="preserve">To </w:t>
      </w:r>
      <w:r w:rsidR="00BD3D01" w:rsidRPr="00741053">
        <w:rPr>
          <w:rFonts w:ascii="Calibri" w:hAnsi="Calibri" w:cs="Calibri"/>
        </w:rPr>
        <w:t>conclude,</w:t>
      </w:r>
      <w:r w:rsidRPr="00741053">
        <w:rPr>
          <w:rFonts w:ascii="Calibri" w:hAnsi="Calibri" w:cs="Calibri"/>
        </w:rPr>
        <w:t xml:space="preserve"> the main lessons learned from high-profile critical and major incidents emphasi</w:t>
      </w:r>
      <w:r w:rsidR="00BD3D01" w:rsidRPr="00741053">
        <w:rPr>
          <w:rFonts w:ascii="Calibri" w:hAnsi="Calibri" w:cs="Calibri"/>
        </w:rPr>
        <w:t xml:space="preserve">ses </w:t>
      </w:r>
      <w:r w:rsidRPr="00741053">
        <w:rPr>
          <w:rFonts w:ascii="Calibri" w:hAnsi="Calibri" w:cs="Calibri"/>
        </w:rPr>
        <w:t>the need for strong leadership, the importance of preparedness, and continuous focused training. Additionally, the effective use of technology, such as body-worn cameras, and fostering a strong bond between the police force and the community it serves are crucial. These valuable lessons have translated into best practices through incident command systems, realistic simulations, advanced communication tools, and comprehensive policy reforms. Together, these measures enhance the effectiveness, transparency, and accountability of policing, ultimately leading to better outcomes during high-profile incidents</w:t>
      </w:r>
      <w:r w:rsidR="00BC7E68" w:rsidRPr="00741053">
        <w:rPr>
          <w:rFonts w:ascii="Calibri" w:hAnsi="Calibri" w:cs="Calibri"/>
        </w:rPr>
        <w:t xml:space="preserve">. </w:t>
      </w:r>
      <w:r w:rsidR="00BD3D01" w:rsidRPr="00741053">
        <w:rPr>
          <w:rFonts w:ascii="Calibri" w:hAnsi="Calibri" w:cs="Calibri"/>
        </w:rPr>
        <w:t>C</w:t>
      </w:r>
      <w:r w:rsidR="00BC7E68" w:rsidRPr="00741053">
        <w:rPr>
          <w:rFonts w:ascii="Calibri" w:hAnsi="Calibri" w:cs="Calibri"/>
        </w:rPr>
        <w:t xml:space="preserve">ontinuous learning and adaptation are essential for maintaining public trust and improving policing practices in the future. </w:t>
      </w:r>
      <w:r w:rsidRPr="00741053">
        <w:rPr>
          <w:rFonts w:ascii="Calibri" w:hAnsi="Calibri" w:cs="Calibri"/>
        </w:rPr>
        <w:t>(Routledge &amp; CRC Press, n.d.).</w:t>
      </w:r>
    </w:p>
    <w:p w14:paraId="54FB0BAF" w14:textId="77777777" w:rsidR="00F37288" w:rsidRDefault="00F37288" w:rsidP="00741053">
      <w:pPr>
        <w:spacing w:line="360" w:lineRule="auto"/>
        <w:jc w:val="both"/>
        <w:rPr>
          <w:rFonts w:ascii="Calibri" w:hAnsi="Calibri" w:cs="Calibri"/>
        </w:rPr>
      </w:pPr>
    </w:p>
    <w:p w14:paraId="0DAE17E7" w14:textId="0F857084" w:rsidR="00F37288" w:rsidRPr="00741053" w:rsidRDefault="00F37288" w:rsidP="00741053">
      <w:pPr>
        <w:spacing w:line="360" w:lineRule="auto"/>
        <w:jc w:val="both"/>
        <w:rPr>
          <w:rFonts w:ascii="Calibri" w:hAnsi="Calibri" w:cs="Calibri"/>
        </w:rPr>
      </w:pPr>
      <w:r>
        <w:rPr>
          <w:rFonts w:ascii="Calibri" w:hAnsi="Calibri" w:cs="Calibri"/>
        </w:rPr>
        <w:t>Word count - 2002</w:t>
      </w:r>
    </w:p>
    <w:p w14:paraId="7A858709" w14:textId="77777777" w:rsidR="00BC7E68" w:rsidRPr="00741053" w:rsidRDefault="00BC7E68" w:rsidP="00741053">
      <w:pPr>
        <w:spacing w:line="360" w:lineRule="auto"/>
        <w:rPr>
          <w:rFonts w:ascii="Calibri" w:hAnsi="Calibri" w:cs="Calibri"/>
        </w:rPr>
      </w:pPr>
    </w:p>
    <w:p w14:paraId="11CAFF2C" w14:textId="77777777" w:rsidR="00BC7E68" w:rsidRPr="00741053" w:rsidRDefault="00BC7E68" w:rsidP="00741053">
      <w:pPr>
        <w:spacing w:line="360" w:lineRule="auto"/>
        <w:rPr>
          <w:rFonts w:ascii="Calibri" w:hAnsi="Calibri" w:cs="Calibri"/>
        </w:rPr>
      </w:pPr>
    </w:p>
    <w:p w14:paraId="6660B11B" w14:textId="77777777" w:rsidR="00BC7E68" w:rsidRPr="00741053" w:rsidRDefault="00BC7E68" w:rsidP="00741053">
      <w:pPr>
        <w:spacing w:line="360" w:lineRule="auto"/>
        <w:rPr>
          <w:rFonts w:ascii="Calibri" w:hAnsi="Calibri" w:cs="Calibri"/>
        </w:rPr>
      </w:pPr>
    </w:p>
    <w:p w14:paraId="489C3C6C" w14:textId="77777777" w:rsidR="00BC7E68" w:rsidRPr="00741053" w:rsidRDefault="00BC7E68" w:rsidP="00741053">
      <w:pPr>
        <w:spacing w:line="360" w:lineRule="auto"/>
        <w:rPr>
          <w:rFonts w:ascii="Calibri" w:hAnsi="Calibri" w:cs="Calibri"/>
        </w:rPr>
      </w:pPr>
    </w:p>
    <w:p w14:paraId="61A15A51" w14:textId="77777777" w:rsidR="00BC7E68" w:rsidRPr="00741053" w:rsidRDefault="00BC7E68" w:rsidP="00741053">
      <w:pPr>
        <w:spacing w:line="360" w:lineRule="auto"/>
        <w:rPr>
          <w:rFonts w:ascii="Calibri" w:hAnsi="Calibri" w:cs="Calibri"/>
        </w:rPr>
      </w:pPr>
    </w:p>
    <w:p w14:paraId="74E309E8" w14:textId="77777777" w:rsidR="00741053" w:rsidRDefault="00741053" w:rsidP="00741053">
      <w:pPr>
        <w:spacing w:line="360" w:lineRule="auto"/>
        <w:rPr>
          <w:rFonts w:ascii="Calibri" w:hAnsi="Calibri" w:cs="Calibri"/>
        </w:rPr>
      </w:pPr>
    </w:p>
    <w:p w14:paraId="0E5FDCB6" w14:textId="77777777" w:rsidR="00F37288" w:rsidRDefault="00F37288" w:rsidP="00741053">
      <w:pPr>
        <w:spacing w:line="360" w:lineRule="auto"/>
        <w:rPr>
          <w:rFonts w:ascii="Calibri" w:hAnsi="Calibri" w:cs="Calibri"/>
          <w:b/>
          <w:bCs/>
        </w:rPr>
      </w:pPr>
    </w:p>
    <w:p w14:paraId="57AAED24" w14:textId="3EFD16C8" w:rsidR="00E00A8F" w:rsidRPr="00741053" w:rsidRDefault="00E00A8F" w:rsidP="00741053">
      <w:pPr>
        <w:spacing w:line="360" w:lineRule="auto"/>
        <w:rPr>
          <w:rFonts w:ascii="Calibri" w:hAnsi="Calibri" w:cs="Calibri"/>
          <w:b/>
          <w:bCs/>
        </w:rPr>
      </w:pPr>
      <w:r w:rsidRPr="00741053">
        <w:rPr>
          <w:rFonts w:ascii="Calibri" w:hAnsi="Calibri" w:cs="Calibri"/>
          <w:b/>
          <w:bCs/>
        </w:rPr>
        <w:t>References</w:t>
      </w:r>
    </w:p>
    <w:p w14:paraId="428F1834" w14:textId="77777777" w:rsidR="00741053" w:rsidRDefault="00741053" w:rsidP="00741053">
      <w:pPr>
        <w:spacing w:line="360" w:lineRule="auto"/>
        <w:rPr>
          <w:rFonts w:ascii="Calibri" w:hAnsi="Calibri" w:cs="Calibri"/>
        </w:rPr>
      </w:pPr>
      <w:r w:rsidRPr="00741053">
        <w:rPr>
          <w:rFonts w:ascii="Calibri" w:hAnsi="Calibri" w:cs="Calibri"/>
        </w:rPr>
        <w:t>‌</w:t>
      </w:r>
    </w:p>
    <w:p w14:paraId="6E4B8591" w14:textId="5E8550BD" w:rsidR="00741053" w:rsidRPr="00741053" w:rsidRDefault="00F37288" w:rsidP="00741053">
      <w:pPr>
        <w:spacing w:line="360" w:lineRule="auto"/>
        <w:rPr>
          <w:rFonts w:ascii="Calibri" w:hAnsi="Calibri" w:cs="Calibri"/>
        </w:rPr>
      </w:pPr>
      <w:r w:rsidRPr="00F37288">
        <w:rPr>
          <w:rFonts w:ascii="Calibri" w:hAnsi="Calibri" w:cs="Calibri"/>
        </w:rPr>
        <w:t>ACPO HOMICIDE WORKING GROUP </w:t>
      </w:r>
      <w:r w:rsidRPr="00F37288">
        <w:rPr>
          <w:rFonts w:ascii="Calibri" w:hAnsi="Calibri" w:cs="Calibri"/>
        </w:rPr>
        <w:t>(</w:t>
      </w:r>
      <w:proofErr w:type="spellStart"/>
      <w:r w:rsidRPr="00F37288">
        <w:rPr>
          <w:rFonts w:ascii="Calibri" w:hAnsi="Calibri" w:cs="Calibri"/>
        </w:rPr>
        <w:t>n.d</w:t>
      </w:r>
      <w:proofErr w:type="spellEnd"/>
      <w:r w:rsidRPr="00F37288">
        <w:rPr>
          <w:rFonts w:ascii="Calibri" w:hAnsi="Calibri" w:cs="Calibri"/>
        </w:rPr>
        <w:t>)</w:t>
      </w:r>
      <w:r w:rsidR="00741053" w:rsidRPr="00741053">
        <w:rPr>
          <w:rFonts w:ascii="Calibri" w:eastAsia="Times New Roman" w:hAnsi="Calibri" w:cs="Calibri"/>
          <w:i/>
          <w:iCs/>
          <w:color w:val="000000"/>
          <w:kern w:val="0"/>
          <w:lang w:eastAsia="en-GB"/>
          <w14:ligatures w14:val="none"/>
        </w:rPr>
        <w:t xml:space="preserve"> </w:t>
      </w:r>
      <w:r w:rsidR="00741053" w:rsidRPr="00741053">
        <w:rPr>
          <w:rFonts w:ascii="Calibri" w:hAnsi="Calibri" w:cs="Calibri"/>
          <w:i/>
          <w:iCs/>
        </w:rPr>
        <w:t xml:space="preserve">THE JOURNAL OF HOMICIDE AND MAJOR INCIDENT INVESTIGATION </w:t>
      </w:r>
      <w:r w:rsidR="00741053" w:rsidRPr="00741053">
        <w:rPr>
          <w:rFonts w:ascii="Calibri" w:hAnsi="Calibri" w:cs="Calibri"/>
        </w:rPr>
        <w:t xml:space="preserve">Available at: </w:t>
      </w:r>
      <w:hyperlink r:id="rId7" w:history="1">
        <w:r w:rsidR="00741053" w:rsidRPr="00741053">
          <w:rPr>
            <w:rStyle w:val="Hyperlink"/>
            <w:rFonts w:ascii="Calibri" w:hAnsi="Calibri" w:cs="Calibri"/>
          </w:rPr>
          <w:t>https://library</w:t>
        </w:r>
        <w:r w:rsidR="00741053" w:rsidRPr="00741053">
          <w:rPr>
            <w:rStyle w:val="Hyperlink"/>
            <w:rFonts w:ascii="Calibri" w:hAnsi="Calibri" w:cs="Calibri"/>
          </w:rPr>
          <w:t>.</w:t>
        </w:r>
        <w:r w:rsidR="00741053" w:rsidRPr="00741053">
          <w:rPr>
            <w:rStyle w:val="Hyperlink"/>
            <w:rFonts w:ascii="Calibri" w:hAnsi="Calibri" w:cs="Calibri"/>
          </w:rPr>
          <w:t>college.police.uk/docs/J_Homicide_MII/J_Homicide_8.1.pdf</w:t>
        </w:r>
      </w:hyperlink>
      <w:r w:rsidR="00741053" w:rsidRPr="00741053">
        <w:rPr>
          <w:rFonts w:ascii="Calibri" w:hAnsi="Calibri" w:cs="Calibri"/>
        </w:rPr>
        <w:t>. (Accessed 30, Aug. 2024).</w:t>
      </w:r>
    </w:p>
    <w:p w14:paraId="503D8D2D" w14:textId="77777777" w:rsidR="00741053" w:rsidRDefault="00741053" w:rsidP="00741053">
      <w:pPr>
        <w:spacing w:line="360" w:lineRule="auto"/>
        <w:rPr>
          <w:rFonts w:ascii="Calibri" w:hAnsi="Calibri" w:cs="Calibri"/>
        </w:rPr>
      </w:pPr>
      <w:r w:rsidRPr="00741053">
        <w:rPr>
          <w:rFonts w:ascii="Calibri" w:hAnsi="Calibri" w:cs="Calibri"/>
        </w:rPr>
        <w:t>‌</w:t>
      </w:r>
    </w:p>
    <w:p w14:paraId="3351EF02" w14:textId="645DCEC9" w:rsidR="00741053" w:rsidRPr="00741053" w:rsidRDefault="00741053" w:rsidP="00741053">
      <w:pPr>
        <w:spacing w:line="360" w:lineRule="auto"/>
        <w:rPr>
          <w:rFonts w:ascii="Calibri" w:hAnsi="Calibri" w:cs="Calibri"/>
        </w:rPr>
      </w:pPr>
      <w:r w:rsidRPr="00741053">
        <w:rPr>
          <w:rFonts w:ascii="Calibri" w:hAnsi="Calibri" w:cs="Calibri"/>
        </w:rPr>
        <w:t>BBC (2020). Timeline of US police killings. </w:t>
      </w:r>
      <w:r w:rsidRPr="00741053">
        <w:rPr>
          <w:rFonts w:ascii="Calibri" w:hAnsi="Calibri" w:cs="Calibri"/>
          <w:i/>
          <w:iCs/>
        </w:rPr>
        <w:t>BBC News</w:t>
      </w:r>
      <w:r w:rsidRPr="00741053">
        <w:rPr>
          <w:rFonts w:ascii="Calibri" w:hAnsi="Calibri" w:cs="Calibri"/>
        </w:rPr>
        <w:t xml:space="preserve">. [online] 26 Jun. Available at: </w:t>
      </w:r>
      <w:hyperlink r:id="rId8" w:history="1">
        <w:r w:rsidRPr="00741053">
          <w:rPr>
            <w:rStyle w:val="Hyperlink"/>
            <w:rFonts w:ascii="Calibri" w:hAnsi="Calibri" w:cs="Calibri"/>
          </w:rPr>
          <w:t>https://www.bbc.co.uk/news/world-us-canada-52905408</w:t>
        </w:r>
      </w:hyperlink>
      <w:r w:rsidRPr="00741053">
        <w:rPr>
          <w:rFonts w:ascii="Calibri" w:hAnsi="Calibri" w:cs="Calibri"/>
        </w:rPr>
        <w:t>. (Accessed 27</w:t>
      </w:r>
      <w:r w:rsidRPr="00741053">
        <w:rPr>
          <w:rFonts w:ascii="Calibri" w:hAnsi="Calibri" w:cs="Calibri"/>
          <w:vertAlign w:val="superscript"/>
        </w:rPr>
        <w:t>th</w:t>
      </w:r>
      <w:r w:rsidRPr="00741053">
        <w:rPr>
          <w:rFonts w:ascii="Calibri" w:hAnsi="Calibri" w:cs="Calibri"/>
        </w:rPr>
        <w:t xml:space="preserve"> Aug 2024). </w:t>
      </w:r>
    </w:p>
    <w:p w14:paraId="5875CB1F" w14:textId="77777777" w:rsidR="00741053" w:rsidRDefault="00741053" w:rsidP="00741053">
      <w:pPr>
        <w:spacing w:line="360" w:lineRule="auto"/>
        <w:rPr>
          <w:rFonts w:ascii="Calibri" w:hAnsi="Calibri" w:cs="Calibri"/>
        </w:rPr>
      </w:pPr>
    </w:p>
    <w:p w14:paraId="694AE51C" w14:textId="20F0FF10" w:rsidR="00741053" w:rsidRPr="00741053" w:rsidRDefault="00741053" w:rsidP="00741053">
      <w:pPr>
        <w:spacing w:line="360" w:lineRule="auto"/>
        <w:rPr>
          <w:rFonts w:ascii="Calibri" w:hAnsi="Calibri" w:cs="Calibri"/>
        </w:rPr>
      </w:pPr>
      <w:r w:rsidRPr="00741053">
        <w:rPr>
          <w:rFonts w:ascii="Calibri" w:hAnsi="Calibri" w:cs="Calibri"/>
        </w:rPr>
        <w:t>Beighton, C. (2021) </w:t>
      </w:r>
      <w:r w:rsidRPr="00741053">
        <w:rPr>
          <w:rFonts w:ascii="Calibri" w:hAnsi="Calibri" w:cs="Calibri"/>
          <w:i/>
          <w:iCs/>
        </w:rPr>
        <w:t>(Un)trustworthy organisations? Implications of the Sarah Everard murder case</w:t>
      </w:r>
      <w:r w:rsidRPr="00741053">
        <w:rPr>
          <w:rFonts w:ascii="Calibri" w:hAnsi="Calibri" w:cs="Calibri"/>
        </w:rPr>
        <w:t>, </w:t>
      </w:r>
      <w:r w:rsidRPr="00741053">
        <w:rPr>
          <w:rFonts w:ascii="Calibri" w:hAnsi="Calibri" w:cs="Calibri"/>
          <w:i/>
          <w:iCs/>
        </w:rPr>
        <w:t>blogs.canterbury.ac.uk</w:t>
      </w:r>
      <w:r w:rsidRPr="00741053">
        <w:rPr>
          <w:rFonts w:ascii="Calibri" w:hAnsi="Calibri" w:cs="Calibri"/>
        </w:rPr>
        <w:t xml:space="preserve">. Available at: </w:t>
      </w:r>
      <w:hyperlink r:id="rId9" w:history="1">
        <w:r w:rsidRPr="00741053">
          <w:rPr>
            <w:rStyle w:val="Hyperlink"/>
            <w:rFonts w:ascii="Calibri" w:hAnsi="Calibri" w:cs="Calibri"/>
          </w:rPr>
          <w:t>https://repository.canterbury.ac.uk/item/8z5xz/-un-trustworthy-organisations-implications-of-the-sarah-everard-murder-case</w:t>
        </w:r>
      </w:hyperlink>
      <w:r w:rsidRPr="00741053">
        <w:rPr>
          <w:rFonts w:ascii="Calibri" w:hAnsi="Calibri" w:cs="Calibri"/>
        </w:rPr>
        <w:t>. (Accessed 30, Aug. 2024).</w:t>
      </w:r>
    </w:p>
    <w:p w14:paraId="6DF3EB53" w14:textId="77777777" w:rsidR="00741053" w:rsidRDefault="00741053" w:rsidP="00741053">
      <w:pPr>
        <w:spacing w:line="360" w:lineRule="auto"/>
        <w:rPr>
          <w:rFonts w:ascii="Calibri" w:hAnsi="Calibri" w:cs="Calibri"/>
        </w:rPr>
      </w:pPr>
    </w:p>
    <w:p w14:paraId="794444A7" w14:textId="39FE5AF3" w:rsidR="00741053" w:rsidRPr="00741053" w:rsidRDefault="00741053" w:rsidP="00741053">
      <w:pPr>
        <w:spacing w:line="360" w:lineRule="auto"/>
        <w:rPr>
          <w:rFonts w:ascii="Calibri" w:hAnsi="Calibri" w:cs="Calibri"/>
        </w:rPr>
      </w:pPr>
      <w:r w:rsidRPr="00741053">
        <w:rPr>
          <w:rFonts w:ascii="Calibri" w:hAnsi="Calibri" w:cs="Calibri"/>
        </w:rPr>
        <w:t>Borges, N. (2021). </w:t>
      </w:r>
      <w:r w:rsidRPr="00741053">
        <w:rPr>
          <w:rFonts w:ascii="Calibri" w:hAnsi="Calibri" w:cs="Calibri"/>
          <w:i/>
          <w:iCs/>
        </w:rPr>
        <w:t>How to establish community TRUST</w:t>
      </w:r>
      <w:r w:rsidRPr="00741053">
        <w:rPr>
          <w:rFonts w:ascii="Calibri" w:hAnsi="Calibri" w:cs="Calibri"/>
        </w:rPr>
        <w:t xml:space="preserve">. [online] Police1. Available at: </w:t>
      </w:r>
      <w:hyperlink r:id="rId10" w:history="1">
        <w:r w:rsidRPr="00741053">
          <w:rPr>
            <w:rStyle w:val="Hyperlink"/>
            <w:rFonts w:ascii="Calibri" w:hAnsi="Calibri" w:cs="Calibri"/>
          </w:rPr>
          <w:t>https://www.police1.com/community-policing/articles/how-to-establish-community-trust-1BZFZlmyujjaIP0v/</w:t>
        </w:r>
      </w:hyperlink>
      <w:r w:rsidRPr="00741053">
        <w:rPr>
          <w:rFonts w:ascii="Calibri" w:hAnsi="Calibri" w:cs="Calibri"/>
        </w:rPr>
        <w:t>. (Accessed 28</w:t>
      </w:r>
      <w:r w:rsidRPr="00741053">
        <w:rPr>
          <w:rFonts w:ascii="Calibri" w:hAnsi="Calibri" w:cs="Calibri"/>
          <w:vertAlign w:val="superscript"/>
        </w:rPr>
        <w:t>th</w:t>
      </w:r>
      <w:r w:rsidRPr="00741053">
        <w:rPr>
          <w:rFonts w:ascii="Calibri" w:hAnsi="Calibri" w:cs="Calibri"/>
        </w:rPr>
        <w:t xml:space="preserve"> August 2024).</w:t>
      </w:r>
    </w:p>
    <w:p w14:paraId="75DB6052" w14:textId="77777777" w:rsidR="00741053" w:rsidRDefault="00741053" w:rsidP="00741053">
      <w:pPr>
        <w:spacing w:line="360" w:lineRule="auto"/>
        <w:rPr>
          <w:rFonts w:ascii="Calibri" w:hAnsi="Calibri" w:cs="Calibri"/>
        </w:rPr>
      </w:pPr>
    </w:p>
    <w:p w14:paraId="4B0AA092" w14:textId="4197C132" w:rsidR="00741053" w:rsidRPr="00741053" w:rsidRDefault="00741053" w:rsidP="00741053">
      <w:pPr>
        <w:spacing w:line="360" w:lineRule="auto"/>
        <w:rPr>
          <w:rFonts w:ascii="Calibri" w:hAnsi="Calibri" w:cs="Calibri"/>
        </w:rPr>
      </w:pPr>
      <w:r w:rsidRPr="00741053">
        <w:rPr>
          <w:rFonts w:ascii="Calibri" w:hAnsi="Calibri" w:cs="Calibri"/>
        </w:rPr>
        <w:t>Burgiel, S.W. (2019). The Incident Command system: a Framework for Rapid Response to Biological Invasion. </w:t>
      </w:r>
      <w:r w:rsidRPr="00741053">
        <w:rPr>
          <w:rFonts w:ascii="Calibri" w:hAnsi="Calibri" w:cs="Calibri"/>
          <w:i/>
          <w:iCs/>
        </w:rPr>
        <w:t>Biological Invasions</w:t>
      </w:r>
      <w:r w:rsidRPr="00741053">
        <w:rPr>
          <w:rFonts w:ascii="Calibri" w:hAnsi="Calibri" w:cs="Calibri"/>
        </w:rPr>
        <w:t xml:space="preserve">, [online] 22(1), pp.155–165. </w:t>
      </w:r>
      <w:proofErr w:type="spellStart"/>
      <w:proofErr w:type="gramStart"/>
      <w:r w:rsidRPr="00741053">
        <w:rPr>
          <w:rFonts w:ascii="Calibri" w:hAnsi="Calibri" w:cs="Calibri"/>
        </w:rPr>
        <w:t>doi:https</w:t>
      </w:r>
      <w:proofErr w:type="spellEnd"/>
      <w:r w:rsidRPr="00741053">
        <w:rPr>
          <w:rFonts w:ascii="Calibri" w:hAnsi="Calibri" w:cs="Calibri"/>
        </w:rPr>
        <w:t>://doi.org/10.1007/s10530-019-02150-2</w:t>
      </w:r>
      <w:proofErr w:type="gramEnd"/>
      <w:r w:rsidRPr="00741053">
        <w:rPr>
          <w:rFonts w:ascii="Calibri" w:hAnsi="Calibri" w:cs="Calibri"/>
        </w:rPr>
        <w:t>.</w:t>
      </w:r>
    </w:p>
    <w:p w14:paraId="5159FDFC" w14:textId="77777777" w:rsidR="00741053" w:rsidRDefault="00741053" w:rsidP="00741053">
      <w:pPr>
        <w:spacing w:line="360" w:lineRule="auto"/>
        <w:rPr>
          <w:rFonts w:ascii="Calibri" w:hAnsi="Calibri" w:cs="Calibri"/>
        </w:rPr>
      </w:pPr>
    </w:p>
    <w:p w14:paraId="71BEDC13" w14:textId="7C0B1CBA" w:rsidR="00741053" w:rsidRPr="00741053" w:rsidRDefault="00741053" w:rsidP="00741053">
      <w:pPr>
        <w:spacing w:line="360" w:lineRule="auto"/>
        <w:rPr>
          <w:rFonts w:ascii="Calibri" w:hAnsi="Calibri" w:cs="Calibri"/>
        </w:rPr>
      </w:pPr>
      <w:r w:rsidRPr="00741053">
        <w:rPr>
          <w:rFonts w:ascii="Calibri" w:hAnsi="Calibri" w:cs="Calibri"/>
        </w:rPr>
        <w:t>College of Policing (2013). </w:t>
      </w:r>
      <w:r w:rsidRPr="00741053">
        <w:rPr>
          <w:rFonts w:ascii="Calibri" w:hAnsi="Calibri" w:cs="Calibri"/>
          <w:i/>
          <w:iCs/>
        </w:rPr>
        <w:t>Introduction and Types of Critical Incidents</w:t>
      </w:r>
      <w:r w:rsidRPr="00741053">
        <w:rPr>
          <w:rFonts w:ascii="Calibri" w:hAnsi="Calibri" w:cs="Calibri"/>
        </w:rPr>
        <w:t xml:space="preserve">. [online] College of Policing. Available at: </w:t>
      </w:r>
      <w:hyperlink r:id="rId11" w:history="1">
        <w:r w:rsidRPr="00741053">
          <w:rPr>
            <w:rStyle w:val="Hyperlink"/>
            <w:rFonts w:ascii="Calibri" w:hAnsi="Calibri" w:cs="Calibri"/>
          </w:rPr>
          <w:t>https://www.college.police.uk/app/critical-incident-management/introduction-and-types-critical-incidents</w:t>
        </w:r>
      </w:hyperlink>
      <w:r w:rsidRPr="00741053">
        <w:rPr>
          <w:rFonts w:ascii="Calibri" w:hAnsi="Calibri" w:cs="Calibri"/>
        </w:rPr>
        <w:t>. (Accessed 27Aug 2024).</w:t>
      </w:r>
    </w:p>
    <w:p w14:paraId="1459BD54" w14:textId="77777777" w:rsidR="00741053" w:rsidRDefault="00741053" w:rsidP="00741053">
      <w:pPr>
        <w:spacing w:line="360" w:lineRule="auto"/>
        <w:rPr>
          <w:rFonts w:ascii="Calibri" w:hAnsi="Calibri" w:cs="Calibri"/>
        </w:rPr>
      </w:pPr>
    </w:p>
    <w:p w14:paraId="420DB957" w14:textId="0471947A" w:rsidR="00741053" w:rsidRPr="00741053" w:rsidRDefault="00741053" w:rsidP="00741053">
      <w:pPr>
        <w:spacing w:line="360" w:lineRule="auto"/>
        <w:rPr>
          <w:rFonts w:ascii="Calibri" w:hAnsi="Calibri" w:cs="Calibri"/>
        </w:rPr>
      </w:pPr>
      <w:r w:rsidRPr="00741053">
        <w:rPr>
          <w:rFonts w:ascii="Calibri" w:hAnsi="Calibri" w:cs="Calibri"/>
        </w:rPr>
        <w:lastRenderedPageBreak/>
        <w:t>College of Policing. (n.d.). </w:t>
      </w:r>
      <w:r w:rsidRPr="00741053">
        <w:rPr>
          <w:rFonts w:ascii="Calibri" w:hAnsi="Calibri" w:cs="Calibri"/>
          <w:i/>
          <w:iCs/>
        </w:rPr>
        <w:t>Management of incidents</w:t>
      </w:r>
      <w:r w:rsidRPr="00741053">
        <w:rPr>
          <w:rFonts w:ascii="Calibri" w:hAnsi="Calibri" w:cs="Calibri"/>
        </w:rPr>
        <w:t xml:space="preserve">. [online] Available at: </w:t>
      </w:r>
      <w:hyperlink r:id="rId12" w:history="1">
        <w:r w:rsidRPr="00741053">
          <w:rPr>
            <w:rStyle w:val="Hyperlink"/>
            <w:rFonts w:ascii="Calibri" w:hAnsi="Calibri" w:cs="Calibri"/>
          </w:rPr>
          <w:t>https://www.college.police.uk/app/roads-policing/management-incidents?highlight=responding%20to%20incidents</w:t>
        </w:r>
      </w:hyperlink>
      <w:r w:rsidRPr="00741053">
        <w:rPr>
          <w:rFonts w:ascii="Calibri" w:hAnsi="Calibri" w:cs="Calibri"/>
        </w:rPr>
        <w:t xml:space="preserve">. (Accessed 27 </w:t>
      </w:r>
      <w:proofErr w:type="gramStart"/>
      <w:r w:rsidRPr="00741053">
        <w:rPr>
          <w:rFonts w:ascii="Calibri" w:hAnsi="Calibri" w:cs="Calibri"/>
        </w:rPr>
        <w:t>Aug,</w:t>
      </w:r>
      <w:proofErr w:type="gramEnd"/>
      <w:r w:rsidRPr="00741053">
        <w:rPr>
          <w:rFonts w:ascii="Calibri" w:hAnsi="Calibri" w:cs="Calibri"/>
        </w:rPr>
        <w:t xml:space="preserve"> 2024).</w:t>
      </w:r>
    </w:p>
    <w:p w14:paraId="710619A7" w14:textId="77777777" w:rsidR="00741053" w:rsidRDefault="00741053" w:rsidP="00741053">
      <w:pPr>
        <w:spacing w:line="360" w:lineRule="auto"/>
        <w:rPr>
          <w:rFonts w:ascii="Calibri" w:hAnsi="Calibri" w:cs="Calibri"/>
        </w:rPr>
      </w:pPr>
    </w:p>
    <w:p w14:paraId="238C22F0" w14:textId="51C0EB0C" w:rsidR="00741053" w:rsidRPr="00741053" w:rsidRDefault="00741053" w:rsidP="00741053">
      <w:pPr>
        <w:spacing w:line="360" w:lineRule="auto"/>
        <w:rPr>
          <w:rFonts w:ascii="Calibri" w:hAnsi="Calibri" w:cs="Calibri"/>
        </w:rPr>
      </w:pPr>
      <w:r w:rsidRPr="00741053">
        <w:rPr>
          <w:rFonts w:ascii="Calibri" w:hAnsi="Calibri" w:cs="Calibri"/>
        </w:rPr>
        <w:t xml:space="preserve">Community Relations Services Toolkit for Policing </w:t>
      </w:r>
      <w:r w:rsidRPr="00741053">
        <w:sym w:font="Symbol" w:char="F09F"/>
      </w:r>
      <w:r w:rsidRPr="00741053">
        <w:rPr>
          <w:rFonts w:ascii="Calibri" w:hAnsi="Calibri" w:cs="Calibri"/>
        </w:rPr>
        <w:t xml:space="preserve"> Importance of Police-Community Relationships and Resources for Further Reading. (n.d.). Available at: </w:t>
      </w:r>
      <w:hyperlink r:id="rId13" w:history="1">
        <w:r w:rsidRPr="00741053">
          <w:rPr>
            <w:rStyle w:val="Hyperlink"/>
            <w:rFonts w:ascii="Calibri" w:hAnsi="Calibri" w:cs="Calibri"/>
          </w:rPr>
          <w:t>https://www.justice.gov/crs/file/1188556/dl?inline=</w:t>
        </w:r>
      </w:hyperlink>
      <w:r w:rsidRPr="00741053">
        <w:rPr>
          <w:rFonts w:ascii="Calibri" w:hAnsi="Calibri" w:cs="Calibri"/>
        </w:rPr>
        <w:t>. (Accessed 26</w:t>
      </w:r>
      <w:r w:rsidRPr="00741053">
        <w:rPr>
          <w:rFonts w:ascii="Calibri" w:hAnsi="Calibri" w:cs="Calibri"/>
          <w:vertAlign w:val="superscript"/>
        </w:rPr>
        <w:t>th</w:t>
      </w:r>
      <w:r w:rsidRPr="00741053">
        <w:rPr>
          <w:rFonts w:ascii="Calibri" w:hAnsi="Calibri" w:cs="Calibri"/>
        </w:rPr>
        <w:t xml:space="preserve"> Aug 2024).</w:t>
      </w:r>
    </w:p>
    <w:p w14:paraId="7E893524" w14:textId="77777777" w:rsidR="00741053" w:rsidRDefault="00741053" w:rsidP="00741053">
      <w:pPr>
        <w:spacing w:line="360" w:lineRule="auto"/>
        <w:rPr>
          <w:rFonts w:ascii="Calibri" w:hAnsi="Calibri" w:cs="Calibri"/>
        </w:rPr>
      </w:pPr>
    </w:p>
    <w:p w14:paraId="52250CFB" w14:textId="121303E5" w:rsidR="00741053" w:rsidRPr="00741053" w:rsidRDefault="00741053" w:rsidP="00741053">
      <w:pPr>
        <w:spacing w:line="360" w:lineRule="auto"/>
        <w:rPr>
          <w:rFonts w:ascii="Calibri" w:hAnsi="Calibri" w:cs="Calibri"/>
        </w:rPr>
      </w:pPr>
      <w:r w:rsidRPr="00741053">
        <w:rPr>
          <w:rFonts w:ascii="Calibri" w:hAnsi="Calibri" w:cs="Calibri"/>
        </w:rPr>
        <w:t>Cowell, B. (2021). </w:t>
      </w:r>
      <w:r w:rsidRPr="00741053">
        <w:rPr>
          <w:rFonts w:ascii="Calibri" w:hAnsi="Calibri" w:cs="Calibri"/>
          <w:i/>
          <w:iCs/>
        </w:rPr>
        <w:t>Technology Innovations in Public Safety</w:t>
      </w:r>
      <w:r w:rsidRPr="00741053">
        <w:rPr>
          <w:rFonts w:ascii="Calibri" w:hAnsi="Calibri" w:cs="Calibri"/>
        </w:rPr>
        <w:t xml:space="preserve">. [online] National Policing Institute. Available at: </w:t>
      </w:r>
      <w:hyperlink r:id="rId14" w:history="1">
        <w:r w:rsidRPr="00741053">
          <w:rPr>
            <w:rStyle w:val="Hyperlink"/>
            <w:rFonts w:ascii="Calibri" w:hAnsi="Calibri" w:cs="Calibri"/>
          </w:rPr>
          <w:t>https://www.policinginstitute.org/projects/technology-innovations-in-public-safety/</w:t>
        </w:r>
      </w:hyperlink>
      <w:r w:rsidRPr="00741053">
        <w:rPr>
          <w:rFonts w:ascii="Calibri" w:hAnsi="Calibri" w:cs="Calibri"/>
        </w:rPr>
        <w:t xml:space="preserve">. (Accessed 29 </w:t>
      </w:r>
      <w:proofErr w:type="gramStart"/>
      <w:r w:rsidRPr="00741053">
        <w:rPr>
          <w:rFonts w:ascii="Calibri" w:hAnsi="Calibri" w:cs="Calibri"/>
        </w:rPr>
        <w:t>Aug,</w:t>
      </w:r>
      <w:proofErr w:type="gramEnd"/>
      <w:r w:rsidRPr="00741053">
        <w:rPr>
          <w:rFonts w:ascii="Calibri" w:hAnsi="Calibri" w:cs="Calibri"/>
        </w:rPr>
        <w:t xml:space="preserve"> 2024).</w:t>
      </w:r>
    </w:p>
    <w:p w14:paraId="1F016972" w14:textId="77777777" w:rsidR="00741053" w:rsidRDefault="00741053" w:rsidP="00741053">
      <w:pPr>
        <w:spacing w:line="360" w:lineRule="auto"/>
        <w:rPr>
          <w:rFonts w:ascii="Calibri" w:hAnsi="Calibri" w:cs="Calibri"/>
        </w:rPr>
      </w:pPr>
    </w:p>
    <w:p w14:paraId="726FD112" w14:textId="0B783E79" w:rsidR="00741053" w:rsidRPr="00741053" w:rsidRDefault="00741053" w:rsidP="00741053">
      <w:pPr>
        <w:spacing w:line="360" w:lineRule="auto"/>
        <w:rPr>
          <w:rFonts w:ascii="Calibri" w:hAnsi="Calibri" w:cs="Calibri"/>
        </w:rPr>
      </w:pPr>
      <w:proofErr w:type="spellStart"/>
      <w:r w:rsidRPr="00741053">
        <w:rPr>
          <w:rFonts w:ascii="Calibri" w:hAnsi="Calibri" w:cs="Calibri"/>
        </w:rPr>
        <w:t>Fritsvold</w:t>
      </w:r>
      <w:proofErr w:type="spellEnd"/>
      <w:r w:rsidRPr="00741053">
        <w:rPr>
          <w:rFonts w:ascii="Calibri" w:hAnsi="Calibri" w:cs="Calibri"/>
        </w:rPr>
        <w:t>, E. (2019). </w:t>
      </w:r>
      <w:r w:rsidRPr="00741053">
        <w:rPr>
          <w:rFonts w:ascii="Calibri" w:hAnsi="Calibri" w:cs="Calibri"/>
          <w:i/>
          <w:iCs/>
        </w:rPr>
        <w:t>The Cutting-Edge Technologies Transforming 21st Century Policing</w:t>
      </w:r>
      <w:r w:rsidRPr="00741053">
        <w:rPr>
          <w:rFonts w:ascii="Calibri" w:hAnsi="Calibri" w:cs="Calibri"/>
        </w:rPr>
        <w:t xml:space="preserve">. [online] University of San Diego. Available at: </w:t>
      </w:r>
      <w:hyperlink r:id="rId15" w:history="1">
        <w:r w:rsidRPr="00741053">
          <w:rPr>
            <w:rStyle w:val="Hyperlink"/>
            <w:rFonts w:ascii="Calibri" w:hAnsi="Calibri" w:cs="Calibri"/>
          </w:rPr>
          <w:t>https://onlinedegrees.sandiego.edu/10-innovative-police-technologies/</w:t>
        </w:r>
      </w:hyperlink>
      <w:r w:rsidRPr="00741053">
        <w:rPr>
          <w:rFonts w:ascii="Calibri" w:hAnsi="Calibri" w:cs="Calibri"/>
        </w:rPr>
        <w:t>. (Accessed 29 Aug. 2024).</w:t>
      </w:r>
    </w:p>
    <w:p w14:paraId="1EA6A395" w14:textId="77777777" w:rsidR="00741053" w:rsidRDefault="00741053" w:rsidP="00741053">
      <w:pPr>
        <w:spacing w:line="360" w:lineRule="auto"/>
        <w:rPr>
          <w:rFonts w:ascii="Calibri" w:hAnsi="Calibri" w:cs="Calibri"/>
        </w:rPr>
      </w:pPr>
    </w:p>
    <w:p w14:paraId="46B4A237" w14:textId="14370AD1" w:rsidR="00741053" w:rsidRPr="00741053" w:rsidRDefault="00741053" w:rsidP="00741053">
      <w:pPr>
        <w:spacing w:line="360" w:lineRule="auto"/>
        <w:rPr>
          <w:rFonts w:ascii="Calibri" w:hAnsi="Calibri" w:cs="Calibri"/>
        </w:rPr>
      </w:pPr>
      <w:r w:rsidRPr="00741053">
        <w:rPr>
          <w:rFonts w:ascii="Calibri" w:hAnsi="Calibri" w:cs="Calibri"/>
        </w:rPr>
        <w:t>Gill, C. (2024) </w:t>
      </w:r>
      <w:r w:rsidRPr="00741053">
        <w:rPr>
          <w:rFonts w:ascii="Calibri" w:hAnsi="Calibri" w:cs="Calibri"/>
          <w:i/>
          <w:iCs/>
        </w:rPr>
        <w:t>Engagement in Place-Based Policing</w:t>
      </w:r>
      <w:r w:rsidRPr="00741053">
        <w:rPr>
          <w:rFonts w:ascii="Calibri" w:hAnsi="Calibri" w:cs="Calibri"/>
        </w:rPr>
        <w:t xml:space="preserve">. Available at: </w:t>
      </w:r>
      <w:hyperlink r:id="rId16" w:history="1">
        <w:r w:rsidRPr="00741053">
          <w:rPr>
            <w:rStyle w:val="Hyperlink"/>
            <w:rFonts w:ascii="Calibri" w:hAnsi="Calibri" w:cs="Calibri"/>
          </w:rPr>
          <w:t>https://www.nationalacademies.org/documents/embed/link/LF2255DA3DD1C41C0A42D3BEF0989ACAECE3053A6A9B/file/D8E0714902BAE253B2C894D349320670B86A5F3CCF36?noSaveAs=1</w:t>
        </w:r>
      </w:hyperlink>
      <w:r w:rsidRPr="00741053">
        <w:rPr>
          <w:rFonts w:ascii="Calibri" w:hAnsi="Calibri" w:cs="Calibri"/>
        </w:rPr>
        <w:t xml:space="preserve"> (Accessed: 30 August 2024).</w:t>
      </w:r>
    </w:p>
    <w:p w14:paraId="1C936FC5" w14:textId="77777777" w:rsidR="00F37288" w:rsidRDefault="00F37288" w:rsidP="00741053">
      <w:pPr>
        <w:spacing w:line="360" w:lineRule="auto"/>
        <w:rPr>
          <w:rFonts w:ascii="Calibri" w:hAnsi="Calibri" w:cs="Calibri"/>
        </w:rPr>
      </w:pPr>
    </w:p>
    <w:p w14:paraId="1ABFE96E" w14:textId="0EA2F4BB" w:rsidR="00741053" w:rsidRDefault="00741053" w:rsidP="00741053">
      <w:pPr>
        <w:spacing w:line="360" w:lineRule="auto"/>
        <w:rPr>
          <w:rFonts w:ascii="Calibri" w:hAnsi="Calibri" w:cs="Calibri"/>
        </w:rPr>
      </w:pPr>
      <w:r w:rsidRPr="00741053">
        <w:rPr>
          <w:rFonts w:ascii="Calibri" w:hAnsi="Calibri" w:cs="Calibri"/>
        </w:rPr>
        <w:t>Hanna, D. (2018). </w:t>
      </w:r>
      <w:r w:rsidRPr="00741053">
        <w:rPr>
          <w:rFonts w:ascii="Calibri" w:hAnsi="Calibri" w:cs="Calibri"/>
          <w:i/>
          <w:iCs/>
        </w:rPr>
        <w:t>POLICE LEARNING: EXAMINING THE USE OF SIMULATIONS IN POLICE TRAINING AND THE ASSOCIATED LEARNING THEORIES</w:t>
      </w:r>
      <w:r w:rsidRPr="00741053">
        <w:rPr>
          <w:rFonts w:ascii="Calibri" w:hAnsi="Calibri" w:cs="Calibri"/>
        </w:rPr>
        <w:t xml:space="preserve">. [online] Academia.edu. Available at: </w:t>
      </w:r>
      <w:hyperlink r:id="rId17" w:history="1">
        <w:r w:rsidRPr="00741053">
          <w:rPr>
            <w:rStyle w:val="Hyperlink"/>
            <w:rFonts w:ascii="Calibri" w:hAnsi="Calibri" w:cs="Calibri"/>
          </w:rPr>
          <w:t>https://www.academia.edu/35702581/POLICE_LEARNING_EXAMINING_THE_USE_OF_SIMULATIONS_IN_POLICE_TRAINING_AND_THE_ASSOCIATED_LEARNING_THEORIES</w:t>
        </w:r>
      </w:hyperlink>
      <w:r w:rsidRPr="00741053">
        <w:rPr>
          <w:rFonts w:ascii="Calibri" w:hAnsi="Calibri" w:cs="Calibri"/>
        </w:rPr>
        <w:t>. (Accessed 29, Aug. 2024).</w:t>
      </w:r>
    </w:p>
    <w:p w14:paraId="4AEFB2B0" w14:textId="77777777" w:rsidR="00F37288" w:rsidRDefault="00F37288" w:rsidP="00741053">
      <w:pPr>
        <w:spacing w:line="360" w:lineRule="auto"/>
        <w:rPr>
          <w:rFonts w:ascii="Calibri" w:hAnsi="Calibri" w:cs="Calibri"/>
        </w:rPr>
      </w:pPr>
    </w:p>
    <w:p w14:paraId="0D8996A7" w14:textId="77777777" w:rsidR="00F37288" w:rsidRDefault="00F37288" w:rsidP="00F37288">
      <w:pPr>
        <w:spacing w:line="360" w:lineRule="auto"/>
        <w:rPr>
          <w:rFonts w:ascii="Calibri" w:eastAsia="Times New Roman" w:hAnsi="Calibri" w:cs="Calibri"/>
          <w:color w:val="000000"/>
          <w:kern w:val="0"/>
          <w:lang w:eastAsia="en-GB"/>
          <w14:ligatures w14:val="none"/>
        </w:rPr>
      </w:pPr>
    </w:p>
    <w:p w14:paraId="2E954738" w14:textId="77777777" w:rsidR="00F37288" w:rsidRDefault="00F37288" w:rsidP="00F37288">
      <w:pPr>
        <w:spacing w:line="360" w:lineRule="auto"/>
        <w:rPr>
          <w:rFonts w:ascii="Calibri" w:eastAsia="Times New Roman" w:hAnsi="Calibri" w:cs="Calibri"/>
          <w:color w:val="000000"/>
          <w:kern w:val="0"/>
          <w:lang w:eastAsia="en-GB"/>
          <w14:ligatures w14:val="none"/>
        </w:rPr>
      </w:pPr>
    </w:p>
    <w:p w14:paraId="0BBE8956" w14:textId="72652DA7" w:rsidR="00F37288" w:rsidRPr="00741053" w:rsidRDefault="00F37288" w:rsidP="00F37288">
      <w:pPr>
        <w:spacing w:line="360" w:lineRule="auto"/>
        <w:rPr>
          <w:rFonts w:ascii="Calibri" w:hAnsi="Calibri" w:cs="Calibri"/>
        </w:rPr>
      </w:pPr>
      <w:r w:rsidRPr="00F37288">
        <w:rPr>
          <w:rFonts w:ascii="Calibri" w:eastAsia="Times New Roman" w:hAnsi="Calibri" w:cs="Calibri"/>
          <w:color w:val="000000"/>
          <w:kern w:val="0"/>
          <w:lang w:eastAsia="en-GB"/>
          <w14:ligatures w14:val="none"/>
        </w:rPr>
        <w:lastRenderedPageBreak/>
        <w:t>Max Hill (2017)</w:t>
      </w:r>
      <w:r w:rsidRPr="00741053">
        <w:rPr>
          <w:rFonts w:ascii="Calibri" w:eastAsia="Times New Roman" w:hAnsi="Calibri" w:cs="Calibri"/>
          <w:i/>
          <w:iCs/>
          <w:color w:val="000000"/>
          <w:kern w:val="0"/>
          <w:lang w:eastAsia="en-GB"/>
          <w14:ligatures w14:val="none"/>
        </w:rPr>
        <w:t xml:space="preserve"> </w:t>
      </w:r>
      <w:r w:rsidRPr="00741053">
        <w:rPr>
          <w:rFonts w:ascii="Calibri" w:hAnsi="Calibri" w:cs="Calibri"/>
          <w:i/>
          <w:iCs/>
        </w:rPr>
        <w:t>THE WESTMINSTER BRIDGE TERRORIST ATTACK 22 ND OPERATION CLASSIFIC A REPORT ON THE USE OF TERRORISM LEGISLATION by Max Hill QC Independent Reviewer of Terrorism Legislation</w:t>
      </w:r>
      <w:r w:rsidRPr="00741053">
        <w:rPr>
          <w:rFonts w:ascii="Calibri" w:hAnsi="Calibri" w:cs="Calibri"/>
        </w:rPr>
        <w:t xml:space="preserve"> (2017). Available at: </w:t>
      </w:r>
      <w:hyperlink r:id="rId18" w:history="1">
        <w:r w:rsidRPr="00741053">
          <w:rPr>
            <w:rStyle w:val="Hyperlink"/>
            <w:rFonts w:ascii="Calibri" w:hAnsi="Calibri" w:cs="Calibri"/>
          </w:rPr>
          <w:t>https://assets.publi</w:t>
        </w:r>
        <w:r w:rsidRPr="00741053">
          <w:rPr>
            <w:rStyle w:val="Hyperlink"/>
            <w:rFonts w:ascii="Calibri" w:hAnsi="Calibri" w:cs="Calibri"/>
          </w:rPr>
          <w:t>s</w:t>
        </w:r>
        <w:r w:rsidRPr="00741053">
          <w:rPr>
            <w:rStyle w:val="Hyperlink"/>
            <w:rFonts w:ascii="Calibri" w:hAnsi="Calibri" w:cs="Calibri"/>
          </w:rPr>
          <w:t>hing.service.gov.uk/government/uploads/system/uploads/attachment_data/file/697221/The_WestBridge_Attack_report_Accessible.pdf</w:t>
        </w:r>
      </w:hyperlink>
      <w:r w:rsidRPr="00741053">
        <w:rPr>
          <w:rFonts w:ascii="Calibri" w:hAnsi="Calibri" w:cs="Calibri"/>
        </w:rPr>
        <w:t xml:space="preserve">. (Accessed 30 </w:t>
      </w:r>
      <w:proofErr w:type="gramStart"/>
      <w:r w:rsidRPr="00741053">
        <w:rPr>
          <w:rFonts w:ascii="Calibri" w:hAnsi="Calibri" w:cs="Calibri"/>
        </w:rPr>
        <w:t>Aug,</w:t>
      </w:r>
      <w:proofErr w:type="gramEnd"/>
      <w:r w:rsidRPr="00741053">
        <w:rPr>
          <w:rFonts w:ascii="Calibri" w:hAnsi="Calibri" w:cs="Calibri"/>
        </w:rPr>
        <w:t xml:space="preserve"> 2024).</w:t>
      </w:r>
    </w:p>
    <w:p w14:paraId="64076BC6" w14:textId="77777777" w:rsidR="00F37288" w:rsidRPr="00741053" w:rsidRDefault="00F37288" w:rsidP="00741053">
      <w:pPr>
        <w:spacing w:line="360" w:lineRule="auto"/>
        <w:rPr>
          <w:rFonts w:ascii="Calibri" w:hAnsi="Calibri" w:cs="Calibri"/>
        </w:rPr>
      </w:pPr>
    </w:p>
    <w:p w14:paraId="6116EF52" w14:textId="77777777" w:rsidR="00741053" w:rsidRDefault="00741053" w:rsidP="00741053">
      <w:pPr>
        <w:spacing w:line="360" w:lineRule="auto"/>
        <w:rPr>
          <w:rFonts w:ascii="Calibri" w:hAnsi="Calibri" w:cs="Calibri"/>
        </w:rPr>
      </w:pPr>
    </w:p>
    <w:p w14:paraId="4F6AE572" w14:textId="79DE52AF" w:rsidR="00741053" w:rsidRPr="00741053" w:rsidRDefault="00741053" w:rsidP="00741053">
      <w:pPr>
        <w:spacing w:line="360" w:lineRule="auto"/>
        <w:rPr>
          <w:rFonts w:ascii="Calibri" w:hAnsi="Calibri" w:cs="Calibri"/>
        </w:rPr>
      </w:pPr>
      <w:r w:rsidRPr="00741053">
        <w:rPr>
          <w:rFonts w:ascii="Calibri" w:hAnsi="Calibri" w:cs="Calibri"/>
        </w:rPr>
        <w:t>Moad, S. (2011). </w:t>
      </w:r>
      <w:r w:rsidRPr="00741053">
        <w:rPr>
          <w:rFonts w:ascii="Calibri" w:hAnsi="Calibri" w:cs="Calibri"/>
          <w:i/>
          <w:iCs/>
        </w:rPr>
        <w:t>Critical Incidents: Responding to Police Officer Trauma</w:t>
      </w:r>
      <w:r w:rsidRPr="00741053">
        <w:rPr>
          <w:rFonts w:ascii="Calibri" w:hAnsi="Calibri" w:cs="Calibri"/>
        </w:rPr>
        <w:t xml:space="preserve">. [online] Available at: </w:t>
      </w:r>
      <w:hyperlink r:id="rId19" w:history="1">
        <w:r w:rsidRPr="00741053">
          <w:rPr>
            <w:rStyle w:val="Hyperlink"/>
            <w:rFonts w:ascii="Calibri" w:hAnsi="Calibri" w:cs="Calibri"/>
          </w:rPr>
          <w:t>https://www.cji.edu/wp-content/uploads/2019/04/chrismoad.pdf</w:t>
        </w:r>
      </w:hyperlink>
      <w:r w:rsidRPr="00741053">
        <w:rPr>
          <w:rFonts w:ascii="Calibri" w:hAnsi="Calibri" w:cs="Calibri"/>
        </w:rPr>
        <w:t>. (Accessed 26</w:t>
      </w:r>
      <w:r w:rsidRPr="00741053">
        <w:rPr>
          <w:rFonts w:ascii="Calibri" w:hAnsi="Calibri" w:cs="Calibri"/>
          <w:vertAlign w:val="superscript"/>
        </w:rPr>
        <w:t>th</w:t>
      </w:r>
      <w:r w:rsidRPr="00741053">
        <w:rPr>
          <w:rFonts w:ascii="Calibri" w:hAnsi="Calibri" w:cs="Calibri"/>
        </w:rPr>
        <w:t xml:space="preserve"> August 2024).</w:t>
      </w:r>
    </w:p>
    <w:p w14:paraId="52F12100" w14:textId="77777777" w:rsidR="00741053" w:rsidRDefault="00741053" w:rsidP="00741053">
      <w:pPr>
        <w:spacing w:line="360" w:lineRule="auto"/>
        <w:rPr>
          <w:rFonts w:ascii="Calibri" w:hAnsi="Calibri" w:cs="Calibri"/>
        </w:rPr>
      </w:pPr>
      <w:r w:rsidRPr="00741053">
        <w:rPr>
          <w:rFonts w:ascii="Calibri" w:hAnsi="Calibri" w:cs="Calibri"/>
        </w:rPr>
        <w:t>PAL Partners. (2023). </w:t>
      </w:r>
      <w:r w:rsidRPr="00741053">
        <w:rPr>
          <w:rFonts w:ascii="Calibri" w:hAnsi="Calibri" w:cs="Calibri"/>
          <w:i/>
          <w:iCs/>
        </w:rPr>
        <w:t>Police Activity League Solutions &amp; Support for PALs – PAL Partner</w:t>
      </w:r>
      <w:r w:rsidRPr="00741053">
        <w:rPr>
          <w:rFonts w:ascii="Calibri" w:hAnsi="Calibri" w:cs="Calibri"/>
        </w:rPr>
        <w:t xml:space="preserve">. [online] Available at: </w:t>
      </w:r>
      <w:hyperlink r:id="rId20" w:history="1">
        <w:r w:rsidRPr="00741053">
          <w:rPr>
            <w:rStyle w:val="Hyperlink"/>
            <w:rFonts w:ascii="Calibri" w:hAnsi="Calibri" w:cs="Calibri"/>
          </w:rPr>
          <w:t>https://palpartner.org/</w:t>
        </w:r>
      </w:hyperlink>
      <w:r w:rsidRPr="00741053">
        <w:rPr>
          <w:rFonts w:ascii="Calibri" w:hAnsi="Calibri" w:cs="Calibri"/>
        </w:rPr>
        <w:t xml:space="preserve"> (Accessed 27 Aug. 2024).</w:t>
      </w:r>
    </w:p>
    <w:p w14:paraId="5F074EB5" w14:textId="77777777" w:rsidR="00F37288" w:rsidRDefault="00F37288" w:rsidP="00741053">
      <w:pPr>
        <w:spacing w:line="360" w:lineRule="auto"/>
        <w:rPr>
          <w:rFonts w:ascii="Calibri" w:hAnsi="Calibri" w:cs="Calibri"/>
        </w:rPr>
      </w:pPr>
    </w:p>
    <w:p w14:paraId="4ED1F527" w14:textId="77777777" w:rsidR="00F37288" w:rsidRPr="00741053" w:rsidRDefault="00F37288" w:rsidP="00F37288">
      <w:pPr>
        <w:spacing w:line="360" w:lineRule="auto"/>
        <w:rPr>
          <w:rFonts w:ascii="Calibri" w:hAnsi="Calibri" w:cs="Calibri"/>
        </w:rPr>
      </w:pPr>
      <w:r w:rsidRPr="00741053">
        <w:rPr>
          <w:rFonts w:ascii="Calibri" w:hAnsi="Calibri" w:cs="Calibri"/>
        </w:rPr>
        <w:t>‌</w:t>
      </w:r>
      <w:r w:rsidRPr="00741053">
        <w:rPr>
          <w:rFonts w:ascii="Calibri" w:eastAsia="Times New Roman" w:hAnsi="Calibri" w:cs="Calibri"/>
          <w:color w:val="000000"/>
          <w:kern w:val="0"/>
          <w:lang w:eastAsia="en-GB"/>
          <w14:ligatures w14:val="none"/>
        </w:rPr>
        <w:t xml:space="preserve"> </w:t>
      </w:r>
      <w:r w:rsidRPr="00741053">
        <w:rPr>
          <w:rFonts w:ascii="Calibri" w:hAnsi="Calibri" w:cs="Calibri"/>
        </w:rPr>
        <w:t>Police1. (n.d.). </w:t>
      </w:r>
      <w:r w:rsidRPr="00741053">
        <w:rPr>
          <w:rFonts w:ascii="Calibri" w:hAnsi="Calibri" w:cs="Calibri"/>
          <w:i/>
          <w:iCs/>
        </w:rPr>
        <w:t>Why traditional learning methodologies fall short in policing, and how a simulator can help</w:t>
      </w:r>
      <w:r w:rsidRPr="00741053">
        <w:rPr>
          <w:rFonts w:ascii="Calibri" w:hAnsi="Calibri" w:cs="Calibri"/>
        </w:rPr>
        <w:t xml:space="preserve">. [online] Available at: </w:t>
      </w:r>
      <w:hyperlink r:id="rId21" w:history="1">
        <w:r w:rsidRPr="00741053">
          <w:rPr>
            <w:rStyle w:val="Hyperlink"/>
            <w:rFonts w:ascii="Calibri" w:hAnsi="Calibri" w:cs="Calibri"/>
          </w:rPr>
          <w:t>https://www.police1.com/police-products/training/simulator/articles/why-traditional-learning-methodologies-fall-short-in-policing-and-how-a-simulator-can-help-3JAKbaOHGa0OKYrF/</w:t>
        </w:r>
      </w:hyperlink>
      <w:r w:rsidRPr="00741053">
        <w:rPr>
          <w:rFonts w:ascii="Calibri" w:hAnsi="Calibri" w:cs="Calibri"/>
        </w:rPr>
        <w:t>. (Accessed 29, Aug. 2024).</w:t>
      </w:r>
    </w:p>
    <w:p w14:paraId="1F77B7C6" w14:textId="77777777" w:rsidR="00F37288" w:rsidRDefault="00F37288" w:rsidP="00741053">
      <w:pPr>
        <w:spacing w:line="360" w:lineRule="auto"/>
        <w:rPr>
          <w:rFonts w:ascii="Calibri" w:hAnsi="Calibri" w:cs="Calibri"/>
        </w:rPr>
      </w:pPr>
    </w:p>
    <w:p w14:paraId="1E2DC940" w14:textId="77777777" w:rsidR="00C87919" w:rsidRPr="00741053" w:rsidRDefault="00C87919" w:rsidP="00C87919">
      <w:pPr>
        <w:spacing w:line="360" w:lineRule="auto"/>
        <w:rPr>
          <w:rFonts w:ascii="Calibri" w:hAnsi="Calibri" w:cs="Calibri"/>
        </w:rPr>
      </w:pPr>
      <w:r>
        <w:rPr>
          <w:rFonts w:ascii="Calibri" w:hAnsi="Calibri" w:cs="Calibri"/>
        </w:rPr>
        <w:t xml:space="preserve">Office of legal Justice Department </w:t>
      </w:r>
      <w:r w:rsidRPr="00741053">
        <w:rPr>
          <w:rFonts w:ascii="Calibri" w:hAnsi="Calibri" w:cs="Calibri"/>
        </w:rPr>
        <w:t>(2023)</w:t>
      </w:r>
      <w:r>
        <w:rPr>
          <w:rFonts w:ascii="Calibri" w:hAnsi="Calibri" w:cs="Calibri"/>
        </w:rPr>
        <w:t xml:space="preserve">. </w:t>
      </w:r>
      <w:r w:rsidRPr="00741053">
        <w:rPr>
          <w:rFonts w:ascii="Calibri" w:hAnsi="Calibri" w:cs="Calibri"/>
          <w:i/>
          <w:iCs/>
        </w:rPr>
        <w:t>Fact Sheet on Implementing Executive Order on Advancing Effective, Accountable Policing, and Criminal Justice Practices to Enhance Public Trust and Public Safety</w:t>
      </w:r>
      <w:r w:rsidRPr="00741053">
        <w:rPr>
          <w:rFonts w:ascii="Calibri" w:hAnsi="Calibri" w:cs="Calibri"/>
        </w:rPr>
        <w:t xml:space="preserve">. [online] Available at: </w:t>
      </w:r>
      <w:hyperlink r:id="rId22" w:history="1">
        <w:r w:rsidRPr="00741053">
          <w:rPr>
            <w:rStyle w:val="Hyperlink"/>
            <w:rFonts w:ascii="Calibri" w:hAnsi="Calibri" w:cs="Calibri"/>
          </w:rPr>
          <w:t>https://www.justice.gov/olp/justice-department-fact-sheet-implementing-executive-order-advancing-effective-accountable</w:t>
        </w:r>
      </w:hyperlink>
      <w:r w:rsidRPr="00741053">
        <w:rPr>
          <w:rFonts w:ascii="Calibri" w:hAnsi="Calibri" w:cs="Calibri"/>
        </w:rPr>
        <w:t>. (Accessed 29, Aug. 2024).</w:t>
      </w:r>
    </w:p>
    <w:p w14:paraId="60C5C545" w14:textId="77777777" w:rsidR="00C87919" w:rsidRPr="00741053" w:rsidRDefault="00C87919" w:rsidP="00741053">
      <w:pPr>
        <w:spacing w:line="360" w:lineRule="auto"/>
        <w:rPr>
          <w:rFonts w:ascii="Calibri" w:hAnsi="Calibri" w:cs="Calibri"/>
        </w:rPr>
      </w:pPr>
    </w:p>
    <w:p w14:paraId="078BEDFF" w14:textId="5D8E6647" w:rsidR="00741053" w:rsidRPr="00741053" w:rsidRDefault="00741053" w:rsidP="00741053">
      <w:pPr>
        <w:spacing w:line="360" w:lineRule="auto"/>
        <w:rPr>
          <w:rFonts w:ascii="Calibri" w:hAnsi="Calibri" w:cs="Calibri"/>
        </w:rPr>
      </w:pPr>
      <w:r w:rsidRPr="00741053">
        <w:rPr>
          <w:rFonts w:ascii="Calibri" w:hAnsi="Calibri" w:cs="Calibri"/>
        </w:rPr>
        <w:t>‌</w:t>
      </w:r>
      <w:proofErr w:type="spellStart"/>
      <w:r w:rsidRPr="00741053">
        <w:rPr>
          <w:rFonts w:ascii="Calibri" w:hAnsi="Calibri" w:cs="Calibri"/>
        </w:rPr>
        <w:t>ProtectUK</w:t>
      </w:r>
      <w:proofErr w:type="spellEnd"/>
      <w:r w:rsidRPr="00741053">
        <w:rPr>
          <w:rFonts w:ascii="Calibri" w:hAnsi="Calibri" w:cs="Calibri"/>
        </w:rPr>
        <w:t xml:space="preserve"> (2023) </w:t>
      </w:r>
      <w:r w:rsidRPr="00741053">
        <w:rPr>
          <w:rFonts w:ascii="Calibri" w:hAnsi="Calibri" w:cs="Calibri"/>
          <w:i/>
          <w:iCs/>
        </w:rPr>
        <w:t xml:space="preserve">Martyn’s Law overview and what you need to know | </w:t>
      </w:r>
      <w:proofErr w:type="spellStart"/>
      <w:r w:rsidRPr="00741053">
        <w:rPr>
          <w:rFonts w:ascii="Calibri" w:hAnsi="Calibri" w:cs="Calibri"/>
          <w:i/>
          <w:iCs/>
        </w:rPr>
        <w:t>ProtectUK</w:t>
      </w:r>
      <w:proofErr w:type="spellEnd"/>
      <w:r w:rsidRPr="00741053">
        <w:rPr>
          <w:rFonts w:ascii="Calibri" w:hAnsi="Calibri" w:cs="Calibri"/>
        </w:rPr>
        <w:t>, </w:t>
      </w:r>
      <w:r w:rsidRPr="00741053">
        <w:rPr>
          <w:rFonts w:ascii="Calibri" w:hAnsi="Calibri" w:cs="Calibri"/>
          <w:i/>
          <w:iCs/>
        </w:rPr>
        <w:t>www.protectuk.police.uk</w:t>
      </w:r>
      <w:r w:rsidRPr="00741053">
        <w:rPr>
          <w:rFonts w:ascii="Calibri" w:hAnsi="Calibri" w:cs="Calibri"/>
        </w:rPr>
        <w:t xml:space="preserve">. Available at: </w:t>
      </w:r>
      <w:hyperlink r:id="rId23" w:history="1">
        <w:r w:rsidRPr="00741053">
          <w:rPr>
            <w:rStyle w:val="Hyperlink"/>
            <w:rFonts w:ascii="Calibri" w:hAnsi="Calibri" w:cs="Calibri"/>
          </w:rPr>
          <w:t>https://www.protectuk.police.uk/martyns-law/martyns-law-overview-and-what-you-need-know</w:t>
        </w:r>
      </w:hyperlink>
      <w:r w:rsidRPr="00741053">
        <w:rPr>
          <w:rFonts w:ascii="Calibri" w:hAnsi="Calibri" w:cs="Calibri"/>
        </w:rPr>
        <w:t>. (Accessed 30, Aug. 2024).</w:t>
      </w:r>
    </w:p>
    <w:p w14:paraId="2F4E3F2D" w14:textId="77777777" w:rsidR="00C87919" w:rsidRDefault="00C87919" w:rsidP="00741053">
      <w:pPr>
        <w:spacing w:line="360" w:lineRule="auto"/>
        <w:rPr>
          <w:rFonts w:ascii="Calibri" w:hAnsi="Calibri" w:cs="Calibri"/>
        </w:rPr>
      </w:pPr>
    </w:p>
    <w:p w14:paraId="1E35FFD1" w14:textId="0BD2C14C" w:rsidR="00741053" w:rsidRPr="00741053" w:rsidRDefault="00741053" w:rsidP="00741053">
      <w:pPr>
        <w:spacing w:line="360" w:lineRule="auto"/>
        <w:rPr>
          <w:rFonts w:ascii="Calibri" w:hAnsi="Calibri" w:cs="Calibri"/>
        </w:rPr>
      </w:pPr>
      <w:r w:rsidRPr="00741053">
        <w:rPr>
          <w:rFonts w:ascii="Calibri" w:hAnsi="Calibri" w:cs="Calibri"/>
        </w:rPr>
        <w:t>Routledge &amp; CRC Press. (n.d.). </w:t>
      </w:r>
      <w:r w:rsidRPr="00741053">
        <w:rPr>
          <w:rFonts w:ascii="Calibri" w:hAnsi="Calibri" w:cs="Calibri"/>
          <w:i/>
          <w:iCs/>
        </w:rPr>
        <w:t>Policing Critical Incidents: Leadership and Critical Incident Management</w:t>
      </w:r>
      <w:r w:rsidRPr="00741053">
        <w:rPr>
          <w:rFonts w:ascii="Calibri" w:hAnsi="Calibri" w:cs="Calibri"/>
        </w:rPr>
        <w:t xml:space="preserve">. [online] Available at: </w:t>
      </w:r>
      <w:hyperlink r:id="rId24" w:history="1">
        <w:r w:rsidRPr="00741053">
          <w:rPr>
            <w:rStyle w:val="Hyperlink"/>
            <w:rFonts w:ascii="Calibri" w:hAnsi="Calibri" w:cs="Calibri"/>
          </w:rPr>
          <w:t>https://www.routledge.com/Policing-Critical-Incidents-Leadership-and-Critical-Incident-Management/Alison-Crego/p/book/9781843922797</w:t>
        </w:r>
      </w:hyperlink>
      <w:r w:rsidRPr="00741053">
        <w:rPr>
          <w:rFonts w:ascii="Calibri" w:hAnsi="Calibri" w:cs="Calibri"/>
        </w:rPr>
        <w:t>. (Accessed 29, Aug. 2024).</w:t>
      </w:r>
    </w:p>
    <w:p w14:paraId="41CEE7F7" w14:textId="77777777" w:rsidR="00C87919" w:rsidRDefault="00C87919" w:rsidP="00741053">
      <w:pPr>
        <w:spacing w:line="360" w:lineRule="auto"/>
        <w:rPr>
          <w:rFonts w:ascii="Calibri" w:hAnsi="Calibri" w:cs="Calibri"/>
        </w:rPr>
      </w:pPr>
    </w:p>
    <w:p w14:paraId="18A3C6E6" w14:textId="67DA6E86" w:rsidR="00741053" w:rsidRPr="00741053" w:rsidRDefault="00741053" w:rsidP="00741053">
      <w:pPr>
        <w:spacing w:line="360" w:lineRule="auto"/>
        <w:rPr>
          <w:rFonts w:ascii="Calibri" w:hAnsi="Calibri" w:cs="Calibri"/>
        </w:rPr>
      </w:pPr>
      <w:r w:rsidRPr="00741053">
        <w:rPr>
          <w:rFonts w:ascii="Calibri" w:hAnsi="Calibri" w:cs="Calibri"/>
        </w:rPr>
        <w:t>Santos, R. and Santos, R. (2024). </w:t>
      </w:r>
      <w:r w:rsidRPr="00741053">
        <w:rPr>
          <w:rFonts w:ascii="Calibri" w:hAnsi="Calibri" w:cs="Calibri"/>
          <w:i/>
          <w:iCs/>
        </w:rPr>
        <w:t>Operationalizing Proactive Community Engagement A framework for police organizations</w:t>
      </w:r>
      <w:r w:rsidRPr="00741053">
        <w:rPr>
          <w:rFonts w:ascii="Calibri" w:hAnsi="Calibri" w:cs="Calibri"/>
        </w:rPr>
        <w:t xml:space="preserve">. [online] Available at: </w:t>
      </w:r>
      <w:hyperlink r:id="rId25" w:history="1">
        <w:r w:rsidRPr="00741053">
          <w:rPr>
            <w:rStyle w:val="Hyperlink"/>
            <w:rFonts w:ascii="Calibri" w:hAnsi="Calibri" w:cs="Calibri"/>
          </w:rPr>
          <w:t>https://portal.cops.usdoj.gov/resourcecenter/content.ashx/cops-r1145-pub.pdf</w:t>
        </w:r>
      </w:hyperlink>
      <w:r w:rsidRPr="00741053">
        <w:rPr>
          <w:rFonts w:ascii="Calibri" w:hAnsi="Calibri" w:cs="Calibri"/>
        </w:rPr>
        <w:t>. (Accessed 27</w:t>
      </w:r>
      <w:r w:rsidRPr="00741053">
        <w:rPr>
          <w:rFonts w:ascii="Calibri" w:hAnsi="Calibri" w:cs="Calibri"/>
          <w:vertAlign w:val="superscript"/>
        </w:rPr>
        <w:t>th</w:t>
      </w:r>
      <w:r w:rsidRPr="00741053">
        <w:rPr>
          <w:rFonts w:ascii="Calibri" w:hAnsi="Calibri" w:cs="Calibri"/>
        </w:rPr>
        <w:t xml:space="preserve"> August 2024).</w:t>
      </w:r>
    </w:p>
    <w:p w14:paraId="28DE3146" w14:textId="77777777" w:rsidR="00C87919" w:rsidRDefault="00C87919" w:rsidP="00741053">
      <w:pPr>
        <w:spacing w:line="360" w:lineRule="auto"/>
        <w:rPr>
          <w:rFonts w:ascii="Calibri" w:hAnsi="Calibri" w:cs="Calibri"/>
        </w:rPr>
      </w:pPr>
    </w:p>
    <w:p w14:paraId="5E123474" w14:textId="39A5CE0A" w:rsidR="00741053" w:rsidRPr="00741053" w:rsidRDefault="00741053" w:rsidP="00741053">
      <w:pPr>
        <w:spacing w:line="360" w:lineRule="auto"/>
        <w:rPr>
          <w:rFonts w:ascii="Calibri" w:hAnsi="Calibri" w:cs="Calibri"/>
        </w:rPr>
      </w:pPr>
      <w:r w:rsidRPr="00741053">
        <w:rPr>
          <w:rFonts w:ascii="Calibri" w:hAnsi="Calibri" w:cs="Calibri"/>
        </w:rPr>
        <w:t>Shults, J.F. (2021). </w:t>
      </w:r>
      <w:r w:rsidRPr="00741053">
        <w:rPr>
          <w:rFonts w:ascii="Calibri" w:hAnsi="Calibri" w:cs="Calibri"/>
          <w:i/>
          <w:iCs/>
        </w:rPr>
        <w:t>How police incident response adapted to the protests of 2020</w:t>
      </w:r>
      <w:r w:rsidRPr="00741053">
        <w:rPr>
          <w:rFonts w:ascii="Calibri" w:hAnsi="Calibri" w:cs="Calibri"/>
        </w:rPr>
        <w:t xml:space="preserve">. [online] Police1. Available at: </w:t>
      </w:r>
      <w:hyperlink r:id="rId26" w:history="1">
        <w:r w:rsidRPr="00741053">
          <w:rPr>
            <w:rStyle w:val="Hyperlink"/>
            <w:rFonts w:ascii="Calibri" w:hAnsi="Calibri" w:cs="Calibri"/>
          </w:rPr>
          <w:t>https://www.police1.com/chiefs-sheriffs/articles/iacp-quick-take-learning-from-the-critical-incidents-of-2020-K59wtOWnguuhtk1g/</w:t>
        </w:r>
      </w:hyperlink>
      <w:r w:rsidRPr="00741053">
        <w:rPr>
          <w:rFonts w:ascii="Calibri" w:hAnsi="Calibri" w:cs="Calibri"/>
        </w:rPr>
        <w:t>. [Accessed 29 Aug. 2024].</w:t>
      </w:r>
    </w:p>
    <w:p w14:paraId="14351542" w14:textId="77777777" w:rsidR="00C87919" w:rsidRDefault="00C87919" w:rsidP="00741053">
      <w:pPr>
        <w:spacing w:line="360" w:lineRule="auto"/>
        <w:rPr>
          <w:rFonts w:ascii="Calibri" w:hAnsi="Calibri" w:cs="Calibri"/>
        </w:rPr>
      </w:pPr>
    </w:p>
    <w:p w14:paraId="7B732A3E" w14:textId="6F150386" w:rsidR="00741053" w:rsidRPr="00741053" w:rsidRDefault="00741053" w:rsidP="00741053">
      <w:pPr>
        <w:spacing w:line="360" w:lineRule="auto"/>
        <w:rPr>
          <w:rFonts w:ascii="Calibri" w:hAnsi="Calibri" w:cs="Calibri"/>
        </w:rPr>
      </w:pPr>
      <w:r w:rsidRPr="00741053">
        <w:rPr>
          <w:rFonts w:ascii="Calibri" w:hAnsi="Calibri" w:cs="Calibri"/>
        </w:rPr>
        <w:t>Stephens, D., Hill, J. and Greenberg, S. (2011). </w:t>
      </w:r>
      <w:r w:rsidRPr="00741053">
        <w:rPr>
          <w:rFonts w:ascii="Calibri" w:hAnsi="Calibri" w:cs="Calibri"/>
          <w:i/>
          <w:iCs/>
        </w:rPr>
        <w:t>Strategic Communication Practices: A Toolkit for Police Executives</w:t>
      </w:r>
      <w:r w:rsidRPr="00741053">
        <w:rPr>
          <w:rFonts w:ascii="Calibri" w:hAnsi="Calibri" w:cs="Calibri"/>
        </w:rPr>
        <w:t xml:space="preserve">. [online] Available at: </w:t>
      </w:r>
      <w:hyperlink r:id="rId27" w:history="1">
        <w:r w:rsidRPr="00741053">
          <w:rPr>
            <w:rStyle w:val="Hyperlink"/>
            <w:rFonts w:ascii="Calibri" w:hAnsi="Calibri" w:cs="Calibri"/>
          </w:rPr>
          <w:t>https://portal.cops.usdoj.gov/resourcecenter/ric/Publications/cops-p222-pub.pdf</w:t>
        </w:r>
      </w:hyperlink>
      <w:r w:rsidRPr="00741053">
        <w:rPr>
          <w:rFonts w:ascii="Calibri" w:hAnsi="Calibri" w:cs="Calibri"/>
        </w:rPr>
        <w:t>. (Accessed 27</w:t>
      </w:r>
      <w:r w:rsidRPr="00741053">
        <w:rPr>
          <w:rFonts w:ascii="Calibri" w:hAnsi="Calibri" w:cs="Calibri"/>
          <w:vertAlign w:val="superscript"/>
        </w:rPr>
        <w:t>th</w:t>
      </w:r>
      <w:r w:rsidRPr="00741053">
        <w:rPr>
          <w:rFonts w:ascii="Calibri" w:hAnsi="Calibri" w:cs="Calibri"/>
        </w:rPr>
        <w:t xml:space="preserve"> August 2024).</w:t>
      </w:r>
    </w:p>
    <w:p w14:paraId="0589D037" w14:textId="77777777" w:rsidR="00C87919" w:rsidRDefault="00C87919" w:rsidP="00741053">
      <w:pPr>
        <w:spacing w:line="360" w:lineRule="auto"/>
        <w:rPr>
          <w:rFonts w:ascii="Calibri" w:hAnsi="Calibri" w:cs="Calibri"/>
        </w:rPr>
      </w:pPr>
    </w:p>
    <w:p w14:paraId="08C8A30C" w14:textId="130573AC" w:rsidR="00741053" w:rsidRPr="00741053" w:rsidRDefault="00741053" w:rsidP="00741053">
      <w:pPr>
        <w:spacing w:line="360" w:lineRule="auto"/>
        <w:rPr>
          <w:rFonts w:ascii="Calibri" w:hAnsi="Calibri" w:cs="Calibri"/>
        </w:rPr>
      </w:pPr>
      <w:proofErr w:type="spellStart"/>
      <w:r w:rsidRPr="00741053">
        <w:rPr>
          <w:rFonts w:ascii="Calibri" w:hAnsi="Calibri" w:cs="Calibri"/>
        </w:rPr>
        <w:t>Zambounis</w:t>
      </w:r>
      <w:proofErr w:type="spellEnd"/>
      <w:r w:rsidRPr="00741053">
        <w:rPr>
          <w:rFonts w:ascii="Calibri" w:hAnsi="Calibri" w:cs="Calibri"/>
        </w:rPr>
        <w:t>-Black, K. (2023). </w:t>
      </w:r>
      <w:r w:rsidRPr="00741053">
        <w:rPr>
          <w:rFonts w:ascii="Calibri" w:hAnsi="Calibri" w:cs="Calibri"/>
          <w:i/>
          <w:iCs/>
        </w:rPr>
        <w:t>Building bridges, not walls: How collaborative partnerships foster public safety success</w:t>
      </w:r>
      <w:r w:rsidRPr="00741053">
        <w:rPr>
          <w:rFonts w:ascii="Calibri" w:hAnsi="Calibri" w:cs="Calibri"/>
        </w:rPr>
        <w:t xml:space="preserve">. [online] Police1. Available at: </w:t>
      </w:r>
      <w:hyperlink r:id="rId28" w:history="1">
        <w:r w:rsidRPr="00741053">
          <w:rPr>
            <w:rStyle w:val="Hyperlink"/>
            <w:rFonts w:ascii="Calibri" w:hAnsi="Calibri" w:cs="Calibri"/>
          </w:rPr>
          <w:t>https://www.police1.com/community-policing/articles/building-bridges-not-walls-how-collaborative-partnerships-foster-public-safety-success-NyeaEgar2SjbqYDj/</w:t>
        </w:r>
      </w:hyperlink>
      <w:r w:rsidRPr="00741053">
        <w:rPr>
          <w:rFonts w:ascii="Calibri" w:hAnsi="Calibri" w:cs="Calibri"/>
        </w:rPr>
        <w:t>. (Accessed 27</w:t>
      </w:r>
      <w:r w:rsidRPr="00741053">
        <w:rPr>
          <w:rFonts w:ascii="Calibri" w:hAnsi="Calibri" w:cs="Calibri"/>
          <w:vertAlign w:val="superscript"/>
        </w:rPr>
        <w:t>th</w:t>
      </w:r>
      <w:r w:rsidRPr="00741053">
        <w:rPr>
          <w:rFonts w:ascii="Calibri" w:hAnsi="Calibri" w:cs="Calibri"/>
        </w:rPr>
        <w:t xml:space="preserve"> August 2024).</w:t>
      </w:r>
    </w:p>
    <w:p w14:paraId="0961F659" w14:textId="77777777" w:rsidR="00741053" w:rsidRPr="00741053" w:rsidRDefault="00741053" w:rsidP="00741053">
      <w:pPr>
        <w:spacing w:line="360" w:lineRule="auto"/>
        <w:rPr>
          <w:rFonts w:ascii="Calibri" w:hAnsi="Calibri" w:cs="Calibri"/>
        </w:rPr>
      </w:pPr>
    </w:p>
    <w:p w14:paraId="31570E5A" w14:textId="77777777" w:rsidR="00741053" w:rsidRDefault="00741053" w:rsidP="00741053">
      <w:pPr>
        <w:spacing w:line="360" w:lineRule="auto"/>
        <w:rPr>
          <w:rFonts w:ascii="Calibri" w:hAnsi="Calibri" w:cs="Calibri"/>
          <w:b/>
          <w:bCs/>
        </w:rPr>
      </w:pPr>
    </w:p>
    <w:p w14:paraId="4D5DE106" w14:textId="77777777" w:rsidR="00741053" w:rsidRDefault="00741053" w:rsidP="00741053">
      <w:pPr>
        <w:spacing w:line="360" w:lineRule="auto"/>
        <w:rPr>
          <w:rFonts w:ascii="Calibri" w:hAnsi="Calibri" w:cs="Calibri"/>
          <w:b/>
          <w:bCs/>
        </w:rPr>
      </w:pPr>
    </w:p>
    <w:p w14:paraId="6778ADD0" w14:textId="77777777" w:rsidR="00741053" w:rsidRDefault="00741053" w:rsidP="00741053">
      <w:pPr>
        <w:spacing w:line="360" w:lineRule="auto"/>
        <w:rPr>
          <w:rFonts w:ascii="Calibri" w:hAnsi="Calibri" w:cs="Calibri"/>
          <w:b/>
          <w:bCs/>
        </w:rPr>
      </w:pPr>
    </w:p>
    <w:p w14:paraId="6DF74891" w14:textId="77777777" w:rsidR="00741053" w:rsidRDefault="00741053" w:rsidP="00741053">
      <w:pPr>
        <w:spacing w:line="360" w:lineRule="auto"/>
        <w:rPr>
          <w:rFonts w:ascii="Calibri" w:hAnsi="Calibri" w:cs="Calibri"/>
          <w:b/>
          <w:bCs/>
        </w:rPr>
      </w:pPr>
    </w:p>
    <w:p w14:paraId="3BA0FB8A" w14:textId="77777777" w:rsidR="00741053" w:rsidRDefault="00741053" w:rsidP="00741053">
      <w:pPr>
        <w:spacing w:line="360" w:lineRule="auto"/>
        <w:rPr>
          <w:rFonts w:ascii="Calibri" w:hAnsi="Calibri" w:cs="Calibri"/>
          <w:b/>
          <w:bCs/>
        </w:rPr>
      </w:pPr>
    </w:p>
    <w:p w14:paraId="60FB962B" w14:textId="77777777" w:rsidR="00741053" w:rsidRDefault="00741053" w:rsidP="00741053">
      <w:pPr>
        <w:spacing w:line="360" w:lineRule="auto"/>
        <w:rPr>
          <w:rFonts w:ascii="Calibri" w:hAnsi="Calibri" w:cs="Calibri"/>
          <w:b/>
          <w:bCs/>
        </w:rPr>
      </w:pPr>
    </w:p>
    <w:p w14:paraId="5ACD1FAD" w14:textId="77777777" w:rsidR="00F37288" w:rsidRDefault="00F37288" w:rsidP="00741053">
      <w:pPr>
        <w:spacing w:line="360" w:lineRule="auto"/>
        <w:rPr>
          <w:rFonts w:ascii="Calibri" w:hAnsi="Calibri" w:cs="Calibri"/>
          <w:b/>
          <w:bCs/>
        </w:rPr>
      </w:pPr>
    </w:p>
    <w:p w14:paraId="338B548D" w14:textId="2FDA0A62" w:rsidR="00741053" w:rsidRPr="00741053" w:rsidRDefault="00741053" w:rsidP="00741053">
      <w:pPr>
        <w:spacing w:line="360" w:lineRule="auto"/>
        <w:rPr>
          <w:rFonts w:ascii="Calibri" w:hAnsi="Calibri" w:cs="Calibri"/>
          <w:b/>
          <w:bCs/>
        </w:rPr>
      </w:pPr>
      <w:r w:rsidRPr="00741053">
        <w:rPr>
          <w:rFonts w:ascii="Calibri" w:hAnsi="Calibri" w:cs="Calibri"/>
          <w:b/>
          <w:bCs/>
        </w:rPr>
        <w:lastRenderedPageBreak/>
        <w:t xml:space="preserve">Why are terrorist organisations often involved in other forms of criminality (e.g. acquisitive crime), and how can this inform counter-terrorism policing? Your answer must be based on academic research, although you may </w:t>
      </w:r>
      <w:proofErr w:type="gramStart"/>
      <w:r w:rsidRPr="00741053">
        <w:rPr>
          <w:rFonts w:ascii="Calibri" w:hAnsi="Calibri" w:cs="Calibri"/>
          <w:b/>
          <w:bCs/>
        </w:rPr>
        <w:t>make reference</w:t>
      </w:r>
      <w:proofErr w:type="gramEnd"/>
      <w:r w:rsidRPr="00741053">
        <w:rPr>
          <w:rFonts w:ascii="Calibri" w:hAnsi="Calibri" w:cs="Calibri"/>
          <w:b/>
          <w:bCs/>
        </w:rPr>
        <w:t xml:space="preserve"> relevant case studies.</w:t>
      </w:r>
    </w:p>
    <w:p w14:paraId="171E24C4" w14:textId="77777777" w:rsidR="00F37288" w:rsidRDefault="00F37288" w:rsidP="00741053">
      <w:pPr>
        <w:spacing w:line="360" w:lineRule="auto"/>
        <w:jc w:val="both"/>
        <w:rPr>
          <w:rFonts w:ascii="Calibri" w:hAnsi="Calibri" w:cs="Calibri"/>
        </w:rPr>
      </w:pPr>
    </w:p>
    <w:p w14:paraId="03377506" w14:textId="0A451408" w:rsidR="00741053" w:rsidRPr="00741053" w:rsidRDefault="00741053" w:rsidP="00741053">
      <w:pPr>
        <w:spacing w:line="360" w:lineRule="auto"/>
        <w:jc w:val="both"/>
        <w:rPr>
          <w:rFonts w:ascii="Calibri" w:hAnsi="Calibri" w:cs="Calibri"/>
        </w:rPr>
      </w:pPr>
      <w:r w:rsidRPr="00741053">
        <w:rPr>
          <w:rFonts w:ascii="Calibri" w:hAnsi="Calibri" w:cs="Calibri"/>
        </w:rPr>
        <w:t>It is crucial to understand the symbiotic relationship between terrorist organisations and other forms of organised criminal activity. This understanding is essential for developing effective counter-terrorism policing strategies aimed at disrupting these criminal networks. Terrorist groups are not limited to acts of violence; they often engage in various criminal activities to achieve their goals (LBOCAT module 16, 2019).</w:t>
      </w:r>
    </w:p>
    <w:p w14:paraId="01912BD1" w14:textId="77777777" w:rsidR="00741053" w:rsidRPr="00741053" w:rsidRDefault="00741053" w:rsidP="00741053">
      <w:pPr>
        <w:spacing w:line="360" w:lineRule="auto"/>
        <w:jc w:val="both"/>
        <w:rPr>
          <w:rFonts w:ascii="Calibri" w:hAnsi="Calibri" w:cs="Calibri"/>
        </w:rPr>
      </w:pPr>
      <w:r w:rsidRPr="00741053">
        <w:rPr>
          <w:rFonts w:ascii="Calibri" w:hAnsi="Calibri" w:cs="Calibri"/>
        </w:rPr>
        <w:t>The main aim of this essay is to delve into why terrorist organisations often engage in other forms of criminality and how this understanding can then help with future counter-terrorism policing (Council of Europe, 2021).</w:t>
      </w:r>
    </w:p>
    <w:p w14:paraId="394AB317" w14:textId="77777777" w:rsidR="00741053" w:rsidRPr="00741053" w:rsidRDefault="00741053" w:rsidP="00741053">
      <w:pPr>
        <w:spacing w:line="360" w:lineRule="auto"/>
        <w:jc w:val="both"/>
        <w:rPr>
          <w:rFonts w:ascii="Calibri" w:hAnsi="Calibri" w:cs="Calibri"/>
        </w:rPr>
      </w:pPr>
      <w:r w:rsidRPr="00741053">
        <w:rPr>
          <w:rFonts w:ascii="Calibri" w:hAnsi="Calibri" w:cs="Calibri"/>
        </w:rPr>
        <w:t>An offender committing an acquisitive crime takes something that isn’t theirs, usually from another person, to gain money or valuable items. Examples include stealing property, breaking into homes, and committing fraud, with the main goal being to acquire something of value (Gavin, 2021). Terrorism, on the other hand, is an unlawful act intended to instil fear, violence, and intimidation against innocent bystanders. This is done to coerce and achieve political gain over a particular government or society for the perpetrators’ benefit. Both terrorism and acquisitive crimes fit the narrative of criminality, as they involve behaviours that are forbidden and contrary to seminal law (Wales Safer Communities, n.d.).</w:t>
      </w:r>
    </w:p>
    <w:p w14:paraId="01C552BE" w14:textId="77777777" w:rsidR="00741053" w:rsidRPr="00741053" w:rsidRDefault="00741053" w:rsidP="00741053">
      <w:pPr>
        <w:spacing w:line="360" w:lineRule="auto"/>
        <w:jc w:val="both"/>
        <w:rPr>
          <w:rFonts w:ascii="Calibri" w:hAnsi="Calibri" w:cs="Calibri"/>
        </w:rPr>
      </w:pPr>
      <w:r w:rsidRPr="00741053">
        <w:rPr>
          <w:rFonts w:ascii="Calibri" w:hAnsi="Calibri" w:cs="Calibri"/>
        </w:rPr>
        <w:t>There is a clear link between terrorism and other forms of criminal activity. Terrorist groups do not limit themselves to acts of violence or ideological pursuits; to achieve their goals, they also engage in various criminal activities, such as acquisitive crime. These activities can include smuggling, fraud, extortion, and drug trafficking. It is not uncommon for individuals involved in terrorism to also engage in overt acts of violence. The main reasons for this link include financial needs, loss of state sponsorship, and adapting to changing circumstances (</w:t>
      </w:r>
      <w:proofErr w:type="spellStart"/>
      <w:r w:rsidRPr="00741053">
        <w:rPr>
          <w:rFonts w:ascii="Calibri" w:hAnsi="Calibri" w:cs="Calibri"/>
        </w:rPr>
        <w:t>Fromiti</w:t>
      </w:r>
      <w:proofErr w:type="spellEnd"/>
      <w:r w:rsidRPr="00741053">
        <w:rPr>
          <w:rFonts w:ascii="Calibri" w:hAnsi="Calibri" w:cs="Calibri"/>
        </w:rPr>
        <w:t>, n.d.).</w:t>
      </w:r>
    </w:p>
    <w:p w14:paraId="0A03FE25" w14:textId="77777777" w:rsidR="00741053" w:rsidRPr="00741053" w:rsidRDefault="00741053" w:rsidP="00741053">
      <w:pPr>
        <w:spacing w:line="360" w:lineRule="auto"/>
        <w:jc w:val="both"/>
        <w:rPr>
          <w:rFonts w:ascii="Calibri" w:hAnsi="Calibri" w:cs="Calibri"/>
        </w:rPr>
      </w:pPr>
      <w:r w:rsidRPr="00741053">
        <w:rPr>
          <w:rFonts w:ascii="Calibri" w:hAnsi="Calibri" w:cs="Calibri"/>
        </w:rPr>
        <w:t>Whilst there has been a clear link established, there are is a distinctive correlation between terrorism and organised crime. This section will explore these connections and examine how terrorist groups thrive. Terrorist groups need a source of funding to carry out their activities. These groups often engage in drug trafficking or smuggling to raise funds (</w:t>
      </w:r>
      <w:proofErr w:type="spellStart"/>
      <w:r w:rsidRPr="00741053">
        <w:rPr>
          <w:rFonts w:ascii="Calibri" w:hAnsi="Calibri" w:cs="Calibri"/>
        </w:rPr>
        <w:t>ClearIAS</w:t>
      </w:r>
      <w:proofErr w:type="spellEnd"/>
      <w:r w:rsidRPr="00741053">
        <w:rPr>
          <w:rFonts w:ascii="Calibri" w:hAnsi="Calibri" w:cs="Calibri"/>
        </w:rPr>
        <w:t>, 2022). In addition to funding, terrorist organisations seek resources to share with other like-minded groups, such as purchasing weapons from organised crime groups (</w:t>
      </w:r>
      <w:proofErr w:type="spellStart"/>
      <w:r w:rsidRPr="00741053">
        <w:rPr>
          <w:rFonts w:ascii="Calibri" w:hAnsi="Calibri" w:cs="Calibri"/>
        </w:rPr>
        <w:t>Fromiti</w:t>
      </w:r>
      <w:proofErr w:type="spellEnd"/>
      <w:r w:rsidRPr="00741053">
        <w:rPr>
          <w:rFonts w:ascii="Calibri" w:hAnsi="Calibri" w:cs="Calibri"/>
        </w:rPr>
        <w:t>, n.d.).</w:t>
      </w:r>
    </w:p>
    <w:p w14:paraId="563990FB" w14:textId="77777777" w:rsidR="00741053" w:rsidRPr="00741053" w:rsidRDefault="00741053" w:rsidP="00741053">
      <w:pPr>
        <w:spacing w:line="360" w:lineRule="auto"/>
        <w:jc w:val="both"/>
        <w:rPr>
          <w:rFonts w:ascii="Calibri" w:hAnsi="Calibri" w:cs="Calibri"/>
        </w:rPr>
      </w:pPr>
      <w:r w:rsidRPr="00741053">
        <w:rPr>
          <w:rFonts w:ascii="Calibri" w:hAnsi="Calibri" w:cs="Calibri"/>
        </w:rPr>
        <w:lastRenderedPageBreak/>
        <w:t>Terrorist organisations also recruit individuals within criminal networks for various reasons, including ideological motivations or financial incentives (Linkages between organised crime and terrorism module 16, 2019). Another important aspect to consider when reviewing the links between terrorism and organised crime is mutual benefit. When both groups have a common goal, they may collaborate to achieve it. For example, a terrorist group might protect a drug trafficking route in exchange for profits. In essence, terrorism and organised crime often overlap to reach the same objectives (Alda and Sala, 2014).</w:t>
      </w:r>
    </w:p>
    <w:p w14:paraId="797BDF36" w14:textId="77777777" w:rsidR="00741053" w:rsidRPr="00741053" w:rsidRDefault="00741053" w:rsidP="00741053">
      <w:pPr>
        <w:spacing w:line="360" w:lineRule="auto"/>
        <w:jc w:val="both"/>
        <w:rPr>
          <w:rFonts w:ascii="Calibri" w:hAnsi="Calibri" w:cs="Calibri"/>
        </w:rPr>
      </w:pPr>
      <w:r w:rsidRPr="00741053">
        <w:rPr>
          <w:rFonts w:ascii="Calibri" w:hAnsi="Calibri" w:cs="Calibri"/>
        </w:rPr>
        <w:t>A real-life example of the convergence between organised criminal gangs and terrorist groups is the Revolutionary Armed Forces of Colombia (FARC) and drug trafficking. FARC, a guerrilla movement involved in the Colombian armed conflict, financed its operations through the illegal drug trade. By controlling large areas of coca cultivation, they were involved in the production and distribution of cocaine. Partnering with organised crime networks allowed FARC to fund their terrorist activities and sustain their operations for many years (Sanderson, 2004).</w:t>
      </w:r>
    </w:p>
    <w:p w14:paraId="202F1D12" w14:textId="77777777" w:rsidR="00741053" w:rsidRPr="00741053" w:rsidRDefault="00741053" w:rsidP="00741053">
      <w:pPr>
        <w:spacing w:line="360" w:lineRule="auto"/>
        <w:jc w:val="both"/>
        <w:rPr>
          <w:rFonts w:ascii="Calibri" w:hAnsi="Calibri" w:cs="Calibri"/>
        </w:rPr>
      </w:pPr>
      <w:r w:rsidRPr="00741053">
        <w:rPr>
          <w:rFonts w:ascii="Calibri" w:hAnsi="Calibri" w:cs="Calibri"/>
        </w:rPr>
        <w:t>Another notable example of a symbiotic relationship is the collaboration between the Italian Mafia and Al-Qaida. This relationship between organised groups is known for carrying out illicit operations. Although they do not share a common goal or philosophy, they utilise each other’s skill sets and assets to achieve their own outcomes. For instance, the Mafia might provide logistical support or money laundering services, while Al-Qaida offers protection or other valuable resources (D’Alfonso, 2014).</w:t>
      </w:r>
    </w:p>
    <w:p w14:paraId="4A7AF828" w14:textId="77777777" w:rsidR="00741053" w:rsidRPr="00741053" w:rsidRDefault="00741053" w:rsidP="00741053">
      <w:pPr>
        <w:spacing w:line="360" w:lineRule="auto"/>
        <w:jc w:val="both"/>
        <w:rPr>
          <w:rFonts w:ascii="Calibri" w:hAnsi="Calibri" w:cs="Calibri"/>
        </w:rPr>
      </w:pPr>
      <w:r w:rsidRPr="00741053">
        <w:rPr>
          <w:rFonts w:ascii="Calibri" w:hAnsi="Calibri" w:cs="Calibri"/>
        </w:rPr>
        <w:t>This section will explore what motivates these groups to commit these crimes. Financial benefit is one of the main reasons, and although this essay has briefly touched on this topic, it is important to understand the bigger picture and the significance of financial funding. Money is one of the most crucial needs when organising a criminal gang; it equates to power and, most importantly, sustainability. Funding operations to carry out attacks, recruit members, and maintain the group is essential. Specific equipment, explosives, and weapons all require financial resources (Laksmi, 2019).</w:t>
      </w:r>
    </w:p>
    <w:p w14:paraId="6A8EEE58" w14:textId="77777777" w:rsidR="00741053" w:rsidRPr="00741053" w:rsidRDefault="00741053" w:rsidP="00741053">
      <w:pPr>
        <w:spacing w:line="360" w:lineRule="auto"/>
        <w:jc w:val="both"/>
        <w:rPr>
          <w:rFonts w:ascii="Calibri" w:hAnsi="Calibri" w:cs="Calibri"/>
        </w:rPr>
      </w:pPr>
      <w:r w:rsidRPr="00741053">
        <w:rPr>
          <w:rFonts w:ascii="Calibri" w:hAnsi="Calibri" w:cs="Calibri"/>
        </w:rPr>
        <w:t>While recruitment is vital, sustaining members is equally important and cannot be overlooked. Group members need financial support for their families, including salaries, food, and housing (www.un.org, n.d.). Additionally, with recruitment comes propaganda. Funds are needed to create and distribute propaganda material to encourage new individuals to join the cause and spread their ideology (Lauren, 2021).</w:t>
      </w:r>
    </w:p>
    <w:p w14:paraId="085AA1AE" w14:textId="370B0DC3" w:rsidR="00741053" w:rsidRPr="00741053" w:rsidRDefault="00741053" w:rsidP="00741053">
      <w:pPr>
        <w:spacing w:line="360" w:lineRule="auto"/>
        <w:jc w:val="both"/>
        <w:rPr>
          <w:rFonts w:ascii="Calibri" w:hAnsi="Calibri" w:cs="Calibri"/>
        </w:rPr>
      </w:pPr>
      <w:r w:rsidRPr="00741053">
        <w:rPr>
          <w:rFonts w:ascii="Calibri" w:hAnsi="Calibri" w:cs="Calibri"/>
        </w:rPr>
        <w:t xml:space="preserve">While it is important to consider the financial benefits, this essay examines why terrorist organisations engage in criminal activity. When funding is limited and recruitment is low, terrorist groups often seek other means of support. Unlike other organisations that rely on charitable donations and sponsorships, </w:t>
      </w:r>
      <w:r w:rsidRPr="00741053">
        <w:rPr>
          <w:rFonts w:ascii="Calibri" w:hAnsi="Calibri" w:cs="Calibri"/>
        </w:rPr>
        <w:lastRenderedPageBreak/>
        <w:t xml:space="preserve">terrorist groups face restricted access and legal barriers to obtaining legal funds. Governments and international bodies impose strict regulations, leading these groups to resort to illegal activities to raise the necessary funds </w:t>
      </w:r>
      <w:r w:rsidRPr="00F37288">
        <w:rPr>
          <w:rFonts w:ascii="Calibri" w:hAnsi="Calibri" w:cs="Calibri"/>
        </w:rPr>
        <w:t>(Identifying and Preventing Terrorist and Other Illicit Financing, n.d.).</w:t>
      </w:r>
      <w:r w:rsidRPr="00741053">
        <w:rPr>
          <w:rFonts w:ascii="Calibri" w:hAnsi="Calibri" w:cs="Calibri"/>
        </w:rPr>
        <w:t xml:space="preserve"> High-profit illegal activities, such as drug trafficking, smuggling, and kidnapping, provide a steady stream of income. It is crucial for these groups to remain undetected to avoid drawing attention from law enforcement. Sometimes, small-scale operations are equally important, as they can yield significant profits while attracting less police attention </w:t>
      </w:r>
      <w:r w:rsidRPr="009E4BEA">
        <w:rPr>
          <w:rFonts w:ascii="Calibri" w:hAnsi="Calibri" w:cs="Calibri"/>
        </w:rPr>
        <w:t>(</w:t>
      </w:r>
      <w:r w:rsidR="009E4BEA">
        <w:rPr>
          <w:rFonts w:ascii="Calibri" w:hAnsi="Calibri" w:cs="Calibri"/>
        </w:rPr>
        <w:t>United Nations</w:t>
      </w:r>
      <w:r w:rsidRPr="009E4BEA">
        <w:rPr>
          <w:rFonts w:ascii="Calibri" w:hAnsi="Calibri" w:cs="Calibri"/>
        </w:rPr>
        <w:t>, n.d.).</w:t>
      </w:r>
    </w:p>
    <w:p w14:paraId="17F93F6B" w14:textId="77777777" w:rsidR="00741053" w:rsidRPr="00741053" w:rsidRDefault="00741053" w:rsidP="00741053">
      <w:pPr>
        <w:spacing w:line="360" w:lineRule="auto"/>
        <w:jc w:val="both"/>
        <w:rPr>
          <w:rFonts w:ascii="Calibri" w:hAnsi="Calibri" w:cs="Calibri"/>
        </w:rPr>
      </w:pPr>
      <w:r w:rsidRPr="00741053">
        <w:rPr>
          <w:rFonts w:ascii="Calibri" w:hAnsi="Calibri" w:cs="Calibri"/>
        </w:rPr>
        <w:t>Criminal activities not only support the logistical needs of terrorist operations but also enhance their internal security. Committing illegal acts can draw attention and result in capture, but counterintelligence gathered from these activities provides crucial information about policing tactics and internal operations. By obtaining this valuable information, terrorists can often avoid arrest. This is facilitated through cybercrime and communication networks, which establish secure channels for planning and executing attacks (UN News, 2020). Consequently, terrorist groups often evade capture and gain significant insights into police operations (Petrich, 2022).</w:t>
      </w:r>
    </w:p>
    <w:p w14:paraId="5002AFFB" w14:textId="77777777" w:rsidR="00741053" w:rsidRPr="00741053" w:rsidRDefault="00741053" w:rsidP="00741053">
      <w:pPr>
        <w:spacing w:line="360" w:lineRule="auto"/>
        <w:jc w:val="both"/>
        <w:rPr>
          <w:rFonts w:ascii="Calibri" w:hAnsi="Calibri" w:cs="Calibri"/>
        </w:rPr>
      </w:pPr>
      <w:r w:rsidRPr="00741053">
        <w:rPr>
          <w:rFonts w:ascii="Calibri" w:hAnsi="Calibri" w:cs="Calibri"/>
        </w:rPr>
        <w:t>Understanding the internal dynamics of terrorist groups is vital for effective counter-terrorism policing. This highlights the importance of comprehensive strategies to address both terrorism and organised crime. Enhanced intelligence sharing, team cooperation, and a robust legal framework are essential in disrupting these networks (Bing, 2024). By understanding the financial motivations and methods of these groups, counter-terrorism efforts can focus on disrupting their funding sources, making it much harder for terrorist organisations to operate. The next section of this essay will examine counter-terrorism policing and how organised terrorist crimes are addressed (U.S. Department of the Treasury, n.d.).</w:t>
      </w:r>
    </w:p>
    <w:p w14:paraId="12260E4C" w14:textId="77777777" w:rsidR="00741053" w:rsidRPr="00741053" w:rsidRDefault="00741053" w:rsidP="00741053">
      <w:pPr>
        <w:spacing w:line="360" w:lineRule="auto"/>
        <w:jc w:val="both"/>
        <w:rPr>
          <w:rFonts w:ascii="Calibri" w:hAnsi="Calibri" w:cs="Calibri"/>
        </w:rPr>
      </w:pPr>
      <w:proofErr w:type="gramStart"/>
      <w:r w:rsidRPr="00741053">
        <w:rPr>
          <w:rFonts w:ascii="Calibri" w:hAnsi="Calibri" w:cs="Calibri"/>
        </w:rPr>
        <w:t>In order to</w:t>
      </w:r>
      <w:proofErr w:type="gramEnd"/>
      <w:r w:rsidRPr="00741053">
        <w:rPr>
          <w:rFonts w:ascii="Calibri" w:hAnsi="Calibri" w:cs="Calibri"/>
        </w:rPr>
        <w:t xml:space="preserve"> combat terrorism and related crimes, it is crucial to understand the best practices, tactics, and strategies that terrorists use against targeted governments. By identifying and targeting these behaviours, local police forces can effectively eliminate terrorist groups. This research and practice are referred to as </w:t>
      </w:r>
      <w:proofErr w:type="gramStart"/>
      <w:r w:rsidRPr="00741053">
        <w:rPr>
          <w:rFonts w:ascii="Calibri" w:hAnsi="Calibri" w:cs="Calibri"/>
        </w:rPr>
        <w:t>counter-terrorism</w:t>
      </w:r>
      <w:proofErr w:type="gramEnd"/>
      <w:r w:rsidRPr="00741053">
        <w:rPr>
          <w:rFonts w:ascii="Calibri" w:hAnsi="Calibri" w:cs="Calibri"/>
        </w:rPr>
        <w:t>. It involves the efforts of intelligence agencies, police forces, and governments to disband terrorist attacks (Monica et al., n.d.).</w:t>
      </w:r>
    </w:p>
    <w:p w14:paraId="58FF327B" w14:textId="77777777" w:rsidR="00741053" w:rsidRPr="00741053" w:rsidRDefault="00741053" w:rsidP="00741053">
      <w:pPr>
        <w:spacing w:line="360" w:lineRule="auto"/>
        <w:jc w:val="both"/>
        <w:rPr>
          <w:rFonts w:ascii="Calibri" w:hAnsi="Calibri" w:cs="Calibri"/>
        </w:rPr>
      </w:pPr>
      <w:r w:rsidRPr="00741053">
        <w:rPr>
          <w:rFonts w:ascii="Calibri" w:hAnsi="Calibri" w:cs="Calibri"/>
        </w:rPr>
        <w:t xml:space="preserve">There are several key concepts to reinforcing </w:t>
      </w:r>
      <w:proofErr w:type="gramStart"/>
      <w:r w:rsidRPr="00741053">
        <w:rPr>
          <w:rFonts w:ascii="Calibri" w:hAnsi="Calibri" w:cs="Calibri"/>
        </w:rPr>
        <w:t>counter-terrorism</w:t>
      </w:r>
      <w:proofErr w:type="gramEnd"/>
      <w:r w:rsidRPr="00741053">
        <w:rPr>
          <w:rFonts w:ascii="Calibri" w:hAnsi="Calibri" w:cs="Calibri"/>
        </w:rPr>
        <w:t>. The UK police force employs comprehensive and coordinated approaches that involve multiple agencies and strategies to eliminate terrorism. This essay aims to discuss these aspects and understand the importance of executing them to prevent unwarranted terrorist attacks and protect public and national security (Counter Terrorism Policing, 2018). Here are some of the key aspects of this approach.</w:t>
      </w:r>
    </w:p>
    <w:p w14:paraId="51406D5A" w14:textId="77777777" w:rsidR="00741053" w:rsidRPr="00741053" w:rsidRDefault="00741053" w:rsidP="00741053">
      <w:pPr>
        <w:spacing w:line="360" w:lineRule="auto"/>
        <w:jc w:val="both"/>
        <w:rPr>
          <w:rFonts w:ascii="Calibri" w:hAnsi="Calibri" w:cs="Calibri"/>
        </w:rPr>
      </w:pPr>
      <w:r w:rsidRPr="00741053">
        <w:rPr>
          <w:rFonts w:ascii="Calibri" w:hAnsi="Calibri" w:cs="Calibri"/>
        </w:rPr>
        <w:lastRenderedPageBreak/>
        <w:t>The first strategy involves the counter-terrorism policing network, which includes cooperation between various intelligence agencies, such as MI5, working alongside the UK police force. This network comprises eleven regional Counter Terrorism Units (CTUs) and Counter Terrorism Intelligence Units (CTIUs) that operate throughout the UK (Counter Terrorism Policing, 2024). Another strategy to consider is the Prevent program, which aims to stop recruitment, prevent individuals from becoming terrorists, and halt support for terrorist groups. As mentioned earlier in the essay, recruitment is essential for reinforcing terrorist groups, so if the police force can stop this, it will be a significant step forward. Working with local communities to identify individuals at risk of radicalisation can help reduce recruitment. Additionally, providing much-needed education and raising awareness in schools, local authorities, and community groups about the early stages of radicalisation will enable them to act quickly and prevent it from happening (Counter Terrorism Policing, 2024).</w:t>
      </w:r>
    </w:p>
    <w:p w14:paraId="2FAFF947" w14:textId="77777777" w:rsidR="00741053" w:rsidRPr="00741053" w:rsidRDefault="00741053" w:rsidP="00741053">
      <w:pPr>
        <w:spacing w:line="360" w:lineRule="auto"/>
        <w:jc w:val="both"/>
        <w:rPr>
          <w:rFonts w:ascii="Calibri" w:hAnsi="Calibri" w:cs="Calibri"/>
        </w:rPr>
      </w:pPr>
      <w:r w:rsidRPr="00741053">
        <w:rPr>
          <w:rFonts w:ascii="Calibri" w:hAnsi="Calibri" w:cs="Calibri"/>
        </w:rPr>
        <w:t>While prevention is crucial, unfortunately, some individuals will slip through the net and become active terrorists. The next strategy is pursuing. This involves detecting and disrupting terrorist activities through surveillance and intelligence gathering, monitoring behaviours and patterns that could pose a potential threat. Alongside arrests and prosecutions, legal action against known terrorists should be pursued in court (</w:t>
      </w:r>
      <w:proofErr w:type="spellStart"/>
      <w:r w:rsidRPr="00741053">
        <w:rPr>
          <w:rFonts w:ascii="Calibri" w:hAnsi="Calibri" w:cs="Calibri"/>
        </w:rPr>
        <w:t>Montasari</w:t>
      </w:r>
      <w:proofErr w:type="spellEnd"/>
      <w:r w:rsidRPr="00741053">
        <w:rPr>
          <w:rFonts w:ascii="Calibri" w:hAnsi="Calibri" w:cs="Calibri"/>
        </w:rPr>
        <w:t>, 2024).</w:t>
      </w:r>
    </w:p>
    <w:p w14:paraId="0CFADBA2" w14:textId="77777777" w:rsidR="00741053" w:rsidRPr="00741053" w:rsidRDefault="00741053" w:rsidP="00741053">
      <w:pPr>
        <w:spacing w:line="360" w:lineRule="auto"/>
        <w:jc w:val="both"/>
        <w:rPr>
          <w:rFonts w:ascii="Calibri" w:hAnsi="Calibri" w:cs="Calibri"/>
        </w:rPr>
      </w:pPr>
      <w:r w:rsidRPr="00741053">
        <w:rPr>
          <w:rFonts w:ascii="Calibri" w:hAnsi="Calibri" w:cs="Calibri"/>
        </w:rPr>
        <w:t>Other strategies to consider are protection and preparation against terrorist attacks. As we know, terrorist attacks do occur, and if the UK police force, alongside intelligence agencies, can focus on strengthening public security and ensuring readiness, it can help minimise the consequences and lessen the impact. This includes increasing security measures in public places, transport hubs, and critical infrastructure, as well as conducting public awareness campaigns to increase vigilance. Developing and rehearsing emergency response plans for terrorist attacks, along with relevant training and exercises for first responders, will ensure they are prepared if such attacks occur (Counter Terrorism Policing, 2024).</w:t>
      </w:r>
    </w:p>
    <w:p w14:paraId="0EC88A3B" w14:textId="77777777" w:rsidR="00741053" w:rsidRPr="00741053" w:rsidRDefault="00741053" w:rsidP="00741053">
      <w:pPr>
        <w:spacing w:line="360" w:lineRule="auto"/>
        <w:jc w:val="both"/>
        <w:rPr>
          <w:rFonts w:ascii="Calibri" w:hAnsi="Calibri" w:cs="Calibri"/>
        </w:rPr>
      </w:pPr>
      <w:r w:rsidRPr="00741053">
        <w:rPr>
          <w:rFonts w:ascii="Calibri" w:hAnsi="Calibri" w:cs="Calibri"/>
        </w:rPr>
        <w:t>These case studies highlight the effectiveness of the strategies discussed in this essay. They provide concrete evidence of the importance of these strategies for counterterrorism and support the argument for their effective integration within the police force.</w:t>
      </w:r>
    </w:p>
    <w:p w14:paraId="3E6BABA3" w14:textId="77777777" w:rsidR="00741053" w:rsidRPr="00741053" w:rsidRDefault="00741053" w:rsidP="00741053">
      <w:pPr>
        <w:spacing w:line="360" w:lineRule="auto"/>
        <w:jc w:val="both"/>
        <w:rPr>
          <w:rFonts w:ascii="Calibri" w:hAnsi="Calibri" w:cs="Calibri"/>
        </w:rPr>
      </w:pPr>
      <w:r w:rsidRPr="00741053">
        <w:rPr>
          <w:rFonts w:ascii="Calibri" w:hAnsi="Calibri" w:cs="Calibri"/>
        </w:rPr>
        <w:t xml:space="preserve">One notable example is the 2006 Transatlantic Aircraft Plot. British intelligence agencies worked alongside international partners to prevent the detonation of liquid explosives on multiple transatlantic flights. This operation led to an immediate improvement in air travel security measures and underscored the critical importance of intelligence sharing among </w:t>
      </w:r>
      <w:proofErr w:type="gramStart"/>
      <w:r w:rsidRPr="00741053">
        <w:rPr>
          <w:rFonts w:ascii="Calibri" w:hAnsi="Calibri" w:cs="Calibri"/>
        </w:rPr>
        <w:t>agencies  (</w:t>
      </w:r>
      <w:proofErr w:type="gramEnd"/>
      <w:r w:rsidRPr="00741053">
        <w:rPr>
          <w:rFonts w:ascii="Calibri" w:hAnsi="Calibri" w:cs="Calibri"/>
        </w:rPr>
        <w:t>Carafano, 2011).</w:t>
      </w:r>
    </w:p>
    <w:p w14:paraId="43A45A84" w14:textId="77777777" w:rsidR="00741053" w:rsidRPr="00741053" w:rsidRDefault="00741053" w:rsidP="00741053">
      <w:pPr>
        <w:spacing w:line="360" w:lineRule="auto"/>
        <w:jc w:val="both"/>
        <w:rPr>
          <w:rFonts w:ascii="Calibri" w:hAnsi="Calibri" w:cs="Calibri"/>
        </w:rPr>
      </w:pPr>
      <w:r w:rsidRPr="00741053">
        <w:rPr>
          <w:rFonts w:ascii="Calibri" w:hAnsi="Calibri" w:cs="Calibri"/>
        </w:rPr>
        <w:lastRenderedPageBreak/>
        <w:t>The final strategy to consider is financial disruption, which, as mentioned in this essay, is a key factor behind terrorist groups. Money is power, and stopping financial support and networks can prevent not only the initial setup but also the sustainability of these groups. Tracking and freezing the assets of individuals and organisations is crucial in halting financial inflows. International cooperation with global partners is also essential, enforcing financial sanctions on anyone attempting to collude with or support terrorist groups (Edmond, 2020).</w:t>
      </w:r>
    </w:p>
    <w:p w14:paraId="13314CAD" w14:textId="77777777" w:rsidR="00741053" w:rsidRPr="00741053" w:rsidRDefault="00741053" w:rsidP="00741053">
      <w:pPr>
        <w:spacing w:line="360" w:lineRule="auto"/>
        <w:jc w:val="both"/>
        <w:rPr>
          <w:rFonts w:ascii="Calibri" w:hAnsi="Calibri" w:cs="Calibri"/>
        </w:rPr>
      </w:pPr>
      <w:r w:rsidRPr="00741053">
        <w:rPr>
          <w:rFonts w:ascii="Calibri" w:hAnsi="Calibri" w:cs="Calibri"/>
        </w:rPr>
        <w:t>A legal and policy framework is a comprehensive measure that focuses on abolishing terrorism. If both terrorism and associated crimes are equally challenged in law, it becomes an effective counter-terrorism strategy. During prosecution, it is important to charge an individual with both crimes, especially if they are linked. For instance, legislation that criminalizes financial terrorism can also target money laundering activities, which are typically linked to organized crime. The Financial Action Task Force (FATF) supports and encourages countries to reinforce these sanctions and ensure that terrorists and criminals do not exploit financial systems. Robust legal and policy frameworks are essential for effective counter-terrorism policing in the UK (Gerald, 2012).</w:t>
      </w:r>
    </w:p>
    <w:p w14:paraId="655750B4" w14:textId="77777777" w:rsidR="00741053" w:rsidRDefault="00741053" w:rsidP="00741053">
      <w:pPr>
        <w:spacing w:line="360" w:lineRule="auto"/>
        <w:jc w:val="both"/>
        <w:rPr>
          <w:rFonts w:ascii="Calibri" w:hAnsi="Calibri" w:cs="Calibri"/>
        </w:rPr>
      </w:pPr>
      <w:r w:rsidRPr="00741053">
        <w:rPr>
          <w:rFonts w:ascii="Calibri" w:hAnsi="Calibri" w:cs="Calibri"/>
        </w:rPr>
        <w:t xml:space="preserve">In conclusion, terrorist organisations often engage in other forms of crime to secure financial resources, logistics, and operational cover. These activities provide financial support and sustain operations, allowing terrorist groups to hide among other criminal networks, making it more challenging for local police forces to detect them. This essay has established the importance of understanding the motivations and methods behind terrorist attacks to reinforce counter-terrorism efforts. Integrating with specialist agencies, targeting financial networks, and encouraging community support have proven effective in disrupting the interconnected relationship between terrorism and organised crime, such as acquisitive crime. This comprehensive approach not only hinders future terrorists but also enhances security for the </w:t>
      </w:r>
      <w:proofErr w:type="gramStart"/>
      <w:r w:rsidRPr="00741053">
        <w:rPr>
          <w:rFonts w:ascii="Calibri" w:hAnsi="Calibri" w:cs="Calibri"/>
        </w:rPr>
        <w:t>general public</w:t>
      </w:r>
      <w:proofErr w:type="gramEnd"/>
      <w:r w:rsidRPr="00741053">
        <w:rPr>
          <w:rFonts w:ascii="Calibri" w:hAnsi="Calibri" w:cs="Calibri"/>
        </w:rPr>
        <w:t xml:space="preserve"> and provides much-needed resilience against a wider range of criminal activities (Counter Terrorism Policing, 2024).</w:t>
      </w:r>
    </w:p>
    <w:p w14:paraId="3C92FC47" w14:textId="77777777" w:rsidR="00C87919" w:rsidRDefault="00C87919" w:rsidP="00741053">
      <w:pPr>
        <w:spacing w:line="360" w:lineRule="auto"/>
        <w:jc w:val="both"/>
        <w:rPr>
          <w:rFonts w:ascii="Calibri" w:hAnsi="Calibri" w:cs="Calibri"/>
        </w:rPr>
      </w:pPr>
    </w:p>
    <w:p w14:paraId="058FEA76" w14:textId="49CF35FD" w:rsidR="00C87919" w:rsidRPr="00741053" w:rsidRDefault="00C87919" w:rsidP="00741053">
      <w:pPr>
        <w:spacing w:line="360" w:lineRule="auto"/>
        <w:jc w:val="both"/>
        <w:rPr>
          <w:rFonts w:ascii="Calibri" w:hAnsi="Calibri" w:cs="Calibri"/>
        </w:rPr>
      </w:pPr>
      <w:r>
        <w:rPr>
          <w:rFonts w:ascii="Calibri" w:hAnsi="Calibri" w:cs="Calibri"/>
        </w:rPr>
        <w:t>Word count - 192</w:t>
      </w:r>
      <w:r w:rsidR="009E4BEA">
        <w:rPr>
          <w:rFonts w:ascii="Calibri" w:hAnsi="Calibri" w:cs="Calibri"/>
        </w:rPr>
        <w:t>2</w:t>
      </w:r>
    </w:p>
    <w:p w14:paraId="61BFEAA5" w14:textId="77777777" w:rsidR="00741053" w:rsidRPr="00741053" w:rsidRDefault="00741053" w:rsidP="00741053">
      <w:pPr>
        <w:spacing w:line="360" w:lineRule="auto"/>
        <w:jc w:val="both"/>
        <w:rPr>
          <w:rFonts w:ascii="Calibri" w:hAnsi="Calibri" w:cs="Calibri"/>
        </w:rPr>
      </w:pPr>
    </w:p>
    <w:p w14:paraId="1A99B34E" w14:textId="77777777" w:rsidR="00741053" w:rsidRPr="00741053" w:rsidRDefault="00741053" w:rsidP="00741053">
      <w:pPr>
        <w:spacing w:line="360" w:lineRule="auto"/>
        <w:rPr>
          <w:rFonts w:ascii="Calibri" w:hAnsi="Calibri" w:cs="Calibri"/>
        </w:rPr>
      </w:pPr>
    </w:p>
    <w:p w14:paraId="15807860" w14:textId="77777777" w:rsidR="00741053" w:rsidRPr="00741053" w:rsidRDefault="00741053" w:rsidP="00741053">
      <w:pPr>
        <w:spacing w:line="360" w:lineRule="auto"/>
        <w:rPr>
          <w:rFonts w:ascii="Calibri" w:hAnsi="Calibri" w:cs="Calibri"/>
        </w:rPr>
      </w:pPr>
    </w:p>
    <w:p w14:paraId="7C96C7D3" w14:textId="77777777" w:rsidR="00741053" w:rsidRPr="00741053" w:rsidRDefault="00741053" w:rsidP="00741053">
      <w:pPr>
        <w:spacing w:line="360" w:lineRule="auto"/>
        <w:rPr>
          <w:rFonts w:ascii="Calibri" w:hAnsi="Calibri" w:cs="Calibri"/>
        </w:rPr>
      </w:pPr>
    </w:p>
    <w:p w14:paraId="30451D82" w14:textId="77777777" w:rsidR="00C87919" w:rsidRDefault="00C87919" w:rsidP="00741053">
      <w:pPr>
        <w:spacing w:line="360" w:lineRule="auto"/>
        <w:rPr>
          <w:rFonts w:ascii="Calibri" w:hAnsi="Calibri" w:cs="Calibri"/>
        </w:rPr>
      </w:pPr>
    </w:p>
    <w:p w14:paraId="1A4C3D70" w14:textId="46226337" w:rsidR="00741053" w:rsidRPr="00741053" w:rsidRDefault="00741053" w:rsidP="00741053">
      <w:pPr>
        <w:spacing w:line="360" w:lineRule="auto"/>
        <w:rPr>
          <w:rFonts w:ascii="Calibri" w:hAnsi="Calibri" w:cs="Calibri"/>
          <w:b/>
          <w:bCs/>
        </w:rPr>
      </w:pPr>
      <w:r w:rsidRPr="00741053">
        <w:rPr>
          <w:rFonts w:ascii="Calibri" w:hAnsi="Calibri" w:cs="Calibri"/>
          <w:b/>
          <w:bCs/>
        </w:rPr>
        <w:lastRenderedPageBreak/>
        <w:t xml:space="preserve">References </w:t>
      </w:r>
    </w:p>
    <w:p w14:paraId="5447D80A" w14:textId="77777777" w:rsidR="00C87919" w:rsidRDefault="00C87919" w:rsidP="00C87919">
      <w:r w:rsidRPr="00726752">
        <w:t>‌</w:t>
      </w:r>
    </w:p>
    <w:p w14:paraId="36657342" w14:textId="794AD7F6" w:rsidR="00C87919" w:rsidRPr="00C87919" w:rsidRDefault="00C87919" w:rsidP="00C87919">
      <w:pPr>
        <w:spacing w:line="360" w:lineRule="auto"/>
        <w:rPr>
          <w:rFonts w:ascii="Calibri" w:hAnsi="Calibri" w:cs="Calibri"/>
        </w:rPr>
      </w:pPr>
      <w:r w:rsidRPr="00C87919">
        <w:rPr>
          <w:rFonts w:ascii="Calibri" w:hAnsi="Calibri" w:cs="Calibri"/>
        </w:rPr>
        <w:t>Alda, E. and Sala, J.L. (2014). Links Between Terrorism, Organized Crime and Crime: The Case of the Sahel Region. </w:t>
      </w:r>
      <w:r w:rsidRPr="00C87919">
        <w:rPr>
          <w:rFonts w:ascii="Calibri" w:hAnsi="Calibri" w:cs="Calibri"/>
          <w:i/>
          <w:iCs/>
        </w:rPr>
        <w:t>Stability: International Journal of Security &amp; Development</w:t>
      </w:r>
      <w:r w:rsidRPr="00C87919">
        <w:rPr>
          <w:rFonts w:ascii="Calibri" w:hAnsi="Calibri" w:cs="Calibri"/>
        </w:rPr>
        <w:t xml:space="preserve">, 3(1). </w:t>
      </w:r>
      <w:proofErr w:type="spellStart"/>
      <w:proofErr w:type="gramStart"/>
      <w:r w:rsidRPr="00C87919">
        <w:rPr>
          <w:rFonts w:ascii="Calibri" w:hAnsi="Calibri" w:cs="Calibri"/>
        </w:rPr>
        <w:t>doi:https</w:t>
      </w:r>
      <w:proofErr w:type="spellEnd"/>
      <w:r w:rsidRPr="00C87919">
        <w:rPr>
          <w:rFonts w:ascii="Calibri" w:hAnsi="Calibri" w:cs="Calibri"/>
        </w:rPr>
        <w:t>://doi.org/10.5334/</w:t>
      </w:r>
      <w:proofErr w:type="spellStart"/>
      <w:r w:rsidRPr="00C87919">
        <w:rPr>
          <w:rFonts w:ascii="Calibri" w:hAnsi="Calibri" w:cs="Calibri"/>
        </w:rPr>
        <w:t>sta.ea</w:t>
      </w:r>
      <w:proofErr w:type="spellEnd"/>
      <w:proofErr w:type="gramEnd"/>
      <w:r w:rsidRPr="00C87919">
        <w:rPr>
          <w:rFonts w:ascii="Calibri" w:hAnsi="Calibri" w:cs="Calibri"/>
        </w:rPr>
        <w:t>. [Accessed 17 Aug. 2024].</w:t>
      </w:r>
    </w:p>
    <w:p w14:paraId="1C922771" w14:textId="77777777" w:rsidR="00C87919" w:rsidRDefault="00C87919" w:rsidP="00C87919">
      <w:pPr>
        <w:spacing w:line="360" w:lineRule="auto"/>
        <w:rPr>
          <w:rFonts w:ascii="Calibri" w:hAnsi="Calibri" w:cs="Calibri"/>
        </w:rPr>
      </w:pPr>
    </w:p>
    <w:p w14:paraId="6D036B43" w14:textId="3D5C64C1" w:rsidR="00C87919" w:rsidRPr="00C87919" w:rsidRDefault="00C87919" w:rsidP="00C87919">
      <w:pPr>
        <w:spacing w:line="360" w:lineRule="auto"/>
        <w:rPr>
          <w:rFonts w:ascii="Calibri" w:hAnsi="Calibri" w:cs="Calibri"/>
        </w:rPr>
      </w:pPr>
      <w:r w:rsidRPr="00C87919">
        <w:rPr>
          <w:rFonts w:ascii="Calibri" w:hAnsi="Calibri" w:cs="Calibri"/>
        </w:rPr>
        <w:t>Bing. (2024). </w:t>
      </w:r>
      <w:r w:rsidRPr="00C87919">
        <w:rPr>
          <w:rFonts w:ascii="Calibri" w:hAnsi="Calibri" w:cs="Calibri"/>
          <w:i/>
          <w:iCs/>
        </w:rPr>
        <w:t>how criminal activities support logistical and operational needs for terrorist organizations - Bing</w:t>
      </w:r>
      <w:r w:rsidRPr="00C87919">
        <w:rPr>
          <w:rFonts w:ascii="Calibri" w:hAnsi="Calibri" w:cs="Calibri"/>
        </w:rPr>
        <w:t xml:space="preserve">. [online] Available at: </w:t>
      </w:r>
      <w:hyperlink r:id="rId29" w:history="1">
        <w:r w:rsidRPr="00C87919">
          <w:rPr>
            <w:rStyle w:val="Hyperlink"/>
            <w:rFonts w:ascii="Calibri" w:hAnsi="Calibri" w:cs="Calibri"/>
          </w:rPr>
          <w:t>https://bing.com/search?q=how+criminal+activities+support+logistical+and+operational+needs+for+terrorist+organizations</w:t>
        </w:r>
      </w:hyperlink>
      <w:r w:rsidRPr="00C87919">
        <w:rPr>
          <w:rFonts w:ascii="Calibri" w:hAnsi="Calibri" w:cs="Calibri"/>
        </w:rPr>
        <w:t xml:space="preserve">  [Accessed 15 Aug. 2024].</w:t>
      </w:r>
    </w:p>
    <w:p w14:paraId="4C4285C5" w14:textId="77777777" w:rsidR="00C87919" w:rsidRDefault="00C87919" w:rsidP="00C87919">
      <w:pPr>
        <w:spacing w:line="360" w:lineRule="auto"/>
        <w:rPr>
          <w:rFonts w:ascii="Calibri" w:hAnsi="Calibri" w:cs="Calibri"/>
        </w:rPr>
      </w:pPr>
    </w:p>
    <w:p w14:paraId="3736E3B3" w14:textId="2DFFE009" w:rsidR="00C87919" w:rsidRPr="00C87919" w:rsidRDefault="00C87919" w:rsidP="00C87919">
      <w:pPr>
        <w:spacing w:line="360" w:lineRule="auto"/>
        <w:rPr>
          <w:rFonts w:ascii="Calibri" w:hAnsi="Calibri" w:cs="Calibri"/>
        </w:rPr>
      </w:pPr>
      <w:r w:rsidRPr="00C87919">
        <w:rPr>
          <w:rFonts w:ascii="Calibri" w:hAnsi="Calibri" w:cs="Calibri"/>
        </w:rPr>
        <w:t>Cambridge Dictionary (2024). </w:t>
      </w:r>
      <w:r w:rsidRPr="00C87919">
        <w:rPr>
          <w:rFonts w:ascii="Calibri" w:hAnsi="Calibri" w:cs="Calibri"/>
          <w:i/>
          <w:iCs/>
        </w:rPr>
        <w:t>criminality</w:t>
      </w:r>
      <w:r w:rsidRPr="00C87919">
        <w:rPr>
          <w:rFonts w:ascii="Calibri" w:hAnsi="Calibri" w:cs="Calibri"/>
        </w:rPr>
        <w:t xml:space="preserve">. [online] @CambridgeWords. Available at: </w:t>
      </w:r>
      <w:hyperlink r:id="rId30" w:anchor="google_vignette" w:history="1">
        <w:r w:rsidRPr="00C87919">
          <w:rPr>
            <w:rStyle w:val="Hyperlink"/>
            <w:rFonts w:ascii="Calibri" w:hAnsi="Calibri" w:cs="Calibri"/>
          </w:rPr>
          <w:t>https://dictionary.cambridge.org/dictionary/english/criminality#google_vignette</w:t>
        </w:r>
      </w:hyperlink>
      <w:r w:rsidRPr="00C87919">
        <w:rPr>
          <w:rFonts w:ascii="Calibri" w:hAnsi="Calibri" w:cs="Calibri"/>
        </w:rPr>
        <w:t>. [Accessed 21, Aug. 2024].</w:t>
      </w:r>
    </w:p>
    <w:p w14:paraId="7DA41951" w14:textId="77777777" w:rsidR="00C87919" w:rsidRDefault="00C87919" w:rsidP="00C87919">
      <w:pPr>
        <w:spacing w:line="360" w:lineRule="auto"/>
        <w:rPr>
          <w:rFonts w:ascii="Calibri" w:hAnsi="Calibri" w:cs="Calibri"/>
        </w:rPr>
      </w:pPr>
    </w:p>
    <w:p w14:paraId="4FCA1554" w14:textId="2F12C1DD" w:rsidR="00C87919" w:rsidRPr="00C87919" w:rsidRDefault="00C87919" w:rsidP="00C87919">
      <w:pPr>
        <w:spacing w:line="360" w:lineRule="auto"/>
        <w:rPr>
          <w:rFonts w:ascii="Calibri" w:hAnsi="Calibri" w:cs="Calibri"/>
        </w:rPr>
      </w:pPr>
      <w:r w:rsidRPr="00C87919">
        <w:rPr>
          <w:rFonts w:ascii="Calibri" w:hAnsi="Calibri" w:cs="Calibri"/>
        </w:rPr>
        <w:t>Carafano, J. (2011). </w:t>
      </w:r>
      <w:r w:rsidRPr="00C87919">
        <w:rPr>
          <w:rFonts w:ascii="Calibri" w:hAnsi="Calibri" w:cs="Calibri"/>
          <w:i/>
          <w:iCs/>
        </w:rPr>
        <w:t>39 Terror Plots Foiled Since 9/11: Examining Counterterrorism’s Success Stories</w:t>
      </w:r>
      <w:r w:rsidRPr="00C87919">
        <w:rPr>
          <w:rFonts w:ascii="Calibri" w:hAnsi="Calibri" w:cs="Calibri"/>
        </w:rPr>
        <w:t xml:space="preserve">. [online] The Heritage Foundation. Available at: </w:t>
      </w:r>
      <w:hyperlink r:id="rId31" w:history="1">
        <w:r w:rsidRPr="00C87919">
          <w:rPr>
            <w:rStyle w:val="Hyperlink"/>
            <w:rFonts w:ascii="Calibri" w:hAnsi="Calibri" w:cs="Calibri"/>
          </w:rPr>
          <w:t>https://www.heritage.org/terrorism/report/39-terror-plots-foiled-911-examining-counterterrorisms-success-stories</w:t>
        </w:r>
      </w:hyperlink>
      <w:r w:rsidRPr="00C87919">
        <w:rPr>
          <w:rFonts w:ascii="Calibri" w:hAnsi="Calibri" w:cs="Calibri"/>
        </w:rPr>
        <w:t xml:space="preserve">. (Accessed 31, Aug. 2024). </w:t>
      </w:r>
    </w:p>
    <w:p w14:paraId="2188ED07" w14:textId="77777777" w:rsidR="00C87919" w:rsidRDefault="00C87919" w:rsidP="00C87919">
      <w:pPr>
        <w:spacing w:line="360" w:lineRule="auto"/>
        <w:rPr>
          <w:rFonts w:ascii="Calibri" w:hAnsi="Calibri" w:cs="Calibri"/>
        </w:rPr>
      </w:pPr>
      <w:r w:rsidRPr="00C87919">
        <w:rPr>
          <w:rFonts w:ascii="Calibri" w:hAnsi="Calibri" w:cs="Calibri"/>
        </w:rPr>
        <w:t>‌</w:t>
      </w:r>
    </w:p>
    <w:p w14:paraId="16A1266A" w14:textId="1B6C370F" w:rsidR="00C87919" w:rsidRPr="00C87919" w:rsidRDefault="00C87919" w:rsidP="00C87919">
      <w:pPr>
        <w:spacing w:line="360" w:lineRule="auto"/>
        <w:rPr>
          <w:rFonts w:ascii="Calibri" w:hAnsi="Calibri" w:cs="Calibri"/>
        </w:rPr>
      </w:pPr>
      <w:r w:rsidRPr="00C87919">
        <w:rPr>
          <w:rFonts w:ascii="Calibri" w:hAnsi="Calibri" w:cs="Calibri"/>
        </w:rPr>
        <w:t>Clear IAS. (2022). </w:t>
      </w:r>
      <w:r w:rsidRPr="00C87919">
        <w:rPr>
          <w:rFonts w:ascii="Calibri" w:hAnsi="Calibri" w:cs="Calibri"/>
          <w:i/>
          <w:iCs/>
        </w:rPr>
        <w:t>Linkages of organized crimes with terrorism</w:t>
      </w:r>
      <w:r w:rsidRPr="00C87919">
        <w:rPr>
          <w:rFonts w:ascii="Calibri" w:hAnsi="Calibri" w:cs="Calibri"/>
        </w:rPr>
        <w:t xml:space="preserve">. [online] Available at: </w:t>
      </w:r>
      <w:hyperlink r:id="rId32" w:history="1">
        <w:r w:rsidRPr="00C87919">
          <w:rPr>
            <w:rStyle w:val="Hyperlink"/>
            <w:rFonts w:ascii="Calibri" w:hAnsi="Calibri" w:cs="Calibri"/>
          </w:rPr>
          <w:t>https://www.clearias.com/linkages-of-organized-crimes-with-terrorism/</w:t>
        </w:r>
      </w:hyperlink>
      <w:r w:rsidRPr="00C87919">
        <w:rPr>
          <w:rFonts w:ascii="Calibri" w:hAnsi="Calibri" w:cs="Calibri"/>
        </w:rPr>
        <w:t>.  [Accessed 30, Aug. 2024].</w:t>
      </w:r>
    </w:p>
    <w:p w14:paraId="3B855E45" w14:textId="77777777" w:rsidR="00C87919" w:rsidRDefault="00C87919" w:rsidP="00C87919">
      <w:pPr>
        <w:spacing w:line="360" w:lineRule="auto"/>
        <w:rPr>
          <w:rFonts w:ascii="Calibri" w:hAnsi="Calibri" w:cs="Calibri"/>
        </w:rPr>
      </w:pPr>
    </w:p>
    <w:p w14:paraId="3F4B5D64" w14:textId="1CF9F053" w:rsidR="00C87919" w:rsidRPr="00C87919" w:rsidRDefault="00C87919" w:rsidP="00C87919">
      <w:pPr>
        <w:spacing w:line="360" w:lineRule="auto"/>
        <w:rPr>
          <w:rFonts w:ascii="Calibri" w:hAnsi="Calibri" w:cs="Calibri"/>
        </w:rPr>
      </w:pPr>
      <w:r w:rsidRPr="00C87919">
        <w:rPr>
          <w:rFonts w:ascii="Calibri" w:hAnsi="Calibri" w:cs="Calibri"/>
        </w:rPr>
        <w:t>Council of Europe (2021). </w:t>
      </w:r>
      <w:r w:rsidRPr="00C87919">
        <w:rPr>
          <w:rFonts w:ascii="Calibri" w:hAnsi="Calibri" w:cs="Calibri"/>
          <w:i/>
          <w:iCs/>
        </w:rPr>
        <w:t>Links between terrorism and transnational organised crime: Committee of Ministers adopts guidelines</w:t>
      </w:r>
      <w:r w:rsidRPr="00C87919">
        <w:rPr>
          <w:rFonts w:ascii="Calibri" w:hAnsi="Calibri" w:cs="Calibri"/>
        </w:rPr>
        <w:t xml:space="preserve">. [online] Portal. Available at: </w:t>
      </w:r>
      <w:hyperlink r:id="rId33" w:history="1">
        <w:r w:rsidRPr="00C87919">
          <w:rPr>
            <w:rStyle w:val="Hyperlink"/>
            <w:rFonts w:ascii="Calibri" w:hAnsi="Calibri" w:cs="Calibri"/>
          </w:rPr>
          <w:t>https://www.coe.int/en/web/portal/-/links-between-terrorism-and-transnational-organised-crime-committee-of-ministers-adopts-guidelines</w:t>
        </w:r>
      </w:hyperlink>
      <w:r w:rsidRPr="00C87919">
        <w:rPr>
          <w:rFonts w:ascii="Calibri" w:hAnsi="Calibri" w:cs="Calibri"/>
        </w:rPr>
        <w:t xml:space="preserve">  [Accessed 14 Aug. 2024].</w:t>
      </w:r>
    </w:p>
    <w:p w14:paraId="356ECFC2" w14:textId="77777777" w:rsidR="00C87919" w:rsidRDefault="00C87919" w:rsidP="00C87919">
      <w:pPr>
        <w:spacing w:line="360" w:lineRule="auto"/>
        <w:rPr>
          <w:rFonts w:ascii="Calibri" w:hAnsi="Calibri" w:cs="Calibri"/>
        </w:rPr>
      </w:pPr>
    </w:p>
    <w:p w14:paraId="494A9799" w14:textId="067E46CD" w:rsidR="00C87919" w:rsidRPr="00C87919" w:rsidRDefault="00C87919" w:rsidP="00C87919">
      <w:pPr>
        <w:spacing w:line="360" w:lineRule="auto"/>
        <w:rPr>
          <w:rFonts w:ascii="Calibri" w:hAnsi="Calibri" w:cs="Calibri"/>
        </w:rPr>
      </w:pPr>
      <w:r w:rsidRPr="00C87919">
        <w:rPr>
          <w:rFonts w:ascii="Calibri" w:hAnsi="Calibri" w:cs="Calibri"/>
        </w:rPr>
        <w:lastRenderedPageBreak/>
        <w:t>Counter Terrorism Policing (2018). </w:t>
      </w:r>
      <w:r w:rsidRPr="00C87919">
        <w:rPr>
          <w:rFonts w:ascii="Calibri" w:hAnsi="Calibri" w:cs="Calibri"/>
          <w:i/>
          <w:iCs/>
        </w:rPr>
        <w:t>Our Network | Counter Terrorism Policing</w:t>
      </w:r>
      <w:r w:rsidRPr="00C87919">
        <w:rPr>
          <w:rFonts w:ascii="Calibri" w:hAnsi="Calibri" w:cs="Calibri"/>
        </w:rPr>
        <w:t xml:space="preserve">. [online] Counter Terrorism Policing. Available at: </w:t>
      </w:r>
      <w:hyperlink r:id="rId34" w:history="1">
        <w:r w:rsidRPr="00C87919">
          <w:rPr>
            <w:rStyle w:val="Hyperlink"/>
            <w:rFonts w:ascii="Calibri" w:hAnsi="Calibri" w:cs="Calibri"/>
          </w:rPr>
          <w:t>https://www.counterterrorism.polic</w:t>
        </w:r>
        <w:r w:rsidRPr="00C87919">
          <w:rPr>
            <w:rStyle w:val="Hyperlink"/>
            <w:rFonts w:ascii="Calibri" w:hAnsi="Calibri" w:cs="Calibri"/>
          </w:rPr>
          <w:t>e</w:t>
        </w:r>
        <w:r w:rsidRPr="00C87919">
          <w:rPr>
            <w:rStyle w:val="Hyperlink"/>
            <w:rFonts w:ascii="Calibri" w:hAnsi="Calibri" w:cs="Calibri"/>
          </w:rPr>
          <w:t>.uk/our-network/</w:t>
        </w:r>
      </w:hyperlink>
      <w:r w:rsidRPr="00C87919">
        <w:rPr>
          <w:rFonts w:ascii="Calibri" w:hAnsi="Calibri" w:cs="Calibri"/>
        </w:rPr>
        <w:t>.  [Accessed 15 Aug. 2024].</w:t>
      </w:r>
    </w:p>
    <w:p w14:paraId="66AAD289" w14:textId="77777777" w:rsidR="00C87919" w:rsidRDefault="00C87919" w:rsidP="00C87919">
      <w:pPr>
        <w:spacing w:line="360" w:lineRule="auto"/>
        <w:rPr>
          <w:rFonts w:ascii="Calibri" w:hAnsi="Calibri" w:cs="Calibri"/>
        </w:rPr>
      </w:pPr>
      <w:r w:rsidRPr="00C87919">
        <w:rPr>
          <w:rFonts w:ascii="Calibri" w:hAnsi="Calibri" w:cs="Calibri"/>
        </w:rPr>
        <w:t>‌</w:t>
      </w:r>
    </w:p>
    <w:p w14:paraId="4DA6B35B" w14:textId="77252289" w:rsidR="00C87919" w:rsidRPr="00C87919" w:rsidRDefault="00C87919" w:rsidP="00C87919">
      <w:pPr>
        <w:spacing w:line="360" w:lineRule="auto"/>
        <w:rPr>
          <w:rFonts w:ascii="Calibri" w:hAnsi="Calibri" w:cs="Calibri"/>
        </w:rPr>
      </w:pPr>
      <w:r w:rsidRPr="00C87919">
        <w:rPr>
          <w:rFonts w:ascii="Calibri" w:hAnsi="Calibri" w:cs="Calibri"/>
        </w:rPr>
        <w:t>D’Alfonso, S. (2014). </w:t>
      </w:r>
      <w:r w:rsidRPr="00C87919">
        <w:rPr>
          <w:rFonts w:ascii="Calibri" w:hAnsi="Calibri" w:cs="Calibri"/>
          <w:i/>
          <w:iCs/>
        </w:rPr>
        <w:t>Why Organized Crime and Terror Groups Are Converging</w:t>
      </w:r>
      <w:r w:rsidRPr="00C87919">
        <w:rPr>
          <w:rFonts w:ascii="Calibri" w:hAnsi="Calibri" w:cs="Calibri"/>
        </w:rPr>
        <w:t xml:space="preserve">. [online] Security Intelligence. Available at: </w:t>
      </w:r>
      <w:hyperlink r:id="rId35" w:history="1">
        <w:r w:rsidRPr="00C87919">
          <w:rPr>
            <w:rStyle w:val="Hyperlink"/>
            <w:rFonts w:ascii="Calibri" w:hAnsi="Calibri" w:cs="Calibri"/>
          </w:rPr>
          <w:t>https://securityintelligence.com/why-organized-crime-and-terror-groups-are-converging/</w:t>
        </w:r>
      </w:hyperlink>
      <w:r w:rsidRPr="00C87919">
        <w:rPr>
          <w:rFonts w:ascii="Calibri" w:hAnsi="Calibri" w:cs="Calibri"/>
        </w:rPr>
        <w:t>.  [Accessed 17 Aug. 2024].</w:t>
      </w:r>
    </w:p>
    <w:p w14:paraId="53F578C5" w14:textId="77777777" w:rsidR="00C87919" w:rsidRDefault="00C87919" w:rsidP="00C87919">
      <w:pPr>
        <w:rPr>
          <w:rFonts w:ascii="Calibri" w:hAnsi="Calibri" w:cs="Calibri"/>
        </w:rPr>
      </w:pPr>
    </w:p>
    <w:p w14:paraId="0F3B7DAF" w14:textId="425BB9D8" w:rsidR="00C87919" w:rsidRPr="00C87919" w:rsidRDefault="00C87919" w:rsidP="00C87919">
      <w:r w:rsidRPr="00C87919">
        <w:rPr>
          <w:rFonts w:ascii="Calibri" w:hAnsi="Calibri" w:cs="Calibri"/>
        </w:rPr>
        <w:t xml:space="preserve">Edmond, P. (2020). Robert Burns in Scottish politics (1914-2014). </w:t>
      </w:r>
      <w:proofErr w:type="spellStart"/>
      <w:proofErr w:type="gramStart"/>
      <w:r w:rsidRPr="00C87919">
        <w:rPr>
          <w:rFonts w:ascii="Calibri" w:hAnsi="Calibri" w:cs="Calibri"/>
        </w:rPr>
        <w:t>doi:https</w:t>
      </w:r>
      <w:proofErr w:type="spellEnd"/>
      <w:r w:rsidRPr="00C87919">
        <w:rPr>
          <w:rFonts w:ascii="Calibri" w:hAnsi="Calibri" w:cs="Calibri"/>
        </w:rPr>
        <w:t>://doi.org/10.17630/</w:t>
      </w:r>
      <w:proofErr w:type="spellStart"/>
      <w:r w:rsidRPr="00C87919">
        <w:rPr>
          <w:rFonts w:ascii="Calibri" w:hAnsi="Calibri" w:cs="Calibri"/>
        </w:rPr>
        <w:t>sta</w:t>
      </w:r>
      <w:proofErr w:type="spellEnd"/>
      <w:r w:rsidRPr="00C87919">
        <w:rPr>
          <w:rFonts w:ascii="Calibri" w:hAnsi="Calibri" w:cs="Calibri"/>
        </w:rPr>
        <w:t>/18</w:t>
      </w:r>
      <w:proofErr w:type="gramEnd"/>
      <w:r w:rsidRPr="00C87919">
        <w:rPr>
          <w:rFonts w:ascii="Calibri" w:hAnsi="Calibri" w:cs="Calibri"/>
        </w:rPr>
        <w:t>. [Accessed 25, Aug. 2024].</w:t>
      </w:r>
    </w:p>
    <w:p w14:paraId="7440FC2B" w14:textId="77777777" w:rsidR="00C87919" w:rsidRDefault="00C87919" w:rsidP="00C87919">
      <w:pPr>
        <w:spacing w:line="360" w:lineRule="auto"/>
        <w:rPr>
          <w:rFonts w:ascii="Calibri" w:hAnsi="Calibri" w:cs="Calibri"/>
        </w:rPr>
      </w:pPr>
    </w:p>
    <w:p w14:paraId="78514AF5" w14:textId="0B270D96" w:rsidR="00C87919" w:rsidRPr="00C87919" w:rsidRDefault="00C87919" w:rsidP="00C87919">
      <w:pPr>
        <w:spacing w:line="360" w:lineRule="auto"/>
        <w:rPr>
          <w:rFonts w:ascii="Calibri" w:hAnsi="Calibri" w:cs="Calibri"/>
        </w:rPr>
      </w:pPr>
      <w:proofErr w:type="spellStart"/>
      <w:r w:rsidRPr="00C87919">
        <w:rPr>
          <w:rFonts w:ascii="Calibri" w:hAnsi="Calibri" w:cs="Calibri"/>
        </w:rPr>
        <w:t>Fromiti</w:t>
      </w:r>
      <w:proofErr w:type="spellEnd"/>
      <w:r w:rsidRPr="00C87919">
        <w:rPr>
          <w:rFonts w:ascii="Calibri" w:hAnsi="Calibri" w:cs="Calibri"/>
        </w:rPr>
        <w:t xml:space="preserve"> (n.d.). </w:t>
      </w:r>
      <w:r w:rsidRPr="00C87919">
        <w:rPr>
          <w:rFonts w:ascii="Calibri" w:hAnsi="Calibri" w:cs="Calibri"/>
          <w:i/>
          <w:iCs/>
        </w:rPr>
        <w:t>Organized Crime Module 16 Key Issues: Theoretical frameworks on the linkages between organized crime and terrorism</w:t>
      </w:r>
      <w:r w:rsidRPr="00C87919">
        <w:rPr>
          <w:rFonts w:ascii="Calibri" w:hAnsi="Calibri" w:cs="Calibri"/>
        </w:rPr>
        <w:t xml:space="preserve">. [online] www.unodc.org. Available at: </w:t>
      </w:r>
      <w:hyperlink r:id="rId36" w:history="1">
        <w:r w:rsidRPr="00C87919">
          <w:rPr>
            <w:rStyle w:val="Hyperlink"/>
            <w:rFonts w:ascii="Calibri" w:hAnsi="Calibri" w:cs="Calibri"/>
          </w:rPr>
          <w:t>https://www.unodc.org/e4j/en/organized-crime/module-16/key-issues/theoretical-frameworks-on-the-linkages-between-organized-crime-and-terrorism.html</w:t>
        </w:r>
      </w:hyperlink>
      <w:r w:rsidRPr="00C87919">
        <w:rPr>
          <w:rFonts w:ascii="Calibri" w:hAnsi="Calibri" w:cs="Calibri"/>
        </w:rPr>
        <w:t>. [Accessed 18 Aug. 2024].</w:t>
      </w:r>
    </w:p>
    <w:p w14:paraId="1A2E0CBA" w14:textId="77777777" w:rsidR="00C87919" w:rsidRDefault="00C87919" w:rsidP="00C87919">
      <w:pPr>
        <w:spacing w:line="360" w:lineRule="auto"/>
        <w:rPr>
          <w:rFonts w:ascii="Calibri" w:hAnsi="Calibri" w:cs="Calibri"/>
        </w:rPr>
      </w:pPr>
    </w:p>
    <w:p w14:paraId="61B59588" w14:textId="7C17052A" w:rsidR="00C87919" w:rsidRPr="00C87919" w:rsidRDefault="00C87919" w:rsidP="00C87919">
      <w:pPr>
        <w:spacing w:line="360" w:lineRule="auto"/>
        <w:rPr>
          <w:rFonts w:ascii="Calibri" w:hAnsi="Calibri" w:cs="Calibri"/>
        </w:rPr>
      </w:pPr>
      <w:r w:rsidRPr="00C87919">
        <w:rPr>
          <w:rFonts w:ascii="Calibri" w:hAnsi="Calibri" w:cs="Calibri"/>
        </w:rPr>
        <w:t>Gavin, H. (2021). Acquisitive Crime. </w:t>
      </w:r>
      <w:r w:rsidRPr="00C87919">
        <w:rPr>
          <w:rFonts w:ascii="Calibri" w:hAnsi="Calibri" w:cs="Calibri"/>
          <w:i/>
          <w:iCs/>
        </w:rPr>
        <w:t>The Cambridge Handbook of Forensic Psychology</w:t>
      </w:r>
      <w:r w:rsidRPr="00C87919">
        <w:rPr>
          <w:rFonts w:ascii="Calibri" w:hAnsi="Calibri" w:cs="Calibri"/>
        </w:rPr>
        <w:t xml:space="preserve">, pp.246–260. Doi: </w:t>
      </w:r>
      <w:hyperlink r:id="rId37" w:history="1">
        <w:r w:rsidRPr="00C87919">
          <w:rPr>
            <w:rStyle w:val="Hyperlink"/>
            <w:rFonts w:ascii="Calibri" w:hAnsi="Calibri" w:cs="Calibri"/>
          </w:rPr>
          <w:t>HTTPs://doi.org/10.1017/9781108848916.016</w:t>
        </w:r>
      </w:hyperlink>
      <w:r w:rsidRPr="00C87919">
        <w:rPr>
          <w:rFonts w:ascii="Calibri" w:hAnsi="Calibri" w:cs="Calibri"/>
        </w:rPr>
        <w:t>. [Accessed 24, Aug. 2024].</w:t>
      </w:r>
    </w:p>
    <w:p w14:paraId="0356065C" w14:textId="77777777" w:rsidR="00C87919" w:rsidRDefault="00C87919" w:rsidP="00C87919">
      <w:pPr>
        <w:spacing w:line="360" w:lineRule="auto"/>
        <w:rPr>
          <w:rFonts w:ascii="Calibri" w:hAnsi="Calibri" w:cs="Calibri"/>
        </w:rPr>
      </w:pPr>
    </w:p>
    <w:p w14:paraId="0E367E6A" w14:textId="73AB07C5" w:rsidR="00C87919" w:rsidRPr="00C87919" w:rsidRDefault="00C87919" w:rsidP="00C87919">
      <w:pPr>
        <w:spacing w:line="360" w:lineRule="auto"/>
        <w:rPr>
          <w:rFonts w:ascii="Calibri" w:hAnsi="Calibri" w:cs="Calibri"/>
        </w:rPr>
      </w:pPr>
      <w:r w:rsidRPr="00C87919">
        <w:rPr>
          <w:rFonts w:ascii="Calibri" w:hAnsi="Calibri" w:cs="Calibri"/>
        </w:rPr>
        <w:t>Gerald, S. (2012). </w:t>
      </w:r>
      <w:r w:rsidRPr="00C87919">
        <w:rPr>
          <w:rFonts w:ascii="Calibri" w:hAnsi="Calibri" w:cs="Calibri"/>
          <w:i/>
          <w:iCs/>
        </w:rPr>
        <w:t xml:space="preserve">Part II Multidisciplinary Perspectives </w:t>
      </w:r>
      <w:proofErr w:type="gramStart"/>
      <w:r w:rsidRPr="00C87919">
        <w:rPr>
          <w:rFonts w:ascii="Calibri" w:hAnsi="Calibri" w:cs="Calibri"/>
          <w:i/>
          <w:iCs/>
        </w:rPr>
        <w:t>On</w:t>
      </w:r>
      <w:proofErr w:type="gramEnd"/>
      <w:r w:rsidRPr="00C87919">
        <w:rPr>
          <w:rFonts w:ascii="Calibri" w:hAnsi="Calibri" w:cs="Calibri"/>
          <w:i/>
          <w:iCs/>
        </w:rPr>
        <w:t xml:space="preserve"> The Rule Of Law In Action, 14 Intelligence and Counter-Terrorism</w:t>
      </w:r>
      <w:r w:rsidRPr="00C87919">
        <w:rPr>
          <w:rFonts w:ascii="Calibri" w:hAnsi="Calibri" w:cs="Calibri"/>
        </w:rPr>
        <w:t>. [online] </w:t>
      </w:r>
      <w:r w:rsidRPr="00C87919">
        <w:rPr>
          <w:rFonts w:ascii="Calibri" w:hAnsi="Calibri" w:cs="Calibri"/>
          <w:i/>
          <w:iCs/>
        </w:rPr>
        <w:t>Oxford University Press eBooks</w:t>
      </w:r>
      <w:r w:rsidRPr="00C87919">
        <w:rPr>
          <w:rFonts w:ascii="Calibri" w:hAnsi="Calibri" w:cs="Calibri"/>
        </w:rPr>
        <w:t xml:space="preserve">. Oxford University Press. </w:t>
      </w:r>
      <w:proofErr w:type="spellStart"/>
      <w:proofErr w:type="gramStart"/>
      <w:r w:rsidRPr="00C87919">
        <w:rPr>
          <w:rFonts w:ascii="Calibri" w:hAnsi="Calibri" w:cs="Calibri"/>
        </w:rPr>
        <w:t>doi:https</w:t>
      </w:r>
      <w:proofErr w:type="spellEnd"/>
      <w:r w:rsidRPr="00C87919">
        <w:rPr>
          <w:rFonts w:ascii="Calibri" w:hAnsi="Calibri" w:cs="Calibri"/>
        </w:rPr>
        <w:t>://doi.org/10.1093/</w:t>
      </w:r>
      <w:proofErr w:type="spellStart"/>
      <w:r w:rsidRPr="00C87919">
        <w:rPr>
          <w:rFonts w:ascii="Calibri" w:hAnsi="Calibri" w:cs="Calibri"/>
        </w:rPr>
        <w:t>acprof:oso</w:t>
      </w:r>
      <w:proofErr w:type="spellEnd"/>
      <w:r w:rsidRPr="00C87919">
        <w:rPr>
          <w:rFonts w:ascii="Calibri" w:hAnsi="Calibri" w:cs="Calibri"/>
        </w:rPr>
        <w:t>/9780199608928.003.0033</w:t>
      </w:r>
      <w:proofErr w:type="gramEnd"/>
      <w:r w:rsidRPr="00C87919">
        <w:rPr>
          <w:rFonts w:ascii="Calibri" w:hAnsi="Calibri" w:cs="Calibri"/>
        </w:rPr>
        <w:t>. (Accessed 31, Aug. 2024).</w:t>
      </w:r>
    </w:p>
    <w:p w14:paraId="7A88A9BF" w14:textId="77777777" w:rsidR="00C87919" w:rsidRDefault="00C87919" w:rsidP="00C87919">
      <w:pPr>
        <w:spacing w:line="360" w:lineRule="auto"/>
        <w:rPr>
          <w:rFonts w:ascii="Calibri" w:hAnsi="Calibri" w:cs="Calibri"/>
        </w:rPr>
      </w:pPr>
    </w:p>
    <w:p w14:paraId="5B9C7396" w14:textId="163E9938" w:rsidR="00C87919" w:rsidRPr="00C87919" w:rsidRDefault="00C87919" w:rsidP="00C87919">
      <w:pPr>
        <w:spacing w:line="360" w:lineRule="auto"/>
        <w:rPr>
          <w:rFonts w:ascii="Calibri" w:hAnsi="Calibri" w:cs="Calibri"/>
        </w:rPr>
      </w:pPr>
      <w:r w:rsidRPr="00C87919">
        <w:rPr>
          <w:rFonts w:ascii="Calibri" w:hAnsi="Calibri" w:cs="Calibri"/>
        </w:rPr>
        <w:t xml:space="preserve">Identifying and Preventing Terrorist and Other Illicit Financing. (n.d.). Available at: </w:t>
      </w:r>
      <w:hyperlink r:id="rId38" w:history="1">
        <w:r w:rsidRPr="00C87919">
          <w:rPr>
            <w:rStyle w:val="Hyperlink"/>
            <w:rFonts w:ascii="Calibri" w:hAnsi="Calibri" w:cs="Calibri"/>
          </w:rPr>
          <w:t>https://ww</w:t>
        </w:r>
        <w:r w:rsidRPr="00C87919">
          <w:rPr>
            <w:rStyle w:val="Hyperlink"/>
            <w:rFonts w:ascii="Calibri" w:hAnsi="Calibri" w:cs="Calibri"/>
          </w:rPr>
          <w:t>w</w:t>
        </w:r>
        <w:r w:rsidRPr="00C87919">
          <w:rPr>
            <w:rStyle w:val="Hyperlink"/>
            <w:rFonts w:ascii="Calibri" w:hAnsi="Calibri" w:cs="Calibri"/>
          </w:rPr>
          <w:t>.dni.gov/files/NCTC/documents/jcat/firstresponderstoolbox/135s_- _First_Responders_Toolbox_-_Identifying_and_Prevent</w:t>
        </w:r>
        <w:r w:rsidRPr="00C87919">
          <w:rPr>
            <w:rStyle w:val="Hyperlink"/>
            <w:rFonts w:ascii="Calibri" w:hAnsi="Calibri" w:cs="Calibri"/>
          </w:rPr>
          <w:t>i</w:t>
        </w:r>
        <w:r w:rsidRPr="00C87919">
          <w:rPr>
            <w:rStyle w:val="Hyperlink"/>
            <w:rFonts w:ascii="Calibri" w:hAnsi="Calibri" w:cs="Calibri"/>
          </w:rPr>
          <w:t>ng_Terrorist_and_Other_Illicit_Financing.pdf</w:t>
        </w:r>
      </w:hyperlink>
      <w:r w:rsidRPr="00C87919">
        <w:rPr>
          <w:rFonts w:ascii="Calibri" w:hAnsi="Calibri" w:cs="Calibri"/>
        </w:rPr>
        <w:t>. [Accessed 21, Aug. 2024].</w:t>
      </w:r>
    </w:p>
    <w:p w14:paraId="4866C5D0" w14:textId="77777777" w:rsidR="00F37288" w:rsidRDefault="00F37288" w:rsidP="00C87919">
      <w:pPr>
        <w:spacing w:line="360" w:lineRule="auto"/>
        <w:rPr>
          <w:rFonts w:ascii="Calibri" w:hAnsi="Calibri" w:cs="Calibri"/>
        </w:rPr>
      </w:pPr>
    </w:p>
    <w:p w14:paraId="1C0B1B7C" w14:textId="2B25136B" w:rsidR="00C87919" w:rsidRPr="00C87919" w:rsidRDefault="00C87919" w:rsidP="00C87919">
      <w:pPr>
        <w:spacing w:line="360" w:lineRule="auto"/>
        <w:rPr>
          <w:rFonts w:ascii="Calibri" w:hAnsi="Calibri" w:cs="Calibri"/>
        </w:rPr>
      </w:pPr>
      <w:r w:rsidRPr="00C87919">
        <w:rPr>
          <w:rFonts w:ascii="Calibri" w:hAnsi="Calibri" w:cs="Calibri"/>
        </w:rPr>
        <w:lastRenderedPageBreak/>
        <w:t>Laksmi, S. (2019). </w:t>
      </w:r>
      <w:r w:rsidRPr="00C87919">
        <w:rPr>
          <w:rFonts w:ascii="Calibri" w:hAnsi="Calibri" w:cs="Calibri"/>
          <w:i/>
          <w:iCs/>
        </w:rPr>
        <w:t>How do terrorists fund their activities? Some do it legally</w:t>
      </w:r>
      <w:r w:rsidRPr="00C87919">
        <w:rPr>
          <w:rFonts w:ascii="Calibri" w:hAnsi="Calibri" w:cs="Calibri"/>
        </w:rPr>
        <w:t xml:space="preserve">. [online] The Conversation. Available at: </w:t>
      </w:r>
      <w:hyperlink r:id="rId39" w:history="1">
        <w:r w:rsidRPr="00C87919">
          <w:rPr>
            <w:rStyle w:val="Hyperlink"/>
            <w:rFonts w:ascii="Calibri" w:hAnsi="Calibri" w:cs="Calibri"/>
          </w:rPr>
          <w:t>https://theconversation.com/how-do-terrorists-fund-their-activities-some-do-it-legally-119926</w:t>
        </w:r>
      </w:hyperlink>
      <w:r w:rsidRPr="00C87919">
        <w:rPr>
          <w:rFonts w:ascii="Calibri" w:hAnsi="Calibri" w:cs="Calibri"/>
        </w:rPr>
        <w:t xml:space="preserve">  [Accessed 17 Aug. 2024].</w:t>
      </w:r>
    </w:p>
    <w:p w14:paraId="54225250" w14:textId="77777777" w:rsidR="00C87919" w:rsidRDefault="00C87919" w:rsidP="00C87919">
      <w:pPr>
        <w:spacing w:line="360" w:lineRule="auto"/>
        <w:rPr>
          <w:rFonts w:ascii="Calibri" w:hAnsi="Calibri" w:cs="Calibri"/>
        </w:rPr>
      </w:pPr>
    </w:p>
    <w:p w14:paraId="712A1D4A" w14:textId="67E4EB43" w:rsidR="00C87919" w:rsidRDefault="00C87919" w:rsidP="00C87919">
      <w:pPr>
        <w:spacing w:line="360" w:lineRule="auto"/>
        <w:rPr>
          <w:rFonts w:ascii="Calibri" w:hAnsi="Calibri" w:cs="Calibri"/>
        </w:rPr>
      </w:pPr>
      <w:r w:rsidRPr="00C87919">
        <w:rPr>
          <w:rFonts w:ascii="Calibri" w:hAnsi="Calibri" w:cs="Calibri"/>
        </w:rPr>
        <w:t>Lauren (2021). </w:t>
      </w:r>
      <w:r w:rsidRPr="00C87919">
        <w:rPr>
          <w:rFonts w:ascii="Calibri" w:hAnsi="Calibri" w:cs="Calibri"/>
          <w:i/>
          <w:iCs/>
        </w:rPr>
        <w:t xml:space="preserve">Understanding the Crime-Terror Nexus of </w:t>
      </w:r>
      <w:proofErr w:type="gramStart"/>
      <w:r w:rsidRPr="00C87919">
        <w:rPr>
          <w:rFonts w:ascii="Calibri" w:hAnsi="Calibri" w:cs="Calibri"/>
          <w:i/>
          <w:iCs/>
        </w:rPr>
        <w:t>Ideologically-Driven</w:t>
      </w:r>
      <w:proofErr w:type="gramEnd"/>
      <w:r w:rsidRPr="00C87919">
        <w:rPr>
          <w:rFonts w:ascii="Calibri" w:hAnsi="Calibri" w:cs="Calibri"/>
          <w:i/>
          <w:iCs/>
        </w:rPr>
        <w:t xml:space="preserve"> Terrorist Organizations - Global Financial Integrity</w:t>
      </w:r>
      <w:r w:rsidRPr="00C87919">
        <w:rPr>
          <w:rFonts w:ascii="Calibri" w:hAnsi="Calibri" w:cs="Calibri"/>
        </w:rPr>
        <w:t xml:space="preserve">. [online] Global Financial Integrity. Available at: </w:t>
      </w:r>
      <w:hyperlink r:id="rId40" w:history="1">
        <w:r w:rsidRPr="00C87919">
          <w:rPr>
            <w:rStyle w:val="Hyperlink"/>
            <w:rFonts w:ascii="Calibri" w:hAnsi="Calibri" w:cs="Calibri"/>
          </w:rPr>
          <w:t>https://gfintegrity.org/understanding-the-crime-terror-nexus-of-ideologically-driven-terrorist-organizations/</w:t>
        </w:r>
      </w:hyperlink>
      <w:r w:rsidRPr="00C87919">
        <w:rPr>
          <w:rFonts w:ascii="Calibri" w:hAnsi="Calibri" w:cs="Calibri"/>
        </w:rPr>
        <w:t xml:space="preserve">  [Accessed 15 Aug. 2024].</w:t>
      </w:r>
    </w:p>
    <w:p w14:paraId="44AEF746" w14:textId="77777777" w:rsidR="00C87919" w:rsidRDefault="00C87919" w:rsidP="00C87919">
      <w:pPr>
        <w:spacing w:line="360" w:lineRule="auto"/>
        <w:rPr>
          <w:rFonts w:ascii="Calibri" w:hAnsi="Calibri" w:cs="Calibri"/>
        </w:rPr>
      </w:pPr>
    </w:p>
    <w:p w14:paraId="0CC7E52A" w14:textId="77777777" w:rsidR="00C87919" w:rsidRPr="00C87919" w:rsidRDefault="00C87919" w:rsidP="00C87919">
      <w:pPr>
        <w:spacing w:line="360" w:lineRule="auto"/>
        <w:rPr>
          <w:rFonts w:ascii="Calibri" w:hAnsi="Calibri" w:cs="Calibri"/>
        </w:rPr>
      </w:pPr>
      <w:r w:rsidRPr="00C87919">
        <w:rPr>
          <w:rFonts w:ascii="Calibri" w:hAnsi="Calibri" w:cs="Calibri"/>
        </w:rPr>
        <w:t>‌</w:t>
      </w:r>
      <w:r>
        <w:rPr>
          <w:rFonts w:ascii="Calibri" w:hAnsi="Calibri" w:cs="Calibri"/>
        </w:rPr>
        <w:t>Office of the director of national intelligence (</w:t>
      </w:r>
      <w:proofErr w:type="spellStart"/>
      <w:r>
        <w:rPr>
          <w:rFonts w:ascii="Calibri" w:hAnsi="Calibri" w:cs="Calibri"/>
        </w:rPr>
        <w:t>n.d</w:t>
      </w:r>
      <w:proofErr w:type="spellEnd"/>
      <w:r>
        <w:rPr>
          <w:rFonts w:ascii="Calibri" w:hAnsi="Calibri" w:cs="Calibri"/>
        </w:rPr>
        <w:t>)</w:t>
      </w:r>
      <w:r w:rsidRPr="00C87919">
        <w:rPr>
          <w:rFonts w:ascii="Calibri" w:eastAsia="Times New Roman" w:hAnsi="Calibri" w:cs="Calibri"/>
          <w:color w:val="000000"/>
          <w:kern w:val="0"/>
          <w:lang w:eastAsia="en-GB"/>
          <w14:ligatures w14:val="none"/>
        </w:rPr>
        <w:t xml:space="preserve"> </w:t>
      </w:r>
      <w:r w:rsidRPr="00C87919">
        <w:rPr>
          <w:rFonts w:ascii="Calibri" w:hAnsi="Calibri" w:cs="Calibri"/>
        </w:rPr>
        <w:t xml:space="preserve">A Growing Threat . . . . . . and a Strategy </w:t>
      </w:r>
      <w:proofErr w:type="gramStart"/>
      <w:r w:rsidRPr="00C87919">
        <w:rPr>
          <w:rFonts w:ascii="Calibri" w:hAnsi="Calibri" w:cs="Calibri"/>
        </w:rPr>
        <w:t>To</w:t>
      </w:r>
      <w:proofErr w:type="gramEnd"/>
      <w:r w:rsidRPr="00C87919">
        <w:rPr>
          <w:rFonts w:ascii="Calibri" w:hAnsi="Calibri" w:cs="Calibri"/>
        </w:rPr>
        <w:t xml:space="preserve"> Combat It: Transnational Organized Crime-a Threat to US and International Security-Manifests Itself in Various Regions in Different Ways. Available at: </w:t>
      </w:r>
      <w:hyperlink r:id="rId41" w:history="1">
        <w:r w:rsidRPr="00C87919">
          <w:rPr>
            <w:rStyle w:val="Hyperlink"/>
            <w:rFonts w:ascii="Calibri" w:hAnsi="Calibri" w:cs="Calibri"/>
          </w:rPr>
          <w:t>https://www.dni.g</w:t>
        </w:r>
        <w:r w:rsidRPr="00C87919">
          <w:rPr>
            <w:rStyle w:val="Hyperlink"/>
            <w:rFonts w:ascii="Calibri" w:hAnsi="Calibri" w:cs="Calibri"/>
          </w:rPr>
          <w:t>o</w:t>
        </w:r>
        <w:r w:rsidRPr="00C87919">
          <w:rPr>
            <w:rStyle w:val="Hyperlink"/>
            <w:rFonts w:ascii="Calibri" w:hAnsi="Calibri" w:cs="Calibri"/>
          </w:rPr>
          <w:t>v/files/documents/NIC_toc_foldout.pdf</w:t>
        </w:r>
      </w:hyperlink>
      <w:r w:rsidRPr="00C87919">
        <w:rPr>
          <w:rFonts w:ascii="Calibri" w:hAnsi="Calibri" w:cs="Calibri"/>
        </w:rPr>
        <w:t>. [Accessed 18 Aug. 2024].</w:t>
      </w:r>
    </w:p>
    <w:p w14:paraId="4CEBCA97" w14:textId="77777777" w:rsidR="00C87919" w:rsidRPr="00C87919" w:rsidRDefault="00C87919" w:rsidP="00C87919">
      <w:pPr>
        <w:spacing w:line="360" w:lineRule="auto"/>
        <w:rPr>
          <w:rFonts w:ascii="Calibri" w:hAnsi="Calibri" w:cs="Calibri"/>
        </w:rPr>
      </w:pPr>
    </w:p>
    <w:p w14:paraId="20E98410" w14:textId="6075C475" w:rsidR="00C87919" w:rsidRPr="00C87919" w:rsidRDefault="00C87919" w:rsidP="00C87919">
      <w:pPr>
        <w:spacing w:line="360" w:lineRule="auto"/>
        <w:rPr>
          <w:rFonts w:ascii="Calibri" w:hAnsi="Calibri" w:cs="Calibri"/>
        </w:rPr>
      </w:pPr>
      <w:r w:rsidRPr="00C87919">
        <w:rPr>
          <w:rFonts w:ascii="Calibri" w:hAnsi="Calibri" w:cs="Calibri"/>
        </w:rPr>
        <w:t>Petrich, K. (2022). Transnational Organized Crime and Terrorism. </w:t>
      </w:r>
      <w:r w:rsidRPr="00C87919">
        <w:rPr>
          <w:rFonts w:ascii="Calibri" w:hAnsi="Calibri" w:cs="Calibri"/>
          <w:i/>
          <w:iCs/>
        </w:rPr>
        <w:t xml:space="preserve">Oxford Research </w:t>
      </w:r>
      <w:proofErr w:type="spellStart"/>
      <w:r w:rsidRPr="00C87919">
        <w:rPr>
          <w:rFonts w:ascii="Calibri" w:hAnsi="Calibri" w:cs="Calibri"/>
          <w:i/>
          <w:iCs/>
        </w:rPr>
        <w:t>Encyclopedia</w:t>
      </w:r>
      <w:proofErr w:type="spellEnd"/>
      <w:r w:rsidRPr="00C87919">
        <w:rPr>
          <w:rFonts w:ascii="Calibri" w:hAnsi="Calibri" w:cs="Calibri"/>
          <w:i/>
          <w:iCs/>
        </w:rPr>
        <w:t xml:space="preserve"> of International Studies</w:t>
      </w:r>
      <w:r w:rsidRPr="00C87919">
        <w:rPr>
          <w:rFonts w:ascii="Calibri" w:hAnsi="Calibri" w:cs="Calibri"/>
        </w:rPr>
        <w:t xml:space="preserve">. </w:t>
      </w:r>
      <w:proofErr w:type="spellStart"/>
      <w:proofErr w:type="gramStart"/>
      <w:r w:rsidRPr="00C87919">
        <w:rPr>
          <w:rFonts w:ascii="Calibri" w:hAnsi="Calibri" w:cs="Calibri"/>
        </w:rPr>
        <w:t>doi:https</w:t>
      </w:r>
      <w:proofErr w:type="spellEnd"/>
      <w:r w:rsidRPr="00C87919">
        <w:rPr>
          <w:rFonts w:ascii="Calibri" w:hAnsi="Calibri" w:cs="Calibri"/>
        </w:rPr>
        <w:t>://doi.org/10.1093/</w:t>
      </w:r>
      <w:proofErr w:type="spellStart"/>
      <w:r w:rsidRPr="00C87919">
        <w:rPr>
          <w:rFonts w:ascii="Calibri" w:hAnsi="Calibri" w:cs="Calibri"/>
        </w:rPr>
        <w:t>acrefore</w:t>
      </w:r>
      <w:proofErr w:type="spellEnd"/>
      <w:r w:rsidRPr="00C87919">
        <w:rPr>
          <w:rFonts w:ascii="Calibri" w:hAnsi="Calibri" w:cs="Calibri"/>
        </w:rPr>
        <w:t>/9780190846626.013.705</w:t>
      </w:r>
      <w:proofErr w:type="gramEnd"/>
      <w:r w:rsidRPr="00C87919">
        <w:rPr>
          <w:rFonts w:ascii="Calibri" w:hAnsi="Calibri" w:cs="Calibri"/>
        </w:rPr>
        <w:t>. (Accessed 31, Aug 2024).</w:t>
      </w:r>
    </w:p>
    <w:p w14:paraId="670696F0" w14:textId="77777777" w:rsidR="00C87919" w:rsidRDefault="00C87919" w:rsidP="00C87919">
      <w:pPr>
        <w:spacing w:line="360" w:lineRule="auto"/>
        <w:rPr>
          <w:rFonts w:ascii="Calibri" w:hAnsi="Calibri" w:cs="Calibri"/>
        </w:rPr>
      </w:pPr>
    </w:p>
    <w:p w14:paraId="1966CCBE" w14:textId="625EB9B1" w:rsidR="00C87919" w:rsidRPr="00C87919" w:rsidRDefault="00C87919" w:rsidP="00C87919">
      <w:pPr>
        <w:spacing w:line="360" w:lineRule="auto"/>
        <w:rPr>
          <w:rFonts w:ascii="Calibri" w:hAnsi="Calibri" w:cs="Calibri"/>
        </w:rPr>
      </w:pPr>
      <w:r w:rsidRPr="00C87919">
        <w:rPr>
          <w:rFonts w:ascii="Calibri" w:hAnsi="Calibri" w:cs="Calibri"/>
        </w:rPr>
        <w:t xml:space="preserve">Reza </w:t>
      </w:r>
      <w:proofErr w:type="spellStart"/>
      <w:r w:rsidRPr="00C87919">
        <w:rPr>
          <w:rFonts w:ascii="Calibri" w:hAnsi="Calibri" w:cs="Calibri"/>
        </w:rPr>
        <w:t>Montasari</w:t>
      </w:r>
      <w:proofErr w:type="spellEnd"/>
      <w:r w:rsidRPr="00C87919">
        <w:rPr>
          <w:rFonts w:ascii="Calibri" w:hAnsi="Calibri" w:cs="Calibri"/>
        </w:rPr>
        <w:t xml:space="preserve"> (2024). </w:t>
      </w:r>
      <w:r w:rsidRPr="00C87919">
        <w:rPr>
          <w:rFonts w:ascii="Calibri" w:hAnsi="Calibri" w:cs="Calibri"/>
          <w:i/>
          <w:iCs/>
        </w:rPr>
        <w:t>Cyberspace, Cyberterrorism and the International Security in the Fourth Industrial Revolution</w:t>
      </w:r>
      <w:r w:rsidRPr="00C87919">
        <w:rPr>
          <w:rFonts w:ascii="Calibri" w:hAnsi="Calibri" w:cs="Calibri"/>
        </w:rPr>
        <w:t>. Springer Nature. [Accessed 17, Aug. 2024].</w:t>
      </w:r>
    </w:p>
    <w:p w14:paraId="66912783" w14:textId="77777777" w:rsidR="00C87919" w:rsidRDefault="00C87919" w:rsidP="00C87919">
      <w:pPr>
        <w:spacing w:line="360" w:lineRule="auto"/>
        <w:rPr>
          <w:rFonts w:ascii="Calibri" w:hAnsi="Calibri" w:cs="Calibri"/>
        </w:rPr>
      </w:pPr>
      <w:r w:rsidRPr="00C87919">
        <w:rPr>
          <w:rFonts w:ascii="Calibri" w:hAnsi="Calibri" w:cs="Calibri"/>
        </w:rPr>
        <w:t>‌</w:t>
      </w:r>
    </w:p>
    <w:p w14:paraId="17C960C7" w14:textId="02D954A6" w:rsidR="00C87919" w:rsidRDefault="00C87919" w:rsidP="00C87919">
      <w:pPr>
        <w:spacing w:line="360" w:lineRule="auto"/>
        <w:rPr>
          <w:rFonts w:ascii="Calibri" w:hAnsi="Calibri" w:cs="Calibri"/>
        </w:rPr>
      </w:pPr>
      <w:r w:rsidRPr="00C87919">
        <w:rPr>
          <w:rFonts w:ascii="Calibri" w:hAnsi="Calibri" w:cs="Calibri"/>
        </w:rPr>
        <w:t>Sanderson, T.M. (2004). Transnational Terror and Organized Crime: Blurring the Lines. </w:t>
      </w:r>
      <w:r w:rsidRPr="00C87919">
        <w:rPr>
          <w:rFonts w:ascii="Calibri" w:hAnsi="Calibri" w:cs="Calibri"/>
          <w:i/>
          <w:iCs/>
        </w:rPr>
        <w:t>The SAIS Review of International Affairs</w:t>
      </w:r>
      <w:r w:rsidRPr="00C87919">
        <w:rPr>
          <w:rFonts w:ascii="Calibri" w:hAnsi="Calibri" w:cs="Calibri"/>
        </w:rPr>
        <w:t xml:space="preserve">, [online] 24(1), pp.49–61. Available at: </w:t>
      </w:r>
      <w:hyperlink r:id="rId42" w:history="1">
        <w:r w:rsidRPr="00C87919">
          <w:rPr>
            <w:rStyle w:val="Hyperlink"/>
            <w:rFonts w:ascii="Calibri" w:hAnsi="Calibri" w:cs="Calibri"/>
          </w:rPr>
          <w:t>https://www.jstor.org/stable/26999200</w:t>
        </w:r>
      </w:hyperlink>
      <w:r w:rsidRPr="00C87919">
        <w:rPr>
          <w:rFonts w:ascii="Calibri" w:hAnsi="Calibri" w:cs="Calibri"/>
        </w:rPr>
        <w:t>. [Accessed 27, Aug. 2024].</w:t>
      </w:r>
    </w:p>
    <w:p w14:paraId="462B7AA1" w14:textId="77777777" w:rsidR="00C87919" w:rsidRDefault="00C87919" w:rsidP="00C87919">
      <w:pPr>
        <w:spacing w:line="360" w:lineRule="auto"/>
        <w:rPr>
          <w:rFonts w:ascii="Calibri" w:hAnsi="Calibri" w:cs="Calibri"/>
        </w:rPr>
      </w:pPr>
    </w:p>
    <w:p w14:paraId="13B913B7" w14:textId="77777777" w:rsidR="00C87919" w:rsidRDefault="00C87919" w:rsidP="00C87919">
      <w:pPr>
        <w:spacing w:line="360" w:lineRule="auto"/>
        <w:rPr>
          <w:rFonts w:ascii="Calibri" w:hAnsi="Calibri" w:cs="Calibri"/>
        </w:rPr>
      </w:pPr>
      <w:r>
        <w:rPr>
          <w:rFonts w:ascii="Calibri" w:hAnsi="Calibri" w:cs="Calibri"/>
        </w:rPr>
        <w:t xml:space="preserve">United nations office of drugs and crime (2019) </w:t>
      </w:r>
      <w:r w:rsidRPr="00C87919">
        <w:rPr>
          <w:rFonts w:ascii="Calibri" w:hAnsi="Calibri" w:cs="Calibri"/>
        </w:rPr>
        <w:t xml:space="preserve">LINKAGES BETWEEN ORGANIZED CRIME AND TERRORISM MODULE 16. Available at: </w:t>
      </w:r>
      <w:hyperlink r:id="rId43" w:history="1">
        <w:r w:rsidRPr="00C87919">
          <w:rPr>
            <w:rStyle w:val="Hyperlink"/>
            <w:rFonts w:ascii="Calibri" w:hAnsi="Calibri" w:cs="Calibri"/>
          </w:rPr>
          <w:t>https://www.unodc.</w:t>
        </w:r>
        <w:r w:rsidRPr="00C87919">
          <w:rPr>
            <w:rStyle w:val="Hyperlink"/>
            <w:rFonts w:ascii="Calibri" w:hAnsi="Calibri" w:cs="Calibri"/>
          </w:rPr>
          <w:t>o</w:t>
        </w:r>
        <w:r w:rsidRPr="00C87919">
          <w:rPr>
            <w:rStyle w:val="Hyperlink"/>
            <w:rFonts w:ascii="Calibri" w:hAnsi="Calibri" w:cs="Calibri"/>
          </w:rPr>
          <w:t>rg/documents/e4j/FINAL_Module_16_Linkages_between_Organized_Crime_andTerrorism_14_Mar_2019.pdf</w:t>
        </w:r>
      </w:hyperlink>
      <w:r w:rsidRPr="00C87919">
        <w:rPr>
          <w:rFonts w:ascii="Calibri" w:hAnsi="Calibri" w:cs="Calibri"/>
        </w:rPr>
        <w:t>. [Accessed 15 Aug. 2024].</w:t>
      </w:r>
    </w:p>
    <w:p w14:paraId="030297B7" w14:textId="77777777" w:rsidR="009E4BEA" w:rsidRPr="00C87919" w:rsidRDefault="009E4BEA" w:rsidP="009E4BEA">
      <w:pPr>
        <w:spacing w:line="360" w:lineRule="auto"/>
        <w:rPr>
          <w:rFonts w:ascii="Calibri" w:hAnsi="Calibri" w:cs="Calibri"/>
        </w:rPr>
      </w:pPr>
      <w:r>
        <w:rPr>
          <w:rFonts w:ascii="Calibri" w:hAnsi="Calibri" w:cs="Calibri"/>
        </w:rPr>
        <w:lastRenderedPageBreak/>
        <w:t xml:space="preserve">United Nations </w:t>
      </w:r>
      <w:r w:rsidRPr="00C87919">
        <w:rPr>
          <w:rFonts w:ascii="Calibri" w:hAnsi="Calibri" w:cs="Calibri"/>
        </w:rPr>
        <w:t>(n.d.). </w:t>
      </w:r>
      <w:r w:rsidRPr="00C87919">
        <w:rPr>
          <w:rFonts w:ascii="Calibri" w:hAnsi="Calibri" w:cs="Calibri"/>
          <w:i/>
          <w:iCs/>
        </w:rPr>
        <w:t>Countering the financing of terrorism | Security Council</w:t>
      </w:r>
      <w:r w:rsidRPr="00C87919">
        <w:rPr>
          <w:rFonts w:ascii="Calibri" w:hAnsi="Calibri" w:cs="Calibri"/>
        </w:rPr>
        <w:t xml:space="preserve">. [online] Available at: </w:t>
      </w:r>
      <w:hyperlink r:id="rId44" w:history="1">
        <w:r w:rsidRPr="00C87919">
          <w:rPr>
            <w:rStyle w:val="Hyperlink"/>
            <w:rFonts w:ascii="Calibri" w:hAnsi="Calibri" w:cs="Calibri"/>
          </w:rPr>
          <w:t>https://www.un.org/securitycouncil/ctc/content/coun</w:t>
        </w:r>
        <w:r w:rsidRPr="00C87919">
          <w:rPr>
            <w:rStyle w:val="Hyperlink"/>
            <w:rFonts w:ascii="Calibri" w:hAnsi="Calibri" w:cs="Calibri"/>
          </w:rPr>
          <w:t>t</w:t>
        </w:r>
        <w:r w:rsidRPr="00C87919">
          <w:rPr>
            <w:rStyle w:val="Hyperlink"/>
            <w:rFonts w:ascii="Calibri" w:hAnsi="Calibri" w:cs="Calibri"/>
          </w:rPr>
          <w:t>ering-financing-terrorism</w:t>
        </w:r>
      </w:hyperlink>
      <w:r w:rsidRPr="00C87919">
        <w:rPr>
          <w:rFonts w:ascii="Calibri" w:hAnsi="Calibri" w:cs="Calibri"/>
        </w:rPr>
        <w:t>. [Accessed 30 Aug. 2024].</w:t>
      </w:r>
    </w:p>
    <w:p w14:paraId="366CB258" w14:textId="77777777" w:rsidR="009E4BEA" w:rsidRDefault="009E4BEA" w:rsidP="00C87919">
      <w:pPr>
        <w:spacing w:line="360" w:lineRule="auto"/>
        <w:rPr>
          <w:rFonts w:ascii="Calibri" w:hAnsi="Calibri" w:cs="Calibri"/>
        </w:rPr>
      </w:pPr>
    </w:p>
    <w:p w14:paraId="2EA1E41E" w14:textId="77777777" w:rsidR="00C87919" w:rsidRPr="00C87919" w:rsidRDefault="00C87919" w:rsidP="00C87919">
      <w:pPr>
        <w:spacing w:line="360" w:lineRule="auto"/>
        <w:rPr>
          <w:rFonts w:ascii="Calibri" w:hAnsi="Calibri" w:cs="Calibri"/>
        </w:rPr>
      </w:pPr>
    </w:p>
    <w:p w14:paraId="23927E46" w14:textId="69A5CA2B" w:rsidR="00C87919" w:rsidRPr="00C87919" w:rsidRDefault="00C87919" w:rsidP="00C87919">
      <w:pPr>
        <w:spacing w:line="360" w:lineRule="auto"/>
        <w:rPr>
          <w:rFonts w:ascii="Calibri" w:hAnsi="Calibri" w:cs="Calibri"/>
        </w:rPr>
      </w:pPr>
      <w:r w:rsidRPr="00C87919">
        <w:rPr>
          <w:rFonts w:ascii="Calibri" w:hAnsi="Calibri" w:cs="Calibri"/>
        </w:rPr>
        <w:t>U.S. Department of the Treasury. (n.d.). </w:t>
      </w:r>
      <w:r w:rsidRPr="00C87919">
        <w:rPr>
          <w:rFonts w:ascii="Calibri" w:hAnsi="Calibri" w:cs="Calibri"/>
          <w:i/>
          <w:iCs/>
        </w:rPr>
        <w:t>Fact Sheet: Combating the Financing of Terrorism, Disrupting Terrorism at its Core</w:t>
      </w:r>
      <w:r w:rsidRPr="00C87919">
        <w:rPr>
          <w:rFonts w:ascii="Calibri" w:hAnsi="Calibri" w:cs="Calibri"/>
        </w:rPr>
        <w:t xml:space="preserve">. [online] Available at: </w:t>
      </w:r>
      <w:hyperlink r:id="rId45" w:history="1">
        <w:r w:rsidRPr="00C87919">
          <w:rPr>
            <w:rStyle w:val="Hyperlink"/>
            <w:rFonts w:ascii="Calibri" w:hAnsi="Calibri" w:cs="Calibri"/>
          </w:rPr>
          <w:t>https://home.treasury.gov/news/press-releases/tg1291</w:t>
        </w:r>
      </w:hyperlink>
      <w:r w:rsidRPr="00C87919">
        <w:rPr>
          <w:rFonts w:ascii="Calibri" w:hAnsi="Calibri" w:cs="Calibri"/>
        </w:rPr>
        <w:t>. [Accessed 18 Aug. 2024].</w:t>
      </w:r>
    </w:p>
    <w:p w14:paraId="3437EBE3" w14:textId="77777777" w:rsidR="009E4BEA" w:rsidRDefault="009E4BEA" w:rsidP="00C87919">
      <w:pPr>
        <w:spacing w:line="360" w:lineRule="auto"/>
        <w:rPr>
          <w:rFonts w:ascii="Calibri" w:hAnsi="Calibri" w:cs="Calibri"/>
        </w:rPr>
      </w:pPr>
    </w:p>
    <w:p w14:paraId="4602FDF3" w14:textId="1217C046" w:rsidR="00C87919" w:rsidRPr="00C87919" w:rsidRDefault="00C87919" w:rsidP="00C87919">
      <w:pPr>
        <w:spacing w:line="360" w:lineRule="auto"/>
        <w:rPr>
          <w:rFonts w:ascii="Calibri" w:hAnsi="Calibri" w:cs="Calibri"/>
        </w:rPr>
      </w:pPr>
      <w:r w:rsidRPr="00C87919">
        <w:rPr>
          <w:rFonts w:ascii="Calibri" w:hAnsi="Calibri" w:cs="Calibri"/>
        </w:rPr>
        <w:t>Wales Safer Communities. (n.d.). </w:t>
      </w:r>
      <w:r w:rsidRPr="00C87919">
        <w:rPr>
          <w:rFonts w:ascii="Calibri" w:hAnsi="Calibri" w:cs="Calibri"/>
          <w:i/>
          <w:iCs/>
        </w:rPr>
        <w:t>Acquisitive Crime</w:t>
      </w:r>
      <w:r w:rsidRPr="00C87919">
        <w:rPr>
          <w:rFonts w:ascii="Calibri" w:hAnsi="Calibri" w:cs="Calibri"/>
        </w:rPr>
        <w:t xml:space="preserve">. [online] Available at: </w:t>
      </w:r>
      <w:hyperlink r:id="rId46" w:history="1">
        <w:r w:rsidRPr="00C87919">
          <w:rPr>
            <w:rStyle w:val="Hyperlink"/>
            <w:rFonts w:ascii="Calibri" w:hAnsi="Calibri" w:cs="Calibri"/>
          </w:rPr>
          <w:t>https://safercommunities.wales/crime-crime-prevention/acquisitive-crime-safer-streets/</w:t>
        </w:r>
      </w:hyperlink>
      <w:r w:rsidRPr="00C87919">
        <w:rPr>
          <w:rFonts w:ascii="Calibri" w:hAnsi="Calibri" w:cs="Calibri"/>
        </w:rPr>
        <w:t>. (Accessed 31, Aug. 2024).</w:t>
      </w:r>
    </w:p>
    <w:p w14:paraId="08BBD8E8" w14:textId="77777777" w:rsidR="00C87919" w:rsidRDefault="00C87919" w:rsidP="00C87919">
      <w:pPr>
        <w:spacing w:line="360" w:lineRule="auto"/>
        <w:rPr>
          <w:rFonts w:ascii="Calibri" w:hAnsi="Calibri" w:cs="Calibri"/>
        </w:rPr>
      </w:pPr>
    </w:p>
    <w:sectPr w:rsidR="00C879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791810" w14:textId="77777777" w:rsidR="00C94601" w:rsidRDefault="00C94601" w:rsidP="008E143F">
      <w:pPr>
        <w:spacing w:after="0" w:line="240" w:lineRule="auto"/>
      </w:pPr>
      <w:r>
        <w:separator/>
      </w:r>
    </w:p>
  </w:endnote>
  <w:endnote w:type="continuationSeparator" w:id="0">
    <w:p w14:paraId="0BB23B58" w14:textId="77777777" w:rsidR="00C94601" w:rsidRDefault="00C94601" w:rsidP="008E14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10F8CD" w14:textId="77777777" w:rsidR="00C94601" w:rsidRDefault="00C94601" w:rsidP="008E143F">
      <w:pPr>
        <w:spacing w:after="0" w:line="240" w:lineRule="auto"/>
      </w:pPr>
      <w:r>
        <w:separator/>
      </w:r>
    </w:p>
  </w:footnote>
  <w:footnote w:type="continuationSeparator" w:id="0">
    <w:p w14:paraId="159EF543" w14:textId="77777777" w:rsidR="00C94601" w:rsidRDefault="00C94601" w:rsidP="008E14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3F4AA5"/>
    <w:multiLevelType w:val="hybridMultilevel"/>
    <w:tmpl w:val="DEC4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200F36"/>
    <w:multiLevelType w:val="multilevel"/>
    <w:tmpl w:val="947CD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8E32E2"/>
    <w:multiLevelType w:val="hybridMultilevel"/>
    <w:tmpl w:val="C3EE1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E2518E"/>
    <w:multiLevelType w:val="hybridMultilevel"/>
    <w:tmpl w:val="7BB4147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09336AE"/>
    <w:multiLevelType w:val="multilevel"/>
    <w:tmpl w:val="C6763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956AA2"/>
    <w:multiLevelType w:val="hybridMultilevel"/>
    <w:tmpl w:val="3F38B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B90FFE"/>
    <w:multiLevelType w:val="multilevel"/>
    <w:tmpl w:val="668C5E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F817CF"/>
    <w:multiLevelType w:val="multilevel"/>
    <w:tmpl w:val="4D6CB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98241F"/>
    <w:multiLevelType w:val="multilevel"/>
    <w:tmpl w:val="09009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F2081C"/>
    <w:multiLevelType w:val="multilevel"/>
    <w:tmpl w:val="96D888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55629E"/>
    <w:multiLevelType w:val="hybridMultilevel"/>
    <w:tmpl w:val="37C84E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0C5CE2"/>
    <w:multiLevelType w:val="multilevel"/>
    <w:tmpl w:val="34505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9833561">
    <w:abstractNumId w:val="7"/>
  </w:num>
  <w:num w:numId="2" w16cid:durableId="1856308900">
    <w:abstractNumId w:val="1"/>
  </w:num>
  <w:num w:numId="3" w16cid:durableId="1560242821">
    <w:abstractNumId w:val="9"/>
  </w:num>
  <w:num w:numId="4" w16cid:durableId="533857332">
    <w:abstractNumId w:val="6"/>
  </w:num>
  <w:num w:numId="5" w16cid:durableId="884871243">
    <w:abstractNumId w:val="11"/>
  </w:num>
  <w:num w:numId="6" w16cid:durableId="6910075">
    <w:abstractNumId w:val="4"/>
  </w:num>
  <w:num w:numId="7" w16cid:durableId="28915802">
    <w:abstractNumId w:val="8"/>
  </w:num>
  <w:num w:numId="8" w16cid:durableId="282926761">
    <w:abstractNumId w:val="10"/>
  </w:num>
  <w:num w:numId="9" w16cid:durableId="635722876">
    <w:abstractNumId w:val="5"/>
  </w:num>
  <w:num w:numId="10" w16cid:durableId="1797874252">
    <w:abstractNumId w:val="3"/>
  </w:num>
  <w:num w:numId="11" w16cid:durableId="1501770455">
    <w:abstractNumId w:val="2"/>
  </w:num>
  <w:num w:numId="12" w16cid:durableId="18773510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7E5"/>
    <w:rsid w:val="0000314A"/>
    <w:rsid w:val="0001487E"/>
    <w:rsid w:val="000156B9"/>
    <w:rsid w:val="00023D51"/>
    <w:rsid w:val="000B23B4"/>
    <w:rsid w:val="00161CC6"/>
    <w:rsid w:val="001A1D31"/>
    <w:rsid w:val="003016D4"/>
    <w:rsid w:val="00356127"/>
    <w:rsid w:val="003C62F5"/>
    <w:rsid w:val="00411816"/>
    <w:rsid w:val="0043445D"/>
    <w:rsid w:val="004379F2"/>
    <w:rsid w:val="00442BE5"/>
    <w:rsid w:val="00444209"/>
    <w:rsid w:val="004632BD"/>
    <w:rsid w:val="004D2CEC"/>
    <w:rsid w:val="004E7EF7"/>
    <w:rsid w:val="00512B19"/>
    <w:rsid w:val="005466C1"/>
    <w:rsid w:val="005950E8"/>
    <w:rsid w:val="005E384D"/>
    <w:rsid w:val="00625000"/>
    <w:rsid w:val="0063333F"/>
    <w:rsid w:val="00657F54"/>
    <w:rsid w:val="006C16EC"/>
    <w:rsid w:val="006D5378"/>
    <w:rsid w:val="006E4DB6"/>
    <w:rsid w:val="0070232F"/>
    <w:rsid w:val="00741053"/>
    <w:rsid w:val="007433EC"/>
    <w:rsid w:val="00751DA4"/>
    <w:rsid w:val="0079148C"/>
    <w:rsid w:val="007973BD"/>
    <w:rsid w:val="007E0556"/>
    <w:rsid w:val="007E7E40"/>
    <w:rsid w:val="00803739"/>
    <w:rsid w:val="00872DC0"/>
    <w:rsid w:val="008A03EF"/>
    <w:rsid w:val="008B3777"/>
    <w:rsid w:val="008E143F"/>
    <w:rsid w:val="00951228"/>
    <w:rsid w:val="00957669"/>
    <w:rsid w:val="00957B6D"/>
    <w:rsid w:val="009E4BEA"/>
    <w:rsid w:val="00A8143B"/>
    <w:rsid w:val="00A94FF3"/>
    <w:rsid w:val="00B674E5"/>
    <w:rsid w:val="00B82ED6"/>
    <w:rsid w:val="00B971D5"/>
    <w:rsid w:val="00BA45C8"/>
    <w:rsid w:val="00BC2A84"/>
    <w:rsid w:val="00BC7E68"/>
    <w:rsid w:val="00BD3D01"/>
    <w:rsid w:val="00BE7EC2"/>
    <w:rsid w:val="00BF26B8"/>
    <w:rsid w:val="00C87919"/>
    <w:rsid w:val="00C94601"/>
    <w:rsid w:val="00CB29EE"/>
    <w:rsid w:val="00CE453B"/>
    <w:rsid w:val="00D167E5"/>
    <w:rsid w:val="00D46F52"/>
    <w:rsid w:val="00D6700B"/>
    <w:rsid w:val="00DA218E"/>
    <w:rsid w:val="00E00A8F"/>
    <w:rsid w:val="00E84891"/>
    <w:rsid w:val="00E909C3"/>
    <w:rsid w:val="00E959B0"/>
    <w:rsid w:val="00F047CF"/>
    <w:rsid w:val="00F12D00"/>
    <w:rsid w:val="00F31AE6"/>
    <w:rsid w:val="00F37288"/>
    <w:rsid w:val="00F427E7"/>
    <w:rsid w:val="00FB629A"/>
    <w:rsid w:val="00FD5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E13B4"/>
  <w15:chartTrackingRefBased/>
  <w15:docId w15:val="{22972350-9B73-4953-B989-DC966152A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7E5"/>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D167E5"/>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167E5"/>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D167E5"/>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D167E5"/>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D167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67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67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67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67E5"/>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D167E5"/>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D167E5"/>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D167E5"/>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D167E5"/>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D167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67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67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67E5"/>
    <w:rPr>
      <w:rFonts w:eastAsiaTheme="majorEastAsia" w:cstheme="majorBidi"/>
      <w:color w:val="272727" w:themeColor="text1" w:themeTint="D8"/>
    </w:rPr>
  </w:style>
  <w:style w:type="paragraph" w:styleId="Title">
    <w:name w:val="Title"/>
    <w:basedOn w:val="Normal"/>
    <w:next w:val="Normal"/>
    <w:link w:val="TitleChar"/>
    <w:uiPriority w:val="10"/>
    <w:qFormat/>
    <w:rsid w:val="00D167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67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67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67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67E5"/>
    <w:pPr>
      <w:spacing w:before="160"/>
      <w:jc w:val="center"/>
    </w:pPr>
    <w:rPr>
      <w:i/>
      <w:iCs/>
      <w:color w:val="404040" w:themeColor="text1" w:themeTint="BF"/>
    </w:rPr>
  </w:style>
  <w:style w:type="character" w:customStyle="1" w:styleId="QuoteChar">
    <w:name w:val="Quote Char"/>
    <w:basedOn w:val="DefaultParagraphFont"/>
    <w:link w:val="Quote"/>
    <w:uiPriority w:val="29"/>
    <w:rsid w:val="00D167E5"/>
    <w:rPr>
      <w:i/>
      <w:iCs/>
      <w:color w:val="404040" w:themeColor="text1" w:themeTint="BF"/>
    </w:rPr>
  </w:style>
  <w:style w:type="paragraph" w:styleId="ListParagraph">
    <w:name w:val="List Paragraph"/>
    <w:basedOn w:val="Normal"/>
    <w:uiPriority w:val="34"/>
    <w:qFormat/>
    <w:rsid w:val="00D167E5"/>
    <w:pPr>
      <w:ind w:left="720"/>
      <w:contextualSpacing/>
    </w:pPr>
  </w:style>
  <w:style w:type="character" w:styleId="IntenseEmphasis">
    <w:name w:val="Intense Emphasis"/>
    <w:basedOn w:val="DefaultParagraphFont"/>
    <w:uiPriority w:val="21"/>
    <w:qFormat/>
    <w:rsid w:val="00D167E5"/>
    <w:rPr>
      <w:i/>
      <w:iCs/>
      <w:color w:val="2E74B5" w:themeColor="accent1" w:themeShade="BF"/>
    </w:rPr>
  </w:style>
  <w:style w:type="paragraph" w:styleId="IntenseQuote">
    <w:name w:val="Intense Quote"/>
    <w:basedOn w:val="Normal"/>
    <w:next w:val="Normal"/>
    <w:link w:val="IntenseQuoteChar"/>
    <w:uiPriority w:val="30"/>
    <w:qFormat/>
    <w:rsid w:val="00D167E5"/>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D167E5"/>
    <w:rPr>
      <w:i/>
      <w:iCs/>
      <w:color w:val="2E74B5" w:themeColor="accent1" w:themeShade="BF"/>
    </w:rPr>
  </w:style>
  <w:style w:type="character" w:styleId="IntenseReference">
    <w:name w:val="Intense Reference"/>
    <w:basedOn w:val="DefaultParagraphFont"/>
    <w:uiPriority w:val="32"/>
    <w:qFormat/>
    <w:rsid w:val="00D167E5"/>
    <w:rPr>
      <w:b/>
      <w:bCs/>
      <w:smallCaps/>
      <w:color w:val="2E74B5" w:themeColor="accent1" w:themeShade="BF"/>
      <w:spacing w:val="5"/>
    </w:rPr>
  </w:style>
  <w:style w:type="character" w:styleId="Hyperlink">
    <w:name w:val="Hyperlink"/>
    <w:basedOn w:val="DefaultParagraphFont"/>
    <w:uiPriority w:val="99"/>
    <w:unhideWhenUsed/>
    <w:rsid w:val="00D167E5"/>
    <w:rPr>
      <w:color w:val="0563C1" w:themeColor="hyperlink"/>
      <w:u w:val="single"/>
    </w:rPr>
  </w:style>
  <w:style w:type="character" w:styleId="UnresolvedMention">
    <w:name w:val="Unresolved Mention"/>
    <w:basedOn w:val="DefaultParagraphFont"/>
    <w:uiPriority w:val="99"/>
    <w:semiHidden/>
    <w:unhideWhenUsed/>
    <w:rsid w:val="00D167E5"/>
    <w:rPr>
      <w:color w:val="605E5C"/>
      <w:shd w:val="clear" w:color="auto" w:fill="E1DFDD"/>
    </w:rPr>
  </w:style>
  <w:style w:type="paragraph" w:styleId="NormalWeb">
    <w:name w:val="Normal (Web)"/>
    <w:basedOn w:val="Normal"/>
    <w:uiPriority w:val="99"/>
    <w:semiHidden/>
    <w:unhideWhenUsed/>
    <w:rsid w:val="005466C1"/>
    <w:rPr>
      <w:rFonts w:ascii="Times New Roman" w:hAnsi="Times New Roman" w:cs="Times New Roman"/>
      <w:sz w:val="24"/>
      <w:szCs w:val="24"/>
    </w:rPr>
  </w:style>
  <w:style w:type="paragraph" w:styleId="Header">
    <w:name w:val="header"/>
    <w:basedOn w:val="Normal"/>
    <w:link w:val="HeaderChar"/>
    <w:uiPriority w:val="99"/>
    <w:unhideWhenUsed/>
    <w:rsid w:val="008E14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43F"/>
  </w:style>
  <w:style w:type="paragraph" w:styleId="Footer">
    <w:name w:val="footer"/>
    <w:basedOn w:val="Normal"/>
    <w:link w:val="FooterChar"/>
    <w:uiPriority w:val="99"/>
    <w:unhideWhenUsed/>
    <w:rsid w:val="008E14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43F"/>
  </w:style>
  <w:style w:type="character" w:styleId="FollowedHyperlink">
    <w:name w:val="FollowedHyperlink"/>
    <w:basedOn w:val="DefaultParagraphFont"/>
    <w:uiPriority w:val="99"/>
    <w:semiHidden/>
    <w:unhideWhenUsed/>
    <w:rsid w:val="00C8791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006412">
      <w:bodyDiv w:val="1"/>
      <w:marLeft w:val="0"/>
      <w:marRight w:val="0"/>
      <w:marTop w:val="0"/>
      <w:marBottom w:val="0"/>
      <w:divBdr>
        <w:top w:val="none" w:sz="0" w:space="0" w:color="auto"/>
        <w:left w:val="none" w:sz="0" w:space="0" w:color="auto"/>
        <w:bottom w:val="none" w:sz="0" w:space="0" w:color="auto"/>
        <w:right w:val="none" w:sz="0" w:space="0" w:color="auto"/>
      </w:divBdr>
    </w:div>
    <w:div w:id="57285193">
      <w:bodyDiv w:val="1"/>
      <w:marLeft w:val="0"/>
      <w:marRight w:val="0"/>
      <w:marTop w:val="0"/>
      <w:marBottom w:val="0"/>
      <w:divBdr>
        <w:top w:val="none" w:sz="0" w:space="0" w:color="auto"/>
        <w:left w:val="none" w:sz="0" w:space="0" w:color="auto"/>
        <w:bottom w:val="none" w:sz="0" w:space="0" w:color="auto"/>
        <w:right w:val="none" w:sz="0" w:space="0" w:color="auto"/>
      </w:divBdr>
    </w:div>
    <w:div w:id="62679187">
      <w:bodyDiv w:val="1"/>
      <w:marLeft w:val="0"/>
      <w:marRight w:val="0"/>
      <w:marTop w:val="0"/>
      <w:marBottom w:val="0"/>
      <w:divBdr>
        <w:top w:val="none" w:sz="0" w:space="0" w:color="auto"/>
        <w:left w:val="none" w:sz="0" w:space="0" w:color="auto"/>
        <w:bottom w:val="none" w:sz="0" w:space="0" w:color="auto"/>
        <w:right w:val="none" w:sz="0" w:space="0" w:color="auto"/>
      </w:divBdr>
    </w:div>
    <w:div w:id="86538152">
      <w:bodyDiv w:val="1"/>
      <w:marLeft w:val="0"/>
      <w:marRight w:val="0"/>
      <w:marTop w:val="0"/>
      <w:marBottom w:val="0"/>
      <w:divBdr>
        <w:top w:val="none" w:sz="0" w:space="0" w:color="auto"/>
        <w:left w:val="none" w:sz="0" w:space="0" w:color="auto"/>
        <w:bottom w:val="none" w:sz="0" w:space="0" w:color="auto"/>
        <w:right w:val="none" w:sz="0" w:space="0" w:color="auto"/>
      </w:divBdr>
    </w:div>
    <w:div w:id="116071971">
      <w:bodyDiv w:val="1"/>
      <w:marLeft w:val="0"/>
      <w:marRight w:val="0"/>
      <w:marTop w:val="0"/>
      <w:marBottom w:val="0"/>
      <w:divBdr>
        <w:top w:val="none" w:sz="0" w:space="0" w:color="auto"/>
        <w:left w:val="none" w:sz="0" w:space="0" w:color="auto"/>
        <w:bottom w:val="none" w:sz="0" w:space="0" w:color="auto"/>
        <w:right w:val="none" w:sz="0" w:space="0" w:color="auto"/>
      </w:divBdr>
    </w:div>
    <w:div w:id="219823786">
      <w:bodyDiv w:val="1"/>
      <w:marLeft w:val="0"/>
      <w:marRight w:val="0"/>
      <w:marTop w:val="0"/>
      <w:marBottom w:val="0"/>
      <w:divBdr>
        <w:top w:val="none" w:sz="0" w:space="0" w:color="auto"/>
        <w:left w:val="none" w:sz="0" w:space="0" w:color="auto"/>
        <w:bottom w:val="none" w:sz="0" w:space="0" w:color="auto"/>
        <w:right w:val="none" w:sz="0" w:space="0" w:color="auto"/>
      </w:divBdr>
    </w:div>
    <w:div w:id="251087741">
      <w:bodyDiv w:val="1"/>
      <w:marLeft w:val="0"/>
      <w:marRight w:val="0"/>
      <w:marTop w:val="0"/>
      <w:marBottom w:val="0"/>
      <w:divBdr>
        <w:top w:val="none" w:sz="0" w:space="0" w:color="auto"/>
        <w:left w:val="none" w:sz="0" w:space="0" w:color="auto"/>
        <w:bottom w:val="none" w:sz="0" w:space="0" w:color="auto"/>
        <w:right w:val="none" w:sz="0" w:space="0" w:color="auto"/>
      </w:divBdr>
    </w:div>
    <w:div w:id="298220577">
      <w:bodyDiv w:val="1"/>
      <w:marLeft w:val="0"/>
      <w:marRight w:val="0"/>
      <w:marTop w:val="0"/>
      <w:marBottom w:val="0"/>
      <w:divBdr>
        <w:top w:val="none" w:sz="0" w:space="0" w:color="auto"/>
        <w:left w:val="none" w:sz="0" w:space="0" w:color="auto"/>
        <w:bottom w:val="none" w:sz="0" w:space="0" w:color="auto"/>
        <w:right w:val="none" w:sz="0" w:space="0" w:color="auto"/>
      </w:divBdr>
    </w:div>
    <w:div w:id="366874499">
      <w:bodyDiv w:val="1"/>
      <w:marLeft w:val="0"/>
      <w:marRight w:val="0"/>
      <w:marTop w:val="0"/>
      <w:marBottom w:val="0"/>
      <w:divBdr>
        <w:top w:val="none" w:sz="0" w:space="0" w:color="auto"/>
        <w:left w:val="none" w:sz="0" w:space="0" w:color="auto"/>
        <w:bottom w:val="none" w:sz="0" w:space="0" w:color="auto"/>
        <w:right w:val="none" w:sz="0" w:space="0" w:color="auto"/>
      </w:divBdr>
    </w:div>
    <w:div w:id="404956899">
      <w:bodyDiv w:val="1"/>
      <w:marLeft w:val="0"/>
      <w:marRight w:val="0"/>
      <w:marTop w:val="0"/>
      <w:marBottom w:val="0"/>
      <w:divBdr>
        <w:top w:val="none" w:sz="0" w:space="0" w:color="auto"/>
        <w:left w:val="none" w:sz="0" w:space="0" w:color="auto"/>
        <w:bottom w:val="none" w:sz="0" w:space="0" w:color="auto"/>
        <w:right w:val="none" w:sz="0" w:space="0" w:color="auto"/>
      </w:divBdr>
    </w:div>
    <w:div w:id="430318245">
      <w:bodyDiv w:val="1"/>
      <w:marLeft w:val="0"/>
      <w:marRight w:val="0"/>
      <w:marTop w:val="0"/>
      <w:marBottom w:val="0"/>
      <w:divBdr>
        <w:top w:val="none" w:sz="0" w:space="0" w:color="auto"/>
        <w:left w:val="none" w:sz="0" w:space="0" w:color="auto"/>
        <w:bottom w:val="none" w:sz="0" w:space="0" w:color="auto"/>
        <w:right w:val="none" w:sz="0" w:space="0" w:color="auto"/>
      </w:divBdr>
    </w:div>
    <w:div w:id="447161876">
      <w:bodyDiv w:val="1"/>
      <w:marLeft w:val="0"/>
      <w:marRight w:val="0"/>
      <w:marTop w:val="0"/>
      <w:marBottom w:val="0"/>
      <w:divBdr>
        <w:top w:val="none" w:sz="0" w:space="0" w:color="auto"/>
        <w:left w:val="none" w:sz="0" w:space="0" w:color="auto"/>
        <w:bottom w:val="none" w:sz="0" w:space="0" w:color="auto"/>
        <w:right w:val="none" w:sz="0" w:space="0" w:color="auto"/>
      </w:divBdr>
    </w:div>
    <w:div w:id="499808573">
      <w:bodyDiv w:val="1"/>
      <w:marLeft w:val="0"/>
      <w:marRight w:val="0"/>
      <w:marTop w:val="0"/>
      <w:marBottom w:val="0"/>
      <w:divBdr>
        <w:top w:val="none" w:sz="0" w:space="0" w:color="auto"/>
        <w:left w:val="none" w:sz="0" w:space="0" w:color="auto"/>
        <w:bottom w:val="none" w:sz="0" w:space="0" w:color="auto"/>
        <w:right w:val="none" w:sz="0" w:space="0" w:color="auto"/>
      </w:divBdr>
    </w:div>
    <w:div w:id="585265143">
      <w:bodyDiv w:val="1"/>
      <w:marLeft w:val="0"/>
      <w:marRight w:val="0"/>
      <w:marTop w:val="0"/>
      <w:marBottom w:val="0"/>
      <w:divBdr>
        <w:top w:val="none" w:sz="0" w:space="0" w:color="auto"/>
        <w:left w:val="none" w:sz="0" w:space="0" w:color="auto"/>
        <w:bottom w:val="none" w:sz="0" w:space="0" w:color="auto"/>
        <w:right w:val="none" w:sz="0" w:space="0" w:color="auto"/>
      </w:divBdr>
    </w:div>
    <w:div w:id="597910512">
      <w:bodyDiv w:val="1"/>
      <w:marLeft w:val="0"/>
      <w:marRight w:val="0"/>
      <w:marTop w:val="0"/>
      <w:marBottom w:val="0"/>
      <w:divBdr>
        <w:top w:val="none" w:sz="0" w:space="0" w:color="auto"/>
        <w:left w:val="none" w:sz="0" w:space="0" w:color="auto"/>
        <w:bottom w:val="none" w:sz="0" w:space="0" w:color="auto"/>
        <w:right w:val="none" w:sz="0" w:space="0" w:color="auto"/>
      </w:divBdr>
    </w:div>
    <w:div w:id="677736126">
      <w:bodyDiv w:val="1"/>
      <w:marLeft w:val="0"/>
      <w:marRight w:val="0"/>
      <w:marTop w:val="0"/>
      <w:marBottom w:val="0"/>
      <w:divBdr>
        <w:top w:val="none" w:sz="0" w:space="0" w:color="auto"/>
        <w:left w:val="none" w:sz="0" w:space="0" w:color="auto"/>
        <w:bottom w:val="none" w:sz="0" w:space="0" w:color="auto"/>
        <w:right w:val="none" w:sz="0" w:space="0" w:color="auto"/>
      </w:divBdr>
    </w:div>
    <w:div w:id="679816534">
      <w:bodyDiv w:val="1"/>
      <w:marLeft w:val="0"/>
      <w:marRight w:val="0"/>
      <w:marTop w:val="0"/>
      <w:marBottom w:val="0"/>
      <w:divBdr>
        <w:top w:val="none" w:sz="0" w:space="0" w:color="auto"/>
        <w:left w:val="none" w:sz="0" w:space="0" w:color="auto"/>
        <w:bottom w:val="none" w:sz="0" w:space="0" w:color="auto"/>
        <w:right w:val="none" w:sz="0" w:space="0" w:color="auto"/>
      </w:divBdr>
    </w:div>
    <w:div w:id="693458828">
      <w:bodyDiv w:val="1"/>
      <w:marLeft w:val="0"/>
      <w:marRight w:val="0"/>
      <w:marTop w:val="0"/>
      <w:marBottom w:val="0"/>
      <w:divBdr>
        <w:top w:val="none" w:sz="0" w:space="0" w:color="auto"/>
        <w:left w:val="none" w:sz="0" w:space="0" w:color="auto"/>
        <w:bottom w:val="none" w:sz="0" w:space="0" w:color="auto"/>
        <w:right w:val="none" w:sz="0" w:space="0" w:color="auto"/>
      </w:divBdr>
    </w:div>
    <w:div w:id="709764839">
      <w:bodyDiv w:val="1"/>
      <w:marLeft w:val="0"/>
      <w:marRight w:val="0"/>
      <w:marTop w:val="0"/>
      <w:marBottom w:val="0"/>
      <w:divBdr>
        <w:top w:val="none" w:sz="0" w:space="0" w:color="auto"/>
        <w:left w:val="none" w:sz="0" w:space="0" w:color="auto"/>
        <w:bottom w:val="none" w:sz="0" w:space="0" w:color="auto"/>
        <w:right w:val="none" w:sz="0" w:space="0" w:color="auto"/>
      </w:divBdr>
    </w:div>
    <w:div w:id="795178020">
      <w:bodyDiv w:val="1"/>
      <w:marLeft w:val="0"/>
      <w:marRight w:val="0"/>
      <w:marTop w:val="0"/>
      <w:marBottom w:val="0"/>
      <w:divBdr>
        <w:top w:val="none" w:sz="0" w:space="0" w:color="auto"/>
        <w:left w:val="none" w:sz="0" w:space="0" w:color="auto"/>
        <w:bottom w:val="none" w:sz="0" w:space="0" w:color="auto"/>
        <w:right w:val="none" w:sz="0" w:space="0" w:color="auto"/>
      </w:divBdr>
    </w:div>
    <w:div w:id="810908170">
      <w:bodyDiv w:val="1"/>
      <w:marLeft w:val="0"/>
      <w:marRight w:val="0"/>
      <w:marTop w:val="0"/>
      <w:marBottom w:val="0"/>
      <w:divBdr>
        <w:top w:val="none" w:sz="0" w:space="0" w:color="auto"/>
        <w:left w:val="none" w:sz="0" w:space="0" w:color="auto"/>
        <w:bottom w:val="none" w:sz="0" w:space="0" w:color="auto"/>
        <w:right w:val="none" w:sz="0" w:space="0" w:color="auto"/>
      </w:divBdr>
    </w:div>
    <w:div w:id="832530440">
      <w:bodyDiv w:val="1"/>
      <w:marLeft w:val="0"/>
      <w:marRight w:val="0"/>
      <w:marTop w:val="0"/>
      <w:marBottom w:val="0"/>
      <w:divBdr>
        <w:top w:val="none" w:sz="0" w:space="0" w:color="auto"/>
        <w:left w:val="none" w:sz="0" w:space="0" w:color="auto"/>
        <w:bottom w:val="none" w:sz="0" w:space="0" w:color="auto"/>
        <w:right w:val="none" w:sz="0" w:space="0" w:color="auto"/>
      </w:divBdr>
    </w:div>
    <w:div w:id="849561081">
      <w:bodyDiv w:val="1"/>
      <w:marLeft w:val="0"/>
      <w:marRight w:val="0"/>
      <w:marTop w:val="0"/>
      <w:marBottom w:val="0"/>
      <w:divBdr>
        <w:top w:val="none" w:sz="0" w:space="0" w:color="auto"/>
        <w:left w:val="none" w:sz="0" w:space="0" w:color="auto"/>
        <w:bottom w:val="none" w:sz="0" w:space="0" w:color="auto"/>
        <w:right w:val="none" w:sz="0" w:space="0" w:color="auto"/>
      </w:divBdr>
    </w:div>
    <w:div w:id="850291320">
      <w:bodyDiv w:val="1"/>
      <w:marLeft w:val="0"/>
      <w:marRight w:val="0"/>
      <w:marTop w:val="0"/>
      <w:marBottom w:val="0"/>
      <w:divBdr>
        <w:top w:val="none" w:sz="0" w:space="0" w:color="auto"/>
        <w:left w:val="none" w:sz="0" w:space="0" w:color="auto"/>
        <w:bottom w:val="none" w:sz="0" w:space="0" w:color="auto"/>
        <w:right w:val="none" w:sz="0" w:space="0" w:color="auto"/>
      </w:divBdr>
    </w:div>
    <w:div w:id="869149585">
      <w:bodyDiv w:val="1"/>
      <w:marLeft w:val="0"/>
      <w:marRight w:val="0"/>
      <w:marTop w:val="0"/>
      <w:marBottom w:val="0"/>
      <w:divBdr>
        <w:top w:val="none" w:sz="0" w:space="0" w:color="auto"/>
        <w:left w:val="none" w:sz="0" w:space="0" w:color="auto"/>
        <w:bottom w:val="none" w:sz="0" w:space="0" w:color="auto"/>
        <w:right w:val="none" w:sz="0" w:space="0" w:color="auto"/>
      </w:divBdr>
    </w:div>
    <w:div w:id="878394654">
      <w:bodyDiv w:val="1"/>
      <w:marLeft w:val="0"/>
      <w:marRight w:val="0"/>
      <w:marTop w:val="0"/>
      <w:marBottom w:val="0"/>
      <w:divBdr>
        <w:top w:val="none" w:sz="0" w:space="0" w:color="auto"/>
        <w:left w:val="none" w:sz="0" w:space="0" w:color="auto"/>
        <w:bottom w:val="none" w:sz="0" w:space="0" w:color="auto"/>
        <w:right w:val="none" w:sz="0" w:space="0" w:color="auto"/>
      </w:divBdr>
    </w:div>
    <w:div w:id="951329390">
      <w:bodyDiv w:val="1"/>
      <w:marLeft w:val="0"/>
      <w:marRight w:val="0"/>
      <w:marTop w:val="0"/>
      <w:marBottom w:val="0"/>
      <w:divBdr>
        <w:top w:val="none" w:sz="0" w:space="0" w:color="auto"/>
        <w:left w:val="none" w:sz="0" w:space="0" w:color="auto"/>
        <w:bottom w:val="none" w:sz="0" w:space="0" w:color="auto"/>
        <w:right w:val="none" w:sz="0" w:space="0" w:color="auto"/>
      </w:divBdr>
    </w:div>
    <w:div w:id="1071463457">
      <w:bodyDiv w:val="1"/>
      <w:marLeft w:val="0"/>
      <w:marRight w:val="0"/>
      <w:marTop w:val="0"/>
      <w:marBottom w:val="0"/>
      <w:divBdr>
        <w:top w:val="none" w:sz="0" w:space="0" w:color="auto"/>
        <w:left w:val="none" w:sz="0" w:space="0" w:color="auto"/>
        <w:bottom w:val="none" w:sz="0" w:space="0" w:color="auto"/>
        <w:right w:val="none" w:sz="0" w:space="0" w:color="auto"/>
      </w:divBdr>
    </w:div>
    <w:div w:id="1094479738">
      <w:bodyDiv w:val="1"/>
      <w:marLeft w:val="0"/>
      <w:marRight w:val="0"/>
      <w:marTop w:val="0"/>
      <w:marBottom w:val="0"/>
      <w:divBdr>
        <w:top w:val="none" w:sz="0" w:space="0" w:color="auto"/>
        <w:left w:val="none" w:sz="0" w:space="0" w:color="auto"/>
        <w:bottom w:val="none" w:sz="0" w:space="0" w:color="auto"/>
        <w:right w:val="none" w:sz="0" w:space="0" w:color="auto"/>
      </w:divBdr>
    </w:div>
    <w:div w:id="1179587680">
      <w:bodyDiv w:val="1"/>
      <w:marLeft w:val="0"/>
      <w:marRight w:val="0"/>
      <w:marTop w:val="0"/>
      <w:marBottom w:val="0"/>
      <w:divBdr>
        <w:top w:val="none" w:sz="0" w:space="0" w:color="auto"/>
        <w:left w:val="none" w:sz="0" w:space="0" w:color="auto"/>
        <w:bottom w:val="none" w:sz="0" w:space="0" w:color="auto"/>
        <w:right w:val="none" w:sz="0" w:space="0" w:color="auto"/>
      </w:divBdr>
    </w:div>
    <w:div w:id="1219321399">
      <w:bodyDiv w:val="1"/>
      <w:marLeft w:val="0"/>
      <w:marRight w:val="0"/>
      <w:marTop w:val="0"/>
      <w:marBottom w:val="0"/>
      <w:divBdr>
        <w:top w:val="none" w:sz="0" w:space="0" w:color="auto"/>
        <w:left w:val="none" w:sz="0" w:space="0" w:color="auto"/>
        <w:bottom w:val="none" w:sz="0" w:space="0" w:color="auto"/>
        <w:right w:val="none" w:sz="0" w:space="0" w:color="auto"/>
      </w:divBdr>
    </w:div>
    <w:div w:id="1252201945">
      <w:bodyDiv w:val="1"/>
      <w:marLeft w:val="0"/>
      <w:marRight w:val="0"/>
      <w:marTop w:val="0"/>
      <w:marBottom w:val="0"/>
      <w:divBdr>
        <w:top w:val="none" w:sz="0" w:space="0" w:color="auto"/>
        <w:left w:val="none" w:sz="0" w:space="0" w:color="auto"/>
        <w:bottom w:val="none" w:sz="0" w:space="0" w:color="auto"/>
        <w:right w:val="none" w:sz="0" w:space="0" w:color="auto"/>
      </w:divBdr>
    </w:div>
    <w:div w:id="1263226701">
      <w:bodyDiv w:val="1"/>
      <w:marLeft w:val="0"/>
      <w:marRight w:val="0"/>
      <w:marTop w:val="0"/>
      <w:marBottom w:val="0"/>
      <w:divBdr>
        <w:top w:val="none" w:sz="0" w:space="0" w:color="auto"/>
        <w:left w:val="none" w:sz="0" w:space="0" w:color="auto"/>
        <w:bottom w:val="none" w:sz="0" w:space="0" w:color="auto"/>
        <w:right w:val="none" w:sz="0" w:space="0" w:color="auto"/>
      </w:divBdr>
    </w:div>
    <w:div w:id="1293712365">
      <w:bodyDiv w:val="1"/>
      <w:marLeft w:val="0"/>
      <w:marRight w:val="0"/>
      <w:marTop w:val="0"/>
      <w:marBottom w:val="0"/>
      <w:divBdr>
        <w:top w:val="none" w:sz="0" w:space="0" w:color="auto"/>
        <w:left w:val="none" w:sz="0" w:space="0" w:color="auto"/>
        <w:bottom w:val="none" w:sz="0" w:space="0" w:color="auto"/>
        <w:right w:val="none" w:sz="0" w:space="0" w:color="auto"/>
      </w:divBdr>
    </w:div>
    <w:div w:id="1427537769">
      <w:bodyDiv w:val="1"/>
      <w:marLeft w:val="0"/>
      <w:marRight w:val="0"/>
      <w:marTop w:val="0"/>
      <w:marBottom w:val="0"/>
      <w:divBdr>
        <w:top w:val="none" w:sz="0" w:space="0" w:color="auto"/>
        <w:left w:val="none" w:sz="0" w:space="0" w:color="auto"/>
        <w:bottom w:val="none" w:sz="0" w:space="0" w:color="auto"/>
        <w:right w:val="none" w:sz="0" w:space="0" w:color="auto"/>
      </w:divBdr>
    </w:div>
    <w:div w:id="1491601762">
      <w:bodyDiv w:val="1"/>
      <w:marLeft w:val="0"/>
      <w:marRight w:val="0"/>
      <w:marTop w:val="0"/>
      <w:marBottom w:val="0"/>
      <w:divBdr>
        <w:top w:val="none" w:sz="0" w:space="0" w:color="auto"/>
        <w:left w:val="none" w:sz="0" w:space="0" w:color="auto"/>
        <w:bottom w:val="none" w:sz="0" w:space="0" w:color="auto"/>
        <w:right w:val="none" w:sz="0" w:space="0" w:color="auto"/>
      </w:divBdr>
    </w:div>
    <w:div w:id="1593970064">
      <w:bodyDiv w:val="1"/>
      <w:marLeft w:val="0"/>
      <w:marRight w:val="0"/>
      <w:marTop w:val="0"/>
      <w:marBottom w:val="0"/>
      <w:divBdr>
        <w:top w:val="none" w:sz="0" w:space="0" w:color="auto"/>
        <w:left w:val="none" w:sz="0" w:space="0" w:color="auto"/>
        <w:bottom w:val="none" w:sz="0" w:space="0" w:color="auto"/>
        <w:right w:val="none" w:sz="0" w:space="0" w:color="auto"/>
      </w:divBdr>
    </w:div>
    <w:div w:id="1650095359">
      <w:bodyDiv w:val="1"/>
      <w:marLeft w:val="0"/>
      <w:marRight w:val="0"/>
      <w:marTop w:val="0"/>
      <w:marBottom w:val="0"/>
      <w:divBdr>
        <w:top w:val="none" w:sz="0" w:space="0" w:color="auto"/>
        <w:left w:val="none" w:sz="0" w:space="0" w:color="auto"/>
        <w:bottom w:val="none" w:sz="0" w:space="0" w:color="auto"/>
        <w:right w:val="none" w:sz="0" w:space="0" w:color="auto"/>
      </w:divBdr>
    </w:div>
    <w:div w:id="1671639060">
      <w:bodyDiv w:val="1"/>
      <w:marLeft w:val="0"/>
      <w:marRight w:val="0"/>
      <w:marTop w:val="0"/>
      <w:marBottom w:val="0"/>
      <w:divBdr>
        <w:top w:val="none" w:sz="0" w:space="0" w:color="auto"/>
        <w:left w:val="none" w:sz="0" w:space="0" w:color="auto"/>
        <w:bottom w:val="none" w:sz="0" w:space="0" w:color="auto"/>
        <w:right w:val="none" w:sz="0" w:space="0" w:color="auto"/>
      </w:divBdr>
    </w:div>
    <w:div w:id="1674868571">
      <w:bodyDiv w:val="1"/>
      <w:marLeft w:val="0"/>
      <w:marRight w:val="0"/>
      <w:marTop w:val="0"/>
      <w:marBottom w:val="0"/>
      <w:divBdr>
        <w:top w:val="none" w:sz="0" w:space="0" w:color="auto"/>
        <w:left w:val="none" w:sz="0" w:space="0" w:color="auto"/>
        <w:bottom w:val="none" w:sz="0" w:space="0" w:color="auto"/>
        <w:right w:val="none" w:sz="0" w:space="0" w:color="auto"/>
      </w:divBdr>
    </w:div>
    <w:div w:id="1687293703">
      <w:bodyDiv w:val="1"/>
      <w:marLeft w:val="0"/>
      <w:marRight w:val="0"/>
      <w:marTop w:val="0"/>
      <w:marBottom w:val="0"/>
      <w:divBdr>
        <w:top w:val="none" w:sz="0" w:space="0" w:color="auto"/>
        <w:left w:val="none" w:sz="0" w:space="0" w:color="auto"/>
        <w:bottom w:val="none" w:sz="0" w:space="0" w:color="auto"/>
        <w:right w:val="none" w:sz="0" w:space="0" w:color="auto"/>
      </w:divBdr>
    </w:div>
    <w:div w:id="1738019137">
      <w:bodyDiv w:val="1"/>
      <w:marLeft w:val="0"/>
      <w:marRight w:val="0"/>
      <w:marTop w:val="0"/>
      <w:marBottom w:val="0"/>
      <w:divBdr>
        <w:top w:val="none" w:sz="0" w:space="0" w:color="auto"/>
        <w:left w:val="none" w:sz="0" w:space="0" w:color="auto"/>
        <w:bottom w:val="none" w:sz="0" w:space="0" w:color="auto"/>
        <w:right w:val="none" w:sz="0" w:space="0" w:color="auto"/>
      </w:divBdr>
    </w:div>
    <w:div w:id="1782333228">
      <w:bodyDiv w:val="1"/>
      <w:marLeft w:val="0"/>
      <w:marRight w:val="0"/>
      <w:marTop w:val="0"/>
      <w:marBottom w:val="0"/>
      <w:divBdr>
        <w:top w:val="none" w:sz="0" w:space="0" w:color="auto"/>
        <w:left w:val="none" w:sz="0" w:space="0" w:color="auto"/>
        <w:bottom w:val="none" w:sz="0" w:space="0" w:color="auto"/>
        <w:right w:val="none" w:sz="0" w:space="0" w:color="auto"/>
      </w:divBdr>
    </w:div>
    <w:div w:id="1782727744">
      <w:bodyDiv w:val="1"/>
      <w:marLeft w:val="0"/>
      <w:marRight w:val="0"/>
      <w:marTop w:val="0"/>
      <w:marBottom w:val="0"/>
      <w:divBdr>
        <w:top w:val="none" w:sz="0" w:space="0" w:color="auto"/>
        <w:left w:val="none" w:sz="0" w:space="0" w:color="auto"/>
        <w:bottom w:val="none" w:sz="0" w:space="0" w:color="auto"/>
        <w:right w:val="none" w:sz="0" w:space="0" w:color="auto"/>
      </w:divBdr>
    </w:div>
    <w:div w:id="1784152382">
      <w:bodyDiv w:val="1"/>
      <w:marLeft w:val="0"/>
      <w:marRight w:val="0"/>
      <w:marTop w:val="0"/>
      <w:marBottom w:val="0"/>
      <w:divBdr>
        <w:top w:val="none" w:sz="0" w:space="0" w:color="auto"/>
        <w:left w:val="none" w:sz="0" w:space="0" w:color="auto"/>
        <w:bottom w:val="none" w:sz="0" w:space="0" w:color="auto"/>
        <w:right w:val="none" w:sz="0" w:space="0" w:color="auto"/>
      </w:divBdr>
    </w:div>
    <w:div w:id="1842232595">
      <w:bodyDiv w:val="1"/>
      <w:marLeft w:val="0"/>
      <w:marRight w:val="0"/>
      <w:marTop w:val="0"/>
      <w:marBottom w:val="0"/>
      <w:divBdr>
        <w:top w:val="none" w:sz="0" w:space="0" w:color="auto"/>
        <w:left w:val="none" w:sz="0" w:space="0" w:color="auto"/>
        <w:bottom w:val="none" w:sz="0" w:space="0" w:color="auto"/>
        <w:right w:val="none" w:sz="0" w:space="0" w:color="auto"/>
      </w:divBdr>
    </w:div>
    <w:div w:id="1843468976">
      <w:bodyDiv w:val="1"/>
      <w:marLeft w:val="0"/>
      <w:marRight w:val="0"/>
      <w:marTop w:val="0"/>
      <w:marBottom w:val="0"/>
      <w:divBdr>
        <w:top w:val="none" w:sz="0" w:space="0" w:color="auto"/>
        <w:left w:val="none" w:sz="0" w:space="0" w:color="auto"/>
        <w:bottom w:val="none" w:sz="0" w:space="0" w:color="auto"/>
        <w:right w:val="none" w:sz="0" w:space="0" w:color="auto"/>
      </w:divBdr>
    </w:div>
    <w:div w:id="1846505856">
      <w:bodyDiv w:val="1"/>
      <w:marLeft w:val="0"/>
      <w:marRight w:val="0"/>
      <w:marTop w:val="0"/>
      <w:marBottom w:val="0"/>
      <w:divBdr>
        <w:top w:val="none" w:sz="0" w:space="0" w:color="auto"/>
        <w:left w:val="none" w:sz="0" w:space="0" w:color="auto"/>
        <w:bottom w:val="none" w:sz="0" w:space="0" w:color="auto"/>
        <w:right w:val="none" w:sz="0" w:space="0" w:color="auto"/>
      </w:divBdr>
    </w:div>
    <w:div w:id="1895002373">
      <w:bodyDiv w:val="1"/>
      <w:marLeft w:val="0"/>
      <w:marRight w:val="0"/>
      <w:marTop w:val="0"/>
      <w:marBottom w:val="0"/>
      <w:divBdr>
        <w:top w:val="none" w:sz="0" w:space="0" w:color="auto"/>
        <w:left w:val="none" w:sz="0" w:space="0" w:color="auto"/>
        <w:bottom w:val="none" w:sz="0" w:space="0" w:color="auto"/>
        <w:right w:val="none" w:sz="0" w:space="0" w:color="auto"/>
      </w:divBdr>
    </w:div>
    <w:div w:id="1904287896">
      <w:bodyDiv w:val="1"/>
      <w:marLeft w:val="0"/>
      <w:marRight w:val="0"/>
      <w:marTop w:val="0"/>
      <w:marBottom w:val="0"/>
      <w:divBdr>
        <w:top w:val="none" w:sz="0" w:space="0" w:color="auto"/>
        <w:left w:val="none" w:sz="0" w:space="0" w:color="auto"/>
        <w:bottom w:val="none" w:sz="0" w:space="0" w:color="auto"/>
        <w:right w:val="none" w:sz="0" w:space="0" w:color="auto"/>
      </w:divBdr>
    </w:div>
    <w:div w:id="1924217857">
      <w:bodyDiv w:val="1"/>
      <w:marLeft w:val="0"/>
      <w:marRight w:val="0"/>
      <w:marTop w:val="0"/>
      <w:marBottom w:val="0"/>
      <w:divBdr>
        <w:top w:val="none" w:sz="0" w:space="0" w:color="auto"/>
        <w:left w:val="none" w:sz="0" w:space="0" w:color="auto"/>
        <w:bottom w:val="none" w:sz="0" w:space="0" w:color="auto"/>
        <w:right w:val="none" w:sz="0" w:space="0" w:color="auto"/>
      </w:divBdr>
    </w:div>
    <w:div w:id="1932548014">
      <w:bodyDiv w:val="1"/>
      <w:marLeft w:val="0"/>
      <w:marRight w:val="0"/>
      <w:marTop w:val="0"/>
      <w:marBottom w:val="0"/>
      <w:divBdr>
        <w:top w:val="none" w:sz="0" w:space="0" w:color="auto"/>
        <w:left w:val="none" w:sz="0" w:space="0" w:color="auto"/>
        <w:bottom w:val="none" w:sz="0" w:space="0" w:color="auto"/>
        <w:right w:val="none" w:sz="0" w:space="0" w:color="auto"/>
      </w:divBdr>
    </w:div>
    <w:div w:id="2017926439">
      <w:bodyDiv w:val="1"/>
      <w:marLeft w:val="0"/>
      <w:marRight w:val="0"/>
      <w:marTop w:val="0"/>
      <w:marBottom w:val="0"/>
      <w:divBdr>
        <w:top w:val="none" w:sz="0" w:space="0" w:color="auto"/>
        <w:left w:val="none" w:sz="0" w:space="0" w:color="auto"/>
        <w:bottom w:val="none" w:sz="0" w:space="0" w:color="auto"/>
        <w:right w:val="none" w:sz="0" w:space="0" w:color="auto"/>
      </w:divBdr>
    </w:div>
    <w:div w:id="2086416119">
      <w:bodyDiv w:val="1"/>
      <w:marLeft w:val="0"/>
      <w:marRight w:val="0"/>
      <w:marTop w:val="0"/>
      <w:marBottom w:val="0"/>
      <w:divBdr>
        <w:top w:val="none" w:sz="0" w:space="0" w:color="auto"/>
        <w:left w:val="none" w:sz="0" w:space="0" w:color="auto"/>
        <w:bottom w:val="none" w:sz="0" w:space="0" w:color="auto"/>
        <w:right w:val="none" w:sz="0" w:space="0" w:color="auto"/>
      </w:divBdr>
    </w:div>
    <w:div w:id="2134977969">
      <w:bodyDiv w:val="1"/>
      <w:marLeft w:val="0"/>
      <w:marRight w:val="0"/>
      <w:marTop w:val="0"/>
      <w:marBottom w:val="0"/>
      <w:divBdr>
        <w:top w:val="none" w:sz="0" w:space="0" w:color="auto"/>
        <w:left w:val="none" w:sz="0" w:space="0" w:color="auto"/>
        <w:bottom w:val="none" w:sz="0" w:space="0" w:color="auto"/>
        <w:right w:val="none" w:sz="0" w:space="0" w:color="auto"/>
      </w:divBdr>
    </w:div>
    <w:div w:id="2145346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ustice.gov/crs/file/1188556/dl?inline=" TargetMode="External"/><Relationship Id="rId18" Type="http://schemas.openxmlformats.org/officeDocument/2006/relationships/hyperlink" Target="https://assets.publishing.service.gov.uk/government/uploads/system/uploads/attachment_data/file/697221/The_WestBridge_Attack_report_Accessible.pdf" TargetMode="External"/><Relationship Id="rId26" Type="http://schemas.openxmlformats.org/officeDocument/2006/relationships/hyperlink" Target="https://www.police1.com/chiefs-sheriffs/articles/iacp-quick-take-learning-from-the-critical-incidents-of-2020-K59wtOWnguuhtk1g/" TargetMode="External"/><Relationship Id="rId39" Type="http://schemas.openxmlformats.org/officeDocument/2006/relationships/hyperlink" Target="https://theconversation.com/how-do-terrorists-fund-their-activities-some-do-it-legally-119926" TargetMode="External"/><Relationship Id="rId21" Type="http://schemas.openxmlformats.org/officeDocument/2006/relationships/hyperlink" Target="https://www.police1.com/police-products/training/simulator/articles/why-traditional-learning-methodologies-fall-short-in-policing-and-how-a-simulator-can-help-3JAKbaOHGa0OKYrF/" TargetMode="External"/><Relationship Id="rId34" Type="http://schemas.openxmlformats.org/officeDocument/2006/relationships/hyperlink" Target="https://www.counterterrorism.police.uk/our-network/" TargetMode="External"/><Relationship Id="rId42" Type="http://schemas.openxmlformats.org/officeDocument/2006/relationships/hyperlink" Target="https://www.jstor.org/stable/26999200" TargetMode="External"/><Relationship Id="rId47" Type="http://schemas.openxmlformats.org/officeDocument/2006/relationships/fontTable" Target="fontTable.xml"/><Relationship Id="rId7" Type="http://schemas.openxmlformats.org/officeDocument/2006/relationships/hyperlink" Target="https://library.college.police.uk/docs/J_Homicide_MII/J_Homicide_8.1.pdf" TargetMode="External"/><Relationship Id="rId2" Type="http://schemas.openxmlformats.org/officeDocument/2006/relationships/styles" Target="styles.xml"/><Relationship Id="rId16" Type="http://schemas.openxmlformats.org/officeDocument/2006/relationships/hyperlink" Target="https://www.nationalacademies.org/documents/embed/link/LF2255DA3DD1C41C0A42D3BEF0989ACAECE3053A6A9B/file/D8E0714902BAE253B2C894D349320670B86A5F3CCF36?noSaveAs=1" TargetMode="External"/><Relationship Id="rId29" Type="http://schemas.openxmlformats.org/officeDocument/2006/relationships/hyperlink" Target="https://bing.com/search?q=how+criminal+activities+support+logistical+and+operational+needs+for+terrorist+organiz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critical-incident-management/introduction-and-types-critical-incidents" TargetMode="External"/><Relationship Id="rId24" Type="http://schemas.openxmlformats.org/officeDocument/2006/relationships/hyperlink" Target="https://www.routledge.com/Policing-Critical-Incidents-Leadership-and-Critical-Incident-Management/Alison-Crego/p/book/9781843922797" TargetMode="External"/><Relationship Id="rId32" Type="http://schemas.openxmlformats.org/officeDocument/2006/relationships/hyperlink" Target="https://www.clearias.com/linkages-of-organized-crimes-with-terrorism/" TargetMode="External"/><Relationship Id="rId37" Type="http://schemas.openxmlformats.org/officeDocument/2006/relationships/hyperlink" Target="HTTPs://doi.org/10.1017/9781108848916.016" TargetMode="External"/><Relationship Id="rId40" Type="http://schemas.openxmlformats.org/officeDocument/2006/relationships/hyperlink" Target="https://gfintegrity.org/understanding-the-crime-terror-nexus-of-ideologically-driven-terrorist-organizations/" TargetMode="External"/><Relationship Id="rId45" Type="http://schemas.openxmlformats.org/officeDocument/2006/relationships/hyperlink" Target="https://home.treasury.gov/news/press-releases/tg1291" TargetMode="External"/><Relationship Id="rId5" Type="http://schemas.openxmlformats.org/officeDocument/2006/relationships/footnotes" Target="footnotes.xml"/><Relationship Id="rId15" Type="http://schemas.openxmlformats.org/officeDocument/2006/relationships/hyperlink" Target="https://onlinedegrees.sandiego.edu/10-innovative-police-technologies/" TargetMode="External"/><Relationship Id="rId23" Type="http://schemas.openxmlformats.org/officeDocument/2006/relationships/hyperlink" Target="https://www.protectuk.police.uk/martyns-law/martyns-law-overview-and-what-you-need-know" TargetMode="External"/><Relationship Id="rId28" Type="http://schemas.openxmlformats.org/officeDocument/2006/relationships/hyperlink" Target="https://www.police1.com/community-policing/articles/building-bridges-not-walls-how-collaborative-partnerships-foster-public-safety-success-NyeaEgar2SjbqYDj/" TargetMode="External"/><Relationship Id="rId36" Type="http://schemas.openxmlformats.org/officeDocument/2006/relationships/hyperlink" Target="https://www.unodc.org/e4j/en/organized-crime/module-16/key-issues/theoretical-frameworks-on-the-linkages-between-organized-crime-and-terrorism.html" TargetMode="External"/><Relationship Id="rId10" Type="http://schemas.openxmlformats.org/officeDocument/2006/relationships/hyperlink" Target="https://www.police1.com/community-policing/articles/how-to-establish-community-trust-1BZFZlmyujjaIP0v/" TargetMode="External"/><Relationship Id="rId19" Type="http://schemas.openxmlformats.org/officeDocument/2006/relationships/hyperlink" Target="https://www.cji.edu/wp-content/uploads/2019/04/chrismoad.pdf" TargetMode="External"/><Relationship Id="rId31" Type="http://schemas.openxmlformats.org/officeDocument/2006/relationships/hyperlink" Target="https://www.heritage.org/terrorism/report/39-terror-plots-foiled-911-examining-counterterrorisms-success-stories" TargetMode="External"/><Relationship Id="rId44" Type="http://schemas.openxmlformats.org/officeDocument/2006/relationships/hyperlink" Target="https://www.un.org/securitycouncil/ctc/content/countering-financing-terrorism" TargetMode="External"/><Relationship Id="rId4" Type="http://schemas.openxmlformats.org/officeDocument/2006/relationships/webSettings" Target="webSettings.xml"/><Relationship Id="rId9" Type="http://schemas.openxmlformats.org/officeDocument/2006/relationships/hyperlink" Target="https://repository.canterbury.ac.uk/item/8z5xz/-un-trustworthy-organisations-implications-of-the-sarah-everard-murder-case" TargetMode="External"/><Relationship Id="rId14" Type="http://schemas.openxmlformats.org/officeDocument/2006/relationships/hyperlink" Target="https://www.policinginstitute.org/projects/technology-innovations-in-public-safety/" TargetMode="External"/><Relationship Id="rId22" Type="http://schemas.openxmlformats.org/officeDocument/2006/relationships/hyperlink" Target="https://www.justice.gov/olp/justice-department-fact-sheet-implementing-executive-order-advancing-effective-accountable" TargetMode="External"/><Relationship Id="rId27" Type="http://schemas.openxmlformats.org/officeDocument/2006/relationships/hyperlink" Target="https://portal.cops.usdoj.gov/resourcecenter/ric/Publications/cops-p222-pub.pdf" TargetMode="External"/><Relationship Id="rId30" Type="http://schemas.openxmlformats.org/officeDocument/2006/relationships/hyperlink" Target="https://dictionary.cambridge.org/dictionary/english/criminality" TargetMode="External"/><Relationship Id="rId35" Type="http://schemas.openxmlformats.org/officeDocument/2006/relationships/hyperlink" Target="https://securityintelligence.com/why-organized-crime-and-terror-groups-are-converging/" TargetMode="External"/><Relationship Id="rId43" Type="http://schemas.openxmlformats.org/officeDocument/2006/relationships/hyperlink" Target="https://www.unodc.org/documents/e4j/FINAL_Module_16_Linkages_between_Organized_Crime_andTerrorism_14_Mar_2019.pdf" TargetMode="External"/><Relationship Id="rId48" Type="http://schemas.openxmlformats.org/officeDocument/2006/relationships/theme" Target="theme/theme1.xml"/><Relationship Id="rId8" Type="http://schemas.openxmlformats.org/officeDocument/2006/relationships/hyperlink" Target="https://www.bbc.co.uk/news/world-us-canada-52905408" TargetMode="External"/><Relationship Id="rId3" Type="http://schemas.openxmlformats.org/officeDocument/2006/relationships/settings" Target="settings.xml"/><Relationship Id="rId12" Type="http://schemas.openxmlformats.org/officeDocument/2006/relationships/hyperlink" Target="https://www.college.police.uk/app/roads-policing/management-incidents?highlight=responding%20to%20incidents" TargetMode="External"/><Relationship Id="rId17" Type="http://schemas.openxmlformats.org/officeDocument/2006/relationships/hyperlink" Target="https://www.academia.edu/35702581/POLICE_LEARNING_EXAMINING_THE_USE_OF_SIMULATIONS_IN_POLICE_TRAINING_AND_THE_ASSOCIATED_LEARNING_THEORIES" TargetMode="External"/><Relationship Id="rId25" Type="http://schemas.openxmlformats.org/officeDocument/2006/relationships/hyperlink" Target="https://portal.cops.usdoj.gov/resourcecenter/content.ashx/cops-r1145-pub.pdf" TargetMode="External"/><Relationship Id="rId33" Type="http://schemas.openxmlformats.org/officeDocument/2006/relationships/hyperlink" Target="https://www.coe.int/en/web/portal/-/links-between-terrorism-and-transnational-organised-crime-committee-of-ministers-adopts-guidelines" TargetMode="External"/><Relationship Id="rId38" Type="http://schemas.openxmlformats.org/officeDocument/2006/relationships/hyperlink" Target="https://www.dni.gov/files/NCTC/documents/jcat/firstresponderstoolbox/135s_-%20_First_Responders_Toolbox_-_Identifying_and_Preventing_Terrorist_and_Other_Illicit_Financing.pdf" TargetMode="External"/><Relationship Id="rId46" Type="http://schemas.openxmlformats.org/officeDocument/2006/relationships/hyperlink" Target="https://safercommunities.wales/crime-crime-prevention/acquisitive-crime-safer-streets/" TargetMode="External"/><Relationship Id="rId20" Type="http://schemas.openxmlformats.org/officeDocument/2006/relationships/hyperlink" Target="https://palpartner.org/" TargetMode="External"/><Relationship Id="rId41" Type="http://schemas.openxmlformats.org/officeDocument/2006/relationships/hyperlink" Target="https://www.dni.gov/files/documents/NIC_toc_foldou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6629</Words>
  <Characters>37789</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Persimmon Homes</Company>
  <LinksUpToDate>false</LinksUpToDate>
  <CharactersWithSpaces>44330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Scrine, Samantha</dc:creator>
  <cp:keywords/>
  <dc:description/>
  <cp:lastModifiedBy>Massie,Samuel swp8528</cp:lastModifiedBy>
  <cp:revision>2</cp:revision>
  <dcterms:created xsi:type="dcterms:W3CDTF">2024-09-01T12:04:00Z</dcterms:created>
  <dcterms:modified xsi:type="dcterms:W3CDTF">2024-09-01T12:04:00Z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2024-09-01T11:59:24Z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75bcb0e4-d3b9-45da-a3c9-850856fe84d9</vt:lpwstr>
  </property>
  <property fmtid="{D5CDD505-2E9C-101B-9397-08002B2CF9AE}" pid="8" name="MSIP_Label_66cf8fe5-b7b7-4df7-b38d-1c61ac2f6639_ContentBits">
    <vt:lpwstr>0</vt:lpwstr>
  </property>
</Properties>
</file>