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line="240" w:lineRule="auto"/>
        <w:jc w:val="center"/>
        <w:rPr>
          <w:rFonts w:ascii="Constantia" w:hAnsi="Constantia" w:eastAsia="Times New Roman" w:cs="Times New Roman"/>
          <w:color w:val="595959"/>
        </w:rPr>
      </w:pPr>
      <w:bookmarkStart w:id="0" w:name="_Toc321147149"/>
      <w:bookmarkStart w:id="1" w:name="_Toc318188227"/>
      <w:bookmarkStart w:id="2" w:name="_Toc318188327"/>
      <w:bookmarkStart w:id="3" w:name="_Toc318189312"/>
      <w:bookmarkStart w:id="4" w:name="_Toc321147011"/>
      <w:r>
        <w:rPr>
          <w:rFonts w:ascii="Constantia" w:hAnsi="Constantia" w:eastAsia="Times New Roman" w:cs="Times New Roman"/>
          <w:color w:val="595959"/>
        </w:rPr>
        <w:drawing>
          <wp:inline distT="0" distB="0" distL="0" distR="0">
            <wp:extent cx="3657600" cy="5476875"/>
            <wp:effectExtent l="0" t="0" r="0" b="9525"/>
            <wp:docPr id="2" name="Picture 2"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Bright blue glacial lake surrounded by white ice on a dark mountai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3657600" cy="5476875"/>
                    </a:xfrm>
                    <a:prstGeom prst="rect">
                      <a:avLst/>
                    </a:prstGeom>
                    <a:noFill/>
                    <a:ln>
                      <a:noFill/>
                    </a:ln>
                  </pic:spPr>
                </pic:pic>
              </a:graphicData>
            </a:graphic>
          </wp:inline>
        </w:drawing>
      </w:r>
    </w:p>
    <w:bookmarkEnd w:id="0"/>
    <w:bookmarkEnd w:id="1"/>
    <w:bookmarkEnd w:id="2"/>
    <w:bookmarkEnd w:id="3"/>
    <w:bookmarkEnd w:id="4"/>
    <w:p>
      <w:pPr>
        <w:spacing w:before="480" w:after="40" w:line="240" w:lineRule="auto"/>
        <w:contextualSpacing/>
        <w:jc w:val="center"/>
        <w:rPr>
          <w:rFonts w:ascii="Constantia" w:hAnsi="Constantia" w:eastAsia="Times New Roman" w:cs="Times New Roman"/>
          <w:color w:val="007789"/>
          <w:kern w:val="28"/>
          <w:sz w:val="56"/>
        </w:rPr>
      </w:pPr>
      <w:r>
        <w:rPr>
          <w:rFonts w:ascii="Constantia" w:hAnsi="Constantia" w:eastAsia="Times New Roman" w:cs="Times New Roman"/>
          <w:color w:val="007789"/>
          <w:kern w:val="28"/>
          <w:sz w:val="56"/>
        </w:rPr>
        <w:t>Academic and</w:t>
      </w:r>
    </w:p>
    <w:p>
      <w:pPr>
        <w:spacing w:before="480" w:after="40" w:line="240" w:lineRule="auto"/>
        <w:contextualSpacing/>
        <w:jc w:val="center"/>
        <w:rPr>
          <w:rFonts w:ascii="Constantia" w:hAnsi="Constantia" w:eastAsia="Times New Roman" w:cs="Times New Roman"/>
          <w:color w:val="007789"/>
          <w:kern w:val="28"/>
          <w:sz w:val="56"/>
        </w:rPr>
      </w:pPr>
      <w:r>
        <w:rPr>
          <w:rFonts w:ascii="Constantia" w:hAnsi="Constantia" w:eastAsia="Times New Roman" w:cs="Times New Roman"/>
          <w:color w:val="007789"/>
          <w:kern w:val="28"/>
          <w:sz w:val="56"/>
        </w:rPr>
        <w:t>Employability Skills</w:t>
      </w:r>
    </w:p>
    <w:p>
      <w:pPr>
        <w:spacing w:before="480" w:after="40" w:line="240" w:lineRule="auto"/>
        <w:contextualSpacing/>
        <w:jc w:val="center"/>
        <w:rPr>
          <w:rFonts w:ascii="Constantia" w:hAnsi="Constantia" w:eastAsia="Times New Roman" w:cs="Times New Roman"/>
          <w:color w:val="007789"/>
          <w:kern w:val="28"/>
          <w:sz w:val="56"/>
        </w:rPr>
      </w:pPr>
    </w:p>
    <w:p>
      <w:pPr>
        <w:spacing w:after="0" w:line="264" w:lineRule="auto"/>
        <w:jc w:val="center"/>
        <w:rPr>
          <w:rFonts w:ascii="Constantia" w:hAnsi="Constantia" w:eastAsia="Times New Roman" w:cs="Times New Roman"/>
          <w:color w:val="4E5B6F"/>
          <w:sz w:val="28"/>
          <w:szCs w:val="28"/>
        </w:rPr>
      </w:pPr>
      <w:r>
        <w:rPr>
          <w:rFonts w:ascii="Constantia" w:hAnsi="Constantia" w:eastAsia="Times New Roman" w:cs="Times New Roman"/>
          <w:color w:val="4E5B6F"/>
          <w:sz w:val="28"/>
          <w:szCs w:val="28"/>
        </w:rPr>
        <w:t>REPORT ON EMPLOYABILITY SKILLS AFTER COVID 19</w:t>
      </w:r>
    </w:p>
    <w:p>
      <w:pPr>
        <w:spacing w:after="0" w:line="264" w:lineRule="auto"/>
        <w:jc w:val="center"/>
        <w:rPr>
          <w:rFonts w:ascii="Constantia" w:hAnsi="Constantia" w:eastAsia="Times New Roman" w:cs="Times New Roman"/>
          <w:color w:val="4E5B6F"/>
          <w:sz w:val="28"/>
          <w:szCs w:val="28"/>
        </w:rPr>
      </w:pPr>
    </w:p>
    <w:p>
      <w:pPr>
        <w:spacing w:after="0" w:line="264" w:lineRule="auto"/>
        <w:jc w:val="center"/>
        <w:rPr>
          <w:rFonts w:ascii="Constantia" w:hAnsi="Constantia" w:eastAsia="Times New Roman" w:cs="Times New Roman"/>
          <w:color w:val="595959"/>
        </w:rPr>
      </w:pPr>
      <w:r>
        <w:rPr>
          <w:rFonts w:ascii="Constantia" w:hAnsi="Constantia" w:eastAsia="Times New Roman" w:cs="Times New Roman"/>
          <w:color w:val="595959"/>
        </w:rPr>
        <w:t xml:space="preserve">Student Mihaela Fodor </w:t>
      </w:r>
    </w:p>
    <w:p>
      <w:pPr>
        <w:spacing w:after="0" w:line="264" w:lineRule="auto"/>
        <w:jc w:val="center"/>
        <w:rPr>
          <w:rFonts w:ascii="Constantia" w:hAnsi="Constantia" w:eastAsia="Times New Roman" w:cs="Times New Roman"/>
          <w:color w:val="595959"/>
        </w:rPr>
      </w:pPr>
      <w:r>
        <w:rPr>
          <w:rFonts w:ascii="Constantia" w:hAnsi="Constantia" w:eastAsia="Times New Roman" w:cs="Times New Roman"/>
          <w:color w:val="595959"/>
        </w:rPr>
        <w:t xml:space="preserve">Course Skills for the Workplace </w:t>
      </w:r>
    </w:p>
    <w:p>
      <w:pPr>
        <w:spacing w:after="0" w:line="264" w:lineRule="auto"/>
        <w:jc w:val="center"/>
        <w:rPr>
          <w:rFonts w:ascii="Constantia" w:hAnsi="Constantia" w:eastAsia="Times New Roman" w:cs="Times New Roman"/>
          <w:color w:val="595959"/>
        </w:rPr>
      </w:pPr>
      <w:r>
        <w:rPr>
          <w:rFonts w:ascii="Constantia" w:hAnsi="Constantia" w:eastAsia="Times New Roman" w:cs="Times New Roman"/>
          <w:color w:val="595959"/>
        </w:rPr>
        <w:t>Date 2</w:t>
      </w:r>
      <w:r>
        <w:rPr>
          <w:rFonts w:ascii="Constantia" w:hAnsi="Constantia" w:eastAsia="Times New Roman" w:cs="Times New Roman"/>
          <w:color w:val="595959"/>
          <w:vertAlign w:val="superscript"/>
        </w:rPr>
        <w:t>nd</w:t>
      </w:r>
      <w:r>
        <w:rPr>
          <w:rFonts w:ascii="Constantia" w:hAnsi="Constantia" w:eastAsia="Times New Roman" w:cs="Times New Roman"/>
          <w:color w:val="595959"/>
        </w:rPr>
        <w:t xml:space="preserve"> July 2021</w:t>
      </w:r>
    </w:p>
    <w:p>
      <w:pPr>
        <w:spacing w:after="0" w:line="264" w:lineRule="auto"/>
        <w:jc w:val="center"/>
        <w:rPr>
          <w:rFonts w:ascii="Constantia" w:hAnsi="Constantia" w:eastAsia="Times New Roman" w:cs="Times New Roman"/>
          <w:color w:val="595959"/>
        </w:rPr>
      </w:pPr>
    </w:p>
    <w:p>
      <w:pPr>
        <w:spacing w:after="0" w:line="264" w:lineRule="auto"/>
        <w:jc w:val="center"/>
        <w:rPr>
          <w:rFonts w:ascii="Constantia" w:hAnsi="Constantia" w:eastAsia="Times New Roman" w:cs="Times New Roman"/>
          <w:color w:val="595959"/>
        </w:rPr>
      </w:pPr>
    </w:p>
    <w:p>
      <w:pPr>
        <w:spacing w:after="0" w:line="264" w:lineRule="auto"/>
        <w:jc w:val="center"/>
        <w:rPr>
          <w:rFonts w:ascii="Constantia" w:hAnsi="Constantia" w:eastAsia="Times New Roman" w:cs="Times New Roman"/>
          <w:color w:val="595959"/>
        </w:rPr>
      </w:pPr>
    </w:p>
    <w:p>
      <w:pPr>
        <w:spacing w:after="0" w:line="264" w:lineRule="auto"/>
        <w:jc w:val="center"/>
        <w:rPr>
          <w:rFonts w:ascii="Constantia" w:hAnsi="Constantia" w:eastAsia="Times New Roman" w:cs="Times New Roman"/>
          <w:color w:val="595959"/>
        </w:rPr>
      </w:pPr>
    </w:p>
    <w:p>
      <w:pPr>
        <w:pStyle w:val="4"/>
        <w:tabs>
          <w:tab w:val="right" w:leader="dot" w:pos="8630"/>
        </w:tabs>
        <w:rPr>
          <w:rFonts w:eastAsiaTheme="minorEastAsia"/>
        </w:rPr>
      </w:pPr>
      <w:r>
        <w:rPr>
          <w:rFonts w:ascii="Constantia" w:hAnsi="Constantia" w:eastAsia="Times New Roman" w:cs="Times New Roman"/>
          <w:color w:val="595959"/>
        </w:rPr>
        <w:fldChar w:fldCharType="begin"/>
      </w:r>
      <w:r>
        <w:rPr>
          <w:rFonts w:ascii="Constantia" w:hAnsi="Constantia" w:eastAsia="Times New Roman" w:cs="Times New Roman"/>
          <w:color w:val="595959"/>
        </w:rPr>
        <w:instrText xml:space="preserve"> TOC \o "1-6" \h \z \u </w:instrText>
      </w:r>
      <w:r>
        <w:rPr>
          <w:rFonts w:ascii="Constantia" w:hAnsi="Constantia" w:eastAsia="Times New Roman" w:cs="Times New Roman"/>
          <w:color w:val="595959"/>
        </w:rPr>
        <w:fldChar w:fldCharType="separate"/>
      </w:r>
      <w:r>
        <w:fldChar w:fldCharType="begin"/>
      </w:r>
      <w:r>
        <w:instrText xml:space="preserve"> HYPERLINK \l "_Toc75978989" </w:instrText>
      </w:r>
      <w:r>
        <w:fldChar w:fldCharType="separate"/>
      </w:r>
      <w:r>
        <w:rPr>
          <w:rStyle w:val="7"/>
          <w:rFonts w:ascii="Constantia" w:hAnsi="Constantia" w:eastAsia="Times New Roman" w:cs="Times New Roman"/>
        </w:rPr>
        <w:t>Introduction</w:t>
      </w:r>
      <w:r>
        <w:tab/>
      </w:r>
      <w:r>
        <w:fldChar w:fldCharType="begin"/>
      </w:r>
      <w:r>
        <w:instrText xml:space="preserve"> PAGEREF _Toc75978989 \h </w:instrText>
      </w:r>
      <w:r>
        <w:fldChar w:fldCharType="separate"/>
      </w:r>
      <w:r>
        <w:t>2</w:t>
      </w:r>
      <w:r>
        <w:fldChar w:fldCharType="end"/>
      </w:r>
      <w:r>
        <w:fldChar w:fldCharType="end"/>
      </w:r>
    </w:p>
    <w:p>
      <w:pPr>
        <w:pStyle w:val="4"/>
        <w:tabs>
          <w:tab w:val="right" w:leader="dot" w:pos="8630"/>
        </w:tabs>
        <w:rPr>
          <w:rFonts w:eastAsiaTheme="minorEastAsia"/>
        </w:rPr>
      </w:pPr>
      <w:r>
        <w:fldChar w:fldCharType="begin"/>
      </w:r>
      <w:r>
        <w:instrText xml:space="preserve"> HYPERLINK \l "_Toc75978990" </w:instrText>
      </w:r>
      <w:r>
        <w:fldChar w:fldCharType="separate"/>
      </w:r>
      <w:r>
        <w:rPr>
          <w:rStyle w:val="7"/>
          <w:rFonts w:ascii="Constantia" w:hAnsi="Constantia" w:eastAsia="Times New Roman" w:cs="Times New Roman"/>
        </w:rPr>
        <w:t>Main Findings</w:t>
      </w:r>
      <w:r>
        <w:tab/>
      </w:r>
      <w:r>
        <w:fldChar w:fldCharType="begin"/>
      </w:r>
      <w:r>
        <w:instrText xml:space="preserve"> PAGEREF _Toc75978990 \h </w:instrText>
      </w:r>
      <w:r>
        <w:fldChar w:fldCharType="separate"/>
      </w:r>
      <w:r>
        <w:t>3</w:t>
      </w:r>
      <w:r>
        <w:fldChar w:fldCharType="end"/>
      </w:r>
      <w:r>
        <w:fldChar w:fldCharType="end"/>
      </w:r>
    </w:p>
    <w:p>
      <w:pPr>
        <w:pStyle w:val="5"/>
        <w:tabs>
          <w:tab w:val="right" w:leader="dot" w:pos="8630"/>
        </w:tabs>
        <w:rPr>
          <w:rFonts w:eastAsiaTheme="minorEastAsia"/>
        </w:rPr>
      </w:pPr>
      <w:r>
        <w:fldChar w:fldCharType="begin"/>
      </w:r>
      <w:r>
        <w:instrText xml:space="preserve"> HYPERLINK \l "_Toc75978991" </w:instrText>
      </w:r>
      <w:r>
        <w:fldChar w:fldCharType="separate"/>
      </w:r>
      <w:r>
        <w:rPr>
          <w:rStyle w:val="7"/>
          <w:rFonts w:ascii="Constantia" w:hAnsi="Constantia" w:eastAsia="Times New Roman" w:cs="Times New Roman"/>
          <w:caps/>
        </w:rPr>
        <w:t>TECHNICAL low level MEDICAL SKILLS</w:t>
      </w:r>
      <w:r>
        <w:tab/>
      </w:r>
      <w:r>
        <w:fldChar w:fldCharType="begin"/>
      </w:r>
      <w:r>
        <w:instrText xml:space="preserve"> PAGEREF _Toc75978991 \h </w:instrText>
      </w:r>
      <w:r>
        <w:fldChar w:fldCharType="separate"/>
      </w:r>
      <w:r>
        <w:t>4</w:t>
      </w:r>
      <w:r>
        <w:fldChar w:fldCharType="end"/>
      </w:r>
      <w:r>
        <w:fldChar w:fldCharType="end"/>
      </w:r>
    </w:p>
    <w:p>
      <w:pPr>
        <w:pStyle w:val="5"/>
        <w:tabs>
          <w:tab w:val="right" w:leader="dot" w:pos="8630"/>
        </w:tabs>
        <w:rPr>
          <w:rFonts w:eastAsiaTheme="minorEastAsia"/>
        </w:rPr>
      </w:pPr>
      <w:r>
        <w:fldChar w:fldCharType="begin"/>
      </w:r>
      <w:r>
        <w:instrText xml:space="preserve"> HYPERLINK \l "_Toc75978992" </w:instrText>
      </w:r>
      <w:r>
        <w:fldChar w:fldCharType="separate"/>
      </w:r>
      <w:r>
        <w:rPr>
          <w:rStyle w:val="7"/>
          <w:rFonts w:ascii="Constantia" w:hAnsi="Constantia" w:eastAsia="Times New Roman" w:cs="Times New Roman"/>
          <w:caps/>
        </w:rPr>
        <w:t>Digital skills,</w:t>
      </w:r>
      <w:r>
        <w:tab/>
      </w:r>
      <w:r>
        <w:fldChar w:fldCharType="begin"/>
      </w:r>
      <w:r>
        <w:instrText xml:space="preserve"> PAGEREF _Toc75978992 \h </w:instrText>
      </w:r>
      <w:r>
        <w:fldChar w:fldCharType="separate"/>
      </w:r>
      <w:r>
        <w:t>4</w:t>
      </w:r>
      <w:r>
        <w:fldChar w:fldCharType="end"/>
      </w:r>
      <w:r>
        <w:fldChar w:fldCharType="end"/>
      </w:r>
    </w:p>
    <w:p>
      <w:pPr>
        <w:pStyle w:val="5"/>
        <w:tabs>
          <w:tab w:val="right" w:leader="dot" w:pos="8630"/>
        </w:tabs>
        <w:rPr>
          <w:rFonts w:eastAsiaTheme="minorEastAsia"/>
        </w:rPr>
      </w:pPr>
      <w:r>
        <w:fldChar w:fldCharType="begin"/>
      </w:r>
      <w:r>
        <w:instrText xml:space="preserve"> HYPERLINK \l "_Toc75978993" </w:instrText>
      </w:r>
      <w:r>
        <w:fldChar w:fldCharType="separate"/>
      </w:r>
      <w:r>
        <w:rPr>
          <w:rStyle w:val="7"/>
          <w:rFonts w:ascii="Constantia" w:hAnsi="Constantia" w:eastAsia="Times New Roman" w:cs="Times New Roman"/>
          <w:caps/>
        </w:rPr>
        <w:t>NUMERACY AND LITERACY SKILLS</w:t>
      </w:r>
      <w:r>
        <w:tab/>
      </w:r>
      <w:r>
        <w:fldChar w:fldCharType="begin"/>
      </w:r>
      <w:r>
        <w:instrText xml:space="preserve"> PAGEREF _Toc75978993 \h </w:instrText>
      </w:r>
      <w:r>
        <w:fldChar w:fldCharType="separate"/>
      </w:r>
      <w:r>
        <w:t>4</w:t>
      </w:r>
      <w:r>
        <w:fldChar w:fldCharType="end"/>
      </w:r>
      <w:r>
        <w:fldChar w:fldCharType="end"/>
      </w:r>
    </w:p>
    <w:p>
      <w:pPr>
        <w:pStyle w:val="5"/>
        <w:tabs>
          <w:tab w:val="right" w:leader="dot" w:pos="8630"/>
        </w:tabs>
        <w:rPr>
          <w:rFonts w:eastAsiaTheme="minorEastAsia"/>
        </w:rPr>
      </w:pPr>
      <w:r>
        <w:fldChar w:fldCharType="begin"/>
      </w:r>
      <w:r>
        <w:instrText xml:space="preserve"> HYPERLINK \l "_Toc75978994" </w:instrText>
      </w:r>
      <w:r>
        <w:fldChar w:fldCharType="separate"/>
      </w:r>
      <w:r>
        <w:rPr>
          <w:rStyle w:val="7"/>
          <w:rFonts w:ascii="Constantia" w:hAnsi="Constantia" w:eastAsia="Times New Roman" w:cs="Times New Roman"/>
          <w:caps/>
        </w:rPr>
        <w:t>Time Management</w:t>
      </w:r>
      <w:r>
        <w:tab/>
      </w:r>
      <w:r>
        <w:fldChar w:fldCharType="begin"/>
      </w:r>
      <w:r>
        <w:instrText xml:space="preserve"> PAGEREF _Toc75978994 \h </w:instrText>
      </w:r>
      <w:r>
        <w:fldChar w:fldCharType="separate"/>
      </w:r>
      <w:r>
        <w:t>4</w:t>
      </w:r>
      <w:r>
        <w:fldChar w:fldCharType="end"/>
      </w:r>
      <w:r>
        <w:fldChar w:fldCharType="end"/>
      </w:r>
    </w:p>
    <w:p>
      <w:pPr>
        <w:pStyle w:val="5"/>
        <w:tabs>
          <w:tab w:val="right" w:leader="dot" w:pos="8630"/>
        </w:tabs>
        <w:rPr>
          <w:rFonts w:eastAsiaTheme="minorEastAsia"/>
        </w:rPr>
      </w:pPr>
      <w:r>
        <w:fldChar w:fldCharType="begin"/>
      </w:r>
      <w:r>
        <w:instrText xml:space="preserve"> HYPERLINK \l "_Toc75978995" </w:instrText>
      </w:r>
      <w:r>
        <w:fldChar w:fldCharType="separate"/>
      </w:r>
      <w:r>
        <w:rPr>
          <w:rStyle w:val="7"/>
          <w:rFonts w:ascii="Constantia" w:hAnsi="Constantia" w:eastAsia="Times New Roman" w:cs="Times New Roman"/>
          <w:caps/>
        </w:rPr>
        <w:t>Adaptability and independent work</w:t>
      </w:r>
      <w:r>
        <w:tab/>
      </w:r>
      <w:r>
        <w:fldChar w:fldCharType="begin"/>
      </w:r>
      <w:r>
        <w:instrText xml:space="preserve"> PAGEREF _Toc75978995 \h </w:instrText>
      </w:r>
      <w:r>
        <w:fldChar w:fldCharType="separate"/>
      </w:r>
      <w:r>
        <w:t>5</w:t>
      </w:r>
      <w:r>
        <w:fldChar w:fldCharType="end"/>
      </w:r>
      <w:r>
        <w:fldChar w:fldCharType="end"/>
      </w:r>
    </w:p>
    <w:p>
      <w:pPr>
        <w:pStyle w:val="5"/>
        <w:tabs>
          <w:tab w:val="right" w:leader="dot" w:pos="8630"/>
        </w:tabs>
        <w:rPr>
          <w:rFonts w:eastAsiaTheme="minorEastAsia"/>
        </w:rPr>
      </w:pPr>
      <w:r>
        <w:fldChar w:fldCharType="begin"/>
      </w:r>
      <w:r>
        <w:instrText xml:space="preserve"> HYPERLINK \l "_Toc75978996" </w:instrText>
      </w:r>
      <w:r>
        <w:fldChar w:fldCharType="separate"/>
      </w:r>
      <w:r>
        <w:rPr>
          <w:rStyle w:val="7"/>
          <w:rFonts w:ascii="Constantia" w:hAnsi="Constantia" w:eastAsia="Times New Roman" w:cs="Times New Roman"/>
          <w:caps/>
        </w:rPr>
        <w:t>Critical Thinking</w:t>
      </w:r>
      <w:r>
        <w:tab/>
      </w:r>
      <w:r>
        <w:fldChar w:fldCharType="begin"/>
      </w:r>
      <w:r>
        <w:instrText xml:space="preserve"> PAGEREF _Toc75978996 \h </w:instrText>
      </w:r>
      <w:r>
        <w:fldChar w:fldCharType="separate"/>
      </w:r>
      <w:r>
        <w:t>5</w:t>
      </w:r>
      <w:r>
        <w:fldChar w:fldCharType="end"/>
      </w:r>
      <w:r>
        <w:fldChar w:fldCharType="end"/>
      </w:r>
    </w:p>
    <w:p>
      <w:pPr>
        <w:pStyle w:val="5"/>
        <w:tabs>
          <w:tab w:val="right" w:leader="dot" w:pos="8630"/>
        </w:tabs>
        <w:rPr>
          <w:rFonts w:eastAsiaTheme="minorEastAsia"/>
        </w:rPr>
      </w:pPr>
      <w:r>
        <w:fldChar w:fldCharType="begin"/>
      </w:r>
      <w:r>
        <w:instrText xml:space="preserve"> HYPERLINK \l "_Toc75978997" </w:instrText>
      </w:r>
      <w:r>
        <w:fldChar w:fldCharType="separate"/>
      </w:r>
      <w:r>
        <w:rPr>
          <w:rStyle w:val="7"/>
          <w:rFonts w:ascii="Constantia" w:hAnsi="Constantia" w:eastAsia="Times New Roman" w:cs="Times New Roman"/>
          <w:caps/>
        </w:rPr>
        <w:t>Resilience and Emotional Intelligence</w:t>
      </w:r>
      <w:r>
        <w:tab/>
      </w:r>
      <w:r>
        <w:fldChar w:fldCharType="begin"/>
      </w:r>
      <w:r>
        <w:instrText xml:space="preserve"> PAGEREF _Toc75978997 \h </w:instrText>
      </w:r>
      <w:r>
        <w:fldChar w:fldCharType="separate"/>
      </w:r>
      <w:r>
        <w:t>5</w:t>
      </w:r>
      <w:r>
        <w:fldChar w:fldCharType="end"/>
      </w:r>
      <w:r>
        <w:fldChar w:fldCharType="end"/>
      </w:r>
    </w:p>
    <w:p>
      <w:pPr>
        <w:pStyle w:val="5"/>
        <w:tabs>
          <w:tab w:val="right" w:leader="dot" w:pos="8630"/>
        </w:tabs>
        <w:rPr>
          <w:rFonts w:eastAsiaTheme="minorEastAsia"/>
        </w:rPr>
      </w:pPr>
      <w:r>
        <w:fldChar w:fldCharType="begin"/>
      </w:r>
      <w:r>
        <w:instrText xml:space="preserve"> HYPERLINK \l "_Toc75978998" </w:instrText>
      </w:r>
      <w:r>
        <w:fldChar w:fldCharType="separate"/>
      </w:r>
      <w:r>
        <w:rPr>
          <w:rStyle w:val="7"/>
          <w:rFonts w:ascii="Constantia" w:hAnsi="Constantia" w:eastAsia="Times New Roman" w:cs="Times New Roman"/>
          <w:caps/>
        </w:rPr>
        <w:t>Research Skills</w:t>
      </w:r>
      <w:r>
        <w:tab/>
      </w:r>
      <w:r>
        <w:fldChar w:fldCharType="begin"/>
      </w:r>
      <w:r>
        <w:instrText xml:space="preserve"> PAGEREF _Toc75978998 \h </w:instrText>
      </w:r>
      <w:r>
        <w:fldChar w:fldCharType="separate"/>
      </w:r>
      <w:r>
        <w:t>5</w:t>
      </w:r>
      <w:r>
        <w:fldChar w:fldCharType="end"/>
      </w:r>
      <w:r>
        <w:fldChar w:fldCharType="end"/>
      </w:r>
    </w:p>
    <w:p>
      <w:pPr>
        <w:pStyle w:val="5"/>
        <w:tabs>
          <w:tab w:val="right" w:leader="dot" w:pos="8630"/>
        </w:tabs>
        <w:rPr>
          <w:rFonts w:eastAsiaTheme="minorEastAsia"/>
        </w:rPr>
      </w:pPr>
      <w:r>
        <w:fldChar w:fldCharType="begin"/>
      </w:r>
      <w:r>
        <w:instrText xml:space="preserve"> HYPERLINK \l "_Toc75978999" </w:instrText>
      </w:r>
      <w:r>
        <w:fldChar w:fldCharType="separate"/>
      </w:r>
      <w:r>
        <w:rPr>
          <w:rStyle w:val="7"/>
          <w:rFonts w:ascii="Constantia" w:hAnsi="Constantia" w:eastAsia="Times New Roman" w:cs="Times New Roman"/>
          <w:caps/>
        </w:rPr>
        <w:t>Communication skills</w:t>
      </w:r>
      <w:r>
        <w:tab/>
      </w:r>
      <w:r>
        <w:fldChar w:fldCharType="begin"/>
      </w:r>
      <w:r>
        <w:instrText xml:space="preserve"> PAGEREF _Toc75978999 \h </w:instrText>
      </w:r>
      <w:r>
        <w:fldChar w:fldCharType="separate"/>
      </w:r>
      <w:r>
        <w:t>6</w:t>
      </w:r>
      <w:r>
        <w:fldChar w:fldCharType="end"/>
      </w:r>
      <w:r>
        <w:fldChar w:fldCharType="end"/>
      </w:r>
    </w:p>
    <w:p>
      <w:pPr>
        <w:pStyle w:val="5"/>
        <w:tabs>
          <w:tab w:val="right" w:leader="dot" w:pos="8630"/>
        </w:tabs>
        <w:rPr>
          <w:rFonts w:eastAsiaTheme="minorEastAsia"/>
        </w:rPr>
      </w:pPr>
      <w:r>
        <w:fldChar w:fldCharType="begin"/>
      </w:r>
      <w:r>
        <w:instrText xml:space="preserve"> HYPERLINK \l "_Toc75979000" </w:instrText>
      </w:r>
      <w:r>
        <w:fldChar w:fldCharType="separate"/>
      </w:r>
      <w:r>
        <w:rPr>
          <w:rStyle w:val="7"/>
          <w:rFonts w:ascii="Constantia" w:hAnsi="Constantia" w:eastAsia="Times New Roman" w:cs="Times New Roman"/>
          <w:caps/>
        </w:rPr>
        <w:t>Organizational skills</w:t>
      </w:r>
      <w:r>
        <w:tab/>
      </w:r>
      <w:r>
        <w:fldChar w:fldCharType="begin"/>
      </w:r>
      <w:r>
        <w:instrText xml:space="preserve"> PAGEREF _Toc75979000 \h </w:instrText>
      </w:r>
      <w:r>
        <w:fldChar w:fldCharType="separate"/>
      </w:r>
      <w:r>
        <w:t>6</w:t>
      </w:r>
      <w:r>
        <w:fldChar w:fldCharType="end"/>
      </w:r>
      <w:r>
        <w:fldChar w:fldCharType="end"/>
      </w:r>
    </w:p>
    <w:p>
      <w:pPr>
        <w:pStyle w:val="4"/>
        <w:tabs>
          <w:tab w:val="right" w:leader="dot" w:pos="8630"/>
        </w:tabs>
        <w:rPr>
          <w:rFonts w:eastAsiaTheme="minorEastAsia"/>
        </w:rPr>
      </w:pPr>
      <w:r>
        <w:fldChar w:fldCharType="begin"/>
      </w:r>
      <w:r>
        <w:instrText xml:space="preserve"> HYPERLINK \l "_Toc75979001" </w:instrText>
      </w:r>
      <w:r>
        <w:fldChar w:fldCharType="separate"/>
      </w:r>
      <w:r>
        <w:rPr>
          <w:rStyle w:val="7"/>
          <w:rFonts w:ascii="Constantia" w:hAnsi="Constantia" w:eastAsia="Times New Roman" w:cs="Times New Roman"/>
        </w:rPr>
        <w:t>Conclusions</w:t>
      </w:r>
      <w:r>
        <w:tab/>
      </w:r>
      <w:r>
        <w:fldChar w:fldCharType="begin"/>
      </w:r>
      <w:r>
        <w:instrText xml:space="preserve"> PAGEREF _Toc75979001 \h </w:instrText>
      </w:r>
      <w:r>
        <w:fldChar w:fldCharType="separate"/>
      </w:r>
      <w:r>
        <w:t>6</w:t>
      </w:r>
      <w:r>
        <w:fldChar w:fldCharType="end"/>
      </w:r>
      <w:r>
        <w:fldChar w:fldCharType="end"/>
      </w:r>
    </w:p>
    <w:p>
      <w:pPr>
        <w:pStyle w:val="4"/>
        <w:tabs>
          <w:tab w:val="right" w:leader="dot" w:pos="8630"/>
        </w:tabs>
        <w:rPr>
          <w:rFonts w:eastAsiaTheme="minorEastAsia"/>
        </w:rPr>
      </w:pPr>
      <w:r>
        <w:fldChar w:fldCharType="begin"/>
      </w:r>
      <w:r>
        <w:instrText xml:space="preserve"> HYPERLINK \l "_Toc75979002" </w:instrText>
      </w:r>
      <w:r>
        <w:fldChar w:fldCharType="separate"/>
      </w:r>
      <w:r>
        <w:rPr>
          <w:rStyle w:val="7"/>
          <w:rFonts w:ascii="Constantia" w:hAnsi="Constantia" w:eastAsia="Times New Roman" w:cs="Times New Roman"/>
        </w:rPr>
        <w:t>References</w:t>
      </w:r>
      <w:r>
        <w:tab/>
      </w:r>
      <w:r>
        <w:fldChar w:fldCharType="begin"/>
      </w:r>
      <w:r>
        <w:instrText xml:space="preserve"> PAGEREF _Toc75979002 \h </w:instrText>
      </w:r>
      <w:r>
        <w:fldChar w:fldCharType="separate"/>
      </w:r>
      <w:r>
        <w:t>7</w:t>
      </w:r>
      <w:r>
        <w:fldChar w:fldCharType="end"/>
      </w:r>
      <w:r>
        <w:fldChar w:fldCharType="end"/>
      </w:r>
    </w:p>
    <w:p>
      <w:pPr>
        <w:spacing w:after="0" w:line="264" w:lineRule="auto"/>
        <w:jc w:val="center"/>
        <w:rPr>
          <w:rFonts w:ascii="Constantia" w:hAnsi="Constantia" w:eastAsia="Times New Roman" w:cs="Times New Roman"/>
          <w:color w:val="595959"/>
        </w:rPr>
      </w:pPr>
      <w:r>
        <w:rPr>
          <w:rFonts w:ascii="Constantia" w:hAnsi="Constantia" w:eastAsia="Times New Roman" w:cs="Times New Roman"/>
          <w:color w:val="595959"/>
        </w:rPr>
        <w:fldChar w:fldCharType="end"/>
      </w:r>
      <w:r>
        <w:rPr>
          <w:rFonts w:ascii="Constantia" w:hAnsi="Constantia" w:eastAsia="Times New Roman" w:cs="Times New Roman"/>
          <w:color w:val="595959"/>
        </w:rPr>
        <w:br w:type="page"/>
      </w:r>
    </w:p>
    <w:p>
      <w:pPr>
        <w:keepNext/>
        <w:keepLines/>
        <w:spacing w:before="600" w:after="60" w:line="264" w:lineRule="auto"/>
        <w:contextualSpacing/>
        <w:outlineLvl w:val="0"/>
        <w:rPr>
          <w:rFonts w:ascii="Constantia" w:hAnsi="Constantia" w:eastAsia="Times New Roman" w:cs="Times New Roman"/>
          <w:color w:val="007789"/>
          <w:sz w:val="32"/>
        </w:rPr>
      </w:pPr>
      <w:bookmarkStart w:id="5" w:name="_Toc75978989"/>
      <w:r>
        <w:rPr>
          <w:rFonts w:ascii="Constantia" w:hAnsi="Constantia" w:eastAsia="Times New Roman" w:cs="Times New Roman"/>
          <w:color w:val="007789"/>
          <w:sz w:val="32"/>
        </w:rPr>
        <w:t>Introduction</w:t>
      </w:r>
      <w:bookmarkEnd w:id="5"/>
    </w:p>
    <w:p>
      <w:pPr>
        <w:keepNext/>
        <w:keepLines/>
        <w:spacing w:before="600" w:after="60" w:line="264" w:lineRule="auto"/>
        <w:contextualSpacing/>
        <w:outlineLvl w:val="0"/>
        <w:rPr>
          <w:rFonts w:ascii="Constantia" w:hAnsi="Constantia" w:eastAsia="Times New Roman" w:cs="Times New Roman"/>
          <w:color w:val="007789"/>
          <w:sz w:val="32"/>
        </w:rPr>
      </w:pPr>
    </w:p>
    <w:p>
      <w:pPr>
        <w:spacing w:before="120" w:after="200" w:line="264" w:lineRule="auto"/>
        <w:rPr>
          <w:rFonts w:ascii="Constantia" w:hAnsi="Constantia" w:eastAsia="Times New Roman" w:cs="Times New Roman"/>
          <w:color w:val="595959"/>
        </w:rPr>
      </w:pPr>
      <w:r>
        <w:rPr>
          <w:rFonts w:ascii="Constantia" w:hAnsi="Constantia" w:eastAsia="Times New Roman" w:cs="Times New Roman"/>
          <w:color w:val="595959"/>
        </w:rPr>
        <w:t>The employability skills is the sum of all the essential skills, qualities and abilities required to fulfil the tasks of a job position and which enables a person to become employable in that position. From general qualities like communication skills, team work, adaptability, problem solving (the soft skills) to more technical abilities specific to certain positions, like computer and software knowledge, data analysis, negotiation (the hard skills), development of these traits is a mandatory requirement for the person that desires professional success and evolution in his career, as all the hiring managers are focusing on these skills to find the perfect match between the job openings and the candidates.</w:t>
      </w:r>
    </w:p>
    <w:p>
      <w:pPr>
        <w:spacing w:before="120" w:after="200" w:line="264" w:lineRule="auto"/>
        <w:rPr>
          <w:rFonts w:ascii="Constantia" w:hAnsi="Constantia" w:eastAsia="Times New Roman" w:cs="Times New Roman"/>
          <w:color w:val="595959"/>
        </w:rPr>
      </w:pPr>
      <w:r>
        <w:rPr>
          <w:rFonts w:ascii="Constantia" w:hAnsi="Constantia" w:eastAsia="Times New Roman" w:cs="Times New Roman"/>
          <w:color w:val="595959"/>
        </w:rPr>
        <w:t xml:space="preserve">However, in the last 2 years, the COVID 19 Pandemic realities have changed the employability skills requirements needed to find a good job in this new work environment.  Studies have revealed that the COVID-19 crisis has impacted the economy in a very profound way changing the requirements of the companies in regards with the workforce. Due to the efforts of the governments to contain the spread of COVID-19 through restrictions of travel, lockdowns, quarantine, etc. </w:t>
      </w:r>
      <w:r>
        <w:rPr>
          <w:rFonts w:ascii="Constantia" w:hAnsi="Constantia" w:eastAsia="Times New Roman" w:cs="Times New Roman"/>
          <w:color w:val="595959"/>
        </w:rPr>
        <w:fldChar w:fldCharType="begin"/>
      </w:r>
      <w:r>
        <w:rPr>
          <w:rFonts w:ascii="Constantia" w:hAnsi="Constantia" w:eastAsia="Times New Roman" w:cs="Times New Roman"/>
          <w:color w:val="595959"/>
        </w:rPr>
        <w:instrText xml:space="preserve"> CITATION Hal20 \l 1033 </w:instrText>
      </w:r>
      <w:r>
        <w:rPr>
          <w:rFonts w:ascii="Constantia" w:hAnsi="Constantia" w:eastAsia="Times New Roman" w:cs="Times New Roman"/>
          <w:color w:val="595959"/>
        </w:rPr>
        <w:fldChar w:fldCharType="separate"/>
      </w:r>
      <w:r>
        <w:rPr>
          <w:rFonts w:ascii="Constantia" w:hAnsi="Constantia" w:eastAsia="Times New Roman" w:cs="Times New Roman"/>
          <w:color w:val="595959"/>
        </w:rPr>
        <w:t xml:space="preserve"> (Hale, 2020)</w:t>
      </w:r>
      <w:r>
        <w:rPr>
          <w:rFonts w:ascii="Constantia" w:hAnsi="Constantia" w:eastAsia="Times New Roman" w:cs="Times New Roman"/>
          <w:color w:val="595959"/>
        </w:rPr>
        <w:fldChar w:fldCharType="end"/>
      </w:r>
      <w:r>
        <w:rPr>
          <w:rFonts w:ascii="Constantia" w:hAnsi="Constantia" w:eastAsia="Times New Roman" w:cs="Times New Roman"/>
          <w:color w:val="595959"/>
        </w:rPr>
        <w:t xml:space="preserve"> most of the economic sectors diminished and in some cases even fully stopping the activity. To be able to maintain the activity, the companies had to adopt diverse strategies like work from home </w:t>
      </w:r>
      <w:r>
        <w:rPr>
          <w:rFonts w:ascii="Constantia" w:hAnsi="Constantia" w:eastAsia="Times New Roman" w:cs="Times New Roman"/>
          <w:color w:val="595959"/>
        </w:rPr>
        <w:fldChar w:fldCharType="begin"/>
      </w:r>
      <w:r>
        <w:rPr>
          <w:rFonts w:ascii="Constantia" w:hAnsi="Constantia" w:eastAsia="Times New Roman" w:cs="Times New Roman"/>
          <w:color w:val="595959"/>
        </w:rPr>
        <w:instrText xml:space="preserve"> CITATION Fou20 \l 1033 </w:instrText>
      </w:r>
      <w:r>
        <w:rPr>
          <w:rFonts w:ascii="Constantia" w:hAnsi="Constantia" w:eastAsia="Times New Roman" w:cs="Times New Roman"/>
          <w:color w:val="595959"/>
        </w:rPr>
        <w:fldChar w:fldCharType="separate"/>
      </w:r>
      <w:r>
        <w:rPr>
          <w:rFonts w:ascii="Constantia" w:hAnsi="Constantia" w:eastAsia="Times New Roman" w:cs="Times New Roman"/>
          <w:color w:val="595959"/>
        </w:rPr>
        <w:t xml:space="preserve"> (Foucault, 2020)</w:t>
      </w:r>
      <w:r>
        <w:rPr>
          <w:rFonts w:ascii="Constantia" w:hAnsi="Constantia" w:eastAsia="Times New Roman" w:cs="Times New Roman"/>
          <w:color w:val="595959"/>
        </w:rPr>
        <w:fldChar w:fldCharType="end"/>
      </w:r>
      <w:r>
        <w:rPr>
          <w:rFonts w:ascii="Constantia" w:hAnsi="Constantia" w:eastAsia="Times New Roman" w:cs="Times New Roman"/>
          <w:color w:val="595959"/>
        </w:rPr>
        <w:t xml:space="preserve"> acquire access to different online platforms and integration software to enable their employees to share information vital to the activity, to assign and track evolution of the tasks and the deadlines. That meant the employees had to possess extended communication skills, digital skills and had to be more adaptable, resilient and become capable of critical thinking, time management and independent work in order to use all the technology available already.</w:t>
      </w:r>
    </w:p>
    <w:p>
      <w:pPr>
        <w:spacing w:before="120" w:after="200" w:line="264" w:lineRule="auto"/>
        <w:rPr>
          <w:rFonts w:ascii="Constantia" w:hAnsi="Constantia" w:eastAsia="Times New Roman" w:cs="Times New Roman"/>
          <w:color w:val="595959"/>
        </w:rPr>
      </w:pPr>
      <w:r>
        <w:rPr>
          <w:rFonts w:ascii="Constantia" w:hAnsi="Constantia" w:eastAsia="Times New Roman" w:cs="Times New Roman"/>
          <w:color w:val="595959"/>
        </w:rPr>
        <w:t>Also</w:t>
      </w:r>
      <w:r>
        <w:rPr>
          <w:rFonts w:hint="default" w:ascii="Constantia" w:hAnsi="Constantia" w:eastAsia="Times New Roman" w:cs="Times New Roman"/>
          <w:color w:val="595959"/>
          <w:lang w:val="en-GB"/>
        </w:rPr>
        <w:t>,</w:t>
      </w:r>
      <w:bookmarkStart w:id="20" w:name="_GoBack"/>
      <w:bookmarkEnd w:id="20"/>
      <w:r>
        <w:rPr>
          <w:rFonts w:ascii="Constantia" w:hAnsi="Constantia" w:eastAsia="Times New Roman" w:cs="Times New Roman"/>
          <w:color w:val="595959"/>
        </w:rPr>
        <w:t xml:space="preserve"> this created the need for developing these platforms creating the need for trained professionals in advanced digital environment, in order to identify the best technical solution to enhance the resources at the disposal of the employees of a company. Having tailored software and equipment means many times the difference between a successful business outcome and failure in finding or keeping a position in the labour market.</w:t>
      </w:r>
    </w:p>
    <w:p>
      <w:pPr>
        <w:spacing w:before="120" w:after="200" w:line="264" w:lineRule="auto"/>
        <w:rPr>
          <w:rFonts w:ascii="Constantia" w:hAnsi="Constantia" w:eastAsia="Times New Roman" w:cs="Times New Roman"/>
          <w:color w:val="595959"/>
        </w:rPr>
      </w:pPr>
      <w:r>
        <w:rPr>
          <w:rFonts w:ascii="Constantia" w:hAnsi="Constantia" w:eastAsia="Times New Roman" w:cs="Times New Roman"/>
          <w:color w:val="595959"/>
        </w:rPr>
        <w:t>The essential sectors had to adapt to the new requirements and find ways to continue the activity by using enhanced safety and health measures in order to protect their workers and reduce the risks towards their health and safety. From low tech protection gear to tracking and diagnostic systems, workflow regulations all these created the need for adaptable resilient and efficient workers. The need for medical skills increased in all countries but also for other skills required in the general medical sector like research, emergency response, tracking and tracing, prevention, etc.</w:t>
      </w:r>
    </w:p>
    <w:p>
      <w:pPr>
        <w:spacing w:before="120" w:after="200" w:line="264" w:lineRule="auto"/>
        <w:rPr>
          <w:rFonts w:ascii="Constantia" w:hAnsi="Constantia" w:eastAsia="Times New Roman" w:cs="Times New Roman"/>
          <w:color w:val="595959"/>
        </w:rPr>
      </w:pPr>
    </w:p>
    <w:p>
      <w:pPr>
        <w:keepNext/>
        <w:keepLines/>
        <w:spacing w:before="600" w:after="60" w:line="264" w:lineRule="auto"/>
        <w:contextualSpacing/>
        <w:outlineLvl w:val="0"/>
        <w:rPr>
          <w:rFonts w:ascii="Constantia" w:hAnsi="Constantia" w:eastAsia="Times New Roman" w:cs="Times New Roman"/>
          <w:color w:val="007789"/>
          <w:sz w:val="32"/>
        </w:rPr>
      </w:pPr>
      <w:bookmarkStart w:id="6" w:name="_Toc75978990"/>
      <w:r>
        <w:rPr>
          <w:rFonts w:ascii="Constantia" w:hAnsi="Constantia" w:eastAsia="Times New Roman" w:cs="Times New Roman"/>
          <w:color w:val="007789"/>
          <w:sz w:val="32"/>
        </w:rPr>
        <w:t>Main Findings</w:t>
      </w:r>
      <w:bookmarkEnd w:id="6"/>
    </w:p>
    <w:p>
      <w:pPr>
        <w:spacing w:before="120" w:after="200" w:line="264" w:lineRule="auto"/>
        <w:rPr>
          <w:rFonts w:ascii="Constantia" w:hAnsi="Constantia" w:eastAsia="Times New Roman" w:cs="Times New Roman"/>
          <w:color w:val="595959"/>
        </w:rPr>
      </w:pPr>
      <w:r>
        <w:rPr>
          <w:rFonts w:ascii="Constantia" w:hAnsi="Constantia" w:eastAsia="Times New Roman" w:cs="Times New Roman"/>
          <w:color w:val="595959"/>
        </w:rPr>
        <w:t xml:space="preserve">The biggest impact on the sectors was on the low skilled level. Here, a lot of sectors had to stop activity which led to a decrease in job positions available. However some of the essential sectors like food processing in factories or deliveries (courier services) required more workers to cope with the increasing demand due to governments regulations and restrictions for the population, which led to a “migration” of the low skilled work force towards those sectors. A help in this “migration” was given by the fact that each individual’s set of skills is not used fully in any job as proven by older studies </w:t>
      </w:r>
      <w:sdt>
        <w:sdtPr>
          <w:rPr>
            <w:rFonts w:ascii="Constantia" w:hAnsi="Constantia" w:eastAsia="Times New Roman" w:cs="Times New Roman"/>
            <w:color w:val="595959"/>
          </w:rPr>
          <w:id w:val="775748194"/>
        </w:sdtPr>
        <w:sdtEndPr>
          <w:rPr>
            <w:rFonts w:ascii="Constantia" w:hAnsi="Constantia" w:eastAsia="Times New Roman" w:cs="Times New Roman"/>
            <w:color w:val="595959"/>
          </w:rPr>
        </w:sdtEndPr>
        <w:sdtContent>
          <w:r>
            <w:rPr>
              <w:rFonts w:ascii="Constantia" w:hAnsi="Constantia" w:eastAsia="Times New Roman" w:cs="Times New Roman"/>
              <w:color w:val="595959"/>
            </w:rPr>
            <w:fldChar w:fldCharType="begin"/>
          </w:r>
          <w:r>
            <w:rPr>
              <w:rFonts w:ascii="Constantia" w:hAnsi="Constantia" w:eastAsia="Times New Roman" w:cs="Times New Roman"/>
              <w:color w:val="595959"/>
            </w:rPr>
            <w:instrText xml:space="preserve">CITATION OEC16 \l 1033 </w:instrText>
          </w:r>
          <w:r>
            <w:rPr>
              <w:rFonts w:ascii="Constantia" w:hAnsi="Constantia" w:eastAsia="Times New Roman" w:cs="Times New Roman"/>
              <w:color w:val="595959"/>
            </w:rPr>
            <w:fldChar w:fldCharType="separate"/>
          </w:r>
          <w:r>
            <w:rPr>
              <w:rFonts w:ascii="Constantia" w:hAnsi="Constantia" w:eastAsia="Times New Roman" w:cs="Times New Roman"/>
              <w:color w:val="595959"/>
            </w:rPr>
            <w:t>(OECD (2016), n.d.)</w:t>
          </w:r>
          <w:r>
            <w:rPr>
              <w:rFonts w:ascii="Constantia" w:hAnsi="Constantia" w:eastAsia="Times New Roman" w:cs="Times New Roman"/>
              <w:color w:val="595959"/>
            </w:rPr>
            <w:fldChar w:fldCharType="end"/>
          </w:r>
        </w:sdtContent>
      </w:sdt>
    </w:p>
    <w:p>
      <w:pPr>
        <w:spacing w:before="240" w:after="200" w:line="264" w:lineRule="auto"/>
        <w:rPr>
          <w:rFonts w:ascii="Constantia" w:hAnsi="Constantia" w:eastAsia="Times New Roman" w:cs="Times New Roman"/>
          <w:color w:val="595959"/>
        </w:rPr>
      </w:pPr>
      <w:r>
        <w:rPr>
          <w:rFonts w:ascii="Constantia" w:hAnsi="Constantia" w:eastAsia="Times New Roman" w:cs="Times New Roman"/>
          <w:color w:val="595959"/>
        </w:rPr>
        <w:t>The medium and high skill level job have dropped initially due to the measures taken in the effort of stopping the spread of the virus like lockdowns, travel restrictions. One of the most impacted sectors was tourism and hospitality where employees found themselves almost without work as soon as travel restrictions were imposed. In the case of the sectors where shutdown could not be avoided, governments provided help and job retention schemes toward both companies and workers to help retain the jobs</w:t>
      </w:r>
      <w:sdt>
        <w:sdtPr>
          <w:rPr>
            <w:rFonts w:ascii="Constantia" w:hAnsi="Constantia" w:eastAsia="Times New Roman" w:cs="Times New Roman"/>
            <w:color w:val="595959"/>
          </w:rPr>
          <w:id w:val="814069750"/>
        </w:sdtPr>
        <w:sdtEndPr>
          <w:rPr>
            <w:rFonts w:ascii="Constantia" w:hAnsi="Constantia" w:eastAsia="Times New Roman" w:cs="Times New Roman"/>
            <w:color w:val="595959"/>
          </w:rPr>
        </w:sdtEndPr>
        <w:sdtContent>
          <w:r>
            <w:rPr>
              <w:rFonts w:ascii="Constantia" w:hAnsi="Constantia" w:eastAsia="Times New Roman" w:cs="Times New Roman"/>
              <w:color w:val="595959"/>
            </w:rPr>
            <w:fldChar w:fldCharType="begin"/>
          </w:r>
          <w:r>
            <w:rPr>
              <w:rFonts w:ascii="Constantia" w:hAnsi="Constantia" w:eastAsia="Times New Roman" w:cs="Times New Roman"/>
              <w:color w:val="595959"/>
            </w:rPr>
            <w:instrText xml:space="preserve"> CITATION Hal20 \l 1033 </w:instrText>
          </w:r>
          <w:r>
            <w:rPr>
              <w:rFonts w:ascii="Constantia" w:hAnsi="Constantia" w:eastAsia="Times New Roman" w:cs="Times New Roman"/>
              <w:color w:val="595959"/>
            </w:rPr>
            <w:fldChar w:fldCharType="separate"/>
          </w:r>
          <w:r>
            <w:rPr>
              <w:rFonts w:ascii="Constantia" w:hAnsi="Constantia" w:eastAsia="Times New Roman" w:cs="Times New Roman"/>
              <w:color w:val="595959"/>
            </w:rPr>
            <w:t xml:space="preserve"> (Hale, 2020)</w:t>
          </w:r>
          <w:r>
            <w:rPr>
              <w:rFonts w:ascii="Constantia" w:hAnsi="Constantia" w:eastAsia="Times New Roman" w:cs="Times New Roman"/>
              <w:color w:val="595959"/>
            </w:rPr>
            <w:fldChar w:fldCharType="end"/>
          </w:r>
        </w:sdtContent>
      </w:sdt>
      <w:r>
        <w:rPr>
          <w:rFonts w:ascii="Constantia" w:hAnsi="Constantia" w:eastAsia="Times New Roman" w:cs="Times New Roman"/>
          <w:color w:val="595959"/>
        </w:rPr>
        <w:t>,</w:t>
      </w:r>
      <w:sdt>
        <w:sdtPr>
          <w:rPr>
            <w:rFonts w:ascii="Constantia" w:hAnsi="Constantia" w:eastAsia="Times New Roman" w:cs="Times New Roman"/>
            <w:color w:val="595959"/>
          </w:rPr>
          <w:id w:val="-200561265"/>
        </w:sdtPr>
        <w:sdtEndPr>
          <w:rPr>
            <w:rFonts w:ascii="Constantia" w:hAnsi="Constantia" w:eastAsia="Times New Roman" w:cs="Times New Roman"/>
            <w:color w:val="595959"/>
          </w:rPr>
        </w:sdtEndPr>
        <w:sdtContent>
          <w:r>
            <w:rPr>
              <w:rFonts w:ascii="Constantia" w:hAnsi="Constantia" w:eastAsia="Times New Roman" w:cs="Times New Roman"/>
              <w:color w:val="595959"/>
            </w:rPr>
            <w:fldChar w:fldCharType="begin"/>
          </w:r>
          <w:r>
            <w:rPr>
              <w:rFonts w:ascii="Constantia" w:hAnsi="Constantia" w:eastAsia="Times New Roman" w:cs="Times New Roman"/>
              <w:color w:val="595959"/>
            </w:rPr>
            <w:instrText xml:space="preserve"> CITATION Fan20 \l 1033 </w:instrText>
          </w:r>
          <w:r>
            <w:rPr>
              <w:rFonts w:ascii="Constantia" w:hAnsi="Constantia" w:eastAsia="Times New Roman" w:cs="Times New Roman"/>
              <w:color w:val="595959"/>
            </w:rPr>
            <w:fldChar w:fldCharType="separate"/>
          </w:r>
          <w:r>
            <w:rPr>
              <w:rFonts w:ascii="Constantia" w:hAnsi="Constantia" w:eastAsia="Times New Roman" w:cs="Times New Roman"/>
              <w:color w:val="595959"/>
            </w:rPr>
            <w:t xml:space="preserve"> (Fana, 2020)</w:t>
          </w:r>
          <w:r>
            <w:rPr>
              <w:rFonts w:ascii="Constantia" w:hAnsi="Constantia" w:eastAsia="Times New Roman" w:cs="Times New Roman"/>
              <w:color w:val="595959"/>
            </w:rPr>
            <w:fldChar w:fldCharType="end"/>
          </w:r>
        </w:sdtContent>
      </w:sdt>
      <w:r>
        <w:rPr>
          <w:rFonts w:ascii="Constantia" w:hAnsi="Constantia" w:eastAsia="Times New Roman" w:cs="Times New Roman"/>
          <w:color w:val="595959"/>
        </w:rPr>
        <w:t>.</w:t>
      </w:r>
    </w:p>
    <w:p>
      <w:pPr>
        <w:spacing w:before="120" w:after="200" w:line="264" w:lineRule="auto"/>
        <w:rPr>
          <w:rFonts w:ascii="Constantia" w:hAnsi="Constantia" w:eastAsia="Times New Roman" w:cs="Times New Roman"/>
          <w:color w:val="595959"/>
        </w:rPr>
      </w:pPr>
      <w:r>
        <w:rPr>
          <w:rFonts w:ascii="Constantia" w:hAnsi="Constantia" w:eastAsia="Times New Roman" w:cs="Times New Roman"/>
          <w:color w:val="595959"/>
        </w:rPr>
        <w:t>Most of the companies in the private sectors had to either continue the activity by finding solutions in regards with the measures or to completely suspend activity. Where it was possible the activity shifted from offices to work from home which in turn led to a shift in the requirements for certain skills focused on independent work and decision making, resilience and emotional intelligence, time and resource management, communication and use of certain resources and technologies to fulfill the job tasks. However in some of the sectors, particularly the ones requiring low level education workers, the activity had to be stopped indefinitely which lead to a great impact on the workers that do not have extended employability skills and are less prepared to occupy “work from home” positions</w:t>
      </w:r>
      <w:r>
        <w:rPr>
          <w:rFonts w:ascii="Constantia" w:hAnsi="Constantia" w:eastAsia="Times New Roman" w:cs="Times New Roman"/>
          <w:color w:val="595959"/>
        </w:rPr>
        <w:fldChar w:fldCharType="begin"/>
      </w:r>
      <w:r>
        <w:rPr>
          <w:rFonts w:ascii="Constantia" w:hAnsi="Constantia" w:eastAsia="Times New Roman" w:cs="Times New Roman"/>
          <w:color w:val="595959"/>
        </w:rPr>
        <w:instrText xml:space="preserve"> CITATION Din20 \l 1033 </w:instrText>
      </w:r>
      <w:r>
        <w:rPr>
          <w:rFonts w:ascii="Constantia" w:hAnsi="Constantia" w:eastAsia="Times New Roman" w:cs="Times New Roman"/>
          <w:color w:val="595959"/>
        </w:rPr>
        <w:fldChar w:fldCharType="separate"/>
      </w:r>
      <w:r>
        <w:rPr>
          <w:rFonts w:ascii="Constantia" w:hAnsi="Constantia" w:eastAsia="Times New Roman" w:cs="Times New Roman"/>
          <w:color w:val="595959"/>
        </w:rPr>
        <w:t xml:space="preserve"> (Dingel, 2020)</w:t>
      </w:r>
      <w:r>
        <w:rPr>
          <w:rFonts w:ascii="Constantia" w:hAnsi="Constantia" w:eastAsia="Times New Roman" w:cs="Times New Roman"/>
          <w:color w:val="595959"/>
        </w:rPr>
        <w:fldChar w:fldCharType="end"/>
      </w:r>
      <w:r>
        <w:rPr>
          <w:rFonts w:ascii="Constantia" w:hAnsi="Constantia" w:eastAsia="Times New Roman" w:cs="Times New Roman"/>
          <w:color w:val="595959"/>
        </w:rPr>
        <w:fldChar w:fldCharType="begin"/>
      </w:r>
      <w:r>
        <w:rPr>
          <w:rFonts w:ascii="Constantia" w:hAnsi="Constantia" w:eastAsia="Times New Roman" w:cs="Times New Roman"/>
          <w:color w:val="595959"/>
        </w:rPr>
        <w:instrText xml:space="preserve"> CITATION Sos20 \l 1033 </w:instrText>
      </w:r>
      <w:r>
        <w:rPr>
          <w:rFonts w:ascii="Constantia" w:hAnsi="Constantia" w:eastAsia="Times New Roman" w:cs="Times New Roman"/>
          <w:color w:val="595959"/>
        </w:rPr>
        <w:fldChar w:fldCharType="separate"/>
      </w:r>
      <w:r>
        <w:rPr>
          <w:rFonts w:ascii="Constantia" w:hAnsi="Constantia" w:eastAsia="Times New Roman" w:cs="Times New Roman"/>
          <w:color w:val="595959"/>
        </w:rPr>
        <w:t xml:space="preserve"> (Sostero, 2020)</w:t>
      </w:r>
      <w:r>
        <w:rPr>
          <w:rFonts w:ascii="Constantia" w:hAnsi="Constantia" w:eastAsia="Times New Roman" w:cs="Times New Roman"/>
          <w:color w:val="595959"/>
        </w:rPr>
        <w:fldChar w:fldCharType="end"/>
      </w:r>
      <w:r>
        <w:rPr>
          <w:rFonts w:ascii="Constantia" w:hAnsi="Constantia" w:eastAsia="Times New Roman" w:cs="Times New Roman"/>
          <w:color w:val="595959"/>
        </w:rPr>
        <w:t>.</w:t>
      </w:r>
    </w:p>
    <w:p>
      <w:pPr>
        <w:spacing w:before="120" w:after="200" w:line="264" w:lineRule="auto"/>
        <w:rPr>
          <w:rFonts w:ascii="Constantia" w:hAnsi="Constantia" w:eastAsia="Times New Roman" w:cs="Times New Roman"/>
          <w:color w:val="595959"/>
        </w:rPr>
      </w:pPr>
      <w:r>
        <w:rPr>
          <w:rFonts w:ascii="Constantia" w:hAnsi="Constantia" w:eastAsia="Times New Roman" w:cs="Times New Roman"/>
          <w:color w:val="595959"/>
        </w:rPr>
        <w:t xml:space="preserve">Two of the sectors that moved very easy from office activity to work from home was Customer Services and Teleworking, which required more capable workers especially due to the circumstances of the pandemic </w:t>
      </w:r>
      <w:r>
        <w:rPr>
          <w:rFonts w:ascii="Constantia" w:hAnsi="Constantia" w:eastAsia="Times New Roman" w:cs="Times New Roman"/>
          <w:color w:val="595959"/>
        </w:rPr>
        <w:fldChar w:fldCharType="begin"/>
      </w:r>
      <w:r>
        <w:rPr>
          <w:rFonts w:ascii="Constantia" w:hAnsi="Constantia" w:eastAsia="Times New Roman" w:cs="Times New Roman"/>
          <w:color w:val="595959"/>
        </w:rPr>
        <w:instrText xml:space="preserve">CITATION Ana21 \p 15 \l 1033 </w:instrText>
      </w:r>
      <w:r>
        <w:rPr>
          <w:rFonts w:ascii="Constantia" w:hAnsi="Constantia" w:eastAsia="Times New Roman" w:cs="Times New Roman"/>
          <w:color w:val="595959"/>
        </w:rPr>
        <w:fldChar w:fldCharType="separate"/>
      </w:r>
      <w:r>
        <w:rPr>
          <w:rFonts w:ascii="Constantia" w:hAnsi="Constantia" w:eastAsia="Times New Roman" w:cs="Times New Roman"/>
          <w:color w:val="595959"/>
        </w:rPr>
        <w:t xml:space="preserve"> (OECD, 2021, p. 15)</w:t>
      </w:r>
      <w:r>
        <w:rPr>
          <w:rFonts w:ascii="Constantia" w:hAnsi="Constantia" w:eastAsia="Times New Roman" w:cs="Times New Roman"/>
          <w:color w:val="595959"/>
        </w:rPr>
        <w:fldChar w:fldCharType="end"/>
      </w:r>
      <w:r>
        <w:rPr>
          <w:rFonts w:ascii="Constantia" w:hAnsi="Constantia" w:eastAsia="Times New Roman" w:cs="Times New Roman"/>
          <w:color w:val="595959"/>
        </w:rPr>
        <w:t xml:space="preserve">. The skills like communication, resiliency, emotional intelligence, research, critical thinking, independent work and digital skills became instantly the main focus of the recruiting managers in the field. </w:t>
      </w:r>
    </w:p>
    <w:p>
      <w:pPr>
        <w:spacing w:before="240" w:after="200" w:line="264" w:lineRule="auto"/>
        <w:rPr>
          <w:rFonts w:ascii="Constantia" w:hAnsi="Constantia" w:eastAsia="Times New Roman" w:cs="Times New Roman"/>
          <w:color w:val="595959"/>
        </w:rPr>
      </w:pPr>
      <w:r>
        <w:rPr>
          <w:rFonts w:ascii="Constantia" w:hAnsi="Constantia" w:eastAsia="Times New Roman" w:cs="Times New Roman"/>
          <w:color w:val="595959"/>
        </w:rPr>
        <w:t>The people that possessed certain skills managed to access and acquire new openings that allowed them to remain in the employment. The increase in need for essential workers led to a shift towards medical assistance (home nurses, pharmacists, medical deliveries) and other essential positions like law enforcement, food processing, public safety, critical infrastructure, deliveries, freight transport, online assistance, essential items production like PPE</w:t>
      </w:r>
      <w:r>
        <w:rPr>
          <w:rFonts w:ascii="Constantia" w:hAnsi="Constantia" w:eastAsia="Times New Roman" w:cs="Times New Roman"/>
          <w:color w:val="595959"/>
        </w:rPr>
        <w:fldChar w:fldCharType="begin"/>
      </w:r>
      <w:r>
        <w:rPr>
          <w:rFonts w:ascii="Constantia" w:hAnsi="Constantia" w:eastAsia="Times New Roman" w:cs="Times New Roman"/>
          <w:color w:val="595959"/>
        </w:rPr>
        <w:instrText xml:space="preserve">CITATION Ana21 \p 12-14 \l 1033 </w:instrText>
      </w:r>
      <w:r>
        <w:rPr>
          <w:rFonts w:ascii="Constantia" w:hAnsi="Constantia" w:eastAsia="Times New Roman" w:cs="Times New Roman"/>
          <w:color w:val="595959"/>
        </w:rPr>
        <w:fldChar w:fldCharType="separate"/>
      </w:r>
      <w:r>
        <w:rPr>
          <w:rFonts w:ascii="Constantia" w:hAnsi="Constantia" w:eastAsia="Times New Roman" w:cs="Times New Roman"/>
          <w:color w:val="595959"/>
        </w:rPr>
        <w:t xml:space="preserve"> (OECD, 2021, pp. 12-14)</w:t>
      </w:r>
      <w:r>
        <w:rPr>
          <w:rFonts w:ascii="Constantia" w:hAnsi="Constantia" w:eastAsia="Times New Roman" w:cs="Times New Roman"/>
          <w:color w:val="595959"/>
        </w:rPr>
        <w:fldChar w:fldCharType="end"/>
      </w:r>
      <w:r>
        <w:rPr>
          <w:rFonts w:ascii="Constantia" w:hAnsi="Constantia" w:eastAsia="Times New Roman" w:cs="Times New Roman"/>
          <w:color w:val="595959"/>
        </w:rPr>
        <w:t>.</w:t>
      </w:r>
      <w:sdt>
        <w:sdtPr>
          <w:rPr>
            <w:rFonts w:ascii="Constantia" w:hAnsi="Constantia" w:eastAsia="Times New Roman" w:cs="Times New Roman"/>
            <w:color w:val="595959"/>
          </w:rPr>
          <w:id w:val="-1764670754"/>
        </w:sdtPr>
        <w:sdtEndPr>
          <w:rPr>
            <w:rFonts w:ascii="Constantia" w:hAnsi="Constantia" w:eastAsia="Times New Roman" w:cs="Times New Roman"/>
            <w:color w:val="595959"/>
          </w:rPr>
        </w:sdtEndPr>
        <w:sdtContent>
          <w:r>
            <w:rPr>
              <w:rFonts w:ascii="Constantia" w:hAnsi="Constantia" w:eastAsia="Times New Roman" w:cs="Times New Roman"/>
              <w:color w:val="595959"/>
            </w:rPr>
            <w:fldChar w:fldCharType="begin"/>
          </w:r>
          <w:r>
            <w:rPr>
              <w:rFonts w:ascii="Constantia" w:hAnsi="Constantia" w:eastAsia="Times New Roman" w:cs="Times New Roman"/>
              <w:color w:val="595959"/>
            </w:rPr>
            <w:instrText xml:space="preserve"> CITATION OEC201 \l 1033 </w:instrText>
          </w:r>
          <w:r>
            <w:rPr>
              <w:rFonts w:ascii="Constantia" w:hAnsi="Constantia" w:eastAsia="Times New Roman" w:cs="Times New Roman"/>
              <w:color w:val="595959"/>
            </w:rPr>
            <w:fldChar w:fldCharType="separate"/>
          </w:r>
          <w:r>
            <w:rPr>
              <w:rFonts w:ascii="Constantia" w:hAnsi="Constantia" w:eastAsia="Times New Roman" w:cs="Times New Roman"/>
              <w:color w:val="595959"/>
            </w:rPr>
            <w:t xml:space="preserve"> (OECD, 2020)</w:t>
          </w:r>
          <w:r>
            <w:rPr>
              <w:rFonts w:ascii="Constantia" w:hAnsi="Constantia" w:eastAsia="Times New Roman" w:cs="Times New Roman"/>
              <w:color w:val="595959"/>
            </w:rPr>
            <w:fldChar w:fldCharType="end"/>
          </w:r>
        </w:sdtContent>
      </w:sdt>
      <w:r>
        <w:rPr>
          <w:rFonts w:ascii="Constantia" w:hAnsi="Constantia" w:eastAsia="Times New Roman" w:cs="Times New Roman"/>
          <w:color w:val="595959"/>
        </w:rPr>
        <w:t xml:space="preserve">. </w:t>
      </w:r>
    </w:p>
    <w:p>
      <w:pPr>
        <w:spacing w:before="240" w:after="200" w:line="264" w:lineRule="auto"/>
        <w:rPr>
          <w:rFonts w:ascii="Constantia" w:hAnsi="Constantia" w:eastAsia="Times New Roman" w:cs="Times New Roman"/>
          <w:color w:val="595959"/>
        </w:rPr>
      </w:pPr>
      <w:r>
        <w:rPr>
          <w:rFonts w:ascii="Constantia" w:hAnsi="Constantia" w:eastAsia="Times New Roman" w:cs="Times New Roman"/>
          <w:color w:val="595959"/>
        </w:rPr>
        <w:t xml:space="preserve">In many cases where highly experienced and skilled workers were not enough to fill the essential positions, workers were recalled from retirement. This was the case mostly of the positions in health systems. However this approach was also dangerous due to the vulnerability of these categories of workers to the COVID-19 virus </w:t>
      </w:r>
      <w:sdt>
        <w:sdtPr>
          <w:rPr>
            <w:rFonts w:ascii="Constantia" w:hAnsi="Constantia" w:eastAsia="Times New Roman" w:cs="Times New Roman"/>
            <w:color w:val="595959"/>
          </w:rPr>
          <w:id w:val="-1907987118"/>
        </w:sdtPr>
        <w:sdtEndPr>
          <w:rPr>
            <w:rFonts w:ascii="Constantia" w:hAnsi="Constantia" w:eastAsia="Times New Roman" w:cs="Times New Roman"/>
            <w:color w:val="595959"/>
          </w:rPr>
        </w:sdtEndPr>
        <w:sdtContent>
          <w:r>
            <w:rPr>
              <w:rFonts w:ascii="Constantia" w:hAnsi="Constantia" w:eastAsia="Times New Roman" w:cs="Times New Roman"/>
              <w:color w:val="595959"/>
            </w:rPr>
            <w:fldChar w:fldCharType="begin"/>
          </w:r>
          <w:r>
            <w:rPr>
              <w:rFonts w:ascii="Constantia" w:hAnsi="Constantia" w:eastAsia="Times New Roman" w:cs="Times New Roman"/>
              <w:color w:val="595959"/>
            </w:rPr>
            <w:instrText xml:space="preserve"> CITATION OEC202 \l 1033 </w:instrText>
          </w:r>
          <w:r>
            <w:rPr>
              <w:rFonts w:ascii="Constantia" w:hAnsi="Constantia" w:eastAsia="Times New Roman" w:cs="Times New Roman"/>
              <w:color w:val="595959"/>
            </w:rPr>
            <w:fldChar w:fldCharType="separate"/>
          </w:r>
          <w:r>
            <w:rPr>
              <w:rFonts w:ascii="Constantia" w:hAnsi="Constantia" w:eastAsia="Times New Roman" w:cs="Times New Roman"/>
              <w:color w:val="595959"/>
            </w:rPr>
            <w:t>(OECD, 2020)</w:t>
          </w:r>
          <w:r>
            <w:rPr>
              <w:rFonts w:ascii="Constantia" w:hAnsi="Constantia" w:eastAsia="Times New Roman" w:cs="Times New Roman"/>
              <w:color w:val="595959"/>
            </w:rPr>
            <w:fldChar w:fldCharType="end"/>
          </w:r>
        </w:sdtContent>
      </w:sdt>
      <w:r>
        <w:rPr>
          <w:rFonts w:ascii="Constantia" w:hAnsi="Constantia" w:eastAsia="Times New Roman" w:cs="Times New Roman"/>
          <w:color w:val="595959"/>
        </w:rPr>
        <w:t>.</w:t>
      </w:r>
    </w:p>
    <w:p>
      <w:pPr>
        <w:spacing w:before="120" w:after="200" w:line="264" w:lineRule="auto"/>
        <w:rPr>
          <w:rFonts w:ascii="Constantia" w:hAnsi="Constantia" w:eastAsia="Times New Roman" w:cs="Times New Roman"/>
          <w:color w:val="595959"/>
        </w:rPr>
      </w:pPr>
      <w:r>
        <w:rPr>
          <w:rFonts w:ascii="Constantia" w:hAnsi="Constantia" w:eastAsia="Times New Roman" w:cs="Times New Roman"/>
          <w:color w:val="595959"/>
        </w:rPr>
        <w:t xml:space="preserve">Another sector had actually benefited from the pandemic is Online learning and training. - </w:t>
      </w:r>
      <w:sdt>
        <w:sdtPr>
          <w:rPr>
            <w:rFonts w:ascii="Constantia" w:hAnsi="Constantia" w:eastAsia="Times New Roman" w:cs="Times New Roman"/>
            <w:color w:val="595959"/>
          </w:rPr>
          <w:id w:val="-2063626762"/>
        </w:sdtPr>
        <w:sdtEndPr>
          <w:rPr>
            <w:rFonts w:ascii="Constantia" w:hAnsi="Constantia" w:eastAsia="Times New Roman" w:cs="Times New Roman"/>
            <w:color w:val="595959"/>
          </w:rPr>
        </w:sdtEndPr>
        <w:sdtContent>
          <w:r>
            <w:rPr>
              <w:rFonts w:ascii="Constantia" w:hAnsi="Constantia" w:eastAsia="Times New Roman" w:cs="Times New Roman"/>
              <w:color w:val="595959"/>
            </w:rPr>
            <w:fldChar w:fldCharType="begin"/>
          </w:r>
          <w:r>
            <w:rPr>
              <w:rFonts w:ascii="Constantia" w:hAnsi="Constantia" w:eastAsia="Times New Roman" w:cs="Times New Roman"/>
              <w:color w:val="595959"/>
            </w:rPr>
            <w:instrText xml:space="preserve"> CITATION OEC203 \l 1033 </w:instrText>
          </w:r>
          <w:r>
            <w:rPr>
              <w:rFonts w:ascii="Constantia" w:hAnsi="Constantia" w:eastAsia="Times New Roman" w:cs="Times New Roman"/>
              <w:color w:val="595959"/>
            </w:rPr>
            <w:fldChar w:fldCharType="separate"/>
          </w:r>
          <w:r>
            <w:rPr>
              <w:rFonts w:ascii="Constantia" w:hAnsi="Constantia" w:eastAsia="Times New Roman" w:cs="Times New Roman"/>
              <w:color w:val="595959"/>
            </w:rPr>
            <w:t>(OECD, 2020)</w:t>
          </w:r>
          <w:r>
            <w:rPr>
              <w:rFonts w:ascii="Constantia" w:hAnsi="Constantia" w:eastAsia="Times New Roman" w:cs="Times New Roman"/>
              <w:color w:val="595959"/>
            </w:rPr>
            <w:fldChar w:fldCharType="end"/>
          </w:r>
        </w:sdtContent>
      </w:sdt>
      <w:r>
        <w:rPr>
          <w:rFonts w:ascii="Constantia" w:hAnsi="Constantia" w:eastAsia="Times New Roman" w:cs="Times New Roman"/>
          <w:color w:val="595959"/>
        </w:rPr>
        <w:t>. Due to the need of rapid retraining of personnel for the essential sectors which needed immediately new workers and having a lot of workers coming from the sectors that had stopped activity, Online Learning Courses providers together with governments worked for the increase of activity and adopt fast track licensing programs. One of the disadvantages of this increase was the fast pace and the short time at disposal to train efficiently and at a high level the new candidates which make this measure one temporary at best.</w:t>
      </w:r>
    </w:p>
    <w:p>
      <w:pPr>
        <w:spacing w:before="120" w:after="200" w:line="264" w:lineRule="auto"/>
        <w:rPr>
          <w:rFonts w:ascii="Constantia" w:hAnsi="Constantia" w:eastAsia="Times New Roman" w:cs="Times New Roman"/>
          <w:color w:val="595959"/>
        </w:rPr>
      </w:pPr>
      <w:r>
        <w:rPr>
          <w:rFonts w:ascii="Constantia" w:hAnsi="Constantia" w:eastAsia="Times New Roman" w:cs="Times New Roman"/>
          <w:color w:val="595959"/>
        </w:rPr>
        <w:t>The following skills are between the most demanded since the outburst of COVID-19 accordingly to the OECD study and which had a lot of success in retraining:</w:t>
      </w:r>
    </w:p>
    <w:p>
      <w:pPr>
        <w:keepNext/>
        <w:keepLines/>
        <w:spacing w:before="240" w:after="0" w:line="264" w:lineRule="auto"/>
        <w:contextualSpacing/>
        <w:outlineLvl w:val="1"/>
        <w:rPr>
          <w:rFonts w:ascii="Constantia" w:hAnsi="Constantia" w:eastAsia="Times New Roman" w:cs="Times New Roman"/>
          <w:caps/>
          <w:color w:val="007789"/>
          <w:sz w:val="24"/>
        </w:rPr>
      </w:pPr>
      <w:bookmarkStart w:id="7" w:name="_Toc75978991"/>
      <w:r>
        <w:rPr>
          <w:rFonts w:ascii="Constantia" w:hAnsi="Constantia" w:eastAsia="Times New Roman" w:cs="Times New Roman"/>
          <w:caps/>
          <w:color w:val="007789"/>
          <w:sz w:val="24"/>
        </w:rPr>
        <w:t>TECHNICAL low level MEDICAL SKILLS</w:t>
      </w:r>
      <w:bookmarkEnd w:id="7"/>
    </w:p>
    <w:p>
      <w:pPr>
        <w:spacing w:before="240" w:after="200" w:line="264" w:lineRule="auto"/>
        <w:rPr>
          <w:rFonts w:ascii="Constantia" w:hAnsi="Constantia" w:eastAsia="Times New Roman" w:cs="Times New Roman"/>
          <w:color w:val="595959"/>
        </w:rPr>
      </w:pPr>
      <w:r>
        <w:rPr>
          <w:rFonts w:ascii="Constantia" w:hAnsi="Constantia" w:eastAsia="Times New Roman" w:cs="Times New Roman"/>
          <w:color w:val="595959"/>
        </w:rPr>
        <w:t xml:space="preserve">Obviously the biggest increase in demand for medical prepared staff and for staff related to the medical sectors like first responders, manufacture and repair of medical equipment, medical PPE manufacturing, phone assistance, medical deliveries, medical warehouses, etc.  </w:t>
      </w:r>
    </w:p>
    <w:p>
      <w:pPr>
        <w:keepNext/>
        <w:keepLines/>
        <w:spacing w:before="240" w:after="0" w:line="264" w:lineRule="auto"/>
        <w:contextualSpacing/>
        <w:outlineLvl w:val="1"/>
        <w:rPr>
          <w:rFonts w:ascii="Constantia" w:hAnsi="Constantia" w:eastAsia="Times New Roman" w:cs="Times New Roman"/>
          <w:caps/>
          <w:color w:val="007789"/>
          <w:sz w:val="24"/>
        </w:rPr>
      </w:pPr>
      <w:bookmarkStart w:id="8" w:name="_Toc75978992"/>
      <w:r>
        <w:rPr>
          <w:rFonts w:ascii="Constantia" w:hAnsi="Constantia" w:eastAsia="Times New Roman" w:cs="Times New Roman"/>
          <w:caps/>
          <w:color w:val="007789"/>
          <w:sz w:val="24"/>
        </w:rPr>
        <w:t>Digital skills,</w:t>
      </w:r>
      <w:bookmarkEnd w:id="8"/>
      <w:r>
        <w:rPr>
          <w:rFonts w:ascii="Constantia" w:hAnsi="Constantia" w:eastAsia="Times New Roman" w:cs="Times New Roman"/>
          <w:caps/>
          <w:color w:val="007789"/>
          <w:sz w:val="24"/>
        </w:rPr>
        <w:t xml:space="preserve"> </w:t>
      </w:r>
    </w:p>
    <w:p>
      <w:pPr>
        <w:spacing w:before="120" w:after="200" w:line="264" w:lineRule="auto"/>
        <w:rPr>
          <w:rFonts w:ascii="Constantia" w:hAnsi="Constantia" w:eastAsia="Times New Roman" w:cs="Times New Roman"/>
          <w:color w:val="595959"/>
        </w:rPr>
      </w:pPr>
      <w:r>
        <w:rPr>
          <w:rFonts w:ascii="Constantia" w:hAnsi="Constantia" w:eastAsia="Times New Roman" w:cs="Times New Roman"/>
          <w:color w:val="595959"/>
        </w:rPr>
        <w:t xml:space="preserve">The restrictions against COVID-19, demanded that most of the activity to be done using computers and internet which increased the need for high digital skills. The work from remote places as homes required that the employees to be able to set up, use and even troubleshoot (in cases of technical difficulties), their access to company’s platforms which required at least basic knowledge of software and hardware. </w:t>
      </w:r>
    </w:p>
    <w:p>
      <w:pPr>
        <w:keepNext/>
        <w:keepLines/>
        <w:spacing w:before="240" w:after="0" w:line="264" w:lineRule="auto"/>
        <w:contextualSpacing/>
        <w:outlineLvl w:val="1"/>
        <w:rPr>
          <w:rFonts w:ascii="Constantia" w:hAnsi="Constantia" w:eastAsia="Times New Roman" w:cs="Times New Roman"/>
          <w:caps/>
          <w:color w:val="007789"/>
          <w:sz w:val="24"/>
        </w:rPr>
      </w:pPr>
      <w:bookmarkStart w:id="9" w:name="_Toc75978993"/>
      <w:r>
        <w:rPr>
          <w:rFonts w:ascii="Constantia" w:hAnsi="Constantia" w:eastAsia="Times New Roman" w:cs="Times New Roman"/>
          <w:caps/>
          <w:color w:val="007789"/>
          <w:sz w:val="24"/>
        </w:rPr>
        <w:t>NUMERACY AND LITERACY SKILLS</w:t>
      </w:r>
      <w:bookmarkEnd w:id="9"/>
    </w:p>
    <w:p>
      <w:pPr>
        <w:spacing w:before="120" w:after="200" w:line="264" w:lineRule="auto"/>
        <w:rPr>
          <w:rFonts w:ascii="Constantia" w:hAnsi="Constantia" w:eastAsia="Times New Roman" w:cs="Times New Roman"/>
          <w:color w:val="595959"/>
        </w:rPr>
      </w:pPr>
      <w:r>
        <w:rPr>
          <w:rFonts w:ascii="Constantia" w:hAnsi="Constantia" w:eastAsia="Times New Roman" w:cs="Times New Roman"/>
          <w:color w:val="595959"/>
        </w:rPr>
        <w:t>Also some of the changes required that people possess good numeracy and literacy skills to be able to gain other fundamental skills needed in the new positions.</w:t>
      </w:r>
    </w:p>
    <w:p>
      <w:pPr>
        <w:keepNext/>
        <w:keepLines/>
        <w:spacing w:before="240" w:after="0" w:line="264" w:lineRule="auto"/>
        <w:contextualSpacing/>
        <w:outlineLvl w:val="1"/>
        <w:rPr>
          <w:rFonts w:ascii="Constantia" w:hAnsi="Constantia" w:eastAsia="Times New Roman" w:cs="Times New Roman"/>
          <w:caps/>
          <w:color w:val="007789"/>
          <w:sz w:val="24"/>
        </w:rPr>
      </w:pPr>
      <w:bookmarkStart w:id="10" w:name="_Toc75978994"/>
      <w:r>
        <w:rPr>
          <w:rFonts w:ascii="Constantia" w:hAnsi="Constantia" w:eastAsia="Times New Roman" w:cs="Times New Roman"/>
          <w:caps/>
          <w:color w:val="007789"/>
          <w:sz w:val="24"/>
        </w:rPr>
        <w:t>Time Management</w:t>
      </w:r>
      <w:bookmarkEnd w:id="10"/>
    </w:p>
    <w:p>
      <w:pPr>
        <w:spacing w:before="120" w:after="200" w:line="264" w:lineRule="auto"/>
        <w:rPr>
          <w:rFonts w:ascii="Constantia" w:hAnsi="Constantia" w:eastAsia="Times New Roman" w:cs="Times New Roman"/>
          <w:color w:val="595959"/>
        </w:rPr>
      </w:pPr>
      <w:r>
        <w:rPr>
          <w:rFonts w:ascii="Constantia" w:hAnsi="Constantia" w:eastAsia="Times New Roman" w:cs="Times New Roman"/>
          <w:color w:val="595959"/>
        </w:rPr>
        <w:t xml:space="preserve">The employees had to be able to organize their work schedule and follow the deadlines received through the communication channels. They had to possess the ability to analyze and prioritize the workload, to meet their deadlines and all this with little help from the team. Compared with the reality before the outbreak of the pandemic, the lockdowns and social distancing limited the contact between persons, the possibility of face to face communication therefore the management supervision was limited and the success of the company and projects relied with the capacity of the person to respect deadlines and fulfill their tasks without too much involvement and contribution of the managers and colleagues. </w:t>
      </w:r>
    </w:p>
    <w:p>
      <w:pPr>
        <w:keepNext/>
        <w:keepLines/>
        <w:spacing w:before="240" w:after="0" w:line="264" w:lineRule="auto"/>
        <w:contextualSpacing/>
        <w:outlineLvl w:val="1"/>
        <w:rPr>
          <w:rFonts w:ascii="Constantia" w:hAnsi="Constantia" w:eastAsia="Times New Roman" w:cs="Times New Roman"/>
          <w:caps/>
          <w:color w:val="007789"/>
          <w:sz w:val="24"/>
        </w:rPr>
      </w:pPr>
      <w:bookmarkStart w:id="11" w:name="_Toc75978995"/>
      <w:r>
        <w:rPr>
          <w:rFonts w:ascii="Constantia" w:hAnsi="Constantia" w:eastAsia="Times New Roman" w:cs="Times New Roman"/>
          <w:caps/>
          <w:color w:val="007789"/>
          <w:sz w:val="24"/>
        </w:rPr>
        <w:t>Adaptability and independent work</w:t>
      </w:r>
      <w:bookmarkEnd w:id="11"/>
    </w:p>
    <w:p>
      <w:pPr>
        <w:spacing w:before="120" w:after="200" w:line="264" w:lineRule="auto"/>
        <w:rPr>
          <w:rFonts w:ascii="Constantia" w:hAnsi="Constantia" w:eastAsia="Times New Roman" w:cs="Times New Roman"/>
          <w:color w:val="595959"/>
        </w:rPr>
      </w:pPr>
      <w:r>
        <w:rPr>
          <w:rFonts w:ascii="Constantia" w:hAnsi="Constantia" w:eastAsia="Times New Roman" w:cs="Times New Roman"/>
          <w:color w:val="595959"/>
        </w:rPr>
        <w:t>As most of the jobs did not provide the option to work from home, a lot of employees had to change the sectors and switch to temporary openings created in the essential fields and some even become self-employed essential workers. For this they had to use same set of skills but also they had to go through specific fast training at the new work places.</w:t>
      </w:r>
    </w:p>
    <w:p>
      <w:pPr>
        <w:spacing w:before="120" w:after="200" w:line="264" w:lineRule="auto"/>
        <w:rPr>
          <w:rFonts w:ascii="Constantia" w:hAnsi="Constantia" w:eastAsia="Times New Roman" w:cs="Times New Roman"/>
          <w:color w:val="595959"/>
        </w:rPr>
      </w:pPr>
      <w:r>
        <w:rPr>
          <w:rFonts w:ascii="Constantia" w:hAnsi="Constantia" w:eastAsia="Times New Roman" w:cs="Times New Roman"/>
          <w:color w:val="595959"/>
        </w:rPr>
        <w:t xml:space="preserve">Other people were able to transfer their workload and work from home, having to adapt to new challenges and organize their activity in the premises of their home. Both solutions required the capacity to adapt and also to independently fulfill their tasks. </w:t>
      </w:r>
    </w:p>
    <w:p>
      <w:pPr>
        <w:keepNext/>
        <w:keepLines/>
        <w:spacing w:before="240" w:after="0" w:line="264" w:lineRule="auto"/>
        <w:contextualSpacing/>
        <w:outlineLvl w:val="1"/>
        <w:rPr>
          <w:rFonts w:ascii="Constantia" w:hAnsi="Constantia" w:eastAsia="Times New Roman" w:cs="Times New Roman"/>
          <w:caps/>
          <w:color w:val="007789"/>
          <w:sz w:val="24"/>
        </w:rPr>
      </w:pPr>
      <w:bookmarkStart w:id="12" w:name="_Toc75978996"/>
      <w:r>
        <w:rPr>
          <w:rFonts w:ascii="Constantia" w:hAnsi="Constantia" w:eastAsia="Times New Roman" w:cs="Times New Roman"/>
          <w:caps/>
          <w:color w:val="007789"/>
          <w:sz w:val="24"/>
        </w:rPr>
        <w:t>Critical Thinking</w:t>
      </w:r>
      <w:bookmarkEnd w:id="12"/>
    </w:p>
    <w:p>
      <w:pPr>
        <w:spacing w:before="120" w:after="200" w:line="264" w:lineRule="auto"/>
        <w:rPr>
          <w:rFonts w:ascii="Constantia" w:hAnsi="Constantia" w:eastAsia="Times New Roman" w:cs="Times New Roman"/>
          <w:color w:val="595959"/>
        </w:rPr>
      </w:pPr>
      <w:r>
        <w:rPr>
          <w:rFonts w:ascii="Constantia" w:hAnsi="Constantia" w:eastAsia="Times New Roman" w:cs="Times New Roman"/>
          <w:color w:val="595959"/>
        </w:rPr>
        <w:t>Critical thinking became one of the most searched traits, as the employees that possess it are able to follow the steps of the process from analyzing to reasoning and evaluating to solution finding and decision making which allows them to be not only independent but to bring new ideas inside the company , improve the workflow and increase the efficiency.</w:t>
      </w:r>
    </w:p>
    <w:p>
      <w:pPr>
        <w:keepNext/>
        <w:keepLines/>
        <w:spacing w:before="240" w:after="0" w:line="264" w:lineRule="auto"/>
        <w:contextualSpacing/>
        <w:outlineLvl w:val="1"/>
        <w:rPr>
          <w:rFonts w:ascii="Constantia" w:hAnsi="Constantia" w:eastAsia="Times New Roman" w:cs="Times New Roman"/>
          <w:caps/>
          <w:color w:val="007789"/>
          <w:sz w:val="24"/>
        </w:rPr>
      </w:pPr>
      <w:bookmarkStart w:id="13" w:name="_Toc75978997"/>
      <w:r>
        <w:rPr>
          <w:rFonts w:ascii="Constantia" w:hAnsi="Constantia" w:eastAsia="Times New Roman" w:cs="Times New Roman"/>
          <w:caps/>
          <w:color w:val="007789"/>
          <w:sz w:val="24"/>
        </w:rPr>
        <w:t xml:space="preserve">Resilience </w:t>
      </w:r>
      <w:bookmarkStart w:id="14" w:name="_Toc75689427"/>
      <w:r>
        <w:rPr>
          <w:rFonts w:ascii="Constantia" w:hAnsi="Constantia" w:eastAsia="Times New Roman" w:cs="Times New Roman"/>
          <w:caps/>
          <w:color w:val="007789"/>
          <w:sz w:val="24"/>
        </w:rPr>
        <w:t>and Emotional Intelligence</w:t>
      </w:r>
      <w:bookmarkEnd w:id="13"/>
      <w:bookmarkEnd w:id="14"/>
    </w:p>
    <w:p>
      <w:pPr>
        <w:spacing w:before="120" w:after="200" w:line="264" w:lineRule="auto"/>
        <w:rPr>
          <w:rFonts w:ascii="Constantia" w:hAnsi="Constantia" w:eastAsia="Times New Roman" w:cs="Times New Roman"/>
          <w:color w:val="595959"/>
        </w:rPr>
      </w:pPr>
      <w:r>
        <w:rPr>
          <w:rFonts w:ascii="Constantia" w:hAnsi="Constantia" w:eastAsia="Times New Roman" w:cs="Times New Roman"/>
          <w:color w:val="595959"/>
        </w:rPr>
        <w:t xml:space="preserve">The ideal employee has to be able to recover from difficulties, to overcome obstacles and be able to find solutions by himself, using a small amount of time and other resources available. Resilience is a necessary trait in the current reality, as most often the employees are facing issues where professional help is not available so they must have the right positive mentality and focus to search for solutions and solve problems. </w:t>
      </w:r>
    </w:p>
    <w:p>
      <w:pPr>
        <w:spacing w:before="120" w:after="200" w:line="264" w:lineRule="auto"/>
        <w:rPr>
          <w:rFonts w:ascii="Constantia" w:hAnsi="Constantia" w:eastAsia="Times New Roman" w:cs="Times New Roman"/>
          <w:color w:val="595959"/>
        </w:rPr>
      </w:pPr>
      <w:r>
        <w:rPr>
          <w:rFonts w:ascii="Constantia" w:hAnsi="Constantia" w:eastAsia="Times New Roman" w:cs="Times New Roman"/>
          <w:color w:val="595959"/>
        </w:rPr>
        <w:t>The social measures imposed by the governments like social distancing, lockdowns, travel restrictions had a negative psychological impact on the individuals creating in many cases anxiety regarding the uncertainty of the future that reflected in the capacity of many members of the workforce to be efficient in their activities on personal and professional level. Having the capacity to deal with these issues and finding ways of positive stress relieve, defusing conflicts, deal with stressful situations and was already a must, but it became very important after the outburst of the COVID-19 pandemic.</w:t>
      </w:r>
    </w:p>
    <w:p>
      <w:pPr>
        <w:spacing w:before="120" w:after="200" w:line="264" w:lineRule="auto"/>
        <w:rPr>
          <w:rFonts w:ascii="Constantia" w:hAnsi="Constantia" w:eastAsia="Times New Roman" w:cs="Times New Roman"/>
          <w:color w:val="595959"/>
        </w:rPr>
      </w:pPr>
      <w:r>
        <w:rPr>
          <w:rFonts w:ascii="Constantia" w:hAnsi="Constantia" w:eastAsia="Times New Roman" w:cs="Times New Roman"/>
          <w:color w:val="595959"/>
        </w:rPr>
        <w:t xml:space="preserve">Also for the medical staff dealing with the results of the pandemic this was one of the most important and searched traits, critical to be able to provide the best patient care and work in what became a life threatening work environment. </w:t>
      </w:r>
    </w:p>
    <w:p>
      <w:pPr>
        <w:keepNext/>
        <w:keepLines/>
        <w:spacing w:before="240" w:after="0" w:line="264" w:lineRule="auto"/>
        <w:contextualSpacing/>
        <w:outlineLvl w:val="1"/>
        <w:rPr>
          <w:rFonts w:ascii="Constantia" w:hAnsi="Constantia" w:eastAsia="Times New Roman" w:cs="Times New Roman"/>
          <w:caps/>
          <w:color w:val="007789"/>
          <w:sz w:val="24"/>
        </w:rPr>
      </w:pPr>
      <w:bookmarkStart w:id="15" w:name="_Toc75978998"/>
      <w:r>
        <w:rPr>
          <w:rFonts w:ascii="Constantia" w:hAnsi="Constantia" w:eastAsia="Times New Roman" w:cs="Times New Roman"/>
          <w:caps/>
          <w:color w:val="007789"/>
          <w:sz w:val="24"/>
        </w:rPr>
        <w:t>Research Skills</w:t>
      </w:r>
      <w:bookmarkEnd w:id="15"/>
    </w:p>
    <w:p>
      <w:pPr>
        <w:spacing w:before="120" w:after="200" w:line="264" w:lineRule="auto"/>
        <w:rPr>
          <w:rFonts w:ascii="Constantia" w:hAnsi="Constantia" w:eastAsia="Times New Roman" w:cs="Times New Roman"/>
          <w:color w:val="595959"/>
        </w:rPr>
      </w:pPr>
      <w:r>
        <w:rPr>
          <w:rFonts w:ascii="Constantia" w:hAnsi="Constantia" w:eastAsia="Times New Roman" w:cs="Times New Roman"/>
          <w:color w:val="595959"/>
        </w:rPr>
        <w:t>Having to be more independent in their professional activities requires that the employee is able to conduct his own research and centralize his findings regarding a specific topic in order to be able to efficiently analyze and predict the outcome of his work activities. Because the economy has become so volatile this skill became very important in order to have a complete knowledge and find the best solution for the best outcome of any situation. Very important throughout all the sectors of economy but most vital in the medical one.</w:t>
      </w:r>
    </w:p>
    <w:p>
      <w:pPr>
        <w:keepNext/>
        <w:keepLines/>
        <w:spacing w:before="240" w:after="0" w:line="264" w:lineRule="auto"/>
        <w:contextualSpacing/>
        <w:outlineLvl w:val="1"/>
        <w:rPr>
          <w:rFonts w:ascii="Constantia" w:hAnsi="Constantia" w:eastAsia="Times New Roman" w:cs="Times New Roman"/>
          <w:caps/>
          <w:color w:val="007789"/>
          <w:sz w:val="24"/>
        </w:rPr>
      </w:pPr>
      <w:bookmarkStart w:id="16" w:name="_Toc75978999"/>
      <w:r>
        <w:rPr>
          <w:rFonts w:ascii="Constantia" w:hAnsi="Constantia" w:eastAsia="Times New Roman" w:cs="Times New Roman"/>
          <w:caps/>
          <w:color w:val="007789"/>
          <w:sz w:val="24"/>
        </w:rPr>
        <w:t>Communication skills</w:t>
      </w:r>
      <w:bookmarkEnd w:id="16"/>
    </w:p>
    <w:p>
      <w:pPr>
        <w:spacing w:before="120" w:after="200" w:line="264" w:lineRule="auto"/>
        <w:rPr>
          <w:rFonts w:ascii="Constantia" w:hAnsi="Constantia" w:eastAsia="Times New Roman" w:cs="Times New Roman"/>
          <w:color w:val="595959"/>
        </w:rPr>
      </w:pPr>
      <w:r>
        <w:rPr>
          <w:rFonts w:ascii="Constantia" w:hAnsi="Constantia" w:eastAsia="Times New Roman" w:cs="Times New Roman"/>
          <w:color w:val="595959"/>
        </w:rPr>
        <w:t xml:space="preserve">This became one of the most desired skill as companies started seeking employees with high communication abilities </w:t>
      </w:r>
      <w:r>
        <w:rPr>
          <w:rFonts w:ascii="Constantia" w:hAnsi="Constantia" w:eastAsia="Times New Roman" w:cs="Times New Roman"/>
          <w:color w:val="595959"/>
        </w:rPr>
        <w:fldChar w:fldCharType="begin"/>
      </w:r>
      <w:r>
        <w:rPr>
          <w:rFonts w:ascii="Constantia" w:hAnsi="Constantia" w:eastAsia="Times New Roman" w:cs="Times New Roman"/>
          <w:color w:val="595959"/>
        </w:rPr>
        <w:instrText xml:space="preserve">CITATION Ana21 \p 15 \l 1033 </w:instrText>
      </w:r>
      <w:r>
        <w:rPr>
          <w:rFonts w:ascii="Constantia" w:hAnsi="Constantia" w:eastAsia="Times New Roman" w:cs="Times New Roman"/>
          <w:color w:val="595959"/>
        </w:rPr>
        <w:fldChar w:fldCharType="separate"/>
      </w:r>
      <w:r>
        <w:rPr>
          <w:rFonts w:ascii="Constantia" w:hAnsi="Constantia" w:eastAsia="Times New Roman" w:cs="Times New Roman"/>
          <w:color w:val="595959"/>
        </w:rPr>
        <w:t xml:space="preserve"> (OECD, 2021, p. 15)</w:t>
      </w:r>
      <w:r>
        <w:rPr>
          <w:rFonts w:ascii="Constantia" w:hAnsi="Constantia" w:eastAsia="Times New Roman" w:cs="Times New Roman"/>
          <w:color w:val="595959"/>
        </w:rPr>
        <w:fldChar w:fldCharType="end"/>
      </w:r>
      <w:r>
        <w:rPr>
          <w:rFonts w:ascii="Constantia" w:hAnsi="Constantia" w:eastAsia="Times New Roman" w:cs="Times New Roman"/>
          <w:color w:val="595959"/>
        </w:rPr>
        <w:t xml:space="preserve"> </w:t>
      </w:r>
      <w:r>
        <w:rPr>
          <w:rFonts w:ascii="Constantia" w:hAnsi="Constantia" w:eastAsia="Times New Roman" w:cs="Times New Roman"/>
          <w:color w:val="595959"/>
        </w:rPr>
        <w:fldChar w:fldCharType="begin"/>
      </w:r>
      <w:r>
        <w:rPr>
          <w:rFonts w:ascii="Constantia" w:hAnsi="Constantia" w:eastAsia="Times New Roman" w:cs="Times New Roman"/>
          <w:color w:val="595959"/>
        </w:rPr>
        <w:instrText xml:space="preserve">CITATION OEC20 \l 1033 </w:instrText>
      </w:r>
      <w:r>
        <w:rPr>
          <w:rFonts w:ascii="Constantia" w:hAnsi="Constantia" w:eastAsia="Times New Roman" w:cs="Times New Roman"/>
          <w:color w:val="595959"/>
        </w:rPr>
        <w:fldChar w:fldCharType="separate"/>
      </w:r>
      <w:r>
        <w:rPr>
          <w:rFonts w:ascii="Constantia" w:hAnsi="Constantia" w:eastAsia="Times New Roman" w:cs="Times New Roman"/>
          <w:color w:val="595959"/>
        </w:rPr>
        <w:t xml:space="preserve"> (OECD, 2020)</w:t>
      </w:r>
      <w:r>
        <w:rPr>
          <w:rFonts w:ascii="Constantia" w:hAnsi="Constantia" w:eastAsia="Times New Roman" w:cs="Times New Roman"/>
          <w:color w:val="595959"/>
        </w:rPr>
        <w:fldChar w:fldCharType="end"/>
      </w:r>
      <w:r>
        <w:rPr>
          <w:rFonts w:ascii="Constantia" w:hAnsi="Constantia" w:eastAsia="Times New Roman" w:cs="Times New Roman"/>
          <w:color w:val="595959"/>
        </w:rPr>
        <w:t>. The ability to receive and transmit information in an efficient way has become very important since the ways of doing this became limited to short briefings through video calls, emails and meeting platforms or documents stored in network drives. Any person from low level to high management had to possess the ability to efficiently centralize the information transmitted through these channels and use it to fulfil the tasks.</w:t>
      </w:r>
    </w:p>
    <w:p>
      <w:pPr>
        <w:keepNext/>
        <w:keepLines/>
        <w:spacing w:before="240" w:after="0" w:line="264" w:lineRule="auto"/>
        <w:contextualSpacing/>
        <w:outlineLvl w:val="1"/>
        <w:rPr>
          <w:rFonts w:ascii="Constantia" w:hAnsi="Constantia" w:eastAsia="Times New Roman" w:cs="Times New Roman"/>
          <w:caps/>
          <w:color w:val="007789"/>
          <w:sz w:val="24"/>
        </w:rPr>
      </w:pPr>
      <w:bookmarkStart w:id="17" w:name="_Toc75979000"/>
      <w:r>
        <w:rPr>
          <w:rFonts w:ascii="Constantia" w:hAnsi="Constantia" w:eastAsia="Times New Roman" w:cs="Times New Roman"/>
          <w:caps/>
          <w:color w:val="007789"/>
          <w:sz w:val="24"/>
        </w:rPr>
        <w:t>Organizational skills</w:t>
      </w:r>
      <w:bookmarkEnd w:id="17"/>
      <w:r>
        <w:rPr>
          <w:rFonts w:ascii="Constantia" w:hAnsi="Constantia" w:eastAsia="Times New Roman" w:cs="Times New Roman"/>
          <w:caps/>
          <w:color w:val="007789"/>
          <w:sz w:val="24"/>
        </w:rPr>
        <w:t xml:space="preserve"> </w:t>
      </w:r>
    </w:p>
    <w:p>
      <w:pPr>
        <w:spacing w:before="120" w:after="200" w:line="264" w:lineRule="auto"/>
        <w:rPr>
          <w:rFonts w:ascii="Constantia" w:hAnsi="Constantia" w:eastAsia="Times New Roman" w:cs="Times New Roman"/>
          <w:color w:val="595959"/>
        </w:rPr>
      </w:pPr>
      <w:r>
        <w:rPr>
          <w:rFonts w:ascii="Constantia" w:hAnsi="Constantia" w:eastAsia="Times New Roman" w:cs="Times New Roman"/>
          <w:color w:val="595959"/>
        </w:rPr>
        <w:t xml:space="preserve">From planning and managing projects, independent decision making, analyzing issues to teamwork, team management, task delegation, all organizational skills had a boost in desirability by hiring companies. </w:t>
      </w:r>
    </w:p>
    <w:p>
      <w:pPr>
        <w:spacing w:before="120" w:after="200" w:line="264" w:lineRule="auto"/>
        <w:rPr>
          <w:rFonts w:ascii="Constantia" w:hAnsi="Constantia" w:eastAsia="Times New Roman" w:cs="Times New Roman"/>
          <w:color w:val="595959"/>
        </w:rPr>
      </w:pPr>
    </w:p>
    <w:p>
      <w:pPr>
        <w:keepNext/>
        <w:keepLines/>
        <w:spacing w:before="600" w:after="60" w:line="264" w:lineRule="auto"/>
        <w:contextualSpacing/>
        <w:outlineLvl w:val="0"/>
        <w:rPr>
          <w:rFonts w:ascii="Constantia" w:hAnsi="Constantia" w:eastAsia="Times New Roman" w:cs="Times New Roman"/>
          <w:color w:val="007789"/>
          <w:sz w:val="32"/>
        </w:rPr>
      </w:pPr>
      <w:bookmarkStart w:id="18" w:name="_Toc75979001"/>
      <w:r>
        <w:rPr>
          <w:rFonts w:ascii="Constantia" w:hAnsi="Constantia" w:eastAsia="Times New Roman" w:cs="Times New Roman"/>
          <w:color w:val="007789"/>
          <w:sz w:val="32"/>
        </w:rPr>
        <w:t>Conclusions</w:t>
      </w:r>
      <w:bookmarkEnd w:id="18"/>
    </w:p>
    <w:p>
      <w:pPr>
        <w:spacing w:before="120" w:after="200" w:line="264" w:lineRule="auto"/>
        <w:rPr>
          <w:rFonts w:ascii="Constantia" w:hAnsi="Constantia" w:eastAsia="Times New Roman" w:cs="Times New Roman"/>
          <w:color w:val="595959"/>
        </w:rPr>
      </w:pPr>
      <w:r>
        <w:rPr>
          <w:rFonts w:ascii="Constantia" w:hAnsi="Constantia" w:eastAsia="Times New Roman" w:cs="Times New Roman"/>
          <w:color w:val="595959"/>
        </w:rPr>
        <w:t>COVID-19 pandemic has changed fundamentally the economic reality at global level and it is still going, practically being the new reality. Most of the people’s lives were affected dramatically due to the measures taken to stop the spread of the virus. This has shown the fragility of our positions in society as employers, and employees. Regardless if will still continue or it will end, the effects will be long term if not permanent in some cases.</w:t>
      </w:r>
    </w:p>
    <w:p>
      <w:pPr>
        <w:spacing w:before="120" w:after="200" w:line="264" w:lineRule="auto"/>
        <w:rPr>
          <w:rFonts w:ascii="Constantia" w:hAnsi="Constantia" w:eastAsia="Times New Roman" w:cs="Times New Roman"/>
          <w:color w:val="595959"/>
        </w:rPr>
      </w:pPr>
      <w:r>
        <w:rPr>
          <w:rFonts w:ascii="Constantia" w:hAnsi="Constantia" w:eastAsia="Times New Roman" w:cs="Times New Roman"/>
          <w:color w:val="595959"/>
        </w:rPr>
        <w:t>But what this situation has also shown is that each individual needs to expand his set of employability skills by continuously evolving through a long term plan of constant training at work or individually. For this the governments and also the players in the economy at all levels need to start investing in better programs of training  which need to be available to all individuals. Every person involved in the work environment, as a candidate or already employed or employer must realize the importance of developing their skills at the best level possible in order to improve and protect their sources of income, being prepared this way for crisis like COVID-19 pandemic.</w:t>
      </w:r>
    </w:p>
    <w:p>
      <w:pPr>
        <w:spacing w:before="120" w:after="200" w:line="264" w:lineRule="auto"/>
        <w:rPr>
          <w:rFonts w:ascii="Constantia" w:hAnsi="Constantia" w:eastAsia="Times New Roman" w:cs="Times New Roman"/>
          <w:color w:val="595959"/>
        </w:rPr>
      </w:pPr>
    </w:p>
    <w:p>
      <w:pPr>
        <w:spacing w:before="120" w:after="200" w:line="264" w:lineRule="auto"/>
        <w:rPr>
          <w:rFonts w:ascii="Constantia" w:hAnsi="Constantia" w:eastAsia="Times New Roman" w:cs="Times New Roman"/>
          <w:color w:val="595959"/>
        </w:rPr>
      </w:pPr>
    </w:p>
    <w:p>
      <w:pPr>
        <w:spacing w:before="120" w:after="200" w:line="264" w:lineRule="auto"/>
        <w:rPr>
          <w:rFonts w:ascii="Constantia" w:hAnsi="Constantia" w:eastAsia="Times New Roman" w:cs="Times New Roman"/>
          <w:color w:val="595959"/>
        </w:rPr>
      </w:pPr>
    </w:p>
    <w:p>
      <w:pPr>
        <w:spacing w:before="120" w:after="200" w:line="264" w:lineRule="auto"/>
        <w:rPr>
          <w:rFonts w:ascii="Constantia" w:hAnsi="Constantia" w:eastAsia="Times New Roman" w:cs="Times New Roman"/>
          <w:color w:val="595959"/>
        </w:rPr>
      </w:pPr>
    </w:p>
    <w:sdt>
      <w:sdtPr>
        <w:rPr>
          <w:rFonts w:asciiTheme="minorHAnsi" w:hAnsiTheme="minorHAnsi" w:eastAsiaTheme="minorHAnsi" w:cstheme="minorBidi"/>
          <w:color w:val="auto"/>
          <w:sz w:val="22"/>
          <w:szCs w:val="22"/>
        </w:rPr>
        <w:id w:val="-1080449836"/>
        <w:docPartObj>
          <w:docPartGallery w:val="AutoText"/>
        </w:docPartObj>
      </w:sdtPr>
      <w:sdtEndPr>
        <w:rPr>
          <w:rFonts w:asciiTheme="minorHAnsi" w:hAnsiTheme="minorHAnsi" w:eastAsiaTheme="minorHAnsi" w:cstheme="minorBidi"/>
          <w:color w:val="auto"/>
          <w:sz w:val="22"/>
          <w:szCs w:val="22"/>
        </w:rPr>
      </w:sdtEndPr>
      <w:sdtContent>
        <w:p>
          <w:pPr>
            <w:pStyle w:val="2"/>
            <w:rPr>
              <w:rFonts w:ascii="Constantia" w:hAnsi="Constantia" w:eastAsia="Times New Roman" w:cs="Times New Roman"/>
              <w:color w:val="007789"/>
              <w:szCs w:val="22"/>
            </w:rPr>
          </w:pPr>
          <w:bookmarkStart w:id="19" w:name="_Toc75979002"/>
          <w:r>
            <w:rPr>
              <w:rFonts w:ascii="Constantia" w:hAnsi="Constantia" w:eastAsia="Times New Roman" w:cs="Times New Roman"/>
              <w:color w:val="007789"/>
              <w:szCs w:val="22"/>
            </w:rPr>
            <w:t>References</w:t>
          </w:r>
          <w:bookmarkEnd w:id="19"/>
        </w:p>
        <w:sdt>
          <w:sdtPr>
            <w:id w:val="-573587230"/>
          </w:sdtPr>
          <w:sdtContent>
            <w:p>
              <w:pPr>
                <w:pStyle w:val="11"/>
                <w:rPr>
                  <w:sz w:val="24"/>
                  <w:szCs w:val="24"/>
                </w:rPr>
              </w:pPr>
              <w:r>
                <w:fldChar w:fldCharType="begin"/>
              </w:r>
              <w:r>
                <w:instrText xml:space="preserve"> BIBLIOGRAPHY </w:instrText>
              </w:r>
              <w:r>
                <w:fldChar w:fldCharType="separate"/>
              </w:r>
              <w:r>
                <w:t xml:space="preserve">Dingel, J. a. B. N., 2020. “How many jobs can be done at home?”. </w:t>
              </w:r>
              <w:r>
                <w:rPr>
                  <w:i/>
                  <w:iCs/>
                </w:rPr>
                <w:t xml:space="preserve">Journal of Public Economics, </w:t>
              </w:r>
              <w:r>
                <w:t>189(The Public Economics of COVID-19), p. 104235.</w:t>
              </w:r>
            </w:p>
            <w:p>
              <w:pPr>
                <w:pStyle w:val="11"/>
              </w:pPr>
              <w:r>
                <w:t>Fana, M. e. a., 2020. The COVID confinement measures and EU labour markets. JR TECHNICAL REPORTS(Joint Research Centre (European Commission)).</w:t>
              </w:r>
            </w:p>
            <w:p>
              <w:pPr>
                <w:pStyle w:val="11"/>
              </w:pPr>
              <w:r>
                <w:t xml:space="preserve">Foucault, M. a. V. G., 2020. “Working during COVID-19: Cross-Country Evidence from Real-Time Survey Data". </w:t>
              </w:r>
              <w:r>
                <w:rPr>
                  <w:i/>
                  <w:iCs/>
                </w:rPr>
                <w:t xml:space="preserve">OECD Social, Employment and Migration Working Papers, </w:t>
              </w:r>
              <w:r>
                <w:t>No. 246(OECD Publishing , Paris).</w:t>
              </w:r>
            </w:p>
            <w:p>
              <w:pPr>
                <w:pStyle w:val="11"/>
              </w:pPr>
              <w:r>
                <w:t xml:space="preserve">Hale, T. e. a., 2020. Variation in government responses to COVID-19. </w:t>
              </w:r>
              <w:r>
                <w:rPr>
                  <w:i/>
                  <w:iCs/>
                </w:rPr>
                <w:t>OxCGRT.</w:t>
              </w:r>
            </w:p>
            <w:p>
              <w:pPr>
                <w:pStyle w:val="11"/>
              </w:pPr>
              <w:r>
                <w:t xml:space="preserve">OECD (2016), n.d. “Skills use at work:Why does it matter and what influences it?”. </w:t>
              </w:r>
              <w:r>
                <w:rPr>
                  <w:i/>
                  <w:iCs/>
                </w:rPr>
                <w:t xml:space="preserve">OECD Employment Outlook 2016, </w:t>
              </w:r>
              <w:r>
                <w:t>OECD Employment Outlook 2016(OECD Publishing).</w:t>
              </w:r>
            </w:p>
            <w:p>
              <w:pPr>
                <w:pStyle w:val="11"/>
              </w:pPr>
              <w:r>
                <w:t xml:space="preserve">OECD, 2020. “Skill measures to mobilise the workforce during the COVID-19 crisis". </w:t>
              </w:r>
              <w:r>
                <w:rPr>
                  <w:i/>
                  <w:iCs/>
                </w:rPr>
                <w:t xml:space="preserve">OECD , </w:t>
              </w:r>
              <w:r>
                <w:t>Volume OECD Policy Responses to Coronavirus (COVID-19), p. 3.</w:t>
              </w:r>
            </w:p>
            <w:p>
              <w:pPr>
                <w:pStyle w:val="11"/>
              </w:pPr>
              <w:r>
                <w:t>OECD, 2020. “The potential of online learning for adults: Early lessons from the COVID-19 crisis”, , , Paris. OECD Policy Responses to Coronavirus (COVID-19)(OECD Publishing).</w:t>
              </w:r>
            </w:p>
            <w:p>
              <w:pPr>
                <w:pStyle w:val="11"/>
              </w:pPr>
              <w:r>
                <w:t xml:space="preserve">OECD, 2020. OECD calculations based on data from Burning Glass Technologies, December 2020. </w:t>
              </w:r>
              <w:r>
                <w:rPr>
                  <w:i/>
                  <w:iCs/>
                </w:rPr>
                <w:t>OECD.</w:t>
              </w:r>
            </w:p>
            <w:p>
              <w:pPr>
                <w:pStyle w:val="11"/>
              </w:pPr>
              <w:r>
                <w:t>OECD, 2020. Skill measures to mobilisethe workforce during the COVID-19crisis. Volume OECD Policy Responses to Coronavirus (COVID-19), p. 9.</w:t>
              </w:r>
            </w:p>
            <w:p>
              <w:pPr>
                <w:pStyle w:val="11"/>
              </w:pPr>
              <w:r>
                <w:t xml:space="preserve">OECD, 2021. An assessment of the impact of COVID-19 on job and skills demand using online job vacancy data. </w:t>
              </w:r>
              <w:r>
                <w:rPr>
                  <w:i/>
                  <w:iCs/>
                </w:rPr>
                <w:t>OECD.</w:t>
              </w:r>
            </w:p>
            <w:p>
              <w:pPr>
                <w:pStyle w:val="11"/>
              </w:pPr>
              <w:r>
                <w:t xml:space="preserve">Sostero, M. e. a., 2020. </w:t>
              </w:r>
              <w:r>
                <w:rPr>
                  <w:i/>
                  <w:iCs/>
                </w:rPr>
                <w:t xml:space="preserve">Teleworkability and the COVID-19 crisis: a new digital divide?, </w:t>
              </w:r>
              <w:r>
                <w:t>Seville: European Commission.</w:t>
              </w:r>
            </w:p>
            <w:p>
              <w:r>
                <w:rPr>
                  <w:b/>
                  <w:bCs/>
                </w:rPr>
                <w:fldChar w:fldCharType="end"/>
              </w:r>
            </w:p>
          </w:sdtContent>
        </w:sdt>
      </w:sdtContent>
    </w:sdt>
    <w:sectPr>
      <w:footerReference r:id="rId3" w:type="default"/>
      <w:pgSz w:w="12240" w:h="15840"/>
      <w:pgMar w:top="1728" w:right="1800" w:bottom="1440" w:left="1800" w:header="720" w:footer="720" w:gutter="0"/>
      <w:pgNumType w:start="0"/>
      <w:cols w:space="720"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onstantia">
    <w:panose1 w:val="02030602050306030303"/>
    <w:charset w:val="00"/>
    <w:family w:val="roman"/>
    <w:pitch w:val="default"/>
    <w:sig w:usb0="A00002EF" w:usb1="4000204B" w:usb2="00000000" w:usb3="00000000" w:csb0="2000019F" w:csb1="00000000"/>
  </w:font>
  <w:font w:name="等线">
    <w:altName w:val="Microsoft YaHei"/>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t xml:space="preserve">Page </w:t>
    </w:r>
    <w:r>
      <w:fldChar w:fldCharType="begin"/>
    </w:r>
    <w:r>
      <w:instrText xml:space="preserve"> PAGE  \* Arabic  \* MERGEFORMAT </w:instrText>
    </w:r>
    <w:r>
      <w:fldChar w:fldCharType="separate"/>
    </w:r>
    <w:r>
      <w:t>1</w:t>
    </w:r>
    <w:r>
      <w:fldChar w:fldCharType="end"/>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7269"/>
    <w:rsid w:val="000133D4"/>
    <w:rsid w:val="00142620"/>
    <w:rsid w:val="003354BF"/>
    <w:rsid w:val="0033796F"/>
    <w:rsid w:val="00496D60"/>
    <w:rsid w:val="004F1D61"/>
    <w:rsid w:val="00505DBE"/>
    <w:rsid w:val="005A0273"/>
    <w:rsid w:val="00622079"/>
    <w:rsid w:val="006371FB"/>
    <w:rsid w:val="006407C2"/>
    <w:rsid w:val="00683486"/>
    <w:rsid w:val="007328CA"/>
    <w:rsid w:val="00754691"/>
    <w:rsid w:val="007617AC"/>
    <w:rsid w:val="007B410F"/>
    <w:rsid w:val="007E5192"/>
    <w:rsid w:val="00836DB3"/>
    <w:rsid w:val="008D56AE"/>
    <w:rsid w:val="009A35B2"/>
    <w:rsid w:val="00A12665"/>
    <w:rsid w:val="00A269AE"/>
    <w:rsid w:val="00AF34E1"/>
    <w:rsid w:val="00B244E7"/>
    <w:rsid w:val="00B50EE2"/>
    <w:rsid w:val="00C02FB5"/>
    <w:rsid w:val="00C11A0D"/>
    <w:rsid w:val="00C17F4C"/>
    <w:rsid w:val="00C323D6"/>
    <w:rsid w:val="00C40EC7"/>
    <w:rsid w:val="00CC04FA"/>
    <w:rsid w:val="00D05D46"/>
    <w:rsid w:val="00D37269"/>
    <w:rsid w:val="00DA4633"/>
    <w:rsid w:val="00F1435E"/>
    <w:rsid w:val="00F73339"/>
    <w:rsid w:val="00F84455"/>
    <w:rsid w:val="00FD781D"/>
    <w:rsid w:val="43510E46"/>
    <w:rsid w:val="520309C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0"/>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character" w:default="1" w:styleId="6">
    <w:name w:val="Default Paragraph Font"/>
    <w:semiHidden/>
    <w:unhideWhenUsed/>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3">
    <w:name w:val="footer"/>
    <w:basedOn w:val="1"/>
    <w:link w:val="9"/>
    <w:semiHidden/>
    <w:unhideWhenUsed/>
    <w:uiPriority w:val="99"/>
    <w:pPr>
      <w:tabs>
        <w:tab w:val="center" w:pos="4680"/>
        <w:tab w:val="right" w:pos="9360"/>
      </w:tabs>
      <w:spacing w:after="0" w:line="240" w:lineRule="auto"/>
    </w:pPr>
  </w:style>
  <w:style w:type="paragraph" w:styleId="4">
    <w:name w:val="toc 1"/>
    <w:basedOn w:val="1"/>
    <w:next w:val="1"/>
    <w:unhideWhenUsed/>
    <w:qFormat/>
    <w:uiPriority w:val="39"/>
    <w:pPr>
      <w:spacing w:after="100"/>
    </w:pPr>
  </w:style>
  <w:style w:type="paragraph" w:styleId="5">
    <w:name w:val="toc 2"/>
    <w:basedOn w:val="1"/>
    <w:next w:val="1"/>
    <w:unhideWhenUsed/>
    <w:qFormat/>
    <w:uiPriority w:val="39"/>
    <w:pPr>
      <w:spacing w:after="100"/>
      <w:ind w:left="220"/>
    </w:pPr>
  </w:style>
  <w:style w:type="character" w:styleId="7">
    <w:name w:val="Hyperlink"/>
    <w:basedOn w:val="6"/>
    <w:unhideWhenUsed/>
    <w:uiPriority w:val="99"/>
    <w:rPr>
      <w:color w:val="0563C1" w:themeColor="hyperlink"/>
      <w:u w:val="single"/>
      <w14:textFill>
        <w14:solidFill>
          <w14:schemeClr w14:val="hlink"/>
        </w14:solidFill>
      </w14:textFill>
    </w:rPr>
  </w:style>
  <w:style w:type="character" w:customStyle="1" w:styleId="9">
    <w:name w:val="Footer Char"/>
    <w:basedOn w:val="6"/>
    <w:link w:val="3"/>
    <w:semiHidden/>
    <w:uiPriority w:val="99"/>
  </w:style>
  <w:style w:type="character" w:customStyle="1" w:styleId="10">
    <w:name w:val="Heading 1 Char"/>
    <w:basedOn w:val="6"/>
    <w:link w:val="2"/>
    <w:qFormat/>
    <w:uiPriority w:val="9"/>
    <w:rPr>
      <w:rFonts w:asciiTheme="majorHAnsi" w:hAnsiTheme="majorHAnsi" w:eastAsiaTheme="majorEastAsia" w:cstheme="majorBidi"/>
      <w:color w:val="2E75B6" w:themeColor="accent1" w:themeShade="BF"/>
      <w:sz w:val="32"/>
      <w:szCs w:val="32"/>
    </w:rPr>
  </w:style>
  <w:style w:type="paragraph" w:customStyle="1" w:styleId="11">
    <w:name w:val="Bibliography"/>
    <w:basedOn w:val="1"/>
    <w:next w:val="1"/>
    <w:unhideWhenUsed/>
    <w:uiPriority w:val="37"/>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2.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Din20</b:Tag>
    <b:SourceType>JournalArticle</b:SourceType>
    <b:Guid>{5CEDF79B-5138-448A-870C-0E52AFE12F6A}</b:Guid>
    <b:Author>
      <b:Author>
        <b:NameList>
          <b:Person>
            <b:Last>Dingel</b:Last>
            <b:First>J.</b:First>
            <b:Middle>and B. Neiman</b:Middle>
          </b:Person>
        </b:NameList>
      </b:Author>
    </b:Author>
    <b:Title>“How many jobs can be done at home?”</b:Title>
    <b:JournalName>Journal of Public Economics</b:JournalName>
    <b:Year>2020</b:Year>
    <b:Pages>104235</b:Pages>
    <b:Volume>189</b:Volume>
    <b:Issue>The Public Economics of COVID-19</b:Issue>
    <b:RefOrder>5</b:RefOrder>
  </b:Source>
  <b:Source>
    <b:Tag>Fou20</b:Tag>
    <b:SourceType>JournalArticle</b:SourceType>
    <b:Guid>{280FF0CA-0D4D-4BD1-B94D-3EA65B74016E}</b:Guid>
    <b:Author>
      <b:Author>
        <b:NameList>
          <b:Person>
            <b:Last>Foucault</b:Last>
            <b:First>M.</b:First>
            <b:Middle>and V. Galasso</b:Middle>
          </b:Person>
        </b:NameList>
      </b:Author>
    </b:Author>
    <b:Title>“Working during COVID-19: Cross-Country Evidence from Real-Time Survey Data"</b:Title>
    <b:JournalName>OECD Social, Employment and Migration Working Papers</b:JournalName>
    <b:Year>2020</b:Year>
    <b:Volume>No. 246</b:Volume>
    <b:Issue>OECD Publishing , Paris</b:Issue>
    <b:RefOrder>2</b:RefOrder>
  </b:Source>
  <b:Source>
    <b:Tag>Hal20</b:Tag>
    <b:SourceType>JournalArticle</b:SourceType>
    <b:Guid>{8FC5E604-EFB4-4605-8A87-2BC1A9CC5A63}</b:Guid>
    <b:Author>
      <b:Author>
        <b:NameList>
          <b:Person>
            <b:Last>Hale</b:Last>
            <b:First>T.</b:First>
            <b:Middle>et al.</b:Middle>
          </b:Person>
        </b:NameList>
      </b:Author>
    </b:Author>
    <b:Title>Variation in government responses to COVID-19</b:Title>
    <b:JournalName>OxCGRT</b:JournalName>
    <b:Year>2020</b:Year>
    <b:RefOrder>1</b:RefOrder>
  </b:Source>
  <b:Source>
    <b:Tag>Ana21</b:Tag>
    <b:SourceType>JournalArticle</b:SourceType>
    <b:Guid>{9A2D8448-D231-420F-B9EE-3E6772C5F531}</b:Guid>
    <b:Title>An assessment of the impact of COVID-19 on job and skills demand using online job vacancy data</b:Title>
    <b:Year>2021</b:Year>
    <b:JournalName>OECD</b:JournalName>
    <b:Author>
      <b:Author>
        <b:NameList>
          <b:Person>
            <b:Last>OECD</b:Last>
          </b:Person>
        </b:NameList>
      </b:Author>
    </b:Author>
    <b:RefOrder>7</b:RefOrder>
  </b:Source>
  <b:Source>
    <b:Tag>OEC20</b:Tag>
    <b:SourceType>JournalArticle</b:SourceType>
    <b:Guid>{7C353397-676F-4601-9270-EE4FF53AFE87}</b:Guid>
    <b:Title>OECD calculations based on data from Burning Glass Technologies, December 2020</b:Title>
    <b:JournalName>OECD</b:JournalName>
    <b:Year>2020</b:Year>
    <b:Author>
      <b:Author>
        <b:NameList>
          <b:Person>
            <b:Last>OECD</b:Last>
          </b:Person>
        </b:NameList>
      </b:Author>
    </b:Author>
    <b:RefOrder>11</b:RefOrder>
  </b:Source>
  <b:Source>
    <b:Tag>Sos20</b:Tag>
    <b:SourceType>Report</b:SourceType>
    <b:Guid>{256CA314-F872-4A73-8EAD-5E5A2DE3232B}</b:Guid>
    <b:Title>Teleworkability and the COVID-19 crisis: a new digital divide?</b:Title>
    <b:Year>2020</b:Year>
    <b:Author>
      <b:Author>
        <b:NameList>
          <b:Person>
            <b:Last>Sostero</b:Last>
            <b:First>M.</b:First>
            <b:Middle>et al.</b:Middle>
          </b:Person>
        </b:NameList>
      </b:Author>
    </b:Author>
    <b:Publisher>European Commission</b:Publisher>
    <b:City>Seville</b:City>
    <b:RefOrder>6</b:RefOrder>
  </b:Source>
  <b:Source>
    <b:Tag>OEC201</b:Tag>
    <b:SourceType>JournalArticle</b:SourceType>
    <b:Guid>{05A353CB-C972-4B15-AC2F-20041098CBC3}</b:Guid>
    <b:Title>“Skill measures to mobilise the workforce during the COVID-19 crisis"</b:Title>
    <b:JournalName>OECD </b:JournalName>
    <b:Year>2020</b:Year>
    <b:Pages>3</b:Pages>
    <b:Volume>OECD Policy Responses to Coronavirus (COVID-19)</b:Volume>
    <b:Author>
      <b:Author>
        <b:NameList>
          <b:Person>
            <b:Last>OECD</b:Last>
          </b:Person>
        </b:NameList>
      </b:Author>
    </b:Author>
    <b:City>Paris</b:City>
    <b:Publisher>OECD Publishing</b:Publisher>
    <b:RefOrder>8</b:RefOrder>
  </b:Source>
  <b:Source>
    <b:Tag>OEC202</b:Tag>
    <b:SourceType>JournalArticle</b:SourceType>
    <b:Guid>{1E7E12CB-AAEA-4E92-A1AF-23F38476A63A}</b:Guid>
    <b:Author>
      <b:Author>
        <b:NameList>
          <b:Person>
            <b:Last>OECD</b:Last>
          </b:Person>
        </b:NameList>
      </b:Author>
    </b:Author>
    <b:Title>Skill measures to mobilisethe workforce during the COVID-19crisis</b:Title>
    <b:Year>2020</b:Year>
    <b:Pages>9</b:Pages>
    <b:Volume>OECD Policy Responses to Coronavirus (COVID-19)</b:Volume>
    <b:RefOrder>9</b:RefOrder>
  </b:Source>
  <b:Source>
    <b:Tag>OEC203</b:Tag>
    <b:SourceType>JournalArticle</b:SourceType>
    <b:Guid>{8D0DDBCE-D752-4DE9-824A-6C317ABFEADA}</b:Guid>
    <b:Title>“The potential of online learning for adults: Early lessons from the COVID-19 crisis”, , , Paris</b:Title>
    <b:Year>2020</b:Year>
    <b:Volume>OECD Policy Responses to Coronavirus (COVID-19)</b:Volume>
    <b:Issue>OECD Publishing</b:Issue>
    <b:Author>
      <b:Author>
        <b:NameList>
          <b:Person>
            <b:Last>OECD</b:Last>
          </b:Person>
        </b:NameList>
      </b:Author>
    </b:Author>
    <b:City>Paris</b:City>
    <b:Publisher>OECD</b:Publisher>
    <b:Institution>OECD</b:Institution>
    <b:RefOrder>10</b:RefOrder>
  </b:Source>
  <b:Source>
    <b:Tag>Fan20</b:Tag>
    <b:SourceType>JournalArticle</b:SourceType>
    <b:Guid>{1BA87F7B-01CB-46B5-81A6-D4FD82E5CB57}</b:Guid>
    <b:Author>
      <b:Author>
        <b:NameList>
          <b:Person>
            <b:Last>Fana</b:Last>
            <b:First>Marta</b:First>
            <b:Middle>et. al.</b:Middle>
          </b:Person>
        </b:NameList>
      </b:Author>
    </b:Author>
    <b:Title>The COVID confinement measures and EU labour markets</b:Title>
    <b:Year>2020</b:Year>
    <b:Volume>JR TECHNICAL REPORTS</b:Volume>
    <b:Issue>Joint Research Centre (European Commission)</b:Issue>
    <b:RefOrder>4</b:RefOrder>
  </b:Source>
  <b:Source>
    <b:Tag>OEC16</b:Tag>
    <b:SourceType>JournalArticle</b:SourceType>
    <b:Guid>{EEC20EC4-CE9E-4981-BEB2-386537B4915D}</b:Guid>
    <b:Author>
      <b:Author>
        <b:NameList>
          <b:Person>
            <b:Last>OECD (2016)</b:Last>
          </b:Person>
        </b:NameList>
      </b:Author>
    </b:Author>
    <b:Title>“Skills use at work:Why does it matter and what influences it?”</b:Title>
    <b:JournalName>OECD Employment Outlook 2016</b:JournalName>
    <b:Volume>OECD Employment Outlook 2016</b:Volume>
    <b:Issue>OECD Publishing</b:Issue>
    <b:RefOrder>3</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37113F8-D3AE-465F-8968-CC8E0981DC14}">
  <ds:schemaRefs/>
</ds:datastoreItem>
</file>

<file path=docProps/app.xml><?xml version="1.0" encoding="utf-8"?>
<Properties xmlns="http://schemas.openxmlformats.org/officeDocument/2006/extended-properties" xmlns:vt="http://schemas.openxmlformats.org/officeDocument/2006/docPropsVTypes">
  <Template>Normal</Template>
  <Pages>8</Pages>
  <Words>2512</Words>
  <Characters>14324</Characters>
  <Lines>119</Lines>
  <Paragraphs>33</Paragraphs>
  <TotalTime>1534</TotalTime>
  <ScaleCrop>false</ScaleCrop>
  <LinksUpToDate>false</LinksUpToDate>
  <CharactersWithSpaces>16803</CharactersWithSpaces>
  <Application>WPS Office_11.2.0.9669_F1E327BC-269C-435d-A152-05C5408002CA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2021-06-29T18:11:00Z</dcterms:created>
  <dc:creator>Mihaela Fodor</dc:creator>
  <cp:lastModifiedBy>Newport</cp:lastModifiedBy>
  <dcterms:modified xsi:type="dcterms:W3CDTF">2021-07-01T11:13:20Z</dcterms:modified>
  <cp:revision>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1033-11.2.0.9669</vt:lpwstr>
  </property>
</Properties>
</file>