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sz w:val="36"/>
          <w:szCs w:val="36"/>
          <w:highlight w:val="white"/>
        </w:rPr>
      </w:pPr>
      <w:r w:rsidDel="00000000" w:rsidR="00000000" w:rsidRPr="00000000">
        <w:rPr>
          <w:sz w:val="36"/>
          <w:szCs w:val="36"/>
          <w:highlight w:val="white"/>
          <w:rtl w:val="0"/>
        </w:rPr>
        <w:t xml:space="preserve">Vulnerability, Welfare, and Risk </w:t>
      </w:r>
    </w:p>
    <w:p w:rsidR="00000000" w:rsidDel="00000000" w:rsidP="00000000" w:rsidRDefault="00000000" w:rsidRPr="00000000" w14:paraId="00000002">
      <w:pPr>
        <w:spacing w:line="480" w:lineRule="auto"/>
        <w:jc w:val="center"/>
        <w:rPr>
          <w:sz w:val="36"/>
          <w:szCs w:val="36"/>
          <w:highlight w:val="white"/>
        </w:rPr>
      </w:pPr>
      <w:r w:rsidDel="00000000" w:rsidR="00000000" w:rsidRPr="00000000">
        <w:rPr>
          <w:sz w:val="36"/>
          <w:szCs w:val="36"/>
          <w:highlight w:val="white"/>
          <w:rtl w:val="0"/>
        </w:rPr>
        <w:t xml:space="preserve">Assignment 1</w:t>
      </w:r>
    </w:p>
    <w:p w:rsidR="00000000" w:rsidDel="00000000" w:rsidP="00000000" w:rsidRDefault="00000000" w:rsidRPr="00000000" w14:paraId="00000003">
      <w:pPr>
        <w:spacing w:line="480" w:lineRule="auto"/>
        <w:jc w:val="center"/>
        <w:rPr>
          <w:sz w:val="36"/>
          <w:szCs w:val="36"/>
          <w:highlight w:val="white"/>
        </w:rPr>
      </w:pPr>
      <w:r w:rsidDel="00000000" w:rsidR="00000000" w:rsidRPr="00000000">
        <w:rPr>
          <w:rtl w:val="0"/>
        </w:rPr>
      </w:r>
    </w:p>
    <w:p w:rsidR="00000000" w:rsidDel="00000000" w:rsidP="00000000" w:rsidRDefault="00000000" w:rsidRPr="00000000" w14:paraId="00000004">
      <w:pPr>
        <w:spacing w:line="480" w:lineRule="auto"/>
        <w:jc w:val="center"/>
        <w:rPr>
          <w:sz w:val="36"/>
          <w:szCs w:val="36"/>
          <w:highlight w:val="white"/>
        </w:rPr>
      </w:pPr>
      <w:r w:rsidDel="00000000" w:rsidR="00000000" w:rsidRPr="00000000">
        <w:rPr>
          <w:sz w:val="36"/>
          <w:szCs w:val="36"/>
          <w:highlight w:val="white"/>
          <w:rtl w:val="0"/>
        </w:rPr>
        <w:t xml:space="preserve">Critically evaluate how the Criminal Justice System responds to victims of crime </w:t>
      </w:r>
    </w:p>
    <w:p w:rsidR="00000000" w:rsidDel="00000000" w:rsidP="00000000" w:rsidRDefault="00000000" w:rsidRPr="00000000" w14:paraId="00000005">
      <w:pPr>
        <w:spacing w:line="480" w:lineRule="auto"/>
        <w:jc w:val="center"/>
        <w:rPr>
          <w:sz w:val="36"/>
          <w:szCs w:val="36"/>
          <w:highlight w:val="white"/>
        </w:rPr>
      </w:pPr>
      <w:r w:rsidDel="00000000" w:rsidR="00000000" w:rsidRPr="00000000">
        <w:rPr>
          <w:rtl w:val="0"/>
        </w:rPr>
      </w:r>
    </w:p>
    <w:p w:rsidR="00000000" w:rsidDel="00000000" w:rsidP="00000000" w:rsidRDefault="00000000" w:rsidRPr="00000000" w14:paraId="00000006">
      <w:pPr>
        <w:spacing w:line="480" w:lineRule="auto"/>
        <w:jc w:val="center"/>
        <w:rPr>
          <w:sz w:val="36"/>
          <w:szCs w:val="36"/>
          <w:highlight w:val="white"/>
        </w:rPr>
      </w:pPr>
      <w:r w:rsidDel="00000000" w:rsidR="00000000" w:rsidRPr="00000000">
        <w:rPr>
          <w:sz w:val="36"/>
          <w:szCs w:val="36"/>
          <w:highlight w:val="white"/>
          <w:rtl w:val="0"/>
        </w:rPr>
        <w:t xml:space="preserve">Maximillian Roe - 1901211</w:t>
      </w:r>
    </w:p>
    <w:p w:rsidR="00000000" w:rsidDel="00000000" w:rsidP="00000000" w:rsidRDefault="00000000" w:rsidRPr="00000000" w14:paraId="00000007">
      <w:pPr>
        <w:spacing w:line="480" w:lineRule="auto"/>
        <w:jc w:val="center"/>
        <w:rPr>
          <w:highlight w:val="white"/>
        </w:rPr>
      </w:pPr>
      <w:r w:rsidDel="00000000" w:rsidR="00000000" w:rsidRPr="00000000">
        <w:rPr>
          <w:rtl w:val="0"/>
        </w:rPr>
      </w:r>
    </w:p>
    <w:p w:rsidR="00000000" w:rsidDel="00000000" w:rsidP="00000000" w:rsidRDefault="00000000" w:rsidRPr="00000000" w14:paraId="00000008">
      <w:pPr>
        <w:spacing w:line="480" w:lineRule="auto"/>
        <w:jc w:val="center"/>
        <w:rPr>
          <w:highlight w:val="white"/>
        </w:rPr>
      </w:pPr>
      <w:r w:rsidDel="00000000" w:rsidR="00000000" w:rsidRPr="00000000">
        <w:rPr>
          <w:rtl w:val="0"/>
        </w:rPr>
      </w:r>
    </w:p>
    <w:p w:rsidR="00000000" w:rsidDel="00000000" w:rsidP="00000000" w:rsidRDefault="00000000" w:rsidRPr="00000000" w14:paraId="00000009">
      <w:pPr>
        <w:spacing w:line="480" w:lineRule="auto"/>
        <w:jc w:val="center"/>
        <w:rPr>
          <w:highlight w:val="white"/>
        </w:rPr>
      </w:pPr>
      <w:r w:rsidDel="00000000" w:rsidR="00000000" w:rsidRPr="00000000">
        <w:rPr>
          <w:rtl w:val="0"/>
        </w:rPr>
      </w:r>
    </w:p>
    <w:p w:rsidR="00000000" w:rsidDel="00000000" w:rsidP="00000000" w:rsidRDefault="00000000" w:rsidRPr="00000000" w14:paraId="0000000A">
      <w:pPr>
        <w:spacing w:line="480" w:lineRule="auto"/>
        <w:jc w:val="center"/>
        <w:rPr>
          <w:highlight w:val="white"/>
        </w:rPr>
      </w:pPr>
      <w:r w:rsidDel="00000000" w:rsidR="00000000" w:rsidRPr="00000000">
        <w:rPr>
          <w:rtl w:val="0"/>
        </w:rPr>
      </w:r>
    </w:p>
    <w:p w:rsidR="00000000" w:rsidDel="00000000" w:rsidP="00000000" w:rsidRDefault="00000000" w:rsidRPr="00000000" w14:paraId="0000000B">
      <w:pPr>
        <w:spacing w:line="480" w:lineRule="auto"/>
        <w:jc w:val="center"/>
        <w:rPr>
          <w:highlight w:val="white"/>
        </w:rPr>
      </w:pPr>
      <w:r w:rsidDel="00000000" w:rsidR="00000000" w:rsidRPr="00000000">
        <w:rPr>
          <w:rtl w:val="0"/>
        </w:rPr>
      </w:r>
    </w:p>
    <w:p w:rsidR="00000000" w:rsidDel="00000000" w:rsidP="00000000" w:rsidRDefault="00000000" w:rsidRPr="00000000" w14:paraId="0000000C">
      <w:pPr>
        <w:spacing w:line="480" w:lineRule="auto"/>
        <w:jc w:val="center"/>
        <w:rPr>
          <w:highlight w:val="white"/>
        </w:rPr>
      </w:pPr>
      <w:r w:rsidDel="00000000" w:rsidR="00000000" w:rsidRPr="00000000">
        <w:rPr>
          <w:rtl w:val="0"/>
        </w:rPr>
      </w:r>
    </w:p>
    <w:p w:rsidR="00000000" w:rsidDel="00000000" w:rsidP="00000000" w:rsidRDefault="00000000" w:rsidRPr="00000000" w14:paraId="0000000D">
      <w:pPr>
        <w:spacing w:line="480" w:lineRule="auto"/>
        <w:jc w:val="center"/>
        <w:rPr>
          <w:highlight w:val="white"/>
        </w:rPr>
      </w:pPr>
      <w:r w:rsidDel="00000000" w:rsidR="00000000" w:rsidRPr="00000000">
        <w:rPr>
          <w:rtl w:val="0"/>
        </w:rPr>
      </w:r>
    </w:p>
    <w:p w:rsidR="00000000" w:rsidDel="00000000" w:rsidP="00000000" w:rsidRDefault="00000000" w:rsidRPr="00000000" w14:paraId="0000000E">
      <w:pPr>
        <w:spacing w:line="480" w:lineRule="auto"/>
        <w:jc w:val="center"/>
        <w:rPr>
          <w:highlight w:val="white"/>
        </w:rPr>
      </w:pPr>
      <w:r w:rsidDel="00000000" w:rsidR="00000000" w:rsidRPr="00000000">
        <w:rPr>
          <w:rtl w:val="0"/>
        </w:rPr>
      </w:r>
    </w:p>
    <w:p w:rsidR="00000000" w:rsidDel="00000000" w:rsidP="00000000" w:rsidRDefault="00000000" w:rsidRPr="00000000" w14:paraId="0000000F">
      <w:pPr>
        <w:spacing w:line="480" w:lineRule="auto"/>
        <w:jc w:val="center"/>
        <w:rPr>
          <w:highlight w:val="white"/>
        </w:rPr>
      </w:pPr>
      <w:r w:rsidDel="00000000" w:rsidR="00000000" w:rsidRPr="00000000">
        <w:rPr>
          <w:rtl w:val="0"/>
        </w:rPr>
      </w:r>
    </w:p>
    <w:p w:rsidR="00000000" w:rsidDel="00000000" w:rsidP="00000000" w:rsidRDefault="00000000" w:rsidRPr="00000000" w14:paraId="00000010">
      <w:pPr>
        <w:spacing w:line="480" w:lineRule="auto"/>
        <w:jc w:val="center"/>
        <w:rPr>
          <w:highlight w:val="white"/>
        </w:rPr>
      </w:pPr>
      <w:r w:rsidDel="00000000" w:rsidR="00000000" w:rsidRPr="00000000">
        <w:rPr>
          <w:rtl w:val="0"/>
        </w:rPr>
      </w:r>
    </w:p>
    <w:p w:rsidR="00000000" w:rsidDel="00000000" w:rsidP="00000000" w:rsidRDefault="00000000" w:rsidRPr="00000000" w14:paraId="00000011">
      <w:pPr>
        <w:spacing w:line="480" w:lineRule="auto"/>
        <w:jc w:val="left"/>
        <w:rPr>
          <w:highlight w:val="white"/>
        </w:rPr>
      </w:pPr>
      <w:r w:rsidDel="00000000" w:rsidR="00000000" w:rsidRPr="00000000">
        <w:rPr>
          <w:rtl w:val="0"/>
        </w:rPr>
      </w:r>
    </w:p>
    <w:p w:rsidR="00000000" w:rsidDel="00000000" w:rsidP="00000000" w:rsidRDefault="00000000" w:rsidRPr="00000000" w14:paraId="00000012">
      <w:pPr>
        <w:spacing w:line="480" w:lineRule="auto"/>
        <w:jc w:val="left"/>
        <w:rPr>
          <w:highlight w:val="white"/>
        </w:rPr>
      </w:pPr>
      <w:r w:rsidDel="00000000" w:rsidR="00000000" w:rsidRPr="00000000">
        <w:rPr>
          <w:rtl w:val="0"/>
        </w:rPr>
      </w:r>
    </w:p>
    <w:p w:rsidR="00000000" w:rsidDel="00000000" w:rsidP="00000000" w:rsidRDefault="00000000" w:rsidRPr="00000000" w14:paraId="00000013">
      <w:pPr>
        <w:spacing w:line="480" w:lineRule="auto"/>
        <w:jc w:val="left"/>
        <w:rPr>
          <w:highlight w:val="white"/>
        </w:rPr>
      </w:pPr>
      <w:r w:rsidDel="00000000" w:rsidR="00000000" w:rsidRPr="00000000">
        <w:rPr>
          <w:rtl w:val="0"/>
        </w:rPr>
      </w:r>
    </w:p>
    <w:p w:rsidR="00000000" w:rsidDel="00000000" w:rsidP="00000000" w:rsidRDefault="00000000" w:rsidRPr="00000000" w14:paraId="00000014">
      <w:pPr>
        <w:spacing w:line="480" w:lineRule="auto"/>
        <w:jc w:val="left"/>
        <w:rPr>
          <w:highlight w:val="white"/>
        </w:rPr>
      </w:pPr>
      <w:r w:rsidDel="00000000" w:rsidR="00000000" w:rsidRPr="00000000">
        <w:rPr>
          <w:highlight w:val="white"/>
          <w:rtl w:val="0"/>
        </w:rPr>
        <w:t xml:space="preserve">In this essay, I will be evaluating and discussing the subject area involving victims of crimes. I will be engaging in the vast research around the topic including; why people become victims of crimes in regards to different factors such as their vulnerability and other variables that may have or had an effect leading these individuals to be victims of crimes. I shall also be discussing the legislation and policies in effect with regards to individuals who have fallen victims to crimes as well as those who are thought to be vulnerable or at risk of crimes being committed against them and researching how certain policies can help/ protect the wellbeing of these individuals. During this essay, I will try to gain an appreciation </w:t>
      </w:r>
      <w:r w:rsidDel="00000000" w:rsidR="00000000" w:rsidRPr="00000000">
        <w:rPr>
          <w:highlight w:val="white"/>
          <w:rtl w:val="0"/>
        </w:rPr>
        <w:t xml:space="preserve">for vulnerability, welfare, and risk in the context of operational policing including response to police presence, public protection policing, and different organizational approaches to supporting vulnerable people or those at risk. I shall also be seeking to gain critical knowledge of the nature and extent of onset offending and the impact of early intervention to curve offending. To accomplish all of this during the essay I will be completing extensive research from a wide variety of sources, looking at both past and present statistics that will help me gain an overall and in-depth knowledge regarding the subject area. Another key part of my work will be to develop an understanding of many different theories from reliable sources to produce a more comprehensive awareness for victims of crimes, and this will help me evaluate as well as possibly suggest improvements that can be made in society to better the world and the individuals in it to help victims of crimes and in hope to reduce the number of victims of crime in the future.     </w:t>
      </w:r>
    </w:p>
    <w:p w:rsidR="00000000" w:rsidDel="00000000" w:rsidP="00000000" w:rsidRDefault="00000000" w:rsidRPr="00000000" w14:paraId="00000015">
      <w:pPr>
        <w:spacing w:line="480" w:lineRule="auto"/>
        <w:jc w:val="left"/>
        <w:rPr>
          <w:highlight w:val="white"/>
        </w:rPr>
      </w:pPr>
      <w:r w:rsidDel="00000000" w:rsidR="00000000" w:rsidRPr="00000000">
        <w:rPr>
          <w:rtl w:val="0"/>
        </w:rPr>
      </w:r>
    </w:p>
    <w:p w:rsidR="00000000" w:rsidDel="00000000" w:rsidP="00000000" w:rsidRDefault="00000000" w:rsidRPr="00000000" w14:paraId="00000016">
      <w:pPr>
        <w:spacing w:line="480" w:lineRule="auto"/>
        <w:jc w:val="left"/>
        <w:rPr>
          <w:highlight w:val="white"/>
        </w:rPr>
      </w:pPr>
      <w:r w:rsidDel="00000000" w:rsidR="00000000" w:rsidRPr="00000000">
        <w:rPr>
          <w:highlight w:val="white"/>
          <w:rtl w:val="0"/>
        </w:rPr>
        <w:t xml:space="preserve">Whenever a crime is committed there will always be a victim. For example, if the crime was theft then the owner of the item that has been stolen would be the victim. Millions upon millions of people all around the world are victimized every year, although there are no set reasons for many of the crimes that are committed, there are variables that may suggest that some individuals that are more likely to be victimized. These variables may include; location, wealth, known associates, gender, physical or mental impairments, and a few more. (</w:t>
      </w:r>
      <w:r w:rsidDel="00000000" w:rsidR="00000000" w:rsidRPr="00000000">
        <w:rPr>
          <w:highlight w:val="white"/>
          <w:rtl w:val="0"/>
        </w:rPr>
        <w:t xml:space="preserve">Schmideberg, 1980)</w:t>
      </w:r>
    </w:p>
    <w:p w:rsidR="00000000" w:rsidDel="00000000" w:rsidP="00000000" w:rsidRDefault="00000000" w:rsidRPr="00000000" w14:paraId="00000017">
      <w:pPr>
        <w:spacing w:line="480" w:lineRule="auto"/>
        <w:jc w:val="left"/>
        <w:rPr>
          <w:highlight w:val="white"/>
        </w:rPr>
      </w:pPr>
      <w:r w:rsidDel="00000000" w:rsidR="00000000" w:rsidRPr="00000000">
        <w:rPr>
          <w:highlight w:val="white"/>
          <w:rtl w:val="0"/>
        </w:rPr>
        <w:t xml:space="preserve">The location that an individual lives in or even is present at a certain time can have an impact on whether they are more or less likely to be victimized. Research has shown that in the UK, crime rates tend to be higher in bigger areas such as Greater Manchester, where a study has shown that in the year 2018-2019 the crime rate was at 117 per 1000 people in the area. Compared to the North Yorkshire whereas low as 56 per 1000 people were victimized. (Peett, 2020). This study may show that the location you are in can make you more vulnerable to being victimized as some areas in the UK show that in certain areas more people have crimes committed against them compared to other areas. A study produced by (Trust for London, 2021) suggests that the reason crime rates are higher in certain areas is because of these areas being ‘income deprived with the most income-deprived areas showing a 2.3 times higher likelihood of crime involving </w:t>
      </w:r>
      <w:r w:rsidDel="00000000" w:rsidR="00000000" w:rsidRPr="00000000">
        <w:rPr>
          <w:highlight w:val="white"/>
          <w:rtl w:val="0"/>
        </w:rPr>
        <w:t xml:space="preserve">Violence, robbery, and sexual offenses and are 2.6 times more likely to have crimes involving drugs and weapon offenses. The areas that are known where individuals receive less income may have higher crime rates usually due to the motivation of the criminal. If an individual earns a lower amount of money they could be seen to have a higher motivation to commit a crime due to the benefits they receive from doing so.</w:t>
      </w:r>
    </w:p>
    <w:p w:rsidR="00000000" w:rsidDel="00000000" w:rsidP="00000000" w:rsidRDefault="00000000" w:rsidRPr="00000000" w14:paraId="00000018">
      <w:pPr>
        <w:spacing w:line="480" w:lineRule="auto"/>
        <w:jc w:val="left"/>
        <w:rPr>
          <w:highlight w:val="white"/>
        </w:rPr>
      </w:pPr>
      <w:r w:rsidDel="00000000" w:rsidR="00000000" w:rsidRPr="00000000">
        <w:rPr>
          <w:highlight w:val="white"/>
          <w:rtl w:val="0"/>
        </w:rPr>
        <w:t xml:space="preserve">The next variable I have looked at was gender, and how it can increase an individual’s likeliness to be victimized. In the UK studies have shown that overall, males are more likely to be a victim of crime. Males have a higher rate of being a victim of all crimes other than rape and other sexual assaults. However, after research was conducted by (Hoyer, 1980) and shows that although men are more prone to be a victim of a crime, women show a higher fear when it comes to the topic of crimes. This study led to the belief that because of the fear levels shown to be the females that were interviewed that women are more likely to have a higher caution when involving their safety, compared to men as the results have shown that men have a much lower percentage when involving the topic of being a victim of a crime. This leads researchers to believe that men believe that they don’t need as much security, and this may have an effect on why male individuals are more likely to become a victim of crime.</w:t>
      </w:r>
    </w:p>
    <w:p w:rsidR="00000000" w:rsidDel="00000000" w:rsidP="00000000" w:rsidRDefault="00000000" w:rsidRPr="00000000" w14:paraId="00000019">
      <w:pPr>
        <w:spacing w:line="480" w:lineRule="auto"/>
        <w:jc w:val="left"/>
        <w:rPr>
          <w:highlight w:val="white"/>
        </w:rPr>
      </w:pPr>
      <w:r w:rsidDel="00000000" w:rsidR="00000000" w:rsidRPr="00000000">
        <w:rPr>
          <w:highlight w:val="white"/>
          <w:rtl w:val="0"/>
        </w:rPr>
        <w:t xml:space="preserve">Another aspect that could increase the likelihood of being victimized would be the vulnerability of an individual. Studies show that criminals are more likely to offend someone if they are seen as ‘weak’ or unable to fight for themselves. There are different factors that can lead to a person being more vulnerable, for example, the age of an individual would have an effect as a criminal would be more likely to steal from an elderly man rather than a sturdy younger man due to the fact that they believe it would be easier and they are more likely to get away with the crime. </w:t>
      </w:r>
    </w:p>
    <w:p w:rsidR="00000000" w:rsidDel="00000000" w:rsidP="00000000" w:rsidRDefault="00000000" w:rsidRPr="00000000" w14:paraId="0000001A">
      <w:pPr>
        <w:spacing w:line="480" w:lineRule="auto"/>
        <w:jc w:val="left"/>
        <w:rPr>
          <w:highlight w:val="white"/>
        </w:rPr>
      </w:pPr>
      <w:r w:rsidDel="00000000" w:rsidR="00000000" w:rsidRPr="00000000">
        <w:rPr>
          <w:highlight w:val="white"/>
          <w:rtl w:val="0"/>
        </w:rPr>
        <w:t xml:space="preserve">Age will have an impact on victimization as research by (Clark, 2021) shows that the age group with the most reported victims is between ages: 16 - 24. Research into why this age group, in particular, has a higher rate of victims could be due to the social groups at these ages. (Department of justice, 1997) the idea that victims of crimes can at the ages of 16-24 be because of the social environment can be backed up by research that shows the highest criminal offender age group ranges between 18 - 23. The higher percentage of age groups involving criminals and victims are very similar, showing that it is likely that criminals may commit crimes against individuals of a similar age. </w:t>
      </w:r>
    </w:p>
    <w:p w:rsidR="00000000" w:rsidDel="00000000" w:rsidP="00000000" w:rsidRDefault="00000000" w:rsidRPr="00000000" w14:paraId="0000001B">
      <w:pPr>
        <w:spacing w:line="480" w:lineRule="auto"/>
        <w:jc w:val="left"/>
        <w:rPr>
          <w:highlight w:val="white"/>
        </w:rPr>
      </w:pPr>
      <w:r w:rsidDel="00000000" w:rsidR="00000000" w:rsidRPr="00000000">
        <w:rPr>
          <w:rtl w:val="0"/>
        </w:rPr>
      </w:r>
    </w:p>
    <w:p w:rsidR="00000000" w:rsidDel="00000000" w:rsidP="00000000" w:rsidRDefault="00000000" w:rsidRPr="00000000" w14:paraId="0000001C">
      <w:pPr>
        <w:spacing w:line="480" w:lineRule="auto"/>
        <w:jc w:val="left"/>
        <w:rPr>
          <w:highlight w:val="white"/>
        </w:rPr>
      </w:pPr>
      <w:r w:rsidDel="00000000" w:rsidR="00000000" w:rsidRPr="00000000">
        <w:rPr>
          <w:highlight w:val="white"/>
          <w:rtl w:val="0"/>
        </w:rPr>
        <w:t xml:space="preserve">Certain individuals are more vulnerable than others and it can fall under the criminal justice system to ensure their safety. </w:t>
      </w:r>
    </w:p>
    <w:p w:rsidR="00000000" w:rsidDel="00000000" w:rsidP="00000000" w:rsidRDefault="00000000" w:rsidRPr="00000000" w14:paraId="0000001D">
      <w:pPr>
        <w:spacing w:line="480" w:lineRule="auto"/>
        <w:jc w:val="left"/>
        <w:rPr>
          <w:highlight w:val="white"/>
        </w:rPr>
      </w:pPr>
      <w:r w:rsidDel="00000000" w:rsidR="00000000" w:rsidRPr="00000000">
        <w:rPr>
          <w:highlight w:val="white"/>
          <w:rtl w:val="0"/>
        </w:rPr>
        <w:t xml:space="preserve">In the UK, there’s a clear legal structure for safeguarding vulnerable adults. The overall concept of safeguarding adults is to protect their life, keep them protected and stop them from threats or encountering abuse or  neglect</w:t>
      </w:r>
    </w:p>
    <w:p w:rsidR="00000000" w:rsidDel="00000000" w:rsidP="00000000" w:rsidRDefault="00000000" w:rsidRPr="00000000" w14:paraId="0000001E">
      <w:pPr>
        <w:spacing w:line="480" w:lineRule="auto"/>
        <w:jc w:val="left"/>
        <w:rPr>
          <w:highlight w:val="white"/>
        </w:rPr>
      </w:pPr>
      <w:r w:rsidDel="00000000" w:rsidR="00000000" w:rsidRPr="00000000">
        <w:rPr>
          <w:highlight w:val="white"/>
          <w:rtl w:val="0"/>
        </w:rPr>
        <w:t xml:space="preserve">certain adults require more help to be capable of taking care of themselves; there are many reasons why this might happen and different aspects that can lead to them being vulnerable including Mental illness; Those with mental illness can get taken advantage of, for instance, an individual with anxiety could be manipulated toward allowing someone to take over their finances as they may feel like they cannot do it themselves, the person who is taking advantage of them could be able to commit a crime against them by stealing money. A Physical disability individual could be seen as vulnerable as they may not be able to accomplish certain tasks and can be seen as an ‘easy’ victim towards those who are planning on committing crimes. However, not all people with a physical disability are overly vulnerable some may need carers to help them with day-to-day activities as well as helping them be less likely to become a victim of a crime. A homeless individual can also be seen as vulnerable as Without a secure place to sleep, a person can grow vulnerable to various sorts of harm. Homeless people can also be enticed into sex work or other low-level crimes by those around them. Not all homeless people have that experience as many are helped and are introduced into a network that can support and help them. Substance abuse can also make an individual vulnerable as when someone is addicted to a substance they can be taken advantage of as they could be more compliant if given the item they are addicted to. Different factors can clearly make vulnerability more possible especially in people </w:t>
      </w:r>
      <w:r w:rsidDel="00000000" w:rsidR="00000000" w:rsidRPr="00000000">
        <w:rPr>
          <w:highlight w:val="white"/>
          <w:rtl w:val="0"/>
        </w:rPr>
        <w:t xml:space="preserve">aged</w:t>
      </w:r>
      <w:r w:rsidDel="00000000" w:rsidR="00000000" w:rsidRPr="00000000">
        <w:rPr>
          <w:highlight w:val="white"/>
          <w:rtl w:val="0"/>
        </w:rPr>
        <w:t xml:space="preserve"> over 85</w:t>
      </w:r>
      <w:r w:rsidDel="00000000" w:rsidR="00000000" w:rsidRPr="00000000">
        <w:rPr>
          <w:highlight w:val="white"/>
          <w:rtl w:val="0"/>
        </w:rPr>
        <w:t xml:space="preserve">, where one in every 43 people is evaluated as vulnerable, compared to the one in every 862 in adults aged 18-64. everyone is accountable for safeguarding adults. If someone were to notice someone being abused or exploited in any environment, they should take responsibility and report it so a professional can help There are many safeguarding legislation that distributes responsibility to individuals in specific positions to act upon reports of adult abuse. The fundamental legal responsibility for safeguarding vulnerable adults lies with local authorities. (Rushton, 2020)</w:t>
      </w:r>
    </w:p>
    <w:p w:rsidR="00000000" w:rsidDel="00000000" w:rsidP="00000000" w:rsidRDefault="00000000" w:rsidRPr="00000000" w14:paraId="0000001F">
      <w:pPr>
        <w:spacing w:line="480" w:lineRule="auto"/>
        <w:jc w:val="left"/>
        <w:rPr>
          <w:highlight w:val="white"/>
        </w:rPr>
      </w:pPr>
      <w:r w:rsidDel="00000000" w:rsidR="00000000" w:rsidRPr="00000000">
        <w:rPr>
          <w:highlight w:val="white"/>
          <w:rtl w:val="0"/>
        </w:rPr>
        <w:t xml:space="preserve">There are many laws that are set out to help and aid vulnerable people, some of which include:</w:t>
      </w:r>
    </w:p>
    <w:p w:rsidR="00000000" w:rsidDel="00000000" w:rsidP="00000000" w:rsidRDefault="00000000" w:rsidRPr="00000000" w14:paraId="00000020">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pPr>
      <w:r w:rsidDel="00000000" w:rsidR="00000000" w:rsidRPr="00000000">
        <w:rPr>
          <w:rtl w:val="0"/>
        </w:rPr>
        <w:t xml:space="preserve">Care Act 2014;</w:t>
      </w:r>
      <w:r w:rsidDel="00000000" w:rsidR="00000000" w:rsidRPr="00000000">
        <w:rPr>
          <w:rtl w:val="0"/>
        </w:rPr>
        <w:t xml:space="preserve"> </w:t>
      </w:r>
      <w:r w:rsidDel="00000000" w:rsidR="00000000" w:rsidRPr="00000000">
        <w:rPr>
          <w:rtl w:val="0"/>
        </w:rPr>
        <w:t xml:space="preserve">This Act ascribes safeguarding vulnerable adults by describing the legal responsibilities while defending vulnerable adults. It places out that local authorities have the foremost responsibility and demands work in partnership with health and care organizations. (Cooper, 2017)</w:t>
      </w:r>
    </w:p>
    <w:p w:rsidR="00000000" w:rsidDel="00000000" w:rsidP="00000000" w:rsidRDefault="00000000" w:rsidRPr="00000000" w14:paraId="00000021">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pPr>
      <w:r w:rsidDel="00000000" w:rsidR="00000000" w:rsidRPr="00000000">
        <w:rPr>
          <w:rtl w:val="0"/>
        </w:rPr>
        <w:t xml:space="preserve">Human Rights Act 1998: </w:t>
      </w:r>
      <w:r w:rsidDel="00000000" w:rsidR="00000000" w:rsidRPr="00000000">
        <w:rPr>
          <w:rtl w:val="0"/>
        </w:rPr>
        <w:t xml:space="preserve">This legislation is very large with a whole of 13 articles describing everyone’s fundamental rights within the law. However, when it comes to safeguarding vulnerable adults, four main articles are used: article 2; protects the right to life, article 3; affords freedom from degrading and inhumane treatment, article 5; enshrines the right to liberty and security and article 8; guarantees the right to private life, family life, and home life. Any individual is capable of seeking legal support or having someone go through the law on their behalf if these rights are violated.  (</w:t>
      </w:r>
      <w:r w:rsidDel="00000000" w:rsidR="00000000" w:rsidRPr="00000000">
        <w:rPr>
          <w:highlight w:val="white"/>
          <w:rtl w:val="0"/>
        </w:rPr>
        <w:t xml:space="preserve">Hoffman, 2010</w:t>
      </w:r>
      <w:r w:rsidDel="00000000" w:rsidR="00000000" w:rsidRPr="00000000">
        <w:rPr>
          <w:rtl w:val="0"/>
        </w:rPr>
        <w:t xml:space="preserve">)</w:t>
      </w:r>
    </w:p>
    <w:p w:rsidR="00000000" w:rsidDel="00000000" w:rsidP="00000000" w:rsidRDefault="00000000" w:rsidRPr="00000000" w14:paraId="00000022">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pPr>
      <w:r w:rsidDel="00000000" w:rsidR="00000000" w:rsidRPr="00000000">
        <w:rPr>
          <w:rtl w:val="0"/>
        </w:rPr>
        <w:t xml:space="preserve">Safeguarding Vulnerable Groups Act 2006; </w:t>
      </w:r>
      <w:r w:rsidDel="00000000" w:rsidR="00000000" w:rsidRPr="00000000">
        <w:rPr>
          <w:rtl w:val="0"/>
        </w:rPr>
        <w:t xml:space="preserve">The purpose of this legislation is to make sure inappropriate individuals don’t work alongside vulnerable adults. individuals who possess a criminal history of abuse and exploitation are put on a list that is checked when anyone applies for a new job with vulnerable adults. The vetting and barring system outlines the sort of work that needs an analysis of the list, with controlled and regulated workplaces. It tries to stop future abuses happening by someone with previous convictions of crimes that may have been abusive. (</w:t>
      </w:r>
      <w:r w:rsidDel="00000000" w:rsidR="00000000" w:rsidRPr="00000000">
        <w:rPr>
          <w:highlight w:val="white"/>
          <w:rtl w:val="0"/>
        </w:rPr>
        <w:t xml:space="preserve">Griffith, 2009</w:t>
      </w:r>
      <w:r w:rsidDel="00000000" w:rsidR="00000000" w:rsidRPr="00000000">
        <w:rPr>
          <w:rtl w:val="0"/>
        </w:rPr>
        <w:t xml:space="preserve">)</w:t>
      </w:r>
    </w:p>
    <w:p w:rsidR="00000000" w:rsidDel="00000000" w:rsidP="00000000" w:rsidRDefault="00000000" w:rsidRPr="00000000" w14:paraId="00000023">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pPr>
      <w:r w:rsidDel="00000000" w:rsidR="00000000" w:rsidRPr="00000000">
        <w:rPr>
          <w:rtl w:val="0"/>
        </w:rPr>
        <w:t xml:space="preserve">Data Protection Act 2018; </w:t>
      </w:r>
      <w:r w:rsidDel="00000000" w:rsidR="00000000" w:rsidRPr="00000000">
        <w:rPr>
          <w:rtl w:val="0"/>
        </w:rPr>
        <w:t xml:space="preserve">At first, the Data Protection Act was founded in 1998 however, it has since been succeeded by the 2018 Act that produced the law of the General Data Protection Regulation from the European Union. It explains when and how you are able to use, or process data that you possess about n individual. As well as this, there are further rules regarding when you can distribute data. In times of how this refers to vulnerable people, there may be occasions where you need to reserve the information you have to be capable of protecting a person. Likewise, you may need to give information to additional agencies so you can seek security for a vulnerable adult. The law permits this if your efforts will stop harm and allow for efficient response, or is in the public interest, among other reasons. (</w:t>
      </w:r>
      <w:r w:rsidDel="00000000" w:rsidR="00000000" w:rsidRPr="00000000">
        <w:rPr>
          <w:highlight w:val="white"/>
          <w:rtl w:val="0"/>
        </w:rPr>
        <w:t xml:space="preserve">Iversen, 2006</w:t>
      </w:r>
      <w:r w:rsidDel="00000000" w:rsidR="00000000" w:rsidRPr="00000000">
        <w:rPr>
          <w:rtl w:val="0"/>
        </w:rPr>
        <w:t xml:space="preserve">)</w:t>
      </w:r>
    </w:p>
    <w:p w:rsidR="00000000" w:rsidDel="00000000" w:rsidP="00000000" w:rsidRDefault="00000000" w:rsidRPr="00000000" w14:paraId="00000024">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520" w:before="0" w:line="480" w:lineRule="auto"/>
        <w:rPr/>
      </w:pPr>
      <w:r w:rsidDel="00000000" w:rsidR="00000000" w:rsidRPr="00000000">
        <w:rPr>
          <w:rtl w:val="0"/>
        </w:rPr>
        <w:t xml:space="preserve">All of these laws along with many others have been put into place to help prevent vulnerable people from becoming victims and many have worked so well over the years as seen in studies that show since some of these laws have been introduced, crime rates that involve vulnerable people have decreased. </w:t>
      </w:r>
      <w:r w:rsidDel="00000000" w:rsidR="00000000" w:rsidRPr="00000000">
        <w:rPr>
          <w:highlight w:val="white"/>
          <w:rtl w:val="0"/>
        </w:rPr>
        <w:t xml:space="preserve">(Stewart, 2013)</w:t>
      </w:r>
      <w:r w:rsidDel="00000000" w:rsidR="00000000" w:rsidRPr="00000000">
        <w:rPr>
          <w:rtl w:val="0"/>
        </w:rPr>
      </w:r>
    </w:p>
    <w:p w:rsidR="00000000" w:rsidDel="00000000" w:rsidP="00000000" w:rsidRDefault="00000000" w:rsidRPr="00000000" w14:paraId="00000025">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highlight w:val="white"/>
          <w:rtl w:val="0"/>
        </w:rPr>
        <w:t xml:space="preserve">The UK National Crime Agency (NCA) knowledge evaluation on the 'County Lines' criminal enterprise guide tries to promote awareness of an organized though formerly widely unknown and complicated crime difficulty focused on the supply of Class A drugs. Important points of County Lines as 'wicked problem'-type activities are the exploitation and abuse of vulnerable people. The NCA evaluation truly highlights the safeguarding concerns established and offers a worthwhile contribution to the first steps of a viable problem-solving strategy. However, following attempts to achieve efficient and sustainable replies are expected to be hindered by defects discovered in the wider domain of policing, and unusually in the information and knowledge bases surrounding the idea of vulnerability. Two developing policing structures propose encouraging ways forth for policing frequently and replies to County Lines respectively. The one is known as 'vulnerable people policing', is centered in Australia while the other, known as 'early intervention', is emerging within the mainstream UK policing discourse. (</w:t>
      </w:r>
      <w:r w:rsidDel="00000000" w:rsidR="00000000" w:rsidRPr="00000000">
        <w:rPr>
          <w:highlight w:val="white"/>
          <w:rtl w:val="0"/>
        </w:rPr>
        <w:t xml:space="preserve">Coliandris, 2015</w:t>
      </w:r>
      <w:r w:rsidDel="00000000" w:rsidR="00000000" w:rsidRPr="00000000">
        <w:rPr>
          <w:highlight w:val="white"/>
          <w:rtl w:val="0"/>
        </w:rPr>
        <w:t xml:space="preserve">)</w:t>
      </w:r>
    </w:p>
    <w:p w:rsidR="00000000" w:rsidDel="00000000" w:rsidP="00000000" w:rsidRDefault="00000000" w:rsidRPr="00000000" w14:paraId="00000026">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7">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highlight w:val="white"/>
          <w:rtl w:val="0"/>
        </w:rPr>
        <w:t xml:space="preserve">Public faith in the criminal justice system (CJS) is a matter of continuing solicitude across the United Kingdom, especially in the knowledge of the comparatively low levels of trust recorded in the British Crime Survey (BCS) and elsewhere. New work on policing has emphasized that the existence of procedural justice has an extraordinary impact on ‘user-satisfaction, confidence, and legitimacy. However, it is unknown whether this importance on fairness concerns the CJS altogether, which various individuals might see as originally there to control and punish criminals as effectively as possible. By giving victims a voice and a feeling that someone is hearing them and understanding their interests thoughtfully.</w:t>
      </w:r>
    </w:p>
    <w:p w:rsidR="00000000" w:rsidDel="00000000" w:rsidP="00000000" w:rsidRDefault="00000000" w:rsidRPr="00000000" w14:paraId="00000028">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9">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highlight w:val="white"/>
          <w:rtl w:val="0"/>
        </w:rPr>
        <w:t xml:space="preserve">In this essay, I have researched the many ways in which a person can be vulnerable due to many different reasons such as age, location, gender, and others and I have realized that many different people are vulnerable for different reasons and can be easily targeted by criminals. Some of the statistics I have observed are shocking and need to change. There are so many people around the world and especially in the UK that may need additional help if they are seen to be vulnerable to becoming a victim. I have also divulged into the different laws and legislations in place to help vulnerable people and the ways they have been and can be used. I think many of these laws have helped exponentially and will carry on to do so. However, there will always be room for improvement when it comes to the laws in the UK. I would suggest that the UK government need to have a serious look into the protection of vulnerable people to hopefully reduce the rate of crime towards those who are vulnerable and imply an early prevention strategy by improving and providing better security for individuals that need it as well as security advances in the areas with higher rates of crime to improve the rate off offenders able to be caught and reduced rates of crime in areas where people are vulnerable to crime. Most importantly the CJS needs to listen to the victims of crimes and make sure they are supported as being a victim can have a detrimental effect on the victim and how they can process moving forward in life. </w:t>
      </w:r>
    </w:p>
    <w:p w:rsidR="00000000" w:rsidDel="00000000" w:rsidP="00000000" w:rsidRDefault="00000000" w:rsidRPr="00000000" w14:paraId="0000002A">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B">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C">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D">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E">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2F">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0">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1">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2">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3">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4">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5">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6">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highlight w:val="white"/>
        </w:rPr>
      </w:pPr>
      <w:r w:rsidDel="00000000" w:rsidR="00000000" w:rsidRPr="00000000">
        <w:rPr>
          <w:rtl w:val="0"/>
        </w:rPr>
      </w:r>
    </w:p>
    <w:p w:rsidR="00000000" w:rsidDel="00000000" w:rsidP="00000000" w:rsidRDefault="00000000" w:rsidRPr="00000000" w14:paraId="00000037">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sz w:val="28"/>
          <w:szCs w:val="28"/>
          <w:highlight w:val="white"/>
        </w:rPr>
      </w:pPr>
      <w:r w:rsidDel="00000000" w:rsidR="00000000" w:rsidRPr="00000000">
        <w:rPr>
          <w:sz w:val="28"/>
          <w:szCs w:val="28"/>
          <w:highlight w:val="white"/>
          <w:u w:val="single"/>
          <w:rtl w:val="0"/>
        </w:rPr>
        <w:t xml:space="preserve">References</w:t>
      </w:r>
      <w:r w:rsidDel="00000000" w:rsidR="00000000" w:rsidRPr="00000000">
        <w:rPr>
          <w:sz w:val="28"/>
          <w:szCs w:val="28"/>
          <w:highlight w:val="white"/>
          <w:rtl w:val="0"/>
        </w:rPr>
        <w:t xml:space="preserve"> </w:t>
      </w:r>
    </w:p>
    <w:p w:rsidR="00000000" w:rsidDel="00000000" w:rsidP="00000000" w:rsidRDefault="00000000" w:rsidRPr="00000000" w14:paraId="00000038">
      <w:pPr>
        <w:spacing w:line="480" w:lineRule="auto"/>
        <w:rPr>
          <w:highlight w:val="white"/>
        </w:rPr>
      </w:pPr>
      <w:r w:rsidDel="00000000" w:rsidR="00000000" w:rsidRPr="00000000">
        <w:rPr>
          <w:highlight w:val="white"/>
          <w:rtl w:val="0"/>
        </w:rPr>
        <w:t xml:space="preserve">Schmideberg, M. (1980) ‘Criminals and their Victims’, </w:t>
      </w:r>
      <w:r w:rsidDel="00000000" w:rsidR="00000000" w:rsidRPr="00000000">
        <w:rPr>
          <w:i w:val="1"/>
          <w:highlight w:val="white"/>
          <w:rtl w:val="0"/>
        </w:rPr>
        <w:t xml:space="preserve">International Journal of Offender Therapy and Comparative Criminology</w:t>
      </w:r>
      <w:r w:rsidDel="00000000" w:rsidR="00000000" w:rsidRPr="00000000">
        <w:rPr>
          <w:highlight w:val="white"/>
          <w:rtl w:val="0"/>
        </w:rPr>
        <w:t xml:space="preserve">, 24(2), pp. 128–133.</w:t>
      </w:r>
    </w:p>
    <w:p w:rsidR="00000000" w:rsidDel="00000000" w:rsidP="00000000" w:rsidRDefault="00000000" w:rsidRPr="00000000" w14:paraId="00000039">
      <w:pPr>
        <w:spacing w:line="480" w:lineRule="auto"/>
        <w:rPr>
          <w:highlight w:val="white"/>
        </w:rPr>
      </w:pPr>
      <w:r w:rsidDel="00000000" w:rsidR="00000000" w:rsidRPr="00000000">
        <w:rPr>
          <w:rtl w:val="0"/>
        </w:rPr>
      </w:r>
    </w:p>
    <w:p w:rsidR="00000000" w:rsidDel="00000000" w:rsidP="00000000" w:rsidRDefault="00000000" w:rsidRPr="00000000" w14:paraId="0000003A">
      <w:pPr>
        <w:spacing w:line="480" w:lineRule="auto"/>
        <w:rPr>
          <w:highlight w:val="white"/>
        </w:rPr>
      </w:pPr>
      <w:r w:rsidDel="00000000" w:rsidR="00000000" w:rsidRPr="00000000">
        <w:rPr>
          <w:highlight w:val="white"/>
          <w:rtl w:val="0"/>
        </w:rPr>
        <w:t xml:space="preserve">Peett, C. (2020) ‘West Wales, Gloucestershire, and North Yorkshire are Safest Places to Live in the UK’, (online), available at: http://westwalespropertyfinders.co.uk/west-wales-gloucestershire-and-north-yorkshire-are-safest-places-to-live-in-uk/</w:t>
      </w:r>
    </w:p>
    <w:p w:rsidR="00000000" w:rsidDel="00000000" w:rsidP="00000000" w:rsidRDefault="00000000" w:rsidRPr="00000000" w14:paraId="0000003B">
      <w:pPr>
        <w:spacing w:line="480" w:lineRule="auto"/>
        <w:rPr>
          <w:highlight w:val="white"/>
        </w:rPr>
      </w:pPr>
      <w:r w:rsidDel="00000000" w:rsidR="00000000" w:rsidRPr="00000000">
        <w:rPr>
          <w:rtl w:val="0"/>
        </w:rPr>
      </w:r>
    </w:p>
    <w:p w:rsidR="00000000" w:rsidDel="00000000" w:rsidP="00000000" w:rsidRDefault="00000000" w:rsidRPr="00000000" w14:paraId="0000003C">
      <w:pPr>
        <w:spacing w:line="480" w:lineRule="auto"/>
        <w:rPr>
          <w:highlight w:val="white"/>
        </w:rPr>
      </w:pPr>
      <w:r w:rsidDel="00000000" w:rsidR="00000000" w:rsidRPr="00000000">
        <w:rPr>
          <w:highlight w:val="white"/>
          <w:rtl w:val="0"/>
        </w:rPr>
        <w:t xml:space="preserve">Trust for London, (2021), ‘Crimes recorded by neighborhood income deprivation decile in London (March 2020 - February 2021)’, (online), available at: https://www.trustforlondon.org.uk/data/crime-and-income-deprivation/</w:t>
      </w:r>
    </w:p>
    <w:p w:rsidR="00000000" w:rsidDel="00000000" w:rsidP="00000000" w:rsidRDefault="00000000" w:rsidRPr="00000000" w14:paraId="0000003D">
      <w:pPr>
        <w:spacing w:line="480" w:lineRule="auto"/>
        <w:rPr>
          <w:highlight w:val="white"/>
        </w:rPr>
      </w:pPr>
      <w:r w:rsidDel="00000000" w:rsidR="00000000" w:rsidRPr="00000000">
        <w:rPr>
          <w:rtl w:val="0"/>
        </w:rPr>
      </w:r>
    </w:p>
    <w:p w:rsidR="00000000" w:rsidDel="00000000" w:rsidP="00000000" w:rsidRDefault="00000000" w:rsidRPr="00000000" w14:paraId="0000003E">
      <w:pPr>
        <w:spacing w:line="480" w:lineRule="auto"/>
        <w:rPr>
          <w:highlight w:val="white"/>
        </w:rPr>
      </w:pPr>
      <w:r w:rsidDel="00000000" w:rsidR="00000000" w:rsidRPr="00000000">
        <w:rPr>
          <w:highlight w:val="white"/>
          <w:rtl w:val="0"/>
        </w:rPr>
        <w:t xml:space="preserve">Margaret M. Braungart, Richard G. Braungart &amp; William J. Hoyer (1980) Age, Sex, and Social Factors in Fear of Crime, Sociological Focus, 13:1, 55-66</w:t>
      </w:r>
    </w:p>
    <w:p w:rsidR="00000000" w:rsidDel="00000000" w:rsidP="00000000" w:rsidRDefault="00000000" w:rsidRPr="00000000" w14:paraId="0000003F">
      <w:pPr>
        <w:spacing w:line="480" w:lineRule="auto"/>
        <w:rPr>
          <w:highlight w:val="white"/>
        </w:rPr>
      </w:pPr>
      <w:r w:rsidDel="00000000" w:rsidR="00000000" w:rsidRPr="00000000">
        <w:rPr>
          <w:rtl w:val="0"/>
        </w:rPr>
      </w:r>
    </w:p>
    <w:p w:rsidR="00000000" w:rsidDel="00000000" w:rsidP="00000000" w:rsidRDefault="00000000" w:rsidRPr="00000000" w14:paraId="00000040">
      <w:pPr>
        <w:spacing w:line="480" w:lineRule="auto"/>
        <w:rPr>
          <w:highlight w:val="white"/>
        </w:rPr>
      </w:pPr>
      <w:r w:rsidDel="00000000" w:rsidR="00000000" w:rsidRPr="00000000">
        <w:rPr>
          <w:highlight w:val="white"/>
          <w:rtl w:val="0"/>
        </w:rPr>
        <w:t xml:space="preserve">Clark, D. (2021), ‘Number of homicides in England and Wales in 2019/20, by age and gender of victim’, (online), available at: https://www.statista.com/statistics/288184/homicide-victim-suspect-relationship-in-england-and-wales-by-gender/</w:t>
      </w:r>
    </w:p>
    <w:p w:rsidR="00000000" w:rsidDel="00000000" w:rsidP="00000000" w:rsidRDefault="00000000" w:rsidRPr="00000000" w14:paraId="00000041">
      <w:pPr>
        <w:spacing w:line="480" w:lineRule="auto"/>
        <w:rPr>
          <w:highlight w:val="white"/>
        </w:rPr>
      </w:pPr>
      <w:r w:rsidDel="00000000" w:rsidR="00000000" w:rsidRPr="00000000">
        <w:rPr>
          <w:rtl w:val="0"/>
        </w:rPr>
      </w:r>
    </w:p>
    <w:p w:rsidR="00000000" w:rsidDel="00000000" w:rsidP="00000000" w:rsidRDefault="00000000" w:rsidRPr="00000000" w14:paraId="00000042">
      <w:pPr>
        <w:spacing w:line="480" w:lineRule="auto"/>
        <w:rPr>
          <w:highlight w:val="white"/>
        </w:rPr>
      </w:pPr>
      <w:r w:rsidDel="00000000" w:rsidR="00000000" w:rsidRPr="00000000">
        <w:rPr>
          <w:highlight w:val="white"/>
          <w:rtl w:val="0"/>
        </w:rPr>
        <w:t xml:space="preserve">Department of justice, (1997), ‘Age Patterns of Victims of Serious Violent Crime’, (online), available at: https://bjs.ojp.gov/content/pub/pdf/apvsvc.pdf</w:t>
      </w:r>
    </w:p>
    <w:p w:rsidR="00000000" w:rsidDel="00000000" w:rsidP="00000000" w:rsidRDefault="00000000" w:rsidRPr="00000000" w14:paraId="00000043">
      <w:pPr>
        <w:spacing w:line="480" w:lineRule="auto"/>
        <w:rPr>
          <w:highlight w:val="white"/>
        </w:rPr>
      </w:pPr>
      <w:r w:rsidDel="00000000" w:rsidR="00000000" w:rsidRPr="00000000">
        <w:rPr>
          <w:rtl w:val="0"/>
        </w:rPr>
      </w:r>
    </w:p>
    <w:p w:rsidR="00000000" w:rsidDel="00000000" w:rsidP="00000000" w:rsidRDefault="00000000" w:rsidRPr="00000000" w14:paraId="00000044">
      <w:pPr>
        <w:spacing w:line="480" w:lineRule="auto"/>
        <w:rPr>
          <w:highlight w:val="white"/>
        </w:rPr>
      </w:pPr>
      <w:r w:rsidDel="00000000" w:rsidR="00000000" w:rsidRPr="00000000">
        <w:rPr>
          <w:highlight w:val="white"/>
          <w:rtl w:val="0"/>
        </w:rPr>
        <w:t xml:space="preserve">Rushton, J. (2020), ‘Legislation and policies that surround safeguarding vulnerable adults’, (online), available at: https://cpdonline.co.uk/knowledge-base/safeguarding/legislation-and-policies-that-surround-safeguarding-vulnerable-adults/</w:t>
      </w:r>
    </w:p>
    <w:p w:rsidR="00000000" w:rsidDel="00000000" w:rsidP="00000000" w:rsidRDefault="00000000" w:rsidRPr="00000000" w14:paraId="00000045">
      <w:pPr>
        <w:spacing w:line="480" w:lineRule="auto"/>
        <w:rPr>
          <w:highlight w:val="white"/>
        </w:rPr>
      </w:pPr>
      <w:r w:rsidDel="00000000" w:rsidR="00000000" w:rsidRPr="00000000">
        <w:rPr>
          <w:rtl w:val="0"/>
        </w:rPr>
      </w:r>
    </w:p>
    <w:p w:rsidR="00000000" w:rsidDel="00000000" w:rsidP="00000000" w:rsidRDefault="00000000" w:rsidRPr="00000000" w14:paraId="00000046">
      <w:pPr>
        <w:spacing w:line="480" w:lineRule="auto"/>
        <w:rPr>
          <w:highlight w:val="white"/>
        </w:rPr>
      </w:pPr>
      <w:r w:rsidDel="00000000" w:rsidR="00000000" w:rsidRPr="00000000">
        <w:rPr>
          <w:highlight w:val="white"/>
          <w:rtl w:val="0"/>
        </w:rPr>
        <w:t xml:space="preserve">Stewart, C.C., Langan, D. and Hannem, S., 2013. Victim experiences and perspectives on police responses to verbal violence in domestic settings. </w:t>
      </w:r>
      <w:r w:rsidDel="00000000" w:rsidR="00000000" w:rsidRPr="00000000">
        <w:rPr>
          <w:i w:val="1"/>
          <w:highlight w:val="white"/>
          <w:rtl w:val="0"/>
        </w:rPr>
        <w:t xml:space="preserve">Feminist Criminology</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(4), pp.269-294.</w:t>
      </w:r>
    </w:p>
    <w:p w:rsidR="00000000" w:rsidDel="00000000" w:rsidP="00000000" w:rsidRDefault="00000000" w:rsidRPr="00000000" w14:paraId="00000047">
      <w:pPr>
        <w:spacing w:line="480" w:lineRule="auto"/>
        <w:rPr>
          <w:highlight w:val="white"/>
        </w:rPr>
      </w:pPr>
      <w:r w:rsidDel="00000000" w:rsidR="00000000" w:rsidRPr="00000000">
        <w:rPr>
          <w:rtl w:val="0"/>
        </w:rPr>
      </w:r>
    </w:p>
    <w:p w:rsidR="00000000" w:rsidDel="00000000" w:rsidP="00000000" w:rsidRDefault="00000000" w:rsidRPr="00000000" w14:paraId="00000048">
      <w:pPr>
        <w:spacing w:line="480" w:lineRule="auto"/>
        <w:rPr>
          <w:highlight w:val="white"/>
        </w:rPr>
      </w:pPr>
      <w:r w:rsidDel="00000000" w:rsidR="00000000" w:rsidRPr="00000000">
        <w:rPr>
          <w:highlight w:val="white"/>
          <w:rtl w:val="0"/>
        </w:rPr>
        <w:t xml:space="preserve">Coliandris, G., 2015. County lines and wicked problems: Exploring the need for improved policing approaches to vulnerability and early intervention. </w:t>
      </w:r>
      <w:r w:rsidDel="00000000" w:rsidR="00000000" w:rsidRPr="00000000">
        <w:rPr>
          <w:i w:val="1"/>
          <w:highlight w:val="white"/>
          <w:rtl w:val="0"/>
        </w:rPr>
        <w:t xml:space="preserve">Australasian Policing</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(2).</w:t>
      </w:r>
    </w:p>
    <w:p w:rsidR="00000000" w:rsidDel="00000000" w:rsidP="00000000" w:rsidRDefault="00000000" w:rsidRPr="00000000" w14:paraId="00000049">
      <w:pPr>
        <w:spacing w:line="480" w:lineRule="auto"/>
        <w:rPr>
          <w:highlight w:val="white"/>
        </w:rPr>
      </w:pPr>
      <w:r w:rsidDel="00000000" w:rsidR="00000000" w:rsidRPr="00000000">
        <w:rPr>
          <w:rtl w:val="0"/>
        </w:rPr>
      </w:r>
    </w:p>
    <w:p w:rsidR="00000000" w:rsidDel="00000000" w:rsidP="00000000" w:rsidRDefault="00000000" w:rsidRPr="00000000" w14:paraId="0000004A">
      <w:pPr>
        <w:spacing w:line="480" w:lineRule="auto"/>
        <w:rPr>
          <w:highlight w:val="white"/>
        </w:rPr>
      </w:pPr>
      <w:r w:rsidDel="00000000" w:rsidR="00000000" w:rsidRPr="00000000">
        <w:rPr>
          <w:highlight w:val="white"/>
          <w:rtl w:val="0"/>
        </w:rPr>
        <w:t xml:space="preserve">Iversen, A., Liddell, K., Fear, N., Hotopf, M. and Wessely, S., 2006. Consent, confidentiality, and the data protection act. </w:t>
      </w:r>
      <w:r w:rsidDel="00000000" w:rsidR="00000000" w:rsidRPr="00000000">
        <w:rPr>
          <w:i w:val="1"/>
          <w:highlight w:val="white"/>
          <w:rtl w:val="0"/>
        </w:rPr>
        <w:t xml:space="preserve">Bmj</w:t>
      </w:r>
      <w:r w:rsidDel="00000000" w:rsidR="00000000" w:rsidRPr="00000000">
        <w:rPr>
          <w:highlight w:val="white"/>
          <w:rtl w:val="0"/>
        </w:rPr>
        <w:t xml:space="preserve">, </w:t>
      </w:r>
      <w:r w:rsidDel="00000000" w:rsidR="00000000" w:rsidRPr="00000000">
        <w:rPr>
          <w:i w:val="1"/>
          <w:highlight w:val="white"/>
          <w:rtl w:val="0"/>
        </w:rPr>
        <w:t xml:space="preserve">332</w:t>
      </w:r>
      <w:r w:rsidDel="00000000" w:rsidR="00000000" w:rsidRPr="00000000">
        <w:rPr>
          <w:highlight w:val="white"/>
          <w:rtl w:val="0"/>
        </w:rPr>
        <w:t xml:space="preserve">(7534), pp.165-169.</w:t>
      </w:r>
    </w:p>
    <w:p w:rsidR="00000000" w:rsidDel="00000000" w:rsidP="00000000" w:rsidRDefault="00000000" w:rsidRPr="00000000" w14:paraId="0000004B">
      <w:pPr>
        <w:spacing w:line="480" w:lineRule="auto"/>
        <w:rPr>
          <w:highlight w:val="white"/>
        </w:rPr>
      </w:pPr>
      <w:r w:rsidDel="00000000" w:rsidR="00000000" w:rsidRPr="00000000">
        <w:rPr>
          <w:rtl w:val="0"/>
        </w:rPr>
      </w:r>
    </w:p>
    <w:p w:rsidR="00000000" w:rsidDel="00000000" w:rsidP="00000000" w:rsidRDefault="00000000" w:rsidRPr="00000000" w14:paraId="0000004C">
      <w:pPr>
        <w:spacing w:line="480" w:lineRule="auto"/>
        <w:rPr>
          <w:highlight w:val="white"/>
        </w:rPr>
      </w:pPr>
      <w:r w:rsidDel="00000000" w:rsidR="00000000" w:rsidRPr="00000000">
        <w:rPr>
          <w:rtl w:val="0"/>
        </w:rPr>
      </w:r>
    </w:p>
    <w:p w:rsidR="00000000" w:rsidDel="00000000" w:rsidP="00000000" w:rsidRDefault="00000000" w:rsidRPr="00000000" w14:paraId="0000004D">
      <w:pPr>
        <w:spacing w:line="480" w:lineRule="auto"/>
        <w:rPr>
          <w:highlight w:val="white"/>
        </w:rPr>
      </w:pPr>
      <w:r w:rsidDel="00000000" w:rsidR="00000000" w:rsidRPr="00000000">
        <w:rPr>
          <w:highlight w:val="white"/>
          <w:rtl w:val="0"/>
        </w:rPr>
        <w:t xml:space="preserve">Griffith, R. and Tengnah, C., 2009. Understanding the safeguarding vulnerable groups act 2006. </w:t>
      </w:r>
      <w:r w:rsidDel="00000000" w:rsidR="00000000" w:rsidRPr="00000000">
        <w:rPr>
          <w:i w:val="1"/>
          <w:highlight w:val="white"/>
          <w:rtl w:val="0"/>
        </w:rPr>
        <w:t xml:space="preserve">British journal of community nursing</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(7), pp.309-313.</w:t>
      </w:r>
    </w:p>
    <w:p w:rsidR="00000000" w:rsidDel="00000000" w:rsidP="00000000" w:rsidRDefault="00000000" w:rsidRPr="00000000" w14:paraId="0000004E">
      <w:pPr>
        <w:spacing w:line="480" w:lineRule="auto"/>
        <w:rPr>
          <w:highlight w:val="white"/>
        </w:rPr>
      </w:pPr>
      <w:r w:rsidDel="00000000" w:rsidR="00000000" w:rsidRPr="00000000">
        <w:rPr>
          <w:rtl w:val="0"/>
        </w:rPr>
      </w:r>
    </w:p>
    <w:p w:rsidR="00000000" w:rsidDel="00000000" w:rsidP="00000000" w:rsidRDefault="00000000" w:rsidRPr="00000000" w14:paraId="0000004F">
      <w:pPr>
        <w:spacing w:line="480" w:lineRule="auto"/>
        <w:rPr>
          <w:highlight w:val="white"/>
        </w:rPr>
      </w:pPr>
      <w:r w:rsidDel="00000000" w:rsidR="00000000" w:rsidRPr="00000000">
        <w:rPr>
          <w:highlight w:val="white"/>
          <w:rtl w:val="0"/>
        </w:rPr>
        <w:t xml:space="preserve">Cooper, A. and Bruin, C., 2017. Adult safeguarding and the Care Act (2014)–the impacts on partnerships and practice. </w:t>
      </w:r>
      <w:r w:rsidDel="00000000" w:rsidR="00000000" w:rsidRPr="00000000">
        <w:rPr>
          <w:i w:val="1"/>
          <w:highlight w:val="white"/>
          <w:rtl w:val="0"/>
        </w:rPr>
        <w:t xml:space="preserve">The Journal of Adult Protection</w:t>
      </w:r>
      <w:r w:rsidDel="00000000" w:rsidR="00000000" w:rsidRPr="00000000">
        <w:rPr>
          <w:highlight w:val="white"/>
          <w:rtl w:val="0"/>
        </w:rPr>
        <w:t xml:space="preserve">.</w:t>
      </w:r>
    </w:p>
    <w:p w:rsidR="00000000" w:rsidDel="00000000" w:rsidP="00000000" w:rsidRDefault="00000000" w:rsidRPr="00000000" w14:paraId="00000050">
      <w:pPr>
        <w:spacing w:line="480" w:lineRule="auto"/>
        <w:rPr>
          <w:highlight w:val="white"/>
        </w:rPr>
      </w:pPr>
      <w:r w:rsidDel="00000000" w:rsidR="00000000" w:rsidRPr="00000000">
        <w:rPr>
          <w:rtl w:val="0"/>
        </w:rPr>
      </w:r>
    </w:p>
    <w:p w:rsidR="00000000" w:rsidDel="00000000" w:rsidP="00000000" w:rsidRDefault="00000000" w:rsidRPr="00000000" w14:paraId="00000051">
      <w:pPr>
        <w:spacing w:line="480" w:lineRule="auto"/>
        <w:rPr>
          <w:highlight w:val="white"/>
        </w:rPr>
      </w:pPr>
      <w:r w:rsidDel="00000000" w:rsidR="00000000" w:rsidRPr="00000000">
        <w:rPr>
          <w:highlight w:val="white"/>
          <w:rtl w:val="0"/>
        </w:rPr>
        <w:t xml:space="preserve">Hoffman, D. and Rowe, J.J., 2010. </w:t>
      </w:r>
      <w:r w:rsidDel="00000000" w:rsidR="00000000" w:rsidRPr="00000000">
        <w:rPr>
          <w:i w:val="1"/>
          <w:highlight w:val="white"/>
          <w:rtl w:val="0"/>
        </w:rPr>
        <w:t xml:space="preserve">Human rights in the UK: An introduction to the Human Rights Act 1998</w:t>
      </w:r>
      <w:r w:rsidDel="00000000" w:rsidR="00000000" w:rsidRPr="00000000">
        <w:rPr>
          <w:highlight w:val="white"/>
          <w:rtl w:val="0"/>
        </w:rPr>
        <w:t xml:space="preserve">. Pearson Education.</w:t>
      </w:r>
    </w:p>
    <w:p w:rsidR="00000000" w:rsidDel="00000000" w:rsidP="00000000" w:rsidRDefault="00000000" w:rsidRPr="00000000" w14:paraId="00000052">
      <w:pPr>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480" w:lineRule="auto"/>
        <w:rPr>
          <w:sz w:val="28"/>
          <w:szCs w:val="28"/>
          <w:highlight w:val="white"/>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