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A1531D" w14:textId="77777777" w:rsidR="00822979" w:rsidRPr="00234F15" w:rsidRDefault="00822979">
      <w:pPr>
        <w:pStyle w:val="Normal1"/>
        <w:rPr>
          <w:lang w:val="en-GB"/>
        </w:rPr>
      </w:pPr>
    </w:p>
    <w:p w14:paraId="7FA1531E" w14:textId="77777777" w:rsidR="00234F15" w:rsidRPr="00234F15" w:rsidRDefault="00234F15">
      <w:pPr>
        <w:pStyle w:val="Title"/>
        <w:rPr>
          <w:lang w:val="en-GB"/>
        </w:rPr>
      </w:pPr>
      <w:bookmarkStart w:id="0" w:name="_ewx9ftpxy5cf" w:colFirst="0" w:colLast="0"/>
      <w:bookmarkEnd w:id="0"/>
    </w:p>
    <w:p w14:paraId="7FA1531F" w14:textId="77777777" w:rsidR="00234F15" w:rsidRPr="00234F15" w:rsidRDefault="00234F15">
      <w:pPr>
        <w:pStyle w:val="Title"/>
        <w:rPr>
          <w:lang w:val="en-GB"/>
        </w:rPr>
      </w:pPr>
    </w:p>
    <w:p w14:paraId="7FA15320" w14:textId="77777777" w:rsidR="00234F15" w:rsidRPr="00234F15" w:rsidRDefault="00234F15">
      <w:pPr>
        <w:pStyle w:val="Title"/>
        <w:rPr>
          <w:lang w:val="en-GB"/>
        </w:rPr>
      </w:pPr>
    </w:p>
    <w:p w14:paraId="7FA15321" w14:textId="77777777" w:rsidR="00234F15" w:rsidRPr="00234F15" w:rsidRDefault="00234F15">
      <w:pPr>
        <w:pStyle w:val="Title"/>
        <w:rPr>
          <w:lang w:val="en-GB"/>
        </w:rPr>
      </w:pPr>
    </w:p>
    <w:p w14:paraId="7FA15322" w14:textId="77777777" w:rsidR="00234F15" w:rsidRPr="00234F15" w:rsidRDefault="00234F15">
      <w:pPr>
        <w:pStyle w:val="Title"/>
        <w:rPr>
          <w:lang w:val="en-GB"/>
        </w:rPr>
      </w:pPr>
      <w:r>
        <w:rPr>
          <w:b w:val="0"/>
          <w:bCs w:val="0"/>
          <w:noProof/>
        </w:rPr>
        <w:drawing>
          <wp:inline distT="0" distB="0" distL="0" distR="0" wp14:anchorId="7FA153F3" wp14:editId="7FA153F4">
            <wp:extent cx="2445385" cy="997585"/>
            <wp:effectExtent l="19050" t="0" r="0" b="0"/>
            <wp:docPr id="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a:stretch>
                      <a:fillRect/>
                    </a:stretch>
                  </pic:blipFill>
                  <pic:spPr bwMode="auto">
                    <a:xfrm>
                      <a:off x="0" y="0"/>
                      <a:ext cx="2445385" cy="997585"/>
                    </a:xfrm>
                    <a:prstGeom prst="rect">
                      <a:avLst/>
                    </a:prstGeom>
                    <a:noFill/>
                    <a:ln w="9525">
                      <a:noFill/>
                      <a:miter lim="800000"/>
                      <a:headEnd/>
                      <a:tailEnd/>
                    </a:ln>
                  </pic:spPr>
                </pic:pic>
              </a:graphicData>
            </a:graphic>
          </wp:inline>
        </w:drawing>
      </w:r>
    </w:p>
    <w:p w14:paraId="7FA15323" w14:textId="77777777" w:rsidR="00234F15" w:rsidRPr="00234F15" w:rsidRDefault="00234F15">
      <w:pPr>
        <w:pStyle w:val="Title"/>
        <w:rPr>
          <w:lang w:val="en-GB"/>
        </w:rPr>
      </w:pPr>
    </w:p>
    <w:p w14:paraId="7FA15324" w14:textId="77777777" w:rsidR="00822979" w:rsidRPr="00234F15" w:rsidRDefault="00FC6DEF">
      <w:pPr>
        <w:pStyle w:val="Title"/>
        <w:rPr>
          <w:lang w:val="en-GB"/>
        </w:rPr>
      </w:pPr>
      <w:r w:rsidRPr="00234F15">
        <w:rPr>
          <w:lang w:val="en-GB"/>
        </w:rPr>
        <w:t xml:space="preserve">Health Care System Organisation and Leadership </w:t>
      </w:r>
    </w:p>
    <w:p w14:paraId="7FA15325" w14:textId="77777777" w:rsidR="00822979" w:rsidRPr="00234F15" w:rsidRDefault="00FC6DEF">
      <w:pPr>
        <w:pStyle w:val="Title"/>
        <w:rPr>
          <w:lang w:val="en-GB"/>
        </w:rPr>
      </w:pPr>
      <w:bookmarkStart w:id="1" w:name="_1cnm6qjax9ke" w:colFirst="0" w:colLast="0"/>
      <w:bookmarkEnd w:id="1"/>
      <w:r w:rsidRPr="00234F15">
        <w:rPr>
          <w:lang w:val="en-GB"/>
        </w:rPr>
        <w:t xml:space="preserve">Module code: LCHS7002 </w:t>
      </w:r>
    </w:p>
    <w:p w14:paraId="7FA15326" w14:textId="77777777" w:rsidR="00822979" w:rsidRPr="00234F15" w:rsidRDefault="00F70CD9">
      <w:pPr>
        <w:pStyle w:val="Title"/>
        <w:rPr>
          <w:lang w:val="en-GB"/>
        </w:rPr>
      </w:pPr>
      <w:bookmarkStart w:id="2" w:name="_vc194rsolgy4" w:colFirst="0" w:colLast="0"/>
      <w:bookmarkEnd w:id="2"/>
      <w:r>
        <w:rPr>
          <w:lang w:val="en-GB"/>
        </w:rPr>
        <w:t xml:space="preserve">Title: </w:t>
      </w:r>
      <w:r w:rsidR="00FC6DEF" w:rsidRPr="00234F15">
        <w:rPr>
          <w:lang w:val="en-GB"/>
        </w:rPr>
        <w:t xml:space="preserve">Case Study Analysis Report: Infant </w:t>
      </w:r>
      <w:r w:rsidR="00234F15" w:rsidRPr="00234F15">
        <w:rPr>
          <w:lang w:val="en-GB"/>
        </w:rPr>
        <w:t>Morphine</w:t>
      </w:r>
      <w:r w:rsidR="00FC6DEF" w:rsidRPr="00234F15">
        <w:rPr>
          <w:lang w:val="en-GB"/>
        </w:rPr>
        <w:t xml:space="preserve"> Overdose Case Study (2023) </w:t>
      </w:r>
    </w:p>
    <w:p w14:paraId="7FA15327" w14:textId="162DB78A" w:rsidR="00822979" w:rsidRPr="00E6468F" w:rsidRDefault="00FC6DEF">
      <w:pPr>
        <w:pStyle w:val="Normal1"/>
        <w:jc w:val="center"/>
        <w:rPr>
          <w:sz w:val="28"/>
          <w:szCs w:val="28"/>
          <w:lang w:val="en-GB"/>
        </w:rPr>
      </w:pPr>
      <w:r w:rsidRPr="00E6468F">
        <w:rPr>
          <w:sz w:val="28"/>
          <w:szCs w:val="28"/>
          <w:lang w:val="en-GB"/>
        </w:rPr>
        <w:t>Student Name-</w:t>
      </w:r>
      <w:r w:rsidR="000D1CD3">
        <w:rPr>
          <w:sz w:val="28"/>
          <w:szCs w:val="28"/>
          <w:lang w:val="en-GB"/>
        </w:rPr>
        <w:t xml:space="preserve"> Hetal</w:t>
      </w:r>
      <w:r w:rsidR="00065B38">
        <w:rPr>
          <w:sz w:val="28"/>
          <w:szCs w:val="28"/>
          <w:lang w:val="en-GB"/>
        </w:rPr>
        <w:t>ben Sandipkumar</w:t>
      </w:r>
      <w:r w:rsidR="000D1CD3">
        <w:rPr>
          <w:sz w:val="28"/>
          <w:szCs w:val="28"/>
          <w:lang w:val="en-GB"/>
        </w:rPr>
        <w:t xml:space="preserve"> patel</w:t>
      </w:r>
    </w:p>
    <w:p w14:paraId="7FA15328" w14:textId="519597E8" w:rsidR="00822979" w:rsidRPr="00E6468F" w:rsidRDefault="00FC6DEF">
      <w:pPr>
        <w:pStyle w:val="Normal1"/>
        <w:jc w:val="center"/>
        <w:rPr>
          <w:sz w:val="28"/>
          <w:szCs w:val="28"/>
          <w:lang w:val="en-GB"/>
        </w:rPr>
      </w:pPr>
      <w:r w:rsidRPr="00E6468F">
        <w:rPr>
          <w:sz w:val="28"/>
          <w:szCs w:val="28"/>
          <w:lang w:val="en-GB"/>
        </w:rPr>
        <w:t>Student ID-</w:t>
      </w:r>
      <w:r w:rsidR="000D1CD3">
        <w:rPr>
          <w:sz w:val="28"/>
          <w:szCs w:val="28"/>
          <w:lang w:val="en-GB"/>
        </w:rPr>
        <w:t>2508644</w:t>
      </w:r>
    </w:p>
    <w:p w14:paraId="7FA15329" w14:textId="436113CE" w:rsidR="00F70CD9" w:rsidRPr="00E6468F" w:rsidRDefault="00FC6DEF">
      <w:pPr>
        <w:pStyle w:val="Normal1"/>
        <w:jc w:val="center"/>
        <w:rPr>
          <w:sz w:val="28"/>
          <w:szCs w:val="28"/>
          <w:lang w:val="en-GB"/>
        </w:rPr>
      </w:pPr>
      <w:r w:rsidRPr="00E6468F">
        <w:rPr>
          <w:sz w:val="28"/>
          <w:szCs w:val="28"/>
          <w:lang w:val="en-GB"/>
        </w:rPr>
        <w:t>Lecturer</w:t>
      </w:r>
      <w:r w:rsidR="009520EA">
        <w:rPr>
          <w:sz w:val="28"/>
          <w:szCs w:val="28"/>
          <w:lang w:val="en-GB"/>
        </w:rPr>
        <w:t xml:space="preserve"> Name</w:t>
      </w:r>
      <w:r w:rsidRPr="00E6468F">
        <w:rPr>
          <w:sz w:val="28"/>
          <w:szCs w:val="28"/>
          <w:lang w:val="en-GB"/>
        </w:rPr>
        <w:t xml:space="preserve">- Shaila Hussain </w:t>
      </w:r>
    </w:p>
    <w:p w14:paraId="7FA1532A" w14:textId="77777777" w:rsidR="00F70CD9" w:rsidRDefault="00F70CD9">
      <w:pPr>
        <w:rPr>
          <w:lang w:val="en-GB"/>
        </w:rPr>
      </w:pPr>
      <w:r>
        <w:rPr>
          <w:lang w:val="en-GB"/>
        </w:rPr>
        <w:br w:type="page"/>
      </w:r>
    </w:p>
    <w:sdt>
      <w:sdtPr>
        <w:rPr>
          <w:rFonts w:ascii="Arial" w:eastAsia="Arial" w:hAnsi="Arial" w:cs="Arial"/>
          <w:b w:val="0"/>
          <w:bCs w:val="0"/>
          <w:color w:val="auto"/>
          <w:sz w:val="22"/>
          <w:szCs w:val="22"/>
          <w:lang w:bidi="bn-IN"/>
        </w:rPr>
        <w:id w:val="881899814"/>
        <w:docPartObj>
          <w:docPartGallery w:val="Table of Contents"/>
          <w:docPartUnique/>
        </w:docPartObj>
      </w:sdtPr>
      <w:sdtContent>
        <w:p w14:paraId="7FA1532B" w14:textId="77777777" w:rsidR="00F70CD9" w:rsidRDefault="00F70CD9" w:rsidP="00F70CD9">
          <w:pPr>
            <w:pStyle w:val="TOCHeading"/>
            <w:jc w:val="center"/>
          </w:pPr>
          <w:r w:rsidRPr="00F70CD9">
            <w:rPr>
              <w:rFonts w:ascii="Arial" w:hAnsi="Arial" w:cs="Arial"/>
              <w:color w:val="000000" w:themeColor="text1"/>
            </w:rPr>
            <w:t>Table of Contents</w:t>
          </w:r>
        </w:p>
        <w:p w14:paraId="7FA1532C" w14:textId="77777777" w:rsidR="00F70CD9" w:rsidRDefault="00F70CD9">
          <w:pPr>
            <w:pStyle w:val="TOC1"/>
            <w:tabs>
              <w:tab w:val="right" w:leader="dot" w:pos="9019"/>
            </w:tabs>
            <w:rPr>
              <w:noProof/>
            </w:rPr>
          </w:pPr>
          <w:r>
            <w:fldChar w:fldCharType="begin"/>
          </w:r>
          <w:r>
            <w:instrText xml:space="preserve"> TOC \o "1-3" \h \z \u </w:instrText>
          </w:r>
          <w:r>
            <w:fldChar w:fldCharType="separate"/>
          </w:r>
          <w:hyperlink w:anchor="_Toc225457766" w:history="1">
            <w:r w:rsidRPr="000B734A">
              <w:rPr>
                <w:rStyle w:val="Hyperlink"/>
                <w:noProof/>
                <w:lang w:val="en-GB"/>
              </w:rPr>
              <w:t>Introduction</w:t>
            </w:r>
            <w:r>
              <w:rPr>
                <w:noProof/>
                <w:webHidden/>
              </w:rPr>
              <w:tab/>
            </w:r>
            <w:r>
              <w:rPr>
                <w:noProof/>
                <w:webHidden/>
              </w:rPr>
              <w:fldChar w:fldCharType="begin"/>
            </w:r>
            <w:r>
              <w:rPr>
                <w:noProof/>
                <w:webHidden/>
              </w:rPr>
              <w:instrText xml:space="preserve"> PAGEREF _Toc225457766 \h </w:instrText>
            </w:r>
            <w:r>
              <w:rPr>
                <w:noProof/>
                <w:webHidden/>
              </w:rPr>
            </w:r>
            <w:r>
              <w:rPr>
                <w:noProof/>
                <w:webHidden/>
              </w:rPr>
              <w:fldChar w:fldCharType="separate"/>
            </w:r>
            <w:r>
              <w:rPr>
                <w:noProof/>
                <w:webHidden/>
              </w:rPr>
              <w:t>3</w:t>
            </w:r>
            <w:r>
              <w:rPr>
                <w:noProof/>
                <w:webHidden/>
              </w:rPr>
              <w:fldChar w:fldCharType="end"/>
            </w:r>
          </w:hyperlink>
        </w:p>
        <w:p w14:paraId="7FA1532D" w14:textId="77777777" w:rsidR="00F70CD9" w:rsidRDefault="00F70CD9">
          <w:pPr>
            <w:pStyle w:val="TOC1"/>
            <w:tabs>
              <w:tab w:val="right" w:leader="dot" w:pos="9019"/>
            </w:tabs>
            <w:rPr>
              <w:noProof/>
            </w:rPr>
          </w:pPr>
          <w:hyperlink w:anchor="_Toc225457767" w:history="1">
            <w:r w:rsidRPr="000B734A">
              <w:rPr>
                <w:rStyle w:val="Hyperlink"/>
                <w:noProof/>
                <w:lang w:val="en-GB"/>
              </w:rPr>
              <w:t>Main Body</w:t>
            </w:r>
            <w:r>
              <w:rPr>
                <w:noProof/>
                <w:webHidden/>
              </w:rPr>
              <w:tab/>
            </w:r>
            <w:r>
              <w:rPr>
                <w:noProof/>
                <w:webHidden/>
              </w:rPr>
              <w:fldChar w:fldCharType="begin"/>
            </w:r>
            <w:r>
              <w:rPr>
                <w:noProof/>
                <w:webHidden/>
              </w:rPr>
              <w:instrText xml:space="preserve"> PAGEREF _Toc225457767 \h </w:instrText>
            </w:r>
            <w:r>
              <w:rPr>
                <w:noProof/>
                <w:webHidden/>
              </w:rPr>
            </w:r>
            <w:r>
              <w:rPr>
                <w:noProof/>
                <w:webHidden/>
              </w:rPr>
              <w:fldChar w:fldCharType="separate"/>
            </w:r>
            <w:r>
              <w:rPr>
                <w:noProof/>
                <w:webHidden/>
              </w:rPr>
              <w:t>4</w:t>
            </w:r>
            <w:r>
              <w:rPr>
                <w:noProof/>
                <w:webHidden/>
              </w:rPr>
              <w:fldChar w:fldCharType="end"/>
            </w:r>
          </w:hyperlink>
        </w:p>
        <w:p w14:paraId="7FA1532E" w14:textId="77777777" w:rsidR="00F70CD9" w:rsidRDefault="00F70CD9">
          <w:pPr>
            <w:pStyle w:val="TOC2"/>
            <w:tabs>
              <w:tab w:val="right" w:leader="dot" w:pos="9019"/>
            </w:tabs>
            <w:rPr>
              <w:noProof/>
            </w:rPr>
          </w:pPr>
          <w:hyperlink w:anchor="_Toc225457768" w:history="1">
            <w:r w:rsidRPr="000B734A">
              <w:rPr>
                <w:rStyle w:val="Hyperlink"/>
                <w:noProof/>
                <w:lang w:val="en-GB"/>
              </w:rPr>
              <w:t>a. Identifying the Problem and Setting the System Context</w:t>
            </w:r>
            <w:r>
              <w:rPr>
                <w:noProof/>
                <w:webHidden/>
              </w:rPr>
              <w:tab/>
            </w:r>
            <w:r>
              <w:rPr>
                <w:noProof/>
                <w:webHidden/>
              </w:rPr>
              <w:fldChar w:fldCharType="begin"/>
            </w:r>
            <w:r>
              <w:rPr>
                <w:noProof/>
                <w:webHidden/>
              </w:rPr>
              <w:instrText xml:space="preserve"> PAGEREF _Toc225457768 \h </w:instrText>
            </w:r>
            <w:r>
              <w:rPr>
                <w:noProof/>
                <w:webHidden/>
              </w:rPr>
            </w:r>
            <w:r>
              <w:rPr>
                <w:noProof/>
                <w:webHidden/>
              </w:rPr>
              <w:fldChar w:fldCharType="separate"/>
            </w:r>
            <w:r>
              <w:rPr>
                <w:noProof/>
                <w:webHidden/>
              </w:rPr>
              <w:t>4</w:t>
            </w:r>
            <w:r>
              <w:rPr>
                <w:noProof/>
                <w:webHidden/>
              </w:rPr>
              <w:fldChar w:fldCharType="end"/>
            </w:r>
          </w:hyperlink>
        </w:p>
        <w:p w14:paraId="7FA1532F" w14:textId="77777777" w:rsidR="00F70CD9" w:rsidRDefault="00F70CD9">
          <w:pPr>
            <w:pStyle w:val="TOC2"/>
            <w:tabs>
              <w:tab w:val="right" w:leader="dot" w:pos="9019"/>
            </w:tabs>
            <w:rPr>
              <w:noProof/>
            </w:rPr>
          </w:pPr>
          <w:hyperlink w:anchor="_Toc225457769" w:history="1">
            <w:r w:rsidRPr="000B734A">
              <w:rPr>
                <w:rStyle w:val="Hyperlink"/>
                <w:noProof/>
                <w:lang w:val="en-GB"/>
              </w:rPr>
              <w:t>b. Centralisation or Decentralisation within the Case Study</w:t>
            </w:r>
            <w:r>
              <w:rPr>
                <w:noProof/>
                <w:webHidden/>
              </w:rPr>
              <w:tab/>
            </w:r>
            <w:r>
              <w:rPr>
                <w:noProof/>
                <w:webHidden/>
              </w:rPr>
              <w:fldChar w:fldCharType="begin"/>
            </w:r>
            <w:r>
              <w:rPr>
                <w:noProof/>
                <w:webHidden/>
              </w:rPr>
              <w:instrText xml:space="preserve"> PAGEREF _Toc225457769 \h </w:instrText>
            </w:r>
            <w:r>
              <w:rPr>
                <w:noProof/>
                <w:webHidden/>
              </w:rPr>
            </w:r>
            <w:r>
              <w:rPr>
                <w:noProof/>
                <w:webHidden/>
              </w:rPr>
              <w:fldChar w:fldCharType="separate"/>
            </w:r>
            <w:r>
              <w:rPr>
                <w:noProof/>
                <w:webHidden/>
              </w:rPr>
              <w:t>8</w:t>
            </w:r>
            <w:r>
              <w:rPr>
                <w:noProof/>
                <w:webHidden/>
              </w:rPr>
              <w:fldChar w:fldCharType="end"/>
            </w:r>
          </w:hyperlink>
        </w:p>
        <w:p w14:paraId="7FA15330" w14:textId="77777777" w:rsidR="00F70CD9" w:rsidRDefault="00F70CD9">
          <w:pPr>
            <w:pStyle w:val="TOC2"/>
            <w:tabs>
              <w:tab w:val="right" w:leader="dot" w:pos="9019"/>
            </w:tabs>
            <w:rPr>
              <w:noProof/>
            </w:rPr>
          </w:pPr>
          <w:hyperlink w:anchor="_Toc225457770" w:history="1">
            <w:r w:rsidRPr="000B734A">
              <w:rPr>
                <w:rStyle w:val="Hyperlink"/>
                <w:noProof/>
                <w:lang w:val="en-GB"/>
              </w:rPr>
              <w:t>c. Leadership Theories and Application to the Case Study</w:t>
            </w:r>
            <w:r>
              <w:rPr>
                <w:noProof/>
                <w:webHidden/>
              </w:rPr>
              <w:tab/>
            </w:r>
            <w:r>
              <w:rPr>
                <w:noProof/>
                <w:webHidden/>
              </w:rPr>
              <w:fldChar w:fldCharType="begin"/>
            </w:r>
            <w:r>
              <w:rPr>
                <w:noProof/>
                <w:webHidden/>
              </w:rPr>
              <w:instrText xml:space="preserve"> PAGEREF _Toc225457770 \h </w:instrText>
            </w:r>
            <w:r>
              <w:rPr>
                <w:noProof/>
                <w:webHidden/>
              </w:rPr>
            </w:r>
            <w:r>
              <w:rPr>
                <w:noProof/>
                <w:webHidden/>
              </w:rPr>
              <w:fldChar w:fldCharType="separate"/>
            </w:r>
            <w:r>
              <w:rPr>
                <w:noProof/>
                <w:webHidden/>
              </w:rPr>
              <w:t>11</w:t>
            </w:r>
            <w:r>
              <w:rPr>
                <w:noProof/>
                <w:webHidden/>
              </w:rPr>
              <w:fldChar w:fldCharType="end"/>
            </w:r>
          </w:hyperlink>
        </w:p>
        <w:p w14:paraId="7FA15331" w14:textId="77777777" w:rsidR="00F70CD9" w:rsidRDefault="00F70CD9">
          <w:pPr>
            <w:pStyle w:val="TOC2"/>
            <w:tabs>
              <w:tab w:val="right" w:leader="dot" w:pos="9019"/>
            </w:tabs>
            <w:rPr>
              <w:noProof/>
            </w:rPr>
          </w:pPr>
          <w:hyperlink w:anchor="_Toc225457771" w:history="1">
            <w:r w:rsidRPr="000B734A">
              <w:rPr>
                <w:rStyle w:val="Hyperlink"/>
                <w:noProof/>
                <w:lang w:val="en-GB"/>
              </w:rPr>
              <w:t>d. Improvement, and Lessons Learned</w:t>
            </w:r>
            <w:r>
              <w:rPr>
                <w:noProof/>
                <w:webHidden/>
              </w:rPr>
              <w:tab/>
            </w:r>
            <w:r>
              <w:rPr>
                <w:noProof/>
                <w:webHidden/>
              </w:rPr>
              <w:fldChar w:fldCharType="begin"/>
            </w:r>
            <w:r>
              <w:rPr>
                <w:noProof/>
                <w:webHidden/>
              </w:rPr>
              <w:instrText xml:space="preserve"> PAGEREF _Toc225457771 \h </w:instrText>
            </w:r>
            <w:r>
              <w:rPr>
                <w:noProof/>
                <w:webHidden/>
              </w:rPr>
            </w:r>
            <w:r>
              <w:rPr>
                <w:noProof/>
                <w:webHidden/>
              </w:rPr>
              <w:fldChar w:fldCharType="separate"/>
            </w:r>
            <w:r>
              <w:rPr>
                <w:noProof/>
                <w:webHidden/>
              </w:rPr>
              <w:t>15</w:t>
            </w:r>
            <w:r>
              <w:rPr>
                <w:noProof/>
                <w:webHidden/>
              </w:rPr>
              <w:fldChar w:fldCharType="end"/>
            </w:r>
          </w:hyperlink>
        </w:p>
        <w:p w14:paraId="7FA15332" w14:textId="77777777" w:rsidR="00F70CD9" w:rsidRDefault="00F70CD9">
          <w:pPr>
            <w:pStyle w:val="TOC2"/>
            <w:tabs>
              <w:tab w:val="right" w:leader="dot" w:pos="9019"/>
            </w:tabs>
            <w:rPr>
              <w:noProof/>
            </w:rPr>
          </w:pPr>
          <w:hyperlink w:anchor="_Toc225457772" w:history="1">
            <w:r w:rsidRPr="000B734A">
              <w:rPr>
                <w:rStyle w:val="Hyperlink"/>
                <w:noProof/>
                <w:lang w:val="en-GB"/>
              </w:rPr>
              <w:t>e. Recommendations</w:t>
            </w:r>
            <w:r>
              <w:rPr>
                <w:noProof/>
                <w:webHidden/>
              </w:rPr>
              <w:tab/>
            </w:r>
            <w:r>
              <w:rPr>
                <w:noProof/>
                <w:webHidden/>
              </w:rPr>
              <w:fldChar w:fldCharType="begin"/>
            </w:r>
            <w:r>
              <w:rPr>
                <w:noProof/>
                <w:webHidden/>
              </w:rPr>
              <w:instrText xml:space="preserve"> PAGEREF _Toc225457772 \h </w:instrText>
            </w:r>
            <w:r>
              <w:rPr>
                <w:noProof/>
                <w:webHidden/>
              </w:rPr>
            </w:r>
            <w:r>
              <w:rPr>
                <w:noProof/>
                <w:webHidden/>
              </w:rPr>
              <w:fldChar w:fldCharType="separate"/>
            </w:r>
            <w:r>
              <w:rPr>
                <w:noProof/>
                <w:webHidden/>
              </w:rPr>
              <w:t>17</w:t>
            </w:r>
            <w:r>
              <w:rPr>
                <w:noProof/>
                <w:webHidden/>
              </w:rPr>
              <w:fldChar w:fldCharType="end"/>
            </w:r>
          </w:hyperlink>
        </w:p>
        <w:p w14:paraId="7FA15333" w14:textId="77777777" w:rsidR="00F70CD9" w:rsidRDefault="00F70CD9">
          <w:pPr>
            <w:pStyle w:val="TOC1"/>
            <w:tabs>
              <w:tab w:val="right" w:leader="dot" w:pos="9019"/>
            </w:tabs>
            <w:rPr>
              <w:noProof/>
            </w:rPr>
          </w:pPr>
          <w:hyperlink w:anchor="_Toc225457773" w:history="1">
            <w:r w:rsidRPr="000B734A">
              <w:rPr>
                <w:rStyle w:val="Hyperlink"/>
                <w:noProof/>
                <w:lang w:val="en-GB"/>
              </w:rPr>
              <w:t>Conclusion</w:t>
            </w:r>
            <w:r>
              <w:rPr>
                <w:noProof/>
                <w:webHidden/>
              </w:rPr>
              <w:tab/>
            </w:r>
            <w:r>
              <w:rPr>
                <w:noProof/>
                <w:webHidden/>
              </w:rPr>
              <w:fldChar w:fldCharType="begin"/>
            </w:r>
            <w:r>
              <w:rPr>
                <w:noProof/>
                <w:webHidden/>
              </w:rPr>
              <w:instrText xml:space="preserve"> PAGEREF _Toc225457773 \h </w:instrText>
            </w:r>
            <w:r>
              <w:rPr>
                <w:noProof/>
                <w:webHidden/>
              </w:rPr>
            </w:r>
            <w:r>
              <w:rPr>
                <w:noProof/>
                <w:webHidden/>
              </w:rPr>
              <w:fldChar w:fldCharType="separate"/>
            </w:r>
            <w:r>
              <w:rPr>
                <w:noProof/>
                <w:webHidden/>
              </w:rPr>
              <w:t>18</w:t>
            </w:r>
            <w:r>
              <w:rPr>
                <w:noProof/>
                <w:webHidden/>
              </w:rPr>
              <w:fldChar w:fldCharType="end"/>
            </w:r>
          </w:hyperlink>
        </w:p>
        <w:p w14:paraId="7FA15334" w14:textId="77777777" w:rsidR="00F70CD9" w:rsidRDefault="00F70CD9">
          <w:pPr>
            <w:pStyle w:val="TOC1"/>
            <w:tabs>
              <w:tab w:val="right" w:leader="dot" w:pos="9019"/>
            </w:tabs>
            <w:rPr>
              <w:noProof/>
            </w:rPr>
          </w:pPr>
          <w:hyperlink w:anchor="_Toc225457774" w:history="1">
            <w:r w:rsidRPr="000B734A">
              <w:rPr>
                <w:rStyle w:val="Hyperlink"/>
                <w:noProof/>
                <w:lang w:val="en-GB"/>
              </w:rPr>
              <w:t>References</w:t>
            </w:r>
            <w:r>
              <w:rPr>
                <w:noProof/>
                <w:webHidden/>
              </w:rPr>
              <w:tab/>
            </w:r>
            <w:r>
              <w:rPr>
                <w:noProof/>
                <w:webHidden/>
              </w:rPr>
              <w:fldChar w:fldCharType="begin"/>
            </w:r>
            <w:r>
              <w:rPr>
                <w:noProof/>
                <w:webHidden/>
              </w:rPr>
              <w:instrText xml:space="preserve"> PAGEREF _Toc225457774 \h </w:instrText>
            </w:r>
            <w:r>
              <w:rPr>
                <w:noProof/>
                <w:webHidden/>
              </w:rPr>
            </w:r>
            <w:r>
              <w:rPr>
                <w:noProof/>
                <w:webHidden/>
              </w:rPr>
              <w:fldChar w:fldCharType="separate"/>
            </w:r>
            <w:r>
              <w:rPr>
                <w:noProof/>
                <w:webHidden/>
              </w:rPr>
              <w:t>19</w:t>
            </w:r>
            <w:r>
              <w:rPr>
                <w:noProof/>
                <w:webHidden/>
              </w:rPr>
              <w:fldChar w:fldCharType="end"/>
            </w:r>
          </w:hyperlink>
        </w:p>
        <w:p w14:paraId="7FA15335" w14:textId="77777777" w:rsidR="00F70CD9" w:rsidRDefault="00F70CD9">
          <w:r>
            <w:fldChar w:fldCharType="end"/>
          </w:r>
        </w:p>
      </w:sdtContent>
    </w:sdt>
    <w:p w14:paraId="7FA15336" w14:textId="77777777" w:rsidR="00822979" w:rsidRPr="00234F15" w:rsidRDefault="00FC6DEF" w:rsidP="00F70CD9">
      <w:pPr>
        <w:rPr>
          <w:lang w:val="en-GB"/>
        </w:rPr>
      </w:pPr>
      <w:r w:rsidRPr="00234F15">
        <w:rPr>
          <w:lang w:val="en-GB"/>
        </w:rPr>
        <w:br w:type="page"/>
      </w:r>
    </w:p>
    <w:p w14:paraId="7FA15337" w14:textId="77777777" w:rsidR="00822979" w:rsidRPr="008F56EB" w:rsidRDefault="00FC6DEF">
      <w:pPr>
        <w:pStyle w:val="Heading1"/>
        <w:rPr>
          <w:sz w:val="32"/>
          <w:szCs w:val="32"/>
          <w:lang w:val="en-GB"/>
        </w:rPr>
      </w:pPr>
      <w:bookmarkStart w:id="3" w:name="_4bdliyppsxij" w:colFirst="0" w:colLast="0"/>
      <w:bookmarkStart w:id="4" w:name="_Toc225457766"/>
      <w:bookmarkEnd w:id="3"/>
      <w:r w:rsidRPr="008F56EB">
        <w:rPr>
          <w:sz w:val="32"/>
          <w:szCs w:val="32"/>
          <w:lang w:val="en-GB"/>
        </w:rPr>
        <w:lastRenderedPageBreak/>
        <w:t>Introduction</w:t>
      </w:r>
      <w:bookmarkEnd w:id="4"/>
      <w:r w:rsidRPr="008F56EB">
        <w:rPr>
          <w:sz w:val="32"/>
          <w:szCs w:val="32"/>
          <w:lang w:val="en-GB"/>
        </w:rPr>
        <w:t xml:space="preserve"> </w:t>
      </w:r>
    </w:p>
    <w:p w14:paraId="7FA15338" w14:textId="445B0976" w:rsidR="00822979" w:rsidRPr="008F56EB" w:rsidRDefault="00FC6DEF">
      <w:pPr>
        <w:pStyle w:val="Normal1"/>
        <w:rPr>
          <w:sz w:val="24"/>
          <w:szCs w:val="24"/>
          <w:lang w:val="en-GB"/>
        </w:rPr>
      </w:pPr>
      <w:r w:rsidRPr="008F56EB">
        <w:rPr>
          <w:sz w:val="24"/>
          <w:szCs w:val="24"/>
          <w:lang w:val="en-GB"/>
        </w:rPr>
        <w:t>Healthcare systems are complex processes that include all organisations, people, and resources whose main aim is to promote, restore and maintain health. These systems exist to work with various interrelated parts, such as healthcare professionals, policies, technologies, and patients, which are all dynamically involved. UK Healthcare market is expected to reach $266.4 billion with a 6.5% rise by 2030 (Grandviewresearch, 2026). These interdependencies make healthcare systems complex</w:t>
      </w:r>
      <w:r w:rsidR="00D65806" w:rsidRPr="008F56EB">
        <w:rPr>
          <w:sz w:val="24"/>
          <w:szCs w:val="24"/>
          <w:lang w:val="en-GB"/>
        </w:rPr>
        <w:t xml:space="preserve"> as </w:t>
      </w:r>
      <w:r w:rsidRPr="008F56EB">
        <w:rPr>
          <w:sz w:val="24"/>
          <w:szCs w:val="24"/>
          <w:lang w:val="en-GB"/>
        </w:rPr>
        <w:t>a failure in a particular area can dramatically influence the systems of other areas. Consequently, the provision of safe, effective, and coordinated care has become a significant issue throughout health systems in the world.</w:t>
      </w:r>
    </w:p>
    <w:p w14:paraId="7FA15339" w14:textId="77777777" w:rsidR="00822979" w:rsidRPr="008F56EB" w:rsidRDefault="00FC6DEF">
      <w:pPr>
        <w:pStyle w:val="Normal1"/>
        <w:jc w:val="center"/>
        <w:rPr>
          <w:sz w:val="24"/>
          <w:szCs w:val="24"/>
          <w:lang w:val="en-GB"/>
        </w:rPr>
      </w:pPr>
      <w:r w:rsidRPr="008F56EB">
        <w:rPr>
          <w:noProof/>
          <w:sz w:val="24"/>
          <w:szCs w:val="24"/>
          <w:lang w:val="en-GB"/>
        </w:rPr>
        <w:drawing>
          <wp:inline distT="114300" distB="114300" distL="114300" distR="114300" wp14:anchorId="7FA153F5" wp14:editId="7FA153F6">
            <wp:extent cx="4898154" cy="2562988"/>
            <wp:effectExtent l="0" t="0" r="0" b="0"/>
            <wp:docPr id="4"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9" cstate="print"/>
                    <a:srcRect/>
                    <a:stretch>
                      <a:fillRect/>
                    </a:stretch>
                  </pic:blipFill>
                  <pic:spPr>
                    <a:xfrm>
                      <a:off x="0" y="0"/>
                      <a:ext cx="4898154" cy="2562988"/>
                    </a:xfrm>
                    <a:prstGeom prst="rect">
                      <a:avLst/>
                    </a:prstGeom>
                    <a:ln/>
                  </pic:spPr>
                </pic:pic>
              </a:graphicData>
            </a:graphic>
          </wp:inline>
        </w:drawing>
      </w:r>
    </w:p>
    <w:p w14:paraId="7FA1533A" w14:textId="77777777" w:rsidR="00822979" w:rsidRPr="008F56EB" w:rsidRDefault="00FC6DEF">
      <w:pPr>
        <w:pStyle w:val="Normal1"/>
        <w:jc w:val="center"/>
        <w:rPr>
          <w:b/>
          <w:bCs/>
          <w:sz w:val="24"/>
          <w:szCs w:val="24"/>
          <w:lang w:val="en-GB"/>
        </w:rPr>
      </w:pPr>
      <w:r w:rsidRPr="008F56EB">
        <w:rPr>
          <w:b/>
          <w:bCs/>
          <w:sz w:val="24"/>
          <w:szCs w:val="24"/>
          <w:lang w:val="en-GB"/>
        </w:rPr>
        <w:t>Figure 1: UK Healthcare market Size</w:t>
      </w:r>
    </w:p>
    <w:p w14:paraId="7FA1533B" w14:textId="57E0F39B" w:rsidR="00822979" w:rsidRPr="008F56EB" w:rsidRDefault="00FC6DEF">
      <w:pPr>
        <w:pStyle w:val="Normal1"/>
        <w:jc w:val="center"/>
        <w:rPr>
          <w:sz w:val="24"/>
          <w:szCs w:val="24"/>
          <w:lang w:val="en-GB"/>
        </w:rPr>
      </w:pPr>
      <w:r w:rsidRPr="008F56EB">
        <w:rPr>
          <w:sz w:val="24"/>
          <w:szCs w:val="24"/>
          <w:lang w:val="en-GB"/>
        </w:rPr>
        <w:t xml:space="preserve">(Source: </w:t>
      </w:r>
      <w:r w:rsidR="00D65806" w:rsidRPr="008F56EB">
        <w:rPr>
          <w:sz w:val="24"/>
          <w:szCs w:val="24"/>
          <w:lang w:val="en-GB"/>
        </w:rPr>
        <w:t>Grandview research</w:t>
      </w:r>
      <w:r w:rsidRPr="008F56EB">
        <w:rPr>
          <w:sz w:val="24"/>
          <w:szCs w:val="24"/>
          <w:lang w:val="en-GB"/>
        </w:rPr>
        <w:t>, 2026)</w:t>
      </w:r>
    </w:p>
    <w:p w14:paraId="7FA1533C" w14:textId="24C40399" w:rsidR="00822979" w:rsidRPr="008F56EB" w:rsidRDefault="00FC6DEF">
      <w:pPr>
        <w:pStyle w:val="Normal1"/>
        <w:rPr>
          <w:sz w:val="24"/>
          <w:szCs w:val="24"/>
          <w:lang w:val="en-GB"/>
        </w:rPr>
      </w:pPr>
      <w:r w:rsidRPr="008F56EB">
        <w:rPr>
          <w:sz w:val="24"/>
          <w:szCs w:val="24"/>
          <w:lang w:val="en-GB"/>
        </w:rPr>
        <w:t xml:space="preserve">Management of this complexity is important and happens through leadership, which operates on individuals and teams in order to deliver common healthcare objectives. Leadership plays a crucial role in the medical field when it comes to ensuring patients are safe, leading to decision-making, and reacting positively to crisis situations (Dahleez </w:t>
      </w:r>
      <w:r w:rsidRPr="008F56EB">
        <w:rPr>
          <w:i/>
          <w:iCs/>
          <w:sz w:val="24"/>
          <w:szCs w:val="24"/>
          <w:lang w:val="en-GB"/>
        </w:rPr>
        <w:t>et al.</w:t>
      </w:r>
      <w:r w:rsidRPr="008F56EB">
        <w:rPr>
          <w:sz w:val="24"/>
          <w:szCs w:val="24"/>
          <w:lang w:val="en-GB"/>
        </w:rPr>
        <w:t>, 2022). There has been evidence to indicate that ineffective leadership is a factor that contributes towards negative occurrences and that incidents of patient safety account for thousands of avoidable harms each year in systems like the NHS</w:t>
      </w:r>
      <w:r w:rsidR="00D65806" w:rsidRPr="008F56EB">
        <w:rPr>
          <w:sz w:val="24"/>
          <w:szCs w:val="24"/>
          <w:lang w:val="en-GB"/>
        </w:rPr>
        <w:t xml:space="preserve"> (Sirrs, 2024)</w:t>
      </w:r>
      <w:r w:rsidRPr="008F56EB">
        <w:rPr>
          <w:sz w:val="24"/>
          <w:szCs w:val="24"/>
          <w:lang w:val="en-GB"/>
        </w:rPr>
        <w:t>. Successful leadership will enable effective communication and accountability and will foster a safety culture, and a lack of successful leadership can be a direct contributor to patient injury through mismanagement, lack of supervision, and team coordination failure.</w:t>
      </w:r>
    </w:p>
    <w:p w14:paraId="7FA1533D" w14:textId="1E1E4DF1" w:rsidR="00822979" w:rsidRPr="008F56EB" w:rsidRDefault="00FC6DEF">
      <w:pPr>
        <w:pStyle w:val="Normal1"/>
        <w:rPr>
          <w:sz w:val="24"/>
          <w:szCs w:val="24"/>
          <w:lang w:val="en-GB"/>
        </w:rPr>
      </w:pPr>
      <w:r w:rsidRPr="008F56EB">
        <w:rPr>
          <w:sz w:val="24"/>
          <w:szCs w:val="24"/>
          <w:lang w:val="en-GB"/>
        </w:rPr>
        <w:lastRenderedPageBreak/>
        <w:t>Some of the most important organisational concepts that are important in the operation of the healthcare systems include centralisation and decentralisation.</w:t>
      </w:r>
      <w:r w:rsidR="00D65806" w:rsidRPr="008F56EB">
        <w:rPr>
          <w:sz w:val="24"/>
          <w:szCs w:val="24"/>
          <w:lang w:val="en-GB"/>
        </w:rPr>
        <w:t xml:space="preserve"> </w:t>
      </w:r>
      <w:r w:rsidRPr="008F56EB">
        <w:rPr>
          <w:sz w:val="24"/>
          <w:szCs w:val="24"/>
          <w:lang w:val="en-GB"/>
        </w:rPr>
        <w:t xml:space="preserve">Centralisation is the term that is used to refer to the concentration of the decision-making processes at the higher levels of authority, whereas decentralisation is the process of distributing the decision-making among the local units. Centralisation and decentralisation methods have an impact on the exercise of leadership in healthcare organisations (Sapkota </w:t>
      </w:r>
      <w:r w:rsidRPr="008F56EB">
        <w:rPr>
          <w:i/>
          <w:iCs/>
          <w:sz w:val="24"/>
          <w:szCs w:val="24"/>
          <w:lang w:val="en-GB"/>
        </w:rPr>
        <w:t>et al</w:t>
      </w:r>
      <w:r w:rsidRPr="008F56EB">
        <w:rPr>
          <w:sz w:val="24"/>
          <w:szCs w:val="24"/>
          <w:lang w:val="en-GB"/>
        </w:rPr>
        <w:t>., 2023). Moreover, autocratic, democratic, and transformational leadership styles influence the organisational decision-making process, team interactions, and effectiveness of healthcare services to address problems.</w:t>
      </w:r>
      <w:r w:rsidR="00D65806" w:rsidRPr="008F56EB">
        <w:rPr>
          <w:sz w:val="24"/>
          <w:szCs w:val="24"/>
          <w:lang w:val="en-GB"/>
        </w:rPr>
        <w:t xml:space="preserve"> The autocratic leadership centralises decision making with leaders, allowing instant decision however limits staff input. The democratic leadership shares decision-making to improve collaboration. Transformational leadership inspires employees to enhance engagement, innovation, and overall decision quality in healthcare organisations. </w:t>
      </w:r>
    </w:p>
    <w:p w14:paraId="7FA1533E" w14:textId="77777777" w:rsidR="00822979" w:rsidRPr="008F56EB" w:rsidRDefault="00FC6DEF">
      <w:pPr>
        <w:pStyle w:val="Normal1"/>
        <w:jc w:val="center"/>
        <w:rPr>
          <w:sz w:val="24"/>
          <w:szCs w:val="24"/>
          <w:lang w:val="en-GB"/>
        </w:rPr>
      </w:pPr>
      <w:r w:rsidRPr="008F56EB">
        <w:rPr>
          <w:noProof/>
          <w:sz w:val="24"/>
          <w:szCs w:val="24"/>
          <w:highlight w:val="yellow"/>
          <w:lang w:val="en-GB"/>
        </w:rPr>
        <w:drawing>
          <wp:inline distT="114300" distB="114300" distL="114300" distR="114300" wp14:anchorId="7FA153F7" wp14:editId="7FA153F8">
            <wp:extent cx="4081612" cy="2820516"/>
            <wp:effectExtent l="0" t="0" r="0" b="0"/>
            <wp:docPr id="9"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cstate="print"/>
                    <a:srcRect/>
                    <a:stretch>
                      <a:fillRect/>
                    </a:stretch>
                  </pic:blipFill>
                  <pic:spPr>
                    <a:xfrm>
                      <a:off x="0" y="0"/>
                      <a:ext cx="4081612" cy="2820516"/>
                    </a:xfrm>
                    <a:prstGeom prst="rect">
                      <a:avLst/>
                    </a:prstGeom>
                    <a:ln/>
                  </pic:spPr>
                </pic:pic>
              </a:graphicData>
            </a:graphic>
          </wp:inline>
        </w:drawing>
      </w:r>
    </w:p>
    <w:p w14:paraId="7FA1533F" w14:textId="77777777" w:rsidR="00822979" w:rsidRPr="00234F15" w:rsidRDefault="00FC6DEF">
      <w:pPr>
        <w:pStyle w:val="Normal1"/>
        <w:jc w:val="center"/>
        <w:rPr>
          <w:b/>
          <w:bCs/>
          <w:lang w:val="en-GB"/>
        </w:rPr>
      </w:pPr>
      <w:r w:rsidRPr="00234F15">
        <w:rPr>
          <w:b/>
          <w:bCs/>
          <w:lang w:val="en-GB"/>
        </w:rPr>
        <w:t>Figure 2: NHS Leadership</w:t>
      </w:r>
    </w:p>
    <w:p w14:paraId="7FA15340" w14:textId="77777777" w:rsidR="00822979" w:rsidRPr="00234F15" w:rsidRDefault="00FC6DEF">
      <w:pPr>
        <w:pStyle w:val="Normal1"/>
        <w:jc w:val="center"/>
        <w:rPr>
          <w:lang w:val="en-GB"/>
        </w:rPr>
      </w:pPr>
      <w:r w:rsidRPr="00234F15">
        <w:rPr>
          <w:lang w:val="en-GB"/>
        </w:rPr>
        <w:t>(Source: NHS, 2024)</w:t>
      </w:r>
    </w:p>
    <w:p w14:paraId="7FA15341" w14:textId="175B9B86" w:rsidR="00822979" w:rsidRPr="008F56EB" w:rsidRDefault="00D65806">
      <w:pPr>
        <w:pStyle w:val="Normal1"/>
        <w:rPr>
          <w:sz w:val="24"/>
          <w:szCs w:val="24"/>
          <w:lang w:val="en-GB"/>
        </w:rPr>
      </w:pPr>
      <w:r w:rsidRPr="008F56EB">
        <w:rPr>
          <w:sz w:val="24"/>
          <w:szCs w:val="24"/>
        </w:rPr>
        <w:t xml:space="preserve">Figure 2 shows the NHS Leadership Competency Framework, which outlines the key behaviours and competencies expected from leaders within the NHS to improve. </w:t>
      </w:r>
      <w:r w:rsidR="00FC6DEF" w:rsidRPr="008F56EB">
        <w:rPr>
          <w:sz w:val="24"/>
          <w:szCs w:val="24"/>
          <w:lang w:val="en-GB"/>
        </w:rPr>
        <w:t xml:space="preserve">This report aims to discuss a recent NHS patient safety incident of a four-week-old baby who endured a major overdose of morphine as a result of a medication error. According to the case, there are defective communication, governance and leadership in the healthcare system. </w:t>
      </w:r>
      <w:r w:rsidR="009D3A0B" w:rsidRPr="008F56EB">
        <w:rPr>
          <w:sz w:val="24"/>
          <w:szCs w:val="24"/>
          <w:lang w:val="en-GB"/>
        </w:rPr>
        <w:t xml:space="preserve">Therefore, </w:t>
      </w:r>
      <w:r w:rsidR="00577108" w:rsidRPr="008F56EB">
        <w:rPr>
          <w:sz w:val="24"/>
          <w:szCs w:val="24"/>
          <w:lang w:val="en-GB"/>
        </w:rPr>
        <w:t>the</w:t>
      </w:r>
      <w:r w:rsidR="00FC6DEF" w:rsidRPr="008F56EB">
        <w:rPr>
          <w:sz w:val="24"/>
          <w:szCs w:val="24"/>
          <w:lang w:val="en-GB"/>
        </w:rPr>
        <w:t xml:space="preserve"> purpose of the present report is to critically evaluate the incident through the prism of systems thinking, the review of leadership strategies, and the analysis of governance systems. It will also suggest evidence-</w:t>
      </w:r>
      <w:r w:rsidR="00FC6DEF" w:rsidRPr="008F56EB">
        <w:rPr>
          <w:sz w:val="24"/>
          <w:szCs w:val="24"/>
          <w:lang w:val="en-GB"/>
        </w:rPr>
        <w:lastRenderedPageBreak/>
        <w:t>based solutions to improve patient safety, leadership performance, and healthcare system performance.</w:t>
      </w:r>
    </w:p>
    <w:p w14:paraId="53A48A6F" w14:textId="77777777" w:rsidR="009D3A0B" w:rsidRDefault="009D3A0B">
      <w:pPr>
        <w:pStyle w:val="Heading1"/>
        <w:rPr>
          <w:lang w:val="en-GB"/>
        </w:rPr>
      </w:pPr>
      <w:bookmarkStart w:id="5" w:name="_u7bcm4xyjc2e" w:colFirst="0" w:colLast="0"/>
      <w:bookmarkStart w:id="6" w:name="_Toc225457767"/>
      <w:bookmarkEnd w:id="5"/>
    </w:p>
    <w:p w14:paraId="7FA15342" w14:textId="0909AFA9" w:rsidR="00822979" w:rsidRPr="008F56EB" w:rsidRDefault="00FC6DEF">
      <w:pPr>
        <w:pStyle w:val="Heading1"/>
        <w:rPr>
          <w:sz w:val="32"/>
          <w:szCs w:val="32"/>
          <w:lang w:val="en-GB"/>
        </w:rPr>
      </w:pPr>
      <w:r w:rsidRPr="008F56EB">
        <w:rPr>
          <w:sz w:val="32"/>
          <w:szCs w:val="32"/>
          <w:lang w:val="en-GB"/>
        </w:rPr>
        <w:t>Main Body</w:t>
      </w:r>
      <w:bookmarkEnd w:id="6"/>
      <w:r w:rsidRPr="008F56EB">
        <w:rPr>
          <w:sz w:val="32"/>
          <w:szCs w:val="32"/>
          <w:lang w:val="en-GB"/>
        </w:rPr>
        <w:t xml:space="preserve"> </w:t>
      </w:r>
    </w:p>
    <w:p w14:paraId="7FA15343" w14:textId="77777777" w:rsidR="00822979" w:rsidRPr="008F56EB" w:rsidRDefault="00FC6DEF">
      <w:pPr>
        <w:pStyle w:val="Heading2"/>
        <w:rPr>
          <w:sz w:val="28"/>
          <w:szCs w:val="28"/>
          <w:lang w:val="en-GB"/>
        </w:rPr>
      </w:pPr>
      <w:bookmarkStart w:id="7" w:name="_ledd4d6rhi6v" w:colFirst="0" w:colLast="0"/>
      <w:bookmarkStart w:id="8" w:name="_Toc225457768"/>
      <w:bookmarkEnd w:id="7"/>
      <w:r w:rsidRPr="008F56EB">
        <w:rPr>
          <w:sz w:val="28"/>
          <w:szCs w:val="28"/>
          <w:lang w:val="en-GB"/>
        </w:rPr>
        <w:t>a. Identifying the Problem and Setting the System Context</w:t>
      </w:r>
      <w:bookmarkEnd w:id="8"/>
    </w:p>
    <w:p w14:paraId="7FA15344" w14:textId="77777777" w:rsidR="00822979" w:rsidRPr="008F56EB" w:rsidRDefault="00FC6DEF">
      <w:pPr>
        <w:pStyle w:val="Normal1"/>
        <w:rPr>
          <w:b/>
          <w:bCs/>
          <w:sz w:val="28"/>
          <w:szCs w:val="28"/>
          <w:lang w:val="en-GB"/>
        </w:rPr>
      </w:pPr>
      <w:r w:rsidRPr="008F56EB">
        <w:rPr>
          <w:b/>
          <w:bCs/>
          <w:sz w:val="28"/>
          <w:szCs w:val="28"/>
          <w:lang w:val="en-GB"/>
        </w:rPr>
        <w:t>Case Description</w:t>
      </w:r>
    </w:p>
    <w:p w14:paraId="3D75082A" w14:textId="2B1B9396" w:rsidR="00892DE9" w:rsidRDefault="00FC6DEF">
      <w:pPr>
        <w:pStyle w:val="Normal1"/>
        <w:rPr>
          <w:sz w:val="24"/>
          <w:szCs w:val="24"/>
        </w:rPr>
      </w:pPr>
      <w:r w:rsidRPr="00B00D6E">
        <w:rPr>
          <w:sz w:val="24"/>
          <w:szCs w:val="24"/>
          <w:lang w:val="en-GB"/>
        </w:rPr>
        <w:t>The case that has been chosen is a severe patient safety event in the NHS, when a four-week-old baby received a morphine dose that was nearly 20 times more than was intended (Northyorkshireccg, 2023). This mistake had taken place when the parents received a wrong dosage of morphine oral solution, and this had led to overdosing. Even though the baby survived with emergency treatment, the case reveals serious flaws in prescription, dispensing, and communication. Notably, the involved medication was a high-risk category of a so-called RED drug (Northyorkshireccg, 2023).</w:t>
      </w:r>
      <w:r w:rsidR="003B163A" w:rsidRPr="00B00D6E">
        <w:rPr>
          <w:sz w:val="24"/>
          <w:szCs w:val="24"/>
          <w:lang w:val="en-GB"/>
        </w:rPr>
        <w:t xml:space="preserve"> </w:t>
      </w:r>
      <w:r w:rsidR="003B163A" w:rsidRPr="00B00D6E">
        <w:rPr>
          <w:sz w:val="24"/>
          <w:szCs w:val="24"/>
        </w:rPr>
        <w:t xml:space="preserve">Its use should have been strictly monitored within a controlled clinical environment; however, the apparent lack of such oversight indicates a breach of established safety protocols, potentially compromising patient safety and quality of care (Saproo, et al., 2025). </w:t>
      </w:r>
    </w:p>
    <w:p w14:paraId="153E6CF2" w14:textId="77777777" w:rsidR="00B00D6E" w:rsidRPr="00B00D6E" w:rsidRDefault="00B00D6E">
      <w:pPr>
        <w:pStyle w:val="Normal1"/>
        <w:rPr>
          <w:sz w:val="24"/>
          <w:szCs w:val="24"/>
        </w:rPr>
      </w:pPr>
    </w:p>
    <w:p w14:paraId="7FA15346" w14:textId="77777777" w:rsidR="00822979" w:rsidRPr="00B00D6E" w:rsidRDefault="00FC6DEF">
      <w:pPr>
        <w:pStyle w:val="Normal1"/>
        <w:rPr>
          <w:b/>
          <w:bCs/>
          <w:sz w:val="28"/>
          <w:szCs w:val="28"/>
          <w:lang w:val="en-GB"/>
        </w:rPr>
      </w:pPr>
      <w:r w:rsidRPr="00B00D6E">
        <w:rPr>
          <w:b/>
          <w:bCs/>
          <w:sz w:val="28"/>
          <w:szCs w:val="28"/>
          <w:lang w:val="en-GB"/>
        </w:rPr>
        <w:t>Global and National Context</w:t>
      </w:r>
    </w:p>
    <w:p w14:paraId="7FA15347" w14:textId="4E832015" w:rsidR="00822979" w:rsidRPr="00B00D6E" w:rsidRDefault="00FC6DEF">
      <w:pPr>
        <w:pStyle w:val="Normal1"/>
        <w:rPr>
          <w:sz w:val="24"/>
          <w:szCs w:val="24"/>
          <w:lang w:val="en-GB"/>
        </w:rPr>
      </w:pPr>
      <w:r w:rsidRPr="00B00D6E">
        <w:rPr>
          <w:sz w:val="24"/>
          <w:szCs w:val="24"/>
          <w:lang w:val="en-GB"/>
        </w:rPr>
        <w:t xml:space="preserve">There are significant issues with medication errors worldwide. </w:t>
      </w:r>
      <w:r w:rsidR="003B163A" w:rsidRPr="00B00D6E">
        <w:rPr>
          <w:sz w:val="24"/>
          <w:szCs w:val="24"/>
          <w:lang w:val="en-GB"/>
        </w:rPr>
        <w:t xml:space="preserve">Furthermore, the </w:t>
      </w:r>
      <w:r w:rsidRPr="00B00D6E">
        <w:rPr>
          <w:sz w:val="24"/>
          <w:szCs w:val="24"/>
          <w:lang w:val="en-GB"/>
        </w:rPr>
        <w:t>World Health Organisation reports that medication-related harm is the cause of about 1.3 million deaths each year across the globe, and millions of patients suffer adverse drug events that can be averted (WHO, 2023). These mistakes tend to be systemic, such as poor communication, lack of proper training, and poor governance systems.</w:t>
      </w:r>
    </w:p>
    <w:p w14:paraId="7FA15348" w14:textId="77777777" w:rsidR="00822979" w:rsidRPr="00B00D6E" w:rsidRDefault="00FC6DEF">
      <w:pPr>
        <w:pStyle w:val="Normal1"/>
        <w:rPr>
          <w:sz w:val="24"/>
          <w:szCs w:val="24"/>
          <w:lang w:val="en-GB"/>
        </w:rPr>
      </w:pPr>
      <w:r w:rsidRPr="00B00D6E">
        <w:rPr>
          <w:sz w:val="24"/>
          <w:szCs w:val="24"/>
          <w:lang w:val="en-GB"/>
        </w:rPr>
        <w:t xml:space="preserve">On the national level, the NHS records a high rate of patient safety incidents annually. Over 237 million medication-related incidents are reported every year, and a percentage of them lead to considerable damage or fatalities (BMJ, 2020). Even with the presence of clinical guidelines and safety measures, medication errors keep recurring, which indicates that healthcare systems have vulnerabilities. The case under analysis is not an exceptional case yet a symptomatic problem that can be observed in the healthcare systems. This case failure is reflective of broader trends in which a communication lapse, ineffective supervision, and disjointed operations lead </w:t>
      </w:r>
      <w:r w:rsidRPr="00B00D6E">
        <w:rPr>
          <w:sz w:val="24"/>
          <w:szCs w:val="24"/>
          <w:lang w:val="en-GB"/>
        </w:rPr>
        <w:lastRenderedPageBreak/>
        <w:t>to avoidable patient injuries (Muzingili, 2026). Thus, the event is to be perceived as a systemic failure, but not as an individual error.</w:t>
      </w:r>
    </w:p>
    <w:p w14:paraId="0B0D7A4A" w14:textId="77777777" w:rsidR="008C26AB" w:rsidRPr="00B00D6E" w:rsidRDefault="008C26AB">
      <w:pPr>
        <w:pStyle w:val="Normal1"/>
        <w:rPr>
          <w:sz w:val="24"/>
          <w:szCs w:val="24"/>
          <w:lang w:val="en-GB"/>
        </w:rPr>
      </w:pPr>
    </w:p>
    <w:p w14:paraId="7FA15349" w14:textId="77777777" w:rsidR="00822979" w:rsidRPr="00B00D6E" w:rsidRDefault="00FC6DEF">
      <w:pPr>
        <w:pStyle w:val="Normal1"/>
        <w:rPr>
          <w:b/>
          <w:bCs/>
          <w:sz w:val="28"/>
          <w:szCs w:val="28"/>
          <w:lang w:val="en-GB"/>
        </w:rPr>
      </w:pPr>
      <w:r w:rsidRPr="00B00D6E">
        <w:rPr>
          <w:b/>
          <w:bCs/>
          <w:sz w:val="28"/>
          <w:szCs w:val="28"/>
          <w:lang w:val="en-GB"/>
        </w:rPr>
        <w:t>Applications of Systems Thinking</w:t>
      </w:r>
    </w:p>
    <w:p w14:paraId="7FA1534A" w14:textId="77777777" w:rsidR="00822979" w:rsidRPr="00234F15" w:rsidRDefault="00FC6DEF">
      <w:pPr>
        <w:pStyle w:val="Normal1"/>
        <w:jc w:val="center"/>
        <w:rPr>
          <w:b/>
          <w:bCs/>
          <w:lang w:val="en-GB"/>
        </w:rPr>
      </w:pPr>
      <w:r w:rsidRPr="00234F15">
        <w:rPr>
          <w:b/>
          <w:bCs/>
          <w:noProof/>
          <w:lang w:val="en-GB"/>
        </w:rPr>
        <w:drawing>
          <wp:inline distT="114300" distB="114300" distL="114300" distR="114300" wp14:anchorId="7FA153F9" wp14:editId="7FA153FA">
            <wp:extent cx="3567113" cy="3518470"/>
            <wp:effectExtent l="0" t="0" r="0" b="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cstate="print"/>
                    <a:srcRect/>
                    <a:stretch>
                      <a:fillRect/>
                    </a:stretch>
                  </pic:blipFill>
                  <pic:spPr>
                    <a:xfrm>
                      <a:off x="0" y="0"/>
                      <a:ext cx="3567113" cy="3518470"/>
                    </a:xfrm>
                    <a:prstGeom prst="rect">
                      <a:avLst/>
                    </a:prstGeom>
                    <a:ln/>
                  </pic:spPr>
                </pic:pic>
              </a:graphicData>
            </a:graphic>
          </wp:inline>
        </w:drawing>
      </w:r>
    </w:p>
    <w:p w14:paraId="7FA1534B" w14:textId="77777777" w:rsidR="00822979" w:rsidRPr="00234F15" w:rsidRDefault="00FC6DEF">
      <w:pPr>
        <w:pStyle w:val="Normal1"/>
        <w:jc w:val="center"/>
        <w:rPr>
          <w:b/>
          <w:bCs/>
          <w:lang w:val="en-GB"/>
        </w:rPr>
      </w:pPr>
      <w:r w:rsidRPr="00234F15">
        <w:rPr>
          <w:b/>
          <w:bCs/>
          <w:lang w:val="en-GB"/>
        </w:rPr>
        <w:t xml:space="preserve">Figure 3: System Thinking Principles </w:t>
      </w:r>
    </w:p>
    <w:p w14:paraId="7FA1534C" w14:textId="77777777" w:rsidR="00822979" w:rsidRPr="00234F15" w:rsidRDefault="00FC6DEF">
      <w:pPr>
        <w:pStyle w:val="Normal1"/>
        <w:jc w:val="center"/>
        <w:rPr>
          <w:lang w:val="en-GB"/>
        </w:rPr>
      </w:pPr>
      <w:r w:rsidRPr="00234F15">
        <w:rPr>
          <w:lang w:val="en-GB"/>
        </w:rPr>
        <w:t xml:space="preserve">(Source: McNab </w:t>
      </w:r>
      <w:r w:rsidRPr="00234F15">
        <w:rPr>
          <w:i/>
          <w:iCs/>
          <w:lang w:val="en-GB"/>
        </w:rPr>
        <w:t>et al</w:t>
      </w:r>
      <w:r w:rsidRPr="00234F15">
        <w:rPr>
          <w:lang w:val="en-GB"/>
        </w:rPr>
        <w:t>., 2020)</w:t>
      </w:r>
    </w:p>
    <w:p w14:paraId="7FA1534D" w14:textId="77777777" w:rsidR="00822979" w:rsidRPr="00B00D6E" w:rsidRDefault="00D647CD">
      <w:pPr>
        <w:pStyle w:val="Normal1"/>
        <w:rPr>
          <w:sz w:val="24"/>
          <w:szCs w:val="24"/>
          <w:lang w:val="en-GB"/>
        </w:rPr>
      </w:pPr>
      <w:r w:rsidRPr="00B00D6E">
        <w:rPr>
          <w:sz w:val="24"/>
          <w:szCs w:val="24"/>
          <w:lang w:val="en-GB"/>
        </w:rPr>
        <w:t>A system thinking is</w:t>
      </w:r>
      <w:r w:rsidR="00FC6DEF" w:rsidRPr="00B00D6E">
        <w:rPr>
          <w:sz w:val="24"/>
          <w:szCs w:val="24"/>
          <w:lang w:val="en-GB"/>
        </w:rPr>
        <w:t xml:space="preserve"> a holistic view of interpreting the problems in healthcare that is complex in terms of relationships between various parts of a system and their effects (McNab et al., 2020). Instead of looking at events in isolation, </w:t>
      </w:r>
      <w:r w:rsidRPr="00B00D6E">
        <w:rPr>
          <w:sz w:val="24"/>
          <w:szCs w:val="24"/>
          <w:lang w:val="en-GB"/>
        </w:rPr>
        <w:t>systems thinking dwell</w:t>
      </w:r>
      <w:r w:rsidR="00FC6DEF" w:rsidRPr="00B00D6E">
        <w:rPr>
          <w:sz w:val="24"/>
          <w:szCs w:val="24"/>
          <w:lang w:val="en-GB"/>
        </w:rPr>
        <w:t xml:space="preserve"> on interdependencies, feedback loops, and structures underlying system behaviour. System Thinking includes working conditions, interactions, multiple perspectives, understanding of </w:t>
      </w:r>
      <w:r w:rsidRPr="00B00D6E">
        <w:rPr>
          <w:sz w:val="24"/>
          <w:szCs w:val="24"/>
          <w:lang w:val="en-GB"/>
        </w:rPr>
        <w:t>decisions</w:t>
      </w:r>
      <w:r w:rsidR="00FC6DEF" w:rsidRPr="00B00D6E">
        <w:rPr>
          <w:sz w:val="24"/>
          <w:szCs w:val="24"/>
          <w:lang w:val="en-GB"/>
        </w:rPr>
        <w:t xml:space="preserve"> and performance viability to found the concept (Aguilar-Fernández </w:t>
      </w:r>
      <w:r w:rsidR="00FC6DEF" w:rsidRPr="00B00D6E">
        <w:rPr>
          <w:i/>
          <w:iCs/>
          <w:sz w:val="24"/>
          <w:szCs w:val="24"/>
          <w:lang w:val="en-GB"/>
        </w:rPr>
        <w:t>et al</w:t>
      </w:r>
      <w:r w:rsidR="00FC6DEF" w:rsidRPr="00B00D6E">
        <w:rPr>
          <w:sz w:val="24"/>
          <w:szCs w:val="24"/>
          <w:lang w:val="en-GB"/>
        </w:rPr>
        <w:t>., 2024). The prescribing clinician, dispensing pharmacy and parents were within a wider healthcare framework which involved guidelines, communication lines and safety checks. Inability to maintain the proper dosage of medication depicts a lack of coordination between these elements.</w:t>
      </w:r>
    </w:p>
    <w:p w14:paraId="7FA1534E" w14:textId="77777777" w:rsidR="00822979" w:rsidRPr="00B00D6E" w:rsidRDefault="00FC6DEF">
      <w:pPr>
        <w:pStyle w:val="Normal1"/>
        <w:rPr>
          <w:sz w:val="24"/>
          <w:szCs w:val="24"/>
          <w:lang w:val="en-GB"/>
        </w:rPr>
      </w:pPr>
      <w:r w:rsidRPr="00B00D6E">
        <w:rPr>
          <w:sz w:val="24"/>
          <w:szCs w:val="24"/>
          <w:lang w:val="en-GB"/>
        </w:rPr>
        <w:t xml:space="preserve">The event demonstrates that there were high levels of interdependencies between healthcare actors, with the breakdown of one component having a cascading effect throughout the system (Northyorkshireccg, 2023). As an example, weak verification processes did not rectify the incorrect dispensing, which means that feedback loops </w:t>
      </w:r>
      <w:r w:rsidRPr="00B00D6E">
        <w:rPr>
          <w:sz w:val="24"/>
          <w:szCs w:val="24"/>
          <w:lang w:val="en-GB"/>
        </w:rPr>
        <w:lastRenderedPageBreak/>
        <w:t xml:space="preserve">that would have ensured that mistakes are rectified failed. Also, there were communication lapses between medical workers and the relatives of the patient (Taylor </w:t>
      </w:r>
      <w:r w:rsidRPr="00B00D6E">
        <w:rPr>
          <w:i/>
          <w:iCs/>
          <w:sz w:val="24"/>
          <w:szCs w:val="24"/>
          <w:lang w:val="en-GB"/>
        </w:rPr>
        <w:t>et al</w:t>
      </w:r>
      <w:r w:rsidRPr="00B00D6E">
        <w:rPr>
          <w:sz w:val="24"/>
          <w:szCs w:val="24"/>
          <w:lang w:val="en-GB"/>
        </w:rPr>
        <w:t>., 2024). It only increased the danger since important information about dosage and type of medication was not communicated appropriately.</w:t>
      </w:r>
    </w:p>
    <w:p w14:paraId="7FA1534F" w14:textId="77777777" w:rsidR="00822979" w:rsidRPr="00B00D6E" w:rsidRDefault="00FC6DEF">
      <w:pPr>
        <w:pStyle w:val="Normal1"/>
        <w:rPr>
          <w:sz w:val="24"/>
          <w:szCs w:val="24"/>
          <w:lang w:val="en-GB"/>
        </w:rPr>
      </w:pPr>
      <w:r w:rsidRPr="00B00D6E">
        <w:rPr>
          <w:sz w:val="24"/>
          <w:szCs w:val="24"/>
          <w:lang w:val="en-GB"/>
        </w:rPr>
        <w:t>In terms of systems, the mistake is not explained by a point of failure. Rather, it is indicative of a conglomeration of structural frailties such as poor governance, lack of cross-checking systems, and information flow. This supports the fact that a systems-based approach to patient safety is essential, in which the focus is on the enhancement of system design and on communication pathways and accountability structures to avoid the occurrence of similar incidents in the future.</w:t>
      </w:r>
    </w:p>
    <w:p w14:paraId="7FA15350" w14:textId="77777777" w:rsidR="00822979" w:rsidRPr="00B00D6E" w:rsidRDefault="00FC6DEF">
      <w:pPr>
        <w:pStyle w:val="Normal1"/>
        <w:rPr>
          <w:b/>
          <w:bCs/>
          <w:sz w:val="28"/>
          <w:szCs w:val="28"/>
          <w:lang w:val="en-GB"/>
        </w:rPr>
      </w:pPr>
      <w:r w:rsidRPr="00234F15">
        <w:rPr>
          <w:b/>
          <w:bCs/>
          <w:lang w:val="en-GB"/>
        </w:rPr>
        <w:t xml:space="preserve"> </w:t>
      </w:r>
      <w:r w:rsidRPr="00B00D6E">
        <w:rPr>
          <w:b/>
          <w:bCs/>
          <w:sz w:val="28"/>
          <w:szCs w:val="28"/>
          <w:lang w:val="en-GB"/>
        </w:rPr>
        <w:t>Application of WHO Health System model</w:t>
      </w:r>
    </w:p>
    <w:p w14:paraId="7FA15351" w14:textId="77777777" w:rsidR="00822979" w:rsidRPr="00234F15" w:rsidRDefault="00FC6DEF">
      <w:pPr>
        <w:pStyle w:val="Normal1"/>
        <w:jc w:val="center"/>
        <w:rPr>
          <w:b/>
          <w:bCs/>
          <w:lang w:val="en-GB"/>
        </w:rPr>
      </w:pPr>
      <w:r w:rsidRPr="00234F15">
        <w:rPr>
          <w:b/>
          <w:bCs/>
          <w:noProof/>
          <w:lang w:val="en-GB"/>
        </w:rPr>
        <w:drawing>
          <wp:inline distT="114300" distB="114300" distL="114300" distR="114300" wp14:anchorId="7FA153FB" wp14:editId="7FA153FC">
            <wp:extent cx="4611525" cy="2277296"/>
            <wp:effectExtent l="0" t="0" r="0" b="0"/>
            <wp:docPr id="1"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2" cstate="print"/>
                    <a:srcRect/>
                    <a:stretch>
                      <a:fillRect/>
                    </a:stretch>
                  </pic:blipFill>
                  <pic:spPr>
                    <a:xfrm>
                      <a:off x="0" y="0"/>
                      <a:ext cx="4611525" cy="2277296"/>
                    </a:xfrm>
                    <a:prstGeom prst="rect">
                      <a:avLst/>
                    </a:prstGeom>
                    <a:ln/>
                  </pic:spPr>
                </pic:pic>
              </a:graphicData>
            </a:graphic>
          </wp:inline>
        </w:drawing>
      </w:r>
    </w:p>
    <w:p w14:paraId="7FA15352" w14:textId="77777777" w:rsidR="00822979" w:rsidRPr="00234F15" w:rsidRDefault="00FC6DEF">
      <w:pPr>
        <w:pStyle w:val="Normal1"/>
        <w:jc w:val="center"/>
        <w:rPr>
          <w:b/>
          <w:bCs/>
          <w:lang w:val="en-GB"/>
        </w:rPr>
      </w:pPr>
      <w:r w:rsidRPr="00234F15">
        <w:rPr>
          <w:b/>
          <w:bCs/>
          <w:lang w:val="en-GB"/>
        </w:rPr>
        <w:t>Figure 4: Health System Model</w:t>
      </w:r>
    </w:p>
    <w:p w14:paraId="7FA15353" w14:textId="77777777" w:rsidR="00822979" w:rsidRPr="00234F15" w:rsidRDefault="00FC6DEF">
      <w:pPr>
        <w:pStyle w:val="Normal1"/>
        <w:jc w:val="center"/>
        <w:rPr>
          <w:lang w:val="en-GB"/>
        </w:rPr>
      </w:pPr>
      <w:r w:rsidRPr="00234F15">
        <w:rPr>
          <w:lang w:val="en-GB"/>
        </w:rPr>
        <w:t>(Source: GOV, 2021)</w:t>
      </w:r>
    </w:p>
    <w:p w14:paraId="7FA15354" w14:textId="77777777" w:rsidR="00822979" w:rsidRDefault="00FC6DEF">
      <w:pPr>
        <w:pStyle w:val="Normal1"/>
        <w:rPr>
          <w:sz w:val="24"/>
          <w:szCs w:val="24"/>
          <w:lang w:val="en-GB"/>
        </w:rPr>
      </w:pPr>
      <w:r w:rsidRPr="00B00D6E">
        <w:rPr>
          <w:sz w:val="24"/>
          <w:szCs w:val="24"/>
          <w:lang w:val="en-GB"/>
        </w:rPr>
        <w:t xml:space="preserve">The incident may also be explained in terms of the six health system building blocks of the World Health Organisation that offer a systematic way of analysing the system performance (Manyazewal, 2021). Leadership and governance have clearly failed, as laid down safety rules about high-risk, so-called RED drugs, had not been adequately implemented (Schiller and Mechanic, 2023). This means that there is lax supervision and an absence of accountability measures. The health information systems also did not guarantee proper communication of the medication type and dosage between different care providers and caregivers, and information flow and verification were areas of weakness. The human resource aspect also contributed because insufficient training of the staff, supervision, or even awareness, could have led to the wrong dispensing and giving of medication. In that view, the occurrence cannot be ascribed </w:t>
      </w:r>
      <w:r w:rsidRPr="00B00D6E">
        <w:rPr>
          <w:sz w:val="24"/>
          <w:szCs w:val="24"/>
          <w:lang w:val="en-GB"/>
        </w:rPr>
        <w:lastRenderedPageBreak/>
        <w:t>to one human error. Rather, it is a system failure on a broad scale involving several parts of the healthcare system.</w:t>
      </w:r>
    </w:p>
    <w:p w14:paraId="7F75F1C8" w14:textId="77777777" w:rsidR="00B00D6E" w:rsidRPr="00073131" w:rsidRDefault="00B00D6E">
      <w:pPr>
        <w:pStyle w:val="Normal1"/>
        <w:rPr>
          <w:sz w:val="24"/>
          <w:szCs w:val="24"/>
          <w:lang w:val="en-GB"/>
        </w:rPr>
      </w:pPr>
    </w:p>
    <w:p w14:paraId="7FA15355" w14:textId="3A0EFC95" w:rsidR="00822979" w:rsidRPr="00073131" w:rsidRDefault="00B062AA">
      <w:pPr>
        <w:pStyle w:val="Normal1"/>
        <w:rPr>
          <w:b/>
          <w:bCs/>
          <w:sz w:val="28"/>
          <w:szCs w:val="28"/>
          <w:lang w:val="en-GB"/>
        </w:rPr>
      </w:pPr>
      <w:r w:rsidRPr="00073131">
        <w:rPr>
          <w:b/>
          <w:bCs/>
          <w:sz w:val="28"/>
          <w:szCs w:val="28"/>
          <w:lang w:val="en-GB"/>
        </w:rPr>
        <w:t>Governance + Root Causes</w:t>
      </w:r>
    </w:p>
    <w:p w14:paraId="7FA15356" w14:textId="77777777" w:rsidR="00822979" w:rsidRPr="00073131" w:rsidRDefault="00FC6DEF">
      <w:pPr>
        <w:pStyle w:val="Normal1"/>
        <w:rPr>
          <w:sz w:val="24"/>
          <w:szCs w:val="24"/>
          <w:lang w:val="en-GB"/>
        </w:rPr>
      </w:pPr>
      <w:r w:rsidRPr="00073131">
        <w:rPr>
          <w:sz w:val="24"/>
          <w:szCs w:val="24"/>
          <w:lang w:val="en-GB"/>
        </w:rPr>
        <w:t>Critical analysis of governance structures demonstrates that the incident was pre-determined by the major flaws in the policy execution and organisational control. The drug in question was a so-called RED drug, which is to be prescribed, dispensed, and tracked under the supervision of specialists only (Clydebankbarclay, 2025). However, this protocol was not followed, therefore signifying a lack of policy-practice alignment. The non-enforcement implies poor governance structures and the unresponsiveness at the local level to monitor compliance.</w:t>
      </w:r>
    </w:p>
    <w:p w14:paraId="7FA15357" w14:textId="77777777" w:rsidR="00822979" w:rsidRDefault="00FC6DEF">
      <w:pPr>
        <w:pStyle w:val="Normal1"/>
        <w:rPr>
          <w:sz w:val="24"/>
          <w:szCs w:val="24"/>
          <w:lang w:val="en-GB"/>
        </w:rPr>
      </w:pPr>
      <w:r w:rsidRPr="00073131">
        <w:rPr>
          <w:sz w:val="24"/>
          <w:szCs w:val="24"/>
          <w:lang w:val="en-GB"/>
        </w:rPr>
        <w:t xml:space="preserve">Lack of effective accountability frameworks enhanced the continuation of risk. Healthcare systems are based on precisely defined responsibilities and supervision activities to enforce safe practice. However, in the </w:t>
      </w:r>
      <w:r w:rsidR="00D647CD" w:rsidRPr="00073131">
        <w:rPr>
          <w:sz w:val="24"/>
          <w:szCs w:val="24"/>
          <w:lang w:val="en-GB"/>
        </w:rPr>
        <w:t>Morphine</w:t>
      </w:r>
      <w:r w:rsidRPr="00073131">
        <w:rPr>
          <w:sz w:val="24"/>
          <w:szCs w:val="24"/>
          <w:lang w:val="en-GB"/>
        </w:rPr>
        <w:t xml:space="preserve"> overdose case, a lack of supervision led to the continuation of the error. According to the NHS reports on patient safety, test data shows a significant percentage of medication errors </w:t>
      </w:r>
      <w:r w:rsidR="00D647CD" w:rsidRPr="00073131">
        <w:rPr>
          <w:sz w:val="24"/>
          <w:szCs w:val="24"/>
          <w:lang w:val="en-GB"/>
        </w:rPr>
        <w:t>are</w:t>
      </w:r>
      <w:r w:rsidRPr="00073131">
        <w:rPr>
          <w:sz w:val="24"/>
          <w:szCs w:val="24"/>
          <w:lang w:val="en-GB"/>
        </w:rPr>
        <w:t xml:space="preserve"> related to a lack of communication and poor checking processes. More than 30% of medication errors pertain to failures in communicating or checking processes (Alrowily </w:t>
      </w:r>
      <w:r w:rsidRPr="00073131">
        <w:rPr>
          <w:i/>
          <w:iCs/>
          <w:sz w:val="24"/>
          <w:szCs w:val="24"/>
          <w:lang w:val="en-GB"/>
        </w:rPr>
        <w:t>et al</w:t>
      </w:r>
      <w:r w:rsidRPr="00073131">
        <w:rPr>
          <w:sz w:val="24"/>
          <w:szCs w:val="24"/>
          <w:lang w:val="en-GB"/>
        </w:rPr>
        <w:t>., 2024). A more systemic vulnerability of policy to practice translation is elucidated in this case. Although there are safety guidelines on the central level, inconsistency in their practice at the operational level causes gaps in patient safety. Inability to implement RED drug practices shows a lack of interdependence between governance systems and practice on the ground, which ultimately subjects patients to unnecessary injuries.</w:t>
      </w:r>
    </w:p>
    <w:p w14:paraId="693E66C8" w14:textId="77777777" w:rsidR="00073131" w:rsidRDefault="00073131">
      <w:pPr>
        <w:pStyle w:val="Normal1"/>
        <w:rPr>
          <w:sz w:val="24"/>
          <w:szCs w:val="24"/>
          <w:lang w:val="en-GB"/>
        </w:rPr>
      </w:pPr>
    </w:p>
    <w:p w14:paraId="231D6EB0" w14:textId="77777777" w:rsidR="00073131" w:rsidRDefault="00073131">
      <w:pPr>
        <w:pStyle w:val="Normal1"/>
        <w:rPr>
          <w:sz w:val="24"/>
          <w:szCs w:val="24"/>
          <w:lang w:val="en-GB"/>
        </w:rPr>
      </w:pPr>
    </w:p>
    <w:p w14:paraId="5A23A901" w14:textId="77777777" w:rsidR="00B062AA" w:rsidRDefault="00B062AA">
      <w:pPr>
        <w:pStyle w:val="Normal1"/>
        <w:rPr>
          <w:sz w:val="24"/>
          <w:szCs w:val="24"/>
          <w:lang w:val="en-GB"/>
        </w:rPr>
      </w:pPr>
    </w:p>
    <w:p w14:paraId="10B7295B" w14:textId="77777777" w:rsidR="00B062AA" w:rsidRDefault="00B062AA">
      <w:pPr>
        <w:pStyle w:val="Normal1"/>
        <w:rPr>
          <w:sz w:val="24"/>
          <w:szCs w:val="24"/>
          <w:lang w:val="en-GB"/>
        </w:rPr>
      </w:pPr>
    </w:p>
    <w:p w14:paraId="4C068E64" w14:textId="77777777" w:rsidR="00B062AA" w:rsidRDefault="00B062AA">
      <w:pPr>
        <w:pStyle w:val="Normal1"/>
        <w:rPr>
          <w:sz w:val="24"/>
          <w:szCs w:val="24"/>
          <w:lang w:val="en-GB"/>
        </w:rPr>
      </w:pPr>
    </w:p>
    <w:p w14:paraId="0F8803F4" w14:textId="77777777" w:rsidR="00B062AA" w:rsidRDefault="00B062AA">
      <w:pPr>
        <w:pStyle w:val="Normal1"/>
        <w:rPr>
          <w:sz w:val="24"/>
          <w:szCs w:val="24"/>
          <w:lang w:val="en-GB"/>
        </w:rPr>
      </w:pPr>
    </w:p>
    <w:p w14:paraId="243BA924" w14:textId="77777777" w:rsidR="00B062AA" w:rsidRDefault="00B062AA">
      <w:pPr>
        <w:pStyle w:val="Normal1"/>
        <w:rPr>
          <w:sz w:val="24"/>
          <w:szCs w:val="24"/>
          <w:lang w:val="en-GB"/>
        </w:rPr>
      </w:pPr>
    </w:p>
    <w:p w14:paraId="3B45442F" w14:textId="77777777" w:rsidR="00B062AA" w:rsidRDefault="00B062AA">
      <w:pPr>
        <w:pStyle w:val="Normal1"/>
        <w:rPr>
          <w:sz w:val="24"/>
          <w:szCs w:val="24"/>
          <w:lang w:val="en-GB"/>
        </w:rPr>
      </w:pPr>
    </w:p>
    <w:p w14:paraId="4A8B00B3" w14:textId="77777777" w:rsidR="00B062AA" w:rsidRPr="00073131" w:rsidRDefault="00B062AA">
      <w:pPr>
        <w:pStyle w:val="Normal1"/>
        <w:rPr>
          <w:sz w:val="24"/>
          <w:szCs w:val="24"/>
          <w:lang w:val="en-GB"/>
        </w:rPr>
      </w:pPr>
    </w:p>
    <w:p w14:paraId="7FA15358" w14:textId="4061E09C" w:rsidR="00822979" w:rsidRPr="00073131" w:rsidRDefault="00FC6DEF">
      <w:pPr>
        <w:pStyle w:val="Normal1"/>
        <w:rPr>
          <w:sz w:val="28"/>
          <w:szCs w:val="28"/>
          <w:lang w:val="en-GB"/>
        </w:rPr>
      </w:pPr>
      <w:r w:rsidRPr="00073131">
        <w:rPr>
          <w:b/>
          <w:bCs/>
          <w:sz w:val="28"/>
          <w:szCs w:val="28"/>
          <w:lang w:val="en-GB"/>
        </w:rPr>
        <w:lastRenderedPageBreak/>
        <w:t>R</w:t>
      </w:r>
      <w:r w:rsidR="00B062AA">
        <w:rPr>
          <w:b/>
          <w:bCs/>
          <w:sz w:val="28"/>
          <w:szCs w:val="28"/>
          <w:lang w:val="en-GB"/>
        </w:rPr>
        <w:t>ich</w:t>
      </w:r>
      <w:r w:rsidRPr="00073131">
        <w:rPr>
          <w:b/>
          <w:bCs/>
          <w:sz w:val="28"/>
          <w:szCs w:val="28"/>
          <w:lang w:val="en-GB"/>
        </w:rPr>
        <w:t xml:space="preserve"> Picture</w:t>
      </w:r>
      <w:r w:rsidRPr="00073131">
        <w:rPr>
          <w:sz w:val="28"/>
          <w:szCs w:val="28"/>
          <w:lang w:val="en-GB"/>
        </w:rPr>
        <w:t xml:space="preserve"> </w:t>
      </w:r>
    </w:p>
    <w:p w14:paraId="7FA15359" w14:textId="77777777" w:rsidR="00822979" w:rsidRPr="00234F15" w:rsidRDefault="00FC6DEF">
      <w:pPr>
        <w:pStyle w:val="Normal1"/>
        <w:jc w:val="center"/>
        <w:rPr>
          <w:lang w:val="en-GB"/>
        </w:rPr>
      </w:pPr>
      <w:r w:rsidRPr="00234F15">
        <w:rPr>
          <w:noProof/>
          <w:lang w:val="en-GB"/>
        </w:rPr>
        <w:drawing>
          <wp:inline distT="114300" distB="114300" distL="114300" distR="114300" wp14:anchorId="7FA153FD" wp14:editId="7FA153FE">
            <wp:extent cx="5557838" cy="4172994"/>
            <wp:effectExtent l="0" t="0" r="0" b="0"/>
            <wp:docPr id="8"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3" cstate="print"/>
                    <a:srcRect/>
                    <a:stretch>
                      <a:fillRect/>
                    </a:stretch>
                  </pic:blipFill>
                  <pic:spPr>
                    <a:xfrm>
                      <a:off x="0" y="0"/>
                      <a:ext cx="5557838" cy="4172994"/>
                    </a:xfrm>
                    <a:prstGeom prst="rect">
                      <a:avLst/>
                    </a:prstGeom>
                    <a:ln/>
                  </pic:spPr>
                </pic:pic>
              </a:graphicData>
            </a:graphic>
          </wp:inline>
        </w:drawing>
      </w:r>
    </w:p>
    <w:p w14:paraId="7FA1535A" w14:textId="77777777" w:rsidR="00822979" w:rsidRPr="00234F15" w:rsidRDefault="00FC6DEF">
      <w:pPr>
        <w:pStyle w:val="Normal1"/>
        <w:jc w:val="center"/>
        <w:rPr>
          <w:b/>
          <w:bCs/>
          <w:lang w:val="en-GB"/>
        </w:rPr>
      </w:pPr>
      <w:r w:rsidRPr="00234F15">
        <w:rPr>
          <w:b/>
          <w:bCs/>
          <w:lang w:val="en-GB"/>
        </w:rPr>
        <w:t>Figure 5: RICH Picture</w:t>
      </w:r>
    </w:p>
    <w:p w14:paraId="7FA1535B" w14:textId="77777777" w:rsidR="00822979" w:rsidRPr="00234F15" w:rsidRDefault="00FC6DEF">
      <w:pPr>
        <w:pStyle w:val="Normal1"/>
        <w:jc w:val="center"/>
        <w:rPr>
          <w:lang w:val="en-GB"/>
        </w:rPr>
      </w:pPr>
      <w:r w:rsidRPr="00234F15">
        <w:rPr>
          <w:lang w:val="en-GB"/>
        </w:rPr>
        <w:t>(Source: Self-developed)</w:t>
      </w:r>
    </w:p>
    <w:p w14:paraId="7FA1535C" w14:textId="77777777" w:rsidR="00822979" w:rsidRPr="00B062AA" w:rsidRDefault="00FC6DEF">
      <w:pPr>
        <w:pStyle w:val="Heading2"/>
        <w:rPr>
          <w:sz w:val="32"/>
          <w:szCs w:val="32"/>
          <w:lang w:val="en-GB"/>
        </w:rPr>
      </w:pPr>
      <w:bookmarkStart w:id="9" w:name="_ffp53rhz0g25" w:colFirst="0" w:colLast="0"/>
      <w:bookmarkStart w:id="10" w:name="_Toc225457769"/>
      <w:bookmarkEnd w:id="9"/>
      <w:r w:rsidRPr="00B062AA">
        <w:rPr>
          <w:sz w:val="32"/>
          <w:szCs w:val="32"/>
          <w:lang w:val="en-GB"/>
        </w:rPr>
        <w:t xml:space="preserve">b. </w:t>
      </w:r>
      <w:r w:rsidRPr="00B062AA">
        <w:rPr>
          <w:sz w:val="28"/>
          <w:szCs w:val="28"/>
          <w:lang w:val="en-GB"/>
        </w:rPr>
        <w:t>Centralisation or Decentralisation within the Case Study</w:t>
      </w:r>
      <w:bookmarkEnd w:id="10"/>
      <w:r w:rsidRPr="00B062AA">
        <w:rPr>
          <w:sz w:val="32"/>
          <w:szCs w:val="32"/>
          <w:lang w:val="en-GB"/>
        </w:rPr>
        <w:t xml:space="preserve"> </w:t>
      </w:r>
    </w:p>
    <w:p w14:paraId="04A911E3" w14:textId="0E31EF75" w:rsidR="00D551F8" w:rsidRPr="00B062AA" w:rsidRDefault="00D551F8" w:rsidP="00D551F8">
      <w:pPr>
        <w:pStyle w:val="Normal1"/>
        <w:rPr>
          <w:b/>
          <w:bCs/>
          <w:sz w:val="28"/>
          <w:szCs w:val="28"/>
          <w:lang w:val="en-GB"/>
        </w:rPr>
      </w:pPr>
      <w:r w:rsidRPr="00B062AA">
        <w:rPr>
          <w:b/>
          <w:bCs/>
          <w:sz w:val="24"/>
          <w:szCs w:val="24"/>
          <w:lang w:val="en-GB"/>
        </w:rPr>
        <w:t>Centralisation and Decentralisation in Healthcare</w:t>
      </w:r>
    </w:p>
    <w:p w14:paraId="7FA1535E" w14:textId="4F4C213F" w:rsidR="00822979" w:rsidRPr="00B062AA" w:rsidRDefault="00FC6DEF">
      <w:pPr>
        <w:pStyle w:val="Normal1"/>
        <w:rPr>
          <w:sz w:val="24"/>
          <w:szCs w:val="24"/>
          <w:lang w:val="en-GB"/>
        </w:rPr>
      </w:pPr>
      <w:r w:rsidRPr="00234F15">
        <w:rPr>
          <w:lang w:val="en-GB"/>
        </w:rPr>
        <w:t xml:space="preserve">Healthcare systems are usually governed by a centralised and decentralised structure of </w:t>
      </w:r>
      <w:r w:rsidRPr="00B062AA">
        <w:rPr>
          <w:sz w:val="24"/>
          <w:szCs w:val="24"/>
          <w:lang w:val="en-GB"/>
        </w:rPr>
        <w:t>healthcare, yet a mix of the two structures tends to affect the decision-making process, governance, and patient outcomes. Centralisation is the distribution of power to higher points in the organisation where policies, procedures and standards are made and implemented throughout the system (Goel and Rahulamathavan, 2024). The method guarantees consistency and regulation. On the contrary, decentralisation allocates power to the local level and direct-care healthcare workers, allowing them to make decisions in context and be flexible in patient care. The two approaches are present in the NHS, forming a hybrid system where national guidelines influence the local clinical practice.</w:t>
      </w:r>
    </w:p>
    <w:p w14:paraId="7FA1535F" w14:textId="77777777" w:rsidR="00822979" w:rsidRPr="00234F15" w:rsidRDefault="00FC6DEF">
      <w:pPr>
        <w:pStyle w:val="Normal1"/>
        <w:rPr>
          <w:b/>
          <w:bCs/>
          <w:lang w:val="en-GB"/>
        </w:rPr>
      </w:pPr>
      <w:r w:rsidRPr="00234F15">
        <w:rPr>
          <w:b/>
          <w:bCs/>
          <w:lang w:val="en-GB"/>
        </w:rPr>
        <w:t>Centralisation</w:t>
      </w:r>
    </w:p>
    <w:p w14:paraId="7FA15360" w14:textId="77777777" w:rsidR="00822979" w:rsidRPr="00234F15" w:rsidRDefault="00FC6DEF">
      <w:pPr>
        <w:pStyle w:val="Normal1"/>
        <w:rPr>
          <w:lang w:val="en-GB"/>
        </w:rPr>
      </w:pPr>
      <w:r w:rsidRPr="00234F15">
        <w:rPr>
          <w:lang w:val="en-GB"/>
        </w:rPr>
        <w:lastRenderedPageBreak/>
        <w:t xml:space="preserve">NHS centralisation manifests in the form of national policies, clinical guidelines and regulatory frameworks that are aimed at harmonising care delivery and improving patient safety (Ramsay </w:t>
      </w:r>
      <w:r w:rsidRPr="00234F15">
        <w:rPr>
          <w:i/>
          <w:iCs/>
          <w:lang w:val="en-GB"/>
        </w:rPr>
        <w:t>et al</w:t>
      </w:r>
      <w:r w:rsidRPr="00234F15">
        <w:rPr>
          <w:lang w:val="en-GB"/>
        </w:rPr>
        <w:t>., 2025). The categorisation of morphine as a high-risk drug known as RED in the Morphine overdose case aligns with centralised control. There are highly strict prescribing and dispensing regulations for these medicines, usually limited to specialist use to minimise risk. Such policies aim to decrease the variability in practice and avoid medication errors.</w:t>
      </w:r>
    </w:p>
    <w:p w14:paraId="7FA15361" w14:textId="77777777" w:rsidR="00822979" w:rsidRPr="00234F15" w:rsidRDefault="00FC6DEF">
      <w:pPr>
        <w:pStyle w:val="Normal1"/>
        <w:rPr>
          <w:lang w:val="en-GB"/>
        </w:rPr>
      </w:pPr>
      <w:r w:rsidRPr="00234F15">
        <w:rPr>
          <w:lang w:val="en-GB"/>
        </w:rPr>
        <w:t>There is support for the significance of centralised systems in enhancing safety outcomes. It is estimated that every year, about 1.3 million deaths across the world are caused by medication errors, and there is a need to have strong regulatory frameworks (WHO, 2021). In the same tone, statistics provided by NHS England show that there are more than 237 million medication errors in England every year, and approximately 66 million of them might be considered of potential clinical significance (BMJ, 2020). These statistics show the magnitude of the issue and the need to introduce stringent centralised measures like the RED drug laws.</w:t>
      </w:r>
    </w:p>
    <w:p w14:paraId="7FA15362" w14:textId="77777777" w:rsidR="00822979" w:rsidRPr="00234F15" w:rsidRDefault="00FC6DEF">
      <w:pPr>
        <w:pStyle w:val="Normal1"/>
        <w:rPr>
          <w:b/>
          <w:bCs/>
          <w:lang w:val="en-GB"/>
        </w:rPr>
      </w:pPr>
      <w:r w:rsidRPr="00234F15">
        <w:rPr>
          <w:b/>
          <w:bCs/>
          <w:lang w:val="en-GB"/>
        </w:rPr>
        <w:t>Critical Analysis of Centralisation</w:t>
      </w:r>
    </w:p>
    <w:p w14:paraId="7FA15363" w14:textId="77777777" w:rsidR="00822979" w:rsidRPr="00234F15" w:rsidRDefault="00FC6DEF">
      <w:pPr>
        <w:pStyle w:val="Normal1"/>
        <w:rPr>
          <w:lang w:val="en-GB"/>
        </w:rPr>
      </w:pPr>
      <w:r w:rsidRPr="00234F15">
        <w:rPr>
          <w:lang w:val="en-GB"/>
        </w:rPr>
        <w:t xml:space="preserve">There are centralised policies; the case shows that there is a serious weakness, including the fact that there are rules does not guarantee the subsequent implementation of the laws. There were RED drug guidelines, yet these were not practised, leading to a major mistake in medication. About 30% to 40% of the medication errors are associated with failure to adhere to the set prescriptions, and this depicts that there is still a gap between the policy and practice (Tariq </w:t>
      </w:r>
      <w:r w:rsidRPr="00234F15">
        <w:rPr>
          <w:i/>
          <w:iCs/>
          <w:lang w:val="en-GB"/>
        </w:rPr>
        <w:t>et al</w:t>
      </w:r>
      <w:r w:rsidRPr="00234F15">
        <w:rPr>
          <w:lang w:val="en-GB"/>
        </w:rPr>
        <w:t>., 2024). As much as centralisation offers clear standards and accountability lines, it may also slow down the healthcare systems, to be rigid. Top-down control can be over-reliant and can lead to increased rigidity and hamper the ability of frontline staff to challenge decisions or make real-time changes. This brings out a major problem; only well-built implementation systems and constant monitoring of the systems can make centralised systems work.</w:t>
      </w:r>
    </w:p>
    <w:p w14:paraId="7FA15364" w14:textId="77777777" w:rsidR="00822979" w:rsidRPr="00234F15" w:rsidRDefault="00FC6DEF">
      <w:pPr>
        <w:pStyle w:val="Normal1"/>
        <w:rPr>
          <w:b/>
          <w:bCs/>
          <w:lang w:val="en-GB"/>
        </w:rPr>
      </w:pPr>
      <w:r w:rsidRPr="00234F15">
        <w:rPr>
          <w:b/>
          <w:bCs/>
          <w:lang w:val="en-GB"/>
        </w:rPr>
        <w:t>Decentralisation</w:t>
      </w:r>
    </w:p>
    <w:p w14:paraId="7FA15365" w14:textId="77777777" w:rsidR="00822979" w:rsidRPr="00234F15" w:rsidRDefault="00FC6DEF">
      <w:pPr>
        <w:pStyle w:val="Normal1"/>
        <w:rPr>
          <w:lang w:val="en-GB"/>
        </w:rPr>
      </w:pPr>
      <w:r w:rsidRPr="00234F15">
        <w:rPr>
          <w:lang w:val="en-GB"/>
        </w:rPr>
        <w:t>Decentralisation of healthcare systems permits frontline practitioners, such as clinicians and pharmacists, to be autonomous when making decisions depending on the needs of individual patients (Krenyacz and Revesz, 2025). The NHS has a history of prescribing and dispensing using local judgment so that health providers can act faster and more effectively on the individual case. Such flexibility is especially useful in highly dynamic and complicated healthcare settings where standardised methods are not always appropriate. The concept of decentralised decision-making can be observed in the prescribing and dispensing steps in the chosen case, as the local players had the role of interpreting and implementing treatment decisions. This freedom enables responsiveness to be introduced, and at the same time, variability in practice is introduced.</w:t>
      </w:r>
    </w:p>
    <w:p w14:paraId="7FA15366" w14:textId="77777777" w:rsidR="00822979" w:rsidRPr="00234F15" w:rsidRDefault="00FC6DEF">
      <w:pPr>
        <w:pStyle w:val="Normal1"/>
        <w:rPr>
          <w:b/>
          <w:bCs/>
          <w:lang w:val="en-GB"/>
        </w:rPr>
      </w:pPr>
      <w:r w:rsidRPr="00234F15">
        <w:rPr>
          <w:b/>
          <w:bCs/>
          <w:lang w:val="en-GB"/>
        </w:rPr>
        <w:t>Critical Analysis of Decentralisation</w:t>
      </w:r>
    </w:p>
    <w:p w14:paraId="7FA15367" w14:textId="77777777" w:rsidR="00822979" w:rsidRPr="00234F15" w:rsidRDefault="00FC6DEF">
      <w:pPr>
        <w:pStyle w:val="Normal1"/>
        <w:rPr>
          <w:lang w:val="en-GB"/>
        </w:rPr>
      </w:pPr>
      <w:r w:rsidRPr="00234F15">
        <w:rPr>
          <w:lang w:val="en-GB"/>
        </w:rPr>
        <w:lastRenderedPageBreak/>
        <w:t xml:space="preserve">Even though decentralisation is a flexibility boosting approach, it can also bring about severe risks in the absence of proper supervision. These risks are further aggravated by workforce pressures in the NHS. It is reported that the vacancy rates among NHS staff are about 8% to 10%, and cause work overload and a lack of supervision (Alansari </w:t>
      </w:r>
      <w:r w:rsidRPr="00234F15">
        <w:rPr>
          <w:i/>
          <w:iCs/>
          <w:lang w:val="en-GB"/>
        </w:rPr>
        <w:t>et al</w:t>
      </w:r>
      <w:r w:rsidRPr="00234F15">
        <w:rPr>
          <w:lang w:val="en-GB"/>
        </w:rPr>
        <w:t>., 2025). The high workload conditions are closely linked to the high risk of making medication errors, especially in conditions when the verification process is curtailed.</w:t>
      </w:r>
    </w:p>
    <w:p w14:paraId="7FA15368" w14:textId="77777777" w:rsidR="00822979" w:rsidRPr="00234F15" w:rsidRDefault="00FC6DEF">
      <w:pPr>
        <w:pStyle w:val="Normal1"/>
        <w:rPr>
          <w:lang w:val="en-GB"/>
        </w:rPr>
      </w:pPr>
      <w:r w:rsidRPr="00234F15">
        <w:rPr>
          <w:lang w:val="en-GB"/>
        </w:rPr>
        <w:t>The autonomy of local healthcare specialists in this case helped to create gaps in medication management. In terms of medication management, consumer spending on medication has reached £7.67 billion in 2024 (Statista, 2023). Still, there has been a major fault in medication management in the morphine overdose case. This was due to the fact that there were no strong cross-checking procedures and oversight that would have detected the error in the dispensing. This illustrates one of the major limitations of decentralised systems, such as variability in practice, which may result in gaps in accountability and may predispose harm where weak governance structures are in place.</w:t>
      </w:r>
    </w:p>
    <w:p w14:paraId="7FA15369" w14:textId="77777777" w:rsidR="00822979" w:rsidRPr="00234F15" w:rsidRDefault="00FC6DEF">
      <w:pPr>
        <w:pStyle w:val="Normal1"/>
        <w:jc w:val="center"/>
        <w:rPr>
          <w:lang w:val="en-GB"/>
        </w:rPr>
      </w:pPr>
      <w:r w:rsidRPr="00234F15">
        <w:rPr>
          <w:noProof/>
          <w:lang w:val="en-GB"/>
        </w:rPr>
        <w:drawing>
          <wp:inline distT="114300" distB="114300" distL="114300" distR="114300" wp14:anchorId="7FA153FF" wp14:editId="7FA15400">
            <wp:extent cx="4729163" cy="3040176"/>
            <wp:effectExtent l="0" t="0" r="0" b="0"/>
            <wp:docPr id="10"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cstate="print"/>
                    <a:srcRect/>
                    <a:stretch>
                      <a:fillRect/>
                    </a:stretch>
                  </pic:blipFill>
                  <pic:spPr>
                    <a:xfrm>
                      <a:off x="0" y="0"/>
                      <a:ext cx="4729163" cy="3040176"/>
                    </a:xfrm>
                    <a:prstGeom prst="rect">
                      <a:avLst/>
                    </a:prstGeom>
                    <a:ln/>
                  </pic:spPr>
                </pic:pic>
              </a:graphicData>
            </a:graphic>
          </wp:inline>
        </w:drawing>
      </w:r>
    </w:p>
    <w:p w14:paraId="7FA1536A" w14:textId="77777777" w:rsidR="00822979" w:rsidRPr="00234F15" w:rsidRDefault="00FC6DEF">
      <w:pPr>
        <w:pStyle w:val="Normal1"/>
        <w:jc w:val="center"/>
        <w:rPr>
          <w:b/>
          <w:bCs/>
          <w:lang w:val="en-GB"/>
        </w:rPr>
      </w:pPr>
      <w:r w:rsidRPr="00234F15">
        <w:rPr>
          <w:b/>
          <w:bCs/>
          <w:lang w:val="en-GB"/>
        </w:rPr>
        <w:t>Figure 6: Spending on Medication</w:t>
      </w:r>
    </w:p>
    <w:p w14:paraId="7FA1536B" w14:textId="77777777" w:rsidR="00822979" w:rsidRPr="00234F15" w:rsidRDefault="00FC6DEF">
      <w:pPr>
        <w:pStyle w:val="Normal1"/>
        <w:jc w:val="center"/>
        <w:rPr>
          <w:lang w:val="en-GB"/>
        </w:rPr>
      </w:pPr>
      <w:r w:rsidRPr="00234F15">
        <w:rPr>
          <w:lang w:val="en-GB"/>
        </w:rPr>
        <w:t>(Source: Statista, 2023)</w:t>
      </w:r>
    </w:p>
    <w:p w14:paraId="7FA1536C" w14:textId="77777777" w:rsidR="00822979" w:rsidRPr="00234F15" w:rsidRDefault="00FC6DEF">
      <w:pPr>
        <w:pStyle w:val="Normal1"/>
        <w:rPr>
          <w:b/>
          <w:bCs/>
          <w:lang w:val="en-GB"/>
        </w:rPr>
      </w:pPr>
      <w:r w:rsidRPr="00234F15">
        <w:rPr>
          <w:b/>
          <w:bCs/>
          <w:lang w:val="en-GB"/>
        </w:rPr>
        <w:t>Comparative-Critical Analysis</w:t>
      </w:r>
    </w:p>
    <w:p w14:paraId="7FA1536D" w14:textId="77777777" w:rsidR="00822979" w:rsidRPr="00234F15" w:rsidRDefault="00FC6DEF">
      <w:pPr>
        <w:pStyle w:val="Normal1"/>
        <w:rPr>
          <w:lang w:val="en-GB"/>
        </w:rPr>
      </w:pPr>
      <w:r w:rsidRPr="00234F15">
        <w:rPr>
          <w:lang w:val="en-GB"/>
        </w:rPr>
        <w:t>The case of infant death as a result of morphine overdose makes clear that the interactions between centralised and decentralised factors in the NHS are complex, and structural misalignment may jeopardise patient safety. Although centralised policy measures like the RED drug regulations are aimed at standardising practice and minimising risk, their effectiveness relies on the local implementation in the same manner. Nonetheless, there are ind</w:t>
      </w:r>
      <w:r w:rsidR="00D647CD">
        <w:rPr>
          <w:lang w:val="en-GB"/>
        </w:rPr>
        <w:t>ications that an estimated 30 t</w:t>
      </w:r>
      <w:r w:rsidRPr="00234F15">
        <w:rPr>
          <w:lang w:val="en-GB"/>
        </w:rPr>
        <w:t xml:space="preserve">o 70% of medication errors are connected to the inability to </w:t>
      </w:r>
      <w:r w:rsidRPr="00234F15">
        <w:rPr>
          <w:lang w:val="en-GB"/>
        </w:rPr>
        <w:lastRenderedPageBreak/>
        <w:t>adhere to the standard procedures (Alotiabi, 2024). It states that there is still a gap between the policy and practice.</w:t>
      </w:r>
    </w:p>
    <w:p w14:paraId="7FA1536E" w14:textId="77777777" w:rsidR="00822979" w:rsidRPr="00234F15" w:rsidRDefault="00FC6DEF">
      <w:pPr>
        <w:pStyle w:val="Normal1"/>
        <w:rPr>
          <w:lang w:val="en-GB"/>
        </w:rPr>
      </w:pPr>
      <w:r w:rsidRPr="00234F15">
        <w:rPr>
          <w:lang w:val="en-GB"/>
        </w:rPr>
        <w:t xml:space="preserve">Meanwhile, the decentralisation of execution creates variability in clinical processes. This is aggravated by the pressures on the workforce. According to NHS statistics, there </w:t>
      </w:r>
      <w:r w:rsidR="00D647CD" w:rsidRPr="00234F15">
        <w:rPr>
          <w:lang w:val="en-GB"/>
        </w:rPr>
        <w:t>is 6.7% to6.9% staff shortage</w:t>
      </w:r>
      <w:r w:rsidRPr="00234F15">
        <w:rPr>
          <w:lang w:val="en-GB"/>
        </w:rPr>
        <w:t xml:space="preserve"> with 10000 vacancies in 2025, which leads to work overload and a lack of supervision (NHS, 2025). As an example, a significant percentage of patient safety reports are related to medication, where each year in England, more than 237 million medication errors happen, 66 million of which may be clinically significant (WHO, 2022). Thus, Medication errors can become high in high-pressure working conditions because, in such conditions, fatigue, interruption, and lack of verification processes can cause medication errors.</w:t>
      </w:r>
    </w:p>
    <w:p w14:paraId="7FA1536F" w14:textId="77777777" w:rsidR="00822979" w:rsidRPr="00234F15" w:rsidRDefault="00FC6DEF">
      <w:pPr>
        <w:pStyle w:val="Normal1"/>
        <w:rPr>
          <w:lang w:val="en-GB"/>
        </w:rPr>
      </w:pPr>
      <w:r w:rsidRPr="00234F15">
        <w:rPr>
          <w:lang w:val="en-GB"/>
        </w:rPr>
        <w:t xml:space="preserve">Systemically, the case demonstrates the existence of a vital accountability fissure or loophole that was caused by the interaction between centralised governance and decentralised practice. As much as UK national frameworks offer standards of safety under the Health and Safety at Work Act 1974, the lack of effective monitoring, feedback loops and enforcement at the local level curtails their effectiveness (HSE, 2024). Also, the workforce limitation decreases the ability to perform double-checking and supervision, and it is more likely to spread the errors throughout the system. This hybrid structure did not aid early identification and reaction to a crisis in terms of crisis management. The absence of escalation channels and real-time feedback systems did not allow the detection of the error in time to avoid damage (Damasevicius </w:t>
      </w:r>
      <w:r w:rsidRPr="00234F15">
        <w:rPr>
          <w:i/>
          <w:iCs/>
          <w:lang w:val="en-GB"/>
        </w:rPr>
        <w:t>et al</w:t>
      </w:r>
      <w:r w:rsidRPr="00234F15">
        <w:rPr>
          <w:lang w:val="en-GB"/>
        </w:rPr>
        <w:t>., 2023). This implies that it is not the question of whether the system is centralised or decentralised, yet the extent of integration of these structures. Hence, Healthcare systems must be well coordinated in terms of policy, practice and workforce capacity.</w:t>
      </w:r>
    </w:p>
    <w:p w14:paraId="7FA15370" w14:textId="77777777" w:rsidR="00822979" w:rsidRPr="00234F15" w:rsidRDefault="00FC6DEF">
      <w:pPr>
        <w:pStyle w:val="Heading2"/>
        <w:rPr>
          <w:lang w:val="en-GB"/>
        </w:rPr>
      </w:pPr>
      <w:bookmarkStart w:id="11" w:name="_usr40zwr7chi" w:colFirst="0" w:colLast="0"/>
      <w:bookmarkStart w:id="12" w:name="_Toc225457770"/>
      <w:bookmarkEnd w:id="11"/>
      <w:r w:rsidRPr="00234F15">
        <w:rPr>
          <w:lang w:val="en-GB"/>
        </w:rPr>
        <w:t>c. Leadership Theories and Application to the Case Study</w:t>
      </w:r>
      <w:bookmarkEnd w:id="12"/>
      <w:r w:rsidRPr="00234F15">
        <w:rPr>
          <w:lang w:val="en-GB"/>
        </w:rPr>
        <w:t xml:space="preserve"> </w:t>
      </w:r>
    </w:p>
    <w:p w14:paraId="7FA15371" w14:textId="77777777" w:rsidR="00822979" w:rsidRPr="00234F15" w:rsidRDefault="00FC6DEF">
      <w:pPr>
        <w:pStyle w:val="Normal1"/>
        <w:rPr>
          <w:b/>
          <w:bCs/>
          <w:lang w:val="en-GB"/>
        </w:rPr>
      </w:pPr>
      <w:r w:rsidRPr="00234F15">
        <w:rPr>
          <w:b/>
          <w:bCs/>
          <w:lang w:val="en-GB"/>
        </w:rPr>
        <w:t>Leadership Theories Introduction</w:t>
      </w:r>
    </w:p>
    <w:p w14:paraId="7FA15372" w14:textId="77777777" w:rsidR="00822979" w:rsidRPr="00234F15" w:rsidRDefault="00FC6DEF">
      <w:pPr>
        <w:pStyle w:val="Normal1"/>
        <w:rPr>
          <w:lang w:val="en-GB"/>
        </w:rPr>
      </w:pPr>
      <w:r w:rsidRPr="00234F15">
        <w:rPr>
          <w:lang w:val="en-GB"/>
        </w:rPr>
        <w:t xml:space="preserve">Patient safety is a vital fact that is determined by leadership, which affects communication, decision-making and organisational culture in healthcare systems. In a high-level-risk setting, like medication management, the effectiveness of leadership has a direct impact on the probability of adverse events (Samawi, Shah and Kimsey, 2025). The results of NHS personnel surveys show that patient safety outcomes are closely associated with staff engagement and the quality of communication (West </w:t>
      </w:r>
      <w:r w:rsidRPr="00234F15">
        <w:rPr>
          <w:i/>
          <w:iCs/>
          <w:lang w:val="en-GB"/>
        </w:rPr>
        <w:t>et al</w:t>
      </w:r>
      <w:r w:rsidRPr="00234F15">
        <w:rPr>
          <w:lang w:val="en-GB"/>
        </w:rPr>
        <w:t xml:space="preserve">., 2021). Besides, the concept of transformational leadership as an alternative to being reactive is also </w:t>
      </w:r>
      <w:r w:rsidR="00D647CD" w:rsidRPr="00234F15">
        <w:rPr>
          <w:lang w:val="en-GB"/>
        </w:rPr>
        <w:t>discussed</w:t>
      </w:r>
      <w:r w:rsidRPr="00234F15">
        <w:rPr>
          <w:lang w:val="en-GB"/>
        </w:rPr>
        <w:t xml:space="preserve"> where cultural focus, accountability, and continuous improvement are prioritised in healthcare environments.</w:t>
      </w:r>
    </w:p>
    <w:p w14:paraId="7FA15373" w14:textId="77777777" w:rsidR="00822979" w:rsidRPr="00234F15" w:rsidRDefault="00FC6DEF">
      <w:pPr>
        <w:pStyle w:val="Normal1"/>
        <w:jc w:val="center"/>
        <w:rPr>
          <w:lang w:val="en-GB"/>
        </w:rPr>
      </w:pPr>
      <w:r w:rsidRPr="00234F15">
        <w:rPr>
          <w:noProof/>
          <w:lang w:val="en-GB"/>
        </w:rPr>
        <w:lastRenderedPageBreak/>
        <w:drawing>
          <wp:inline distT="114300" distB="114300" distL="114300" distR="114300" wp14:anchorId="7FA15401" wp14:editId="7FA15402">
            <wp:extent cx="5010913" cy="2805113"/>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5" cstate="print"/>
                    <a:srcRect/>
                    <a:stretch>
                      <a:fillRect/>
                    </a:stretch>
                  </pic:blipFill>
                  <pic:spPr>
                    <a:xfrm>
                      <a:off x="0" y="0"/>
                      <a:ext cx="5010913" cy="2805113"/>
                    </a:xfrm>
                    <a:prstGeom prst="rect">
                      <a:avLst/>
                    </a:prstGeom>
                    <a:ln/>
                  </pic:spPr>
                </pic:pic>
              </a:graphicData>
            </a:graphic>
          </wp:inline>
        </w:drawing>
      </w:r>
    </w:p>
    <w:p w14:paraId="7FA15374" w14:textId="77777777" w:rsidR="00822979" w:rsidRPr="00234F15" w:rsidRDefault="00FC6DEF">
      <w:pPr>
        <w:pStyle w:val="Normal1"/>
        <w:jc w:val="center"/>
        <w:rPr>
          <w:b/>
          <w:bCs/>
          <w:lang w:val="en-GB"/>
        </w:rPr>
      </w:pPr>
      <w:r w:rsidRPr="00234F15">
        <w:rPr>
          <w:b/>
          <w:bCs/>
          <w:lang w:val="en-GB"/>
        </w:rPr>
        <w:t>Figure 7: Patient Safety and Staff Engagement</w:t>
      </w:r>
    </w:p>
    <w:p w14:paraId="7FA15375" w14:textId="77777777" w:rsidR="00822979" w:rsidRPr="00234F15" w:rsidRDefault="00FC6DEF">
      <w:pPr>
        <w:pStyle w:val="Normal1"/>
        <w:jc w:val="center"/>
        <w:rPr>
          <w:lang w:val="en-GB"/>
        </w:rPr>
      </w:pPr>
      <w:r w:rsidRPr="00234F15">
        <w:rPr>
          <w:lang w:val="en-GB"/>
        </w:rPr>
        <w:t xml:space="preserve">(Source: West </w:t>
      </w:r>
      <w:r w:rsidRPr="00234F15">
        <w:rPr>
          <w:i/>
          <w:iCs/>
          <w:lang w:val="en-GB"/>
        </w:rPr>
        <w:t>et al</w:t>
      </w:r>
      <w:r w:rsidRPr="00234F15">
        <w:rPr>
          <w:lang w:val="en-GB"/>
        </w:rPr>
        <w:t>., 2021)</w:t>
      </w:r>
    </w:p>
    <w:p w14:paraId="7FA15376" w14:textId="77777777" w:rsidR="00822979" w:rsidRPr="00234F15" w:rsidRDefault="00FC6DEF">
      <w:pPr>
        <w:pStyle w:val="Normal1"/>
        <w:rPr>
          <w:b/>
          <w:bCs/>
          <w:lang w:val="en-GB"/>
        </w:rPr>
      </w:pPr>
      <w:r w:rsidRPr="00234F15">
        <w:rPr>
          <w:b/>
          <w:bCs/>
          <w:lang w:val="en-GB"/>
        </w:rPr>
        <w:t>Autocratic Leadership: Command Driven and Reactive.</w:t>
      </w:r>
    </w:p>
    <w:p w14:paraId="7FA15377" w14:textId="77777777" w:rsidR="00822979" w:rsidRPr="00234F15" w:rsidRDefault="00FC6DEF">
      <w:pPr>
        <w:pStyle w:val="Normal1"/>
        <w:rPr>
          <w:lang w:val="en-GB"/>
        </w:rPr>
      </w:pPr>
      <w:r w:rsidRPr="00234F15">
        <w:rPr>
          <w:lang w:val="en-GB"/>
        </w:rPr>
        <w:t xml:space="preserve">In autocratic leadership, the decision-making process is centralised, top-down, where all the power is gathered in a few </w:t>
      </w:r>
      <w:r w:rsidR="00D647CD" w:rsidRPr="00234F15">
        <w:rPr>
          <w:lang w:val="en-GB"/>
        </w:rPr>
        <w:t>hands</w:t>
      </w:r>
      <w:r w:rsidRPr="00234F15">
        <w:rPr>
          <w:lang w:val="en-GB"/>
        </w:rPr>
        <w:t xml:space="preserve"> and the rules are to be followed (Tavares </w:t>
      </w:r>
      <w:r w:rsidRPr="00234F15">
        <w:rPr>
          <w:i/>
          <w:iCs/>
          <w:lang w:val="en-GB"/>
        </w:rPr>
        <w:t>et al</w:t>
      </w:r>
      <w:r w:rsidRPr="00234F15">
        <w:rPr>
          <w:lang w:val="en-GB"/>
        </w:rPr>
        <w:t>., 2024). This style is usually related to reactive, command-based leadership in the sphere of healthcare, especially when faced with a situation that demands immediate action. However, this might restrict the interaction and deter staff from challenging the decisions.</w:t>
      </w:r>
    </w:p>
    <w:p w14:paraId="7FA15378" w14:textId="77777777" w:rsidR="00822979" w:rsidRPr="00234F15" w:rsidRDefault="00FC6DEF">
      <w:pPr>
        <w:pStyle w:val="Normal1"/>
        <w:rPr>
          <w:b/>
          <w:bCs/>
          <w:lang w:val="en-GB"/>
        </w:rPr>
      </w:pPr>
      <w:r w:rsidRPr="00234F15">
        <w:rPr>
          <w:b/>
          <w:bCs/>
          <w:lang w:val="en-GB"/>
        </w:rPr>
        <w:t>Critical Analysis with Data</w:t>
      </w:r>
    </w:p>
    <w:p w14:paraId="7FA15379" w14:textId="77777777" w:rsidR="00822979" w:rsidRPr="00234F15" w:rsidRDefault="00FC6DEF">
      <w:pPr>
        <w:pStyle w:val="Normal1"/>
        <w:rPr>
          <w:lang w:val="en-GB"/>
        </w:rPr>
      </w:pPr>
      <w:r w:rsidRPr="00234F15">
        <w:rPr>
          <w:lang w:val="en-GB"/>
        </w:rPr>
        <w:t xml:space="preserve">Within the scenario of this case, leadership can be seen to have reactive traits, wherein the need to comply with laid-down protocols substituted the need to proactively verify and communicate. During the enforcement of the RED drug policies, it was not done actively, yet passively, without much monitoring (Larue and Naweed, 2021). It has been indicated that there is evidence indicating that communication failures play a role in about 49% of serious medical errors (Humphrey </w:t>
      </w:r>
      <w:r w:rsidRPr="00234F15">
        <w:rPr>
          <w:i/>
          <w:iCs/>
          <w:lang w:val="en-GB"/>
        </w:rPr>
        <w:t>et al</w:t>
      </w:r>
      <w:r w:rsidRPr="00234F15">
        <w:rPr>
          <w:lang w:val="en-GB"/>
        </w:rPr>
        <w:t>., 2022). Hence, communicating through hierarchical systems may hinder extremely important discussions.</w:t>
      </w:r>
    </w:p>
    <w:p w14:paraId="7FA1537A" w14:textId="77777777" w:rsidR="00822979" w:rsidRPr="00234F15" w:rsidRDefault="00FC6DEF">
      <w:pPr>
        <w:pStyle w:val="Normal1"/>
        <w:rPr>
          <w:lang w:val="en-GB"/>
        </w:rPr>
      </w:pPr>
      <w:r w:rsidRPr="00234F15">
        <w:rPr>
          <w:lang w:val="en-GB"/>
        </w:rPr>
        <w:t>Employees claim that they feel helpless to bring issues up or question decisions (Thompson, 2023). Such psychological insecurity may deny frontline personnel the opportunity to challenge prescriptions and possible hazards. Thus, autocratic leadership can help to make a quick decision, probably one of the causes of failure because of its reactive character and limited channels of communication.</w:t>
      </w:r>
    </w:p>
    <w:p w14:paraId="7FA1537B" w14:textId="77777777" w:rsidR="00822979" w:rsidRPr="00234F15" w:rsidRDefault="00FC6DEF">
      <w:pPr>
        <w:pStyle w:val="Normal1"/>
        <w:rPr>
          <w:b/>
          <w:bCs/>
          <w:lang w:val="en-GB"/>
        </w:rPr>
      </w:pPr>
      <w:r w:rsidRPr="00234F15">
        <w:rPr>
          <w:b/>
          <w:bCs/>
          <w:lang w:val="en-GB"/>
        </w:rPr>
        <w:t>Democratic Leadership: Lost Chance of Proactive Safety</w:t>
      </w:r>
    </w:p>
    <w:p w14:paraId="7FA1537C" w14:textId="77777777" w:rsidR="00822979" w:rsidRPr="00234F15" w:rsidRDefault="00FC6DEF">
      <w:pPr>
        <w:pStyle w:val="Normal1"/>
        <w:rPr>
          <w:lang w:val="en-GB"/>
        </w:rPr>
      </w:pPr>
      <w:r w:rsidRPr="00234F15">
        <w:rPr>
          <w:lang w:val="en-GB"/>
        </w:rPr>
        <w:t xml:space="preserve">Democratic leadership favours cooperation, making decisions together, and open interactions between healthcare professionals. This method is linked to the proactive leadership style in </w:t>
      </w:r>
      <w:r w:rsidRPr="00234F15">
        <w:rPr>
          <w:lang w:val="en-GB"/>
        </w:rPr>
        <w:lastRenderedPageBreak/>
        <w:t>which the team members have an active role in helping to determine the risks and enhance patient safety outcomes.</w:t>
      </w:r>
    </w:p>
    <w:p w14:paraId="7FA1537D" w14:textId="77777777" w:rsidR="00822979" w:rsidRPr="00234F15" w:rsidRDefault="00FC6DEF">
      <w:pPr>
        <w:pStyle w:val="Normal1"/>
        <w:rPr>
          <w:lang w:val="en-GB"/>
        </w:rPr>
      </w:pPr>
      <w:r w:rsidRPr="00234F15">
        <w:rPr>
          <w:noProof/>
          <w:lang w:val="en-GB"/>
        </w:rPr>
        <w:drawing>
          <wp:inline distT="114300" distB="114300" distL="114300" distR="114300" wp14:anchorId="7FA15403" wp14:editId="7FA15404">
            <wp:extent cx="5731200" cy="889000"/>
            <wp:effectExtent l="0" t="0" r="0" b="0"/>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6" cstate="print"/>
                    <a:srcRect/>
                    <a:stretch>
                      <a:fillRect/>
                    </a:stretch>
                  </pic:blipFill>
                  <pic:spPr>
                    <a:xfrm>
                      <a:off x="0" y="0"/>
                      <a:ext cx="5731200" cy="889000"/>
                    </a:xfrm>
                    <a:prstGeom prst="rect">
                      <a:avLst/>
                    </a:prstGeom>
                    <a:ln/>
                  </pic:spPr>
                </pic:pic>
              </a:graphicData>
            </a:graphic>
          </wp:inline>
        </w:drawing>
      </w:r>
    </w:p>
    <w:p w14:paraId="7FA1537E" w14:textId="77777777" w:rsidR="00822979" w:rsidRPr="00234F15" w:rsidRDefault="00FC6DEF">
      <w:pPr>
        <w:pStyle w:val="Normal1"/>
        <w:jc w:val="center"/>
        <w:rPr>
          <w:b/>
          <w:bCs/>
          <w:lang w:val="en-GB"/>
        </w:rPr>
      </w:pPr>
      <w:r w:rsidRPr="00234F15">
        <w:rPr>
          <w:b/>
          <w:bCs/>
          <w:lang w:val="en-GB"/>
        </w:rPr>
        <w:t>Figure 8: Democratic Leadership</w:t>
      </w:r>
    </w:p>
    <w:p w14:paraId="7FA1537F" w14:textId="77777777" w:rsidR="00822979" w:rsidRPr="00234F15" w:rsidRDefault="00FC6DEF">
      <w:pPr>
        <w:pStyle w:val="Normal1"/>
        <w:jc w:val="center"/>
        <w:rPr>
          <w:lang w:val="en-GB"/>
        </w:rPr>
      </w:pPr>
      <w:r w:rsidRPr="00234F15">
        <w:rPr>
          <w:lang w:val="en-GB"/>
        </w:rPr>
        <w:t>(Source: Self-developed)</w:t>
      </w:r>
    </w:p>
    <w:p w14:paraId="7FA15380" w14:textId="77777777" w:rsidR="00822979" w:rsidRPr="00234F15" w:rsidRDefault="00FC6DEF">
      <w:pPr>
        <w:pStyle w:val="Normal1"/>
        <w:rPr>
          <w:b/>
          <w:bCs/>
          <w:lang w:val="en-GB"/>
        </w:rPr>
      </w:pPr>
      <w:r w:rsidRPr="00234F15">
        <w:rPr>
          <w:b/>
          <w:bCs/>
          <w:lang w:val="en-GB"/>
        </w:rPr>
        <w:t>Critical Analysis</w:t>
      </w:r>
    </w:p>
    <w:p w14:paraId="7FA15381" w14:textId="77777777" w:rsidR="00822979" w:rsidRPr="00234F15" w:rsidRDefault="00FC6DEF">
      <w:pPr>
        <w:pStyle w:val="Normal1"/>
        <w:rPr>
          <w:lang w:val="en-GB"/>
        </w:rPr>
      </w:pPr>
      <w:r w:rsidRPr="00234F15">
        <w:rPr>
          <w:lang w:val="en-GB"/>
        </w:rPr>
        <w:t xml:space="preserve">Studies have shown that medical errors can be greatly minimised through proper teamwork and communication. Practices associated with collaboration are effective in ensuring that the faults in prescription and dispensing are detected (Ravi </w:t>
      </w:r>
      <w:r w:rsidRPr="00234F15">
        <w:rPr>
          <w:i/>
          <w:iCs/>
          <w:lang w:val="en-GB"/>
        </w:rPr>
        <w:t>et al</w:t>
      </w:r>
      <w:r w:rsidRPr="00234F15">
        <w:rPr>
          <w:lang w:val="en-GB"/>
        </w:rPr>
        <w:t>., 2022). The outcomes of the NHS staff survey constantly indicate that the increased staff engagement level is associated with enhancing patient safety and decreasing rates of incidents.</w:t>
      </w:r>
    </w:p>
    <w:p w14:paraId="7FA15382" w14:textId="77777777" w:rsidR="00822979" w:rsidRPr="00234F15" w:rsidRDefault="00FC6DEF">
      <w:pPr>
        <w:pStyle w:val="Normal1"/>
        <w:rPr>
          <w:lang w:val="en-GB"/>
        </w:rPr>
      </w:pPr>
      <w:r w:rsidRPr="00234F15">
        <w:rPr>
          <w:lang w:val="en-GB"/>
        </w:rPr>
        <w:t xml:space="preserve">In this instance, the lack of democratic leadership is represented in the absence of cross-checking and collaborative verification of the prescriber, the pharmacy, and the caregivers (Owoyemi </w:t>
      </w:r>
      <w:r w:rsidRPr="00234F15">
        <w:rPr>
          <w:i/>
          <w:iCs/>
          <w:lang w:val="en-GB"/>
        </w:rPr>
        <w:t>et al</w:t>
      </w:r>
      <w:r w:rsidRPr="00234F15">
        <w:rPr>
          <w:lang w:val="en-GB"/>
        </w:rPr>
        <w:t>., 2024). The lack of engagement between different stakeholders in the decision-making process is indicative of the lack of an opportunity to adopt a safer and team-based approach. This implies that the leadership was not only inefficient but also not proactive enough in risk aversion.</w:t>
      </w:r>
    </w:p>
    <w:p w14:paraId="7FA15383" w14:textId="77777777" w:rsidR="00822979" w:rsidRPr="00234F15" w:rsidRDefault="00FC6DEF">
      <w:pPr>
        <w:pStyle w:val="Normal1"/>
        <w:rPr>
          <w:b/>
          <w:bCs/>
          <w:lang w:val="en-GB"/>
        </w:rPr>
      </w:pPr>
      <w:r w:rsidRPr="00234F15">
        <w:rPr>
          <w:b/>
          <w:bCs/>
          <w:lang w:val="en-GB"/>
        </w:rPr>
        <w:t>Laissez-Faire Leadership: No Oversight and Responsibility.</w:t>
      </w:r>
    </w:p>
    <w:p w14:paraId="7FA15384" w14:textId="77777777" w:rsidR="00822979" w:rsidRPr="00234F15" w:rsidRDefault="00FC6DEF">
      <w:pPr>
        <w:pStyle w:val="Normal1"/>
        <w:rPr>
          <w:lang w:val="en-GB"/>
        </w:rPr>
      </w:pPr>
      <w:r w:rsidRPr="00234F15">
        <w:rPr>
          <w:lang w:val="en-GB"/>
        </w:rPr>
        <w:t xml:space="preserve">The laissez-faire leadership style is typified by little supervision and a hands-off style where people are given a lot of freedom when making decisions (Klasmeier </w:t>
      </w:r>
      <w:r w:rsidRPr="00234F15">
        <w:rPr>
          <w:i/>
          <w:iCs/>
          <w:lang w:val="en-GB"/>
        </w:rPr>
        <w:t>et al</w:t>
      </w:r>
      <w:r w:rsidRPr="00234F15">
        <w:rPr>
          <w:lang w:val="en-GB"/>
        </w:rPr>
        <w:t>., 2021). Although this can prove useful in a highly skilled team, it can create inconsistencies and a lack of accountability in a complex healthcare setting.</w:t>
      </w:r>
    </w:p>
    <w:p w14:paraId="7FA15385" w14:textId="77777777" w:rsidR="00822979" w:rsidRPr="00234F15" w:rsidRDefault="00FC6DEF">
      <w:pPr>
        <w:pStyle w:val="Normal1"/>
        <w:rPr>
          <w:b/>
          <w:bCs/>
          <w:lang w:val="en-GB"/>
        </w:rPr>
      </w:pPr>
      <w:r w:rsidRPr="00234F15">
        <w:rPr>
          <w:b/>
          <w:bCs/>
          <w:lang w:val="en-GB"/>
        </w:rPr>
        <w:t>Critical Analysis</w:t>
      </w:r>
    </w:p>
    <w:p w14:paraId="7FA15386" w14:textId="77777777" w:rsidR="00822979" w:rsidRPr="00234F15" w:rsidRDefault="00FC6DEF">
      <w:pPr>
        <w:pStyle w:val="Normal1"/>
        <w:rPr>
          <w:lang w:val="en-GB"/>
        </w:rPr>
      </w:pPr>
      <w:r w:rsidRPr="00234F15">
        <w:rPr>
          <w:lang w:val="en-GB"/>
        </w:rPr>
        <w:t xml:space="preserve">The aspects of laissez-faire leadership can also be found in this instance because there has been no supervision and monitoring of the prescribing and dispensing process. The lack of verification systems contributed to the continuation of the medication error without any checks. According to NHS workforce data, the lack of staffing with vacancy rates of around 6.9% (NHS, 2025). It leads to the workload and less supervision, which is very closely linked to the incidence of medication errors. Moreover, insufficient monitoring and a lack of proper accountability structure are some of the major causes of negative events like the morphine overdose case. </w:t>
      </w:r>
      <w:r w:rsidR="00D647CD">
        <w:rPr>
          <w:lang w:val="en-GB"/>
        </w:rPr>
        <w:t xml:space="preserve">It </w:t>
      </w:r>
      <w:r w:rsidRPr="00234F15">
        <w:rPr>
          <w:lang w:val="en-GB"/>
        </w:rPr>
        <w:t>points to the dangers of autonomy without the element of governance. The leadership style that was applied in the case was not effective in having proper control, and serves to show that laissez-faire tendencies may result in unsafe situations under the influence of system pressures.</w:t>
      </w:r>
    </w:p>
    <w:p w14:paraId="7FA15387" w14:textId="77777777" w:rsidR="00822979" w:rsidRPr="00234F15" w:rsidRDefault="00FC6DEF">
      <w:pPr>
        <w:pStyle w:val="Normal1"/>
        <w:rPr>
          <w:b/>
          <w:bCs/>
          <w:lang w:val="en-GB"/>
        </w:rPr>
      </w:pPr>
      <w:r w:rsidRPr="00234F15">
        <w:rPr>
          <w:b/>
          <w:bCs/>
          <w:lang w:val="en-GB"/>
        </w:rPr>
        <w:lastRenderedPageBreak/>
        <w:t>Transformational Leadership: Preventive and Proactive Approach</w:t>
      </w:r>
    </w:p>
    <w:p w14:paraId="7FA15388" w14:textId="77777777" w:rsidR="00822979" w:rsidRPr="00234F15" w:rsidRDefault="00FC6DEF">
      <w:pPr>
        <w:pStyle w:val="Normal1"/>
        <w:rPr>
          <w:lang w:val="en-GB"/>
        </w:rPr>
      </w:pPr>
      <w:r w:rsidRPr="00234F15">
        <w:rPr>
          <w:lang w:val="en-GB"/>
        </w:rPr>
        <w:t xml:space="preserve">Transformational leadership aims at inspiring and motivating employees, developing a safety culture, and promoting lifelong learning and improvement to ensure intellectual stimulation, consideration and idealised influence (Suryadi </w:t>
      </w:r>
      <w:r w:rsidRPr="00234F15">
        <w:rPr>
          <w:i/>
          <w:iCs/>
          <w:lang w:val="en-GB"/>
        </w:rPr>
        <w:t>et al</w:t>
      </w:r>
      <w:r w:rsidRPr="00234F15">
        <w:rPr>
          <w:lang w:val="en-GB"/>
        </w:rPr>
        <w:t>., 2024). Contrary to reactive styles of leadership, it is proactive and goal-oriented as it focuses on avoiding mistakes before they arise.</w:t>
      </w:r>
    </w:p>
    <w:p w14:paraId="7FA15389" w14:textId="77777777" w:rsidR="00822979" w:rsidRPr="00234F15" w:rsidRDefault="00FC6DEF">
      <w:pPr>
        <w:pStyle w:val="Normal1"/>
        <w:jc w:val="center"/>
        <w:rPr>
          <w:lang w:val="en-GB"/>
        </w:rPr>
      </w:pPr>
      <w:r w:rsidRPr="00234F15">
        <w:rPr>
          <w:noProof/>
          <w:lang w:val="en-GB"/>
        </w:rPr>
        <w:drawing>
          <wp:inline distT="114300" distB="114300" distL="114300" distR="114300" wp14:anchorId="7FA15405" wp14:editId="7FA15406">
            <wp:extent cx="3144675" cy="315244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7" cstate="print"/>
                    <a:srcRect/>
                    <a:stretch>
                      <a:fillRect/>
                    </a:stretch>
                  </pic:blipFill>
                  <pic:spPr>
                    <a:xfrm>
                      <a:off x="0" y="0"/>
                      <a:ext cx="3144675" cy="3152440"/>
                    </a:xfrm>
                    <a:prstGeom prst="rect">
                      <a:avLst/>
                    </a:prstGeom>
                    <a:ln/>
                  </pic:spPr>
                </pic:pic>
              </a:graphicData>
            </a:graphic>
          </wp:inline>
        </w:drawing>
      </w:r>
    </w:p>
    <w:p w14:paraId="7FA1538A" w14:textId="77777777" w:rsidR="00822979" w:rsidRPr="00234F15" w:rsidRDefault="00FC6DEF">
      <w:pPr>
        <w:pStyle w:val="Normal1"/>
        <w:jc w:val="center"/>
        <w:rPr>
          <w:b/>
          <w:bCs/>
          <w:lang w:val="en-GB"/>
        </w:rPr>
      </w:pPr>
      <w:r w:rsidRPr="00234F15">
        <w:rPr>
          <w:b/>
          <w:bCs/>
          <w:lang w:val="en-GB"/>
        </w:rPr>
        <w:t xml:space="preserve">Figure 9: Transformational Leadership </w:t>
      </w:r>
    </w:p>
    <w:p w14:paraId="7FA1538B" w14:textId="77777777" w:rsidR="00822979" w:rsidRPr="00234F15" w:rsidRDefault="00FC6DEF">
      <w:pPr>
        <w:pStyle w:val="Normal1"/>
        <w:jc w:val="center"/>
        <w:rPr>
          <w:lang w:val="en-GB"/>
        </w:rPr>
      </w:pPr>
      <w:r w:rsidRPr="00234F15">
        <w:rPr>
          <w:lang w:val="en-GB"/>
        </w:rPr>
        <w:t>(Source: Self-developed)</w:t>
      </w:r>
    </w:p>
    <w:p w14:paraId="7FA1538C" w14:textId="77777777" w:rsidR="00822979" w:rsidRPr="00234F15" w:rsidRDefault="00FC6DEF">
      <w:pPr>
        <w:pStyle w:val="Normal1"/>
        <w:rPr>
          <w:b/>
          <w:bCs/>
          <w:lang w:val="en-GB"/>
        </w:rPr>
      </w:pPr>
      <w:r w:rsidRPr="00234F15">
        <w:rPr>
          <w:b/>
          <w:bCs/>
          <w:lang w:val="en-GB"/>
        </w:rPr>
        <w:t>Critical Analysis</w:t>
      </w:r>
    </w:p>
    <w:p w14:paraId="7FA1538D" w14:textId="77777777" w:rsidR="00822979" w:rsidRPr="00234F15" w:rsidRDefault="00FC6DEF">
      <w:pPr>
        <w:pStyle w:val="Normal1"/>
        <w:rPr>
          <w:lang w:val="en-GB"/>
        </w:rPr>
      </w:pPr>
      <w:r w:rsidRPr="00234F15">
        <w:rPr>
          <w:lang w:val="en-GB"/>
        </w:rPr>
        <w:t xml:space="preserve">It has been indicated that effective leadership and positive safety culture are linked to better patient outcomes and fewer adverse events. However, the NHS has a greater level of staff involvement and </w:t>
      </w:r>
      <w:r w:rsidR="00D647CD" w:rsidRPr="00234F15">
        <w:rPr>
          <w:lang w:val="en-GB"/>
        </w:rPr>
        <w:t>communication has</w:t>
      </w:r>
      <w:r w:rsidRPr="00234F15">
        <w:rPr>
          <w:lang w:val="en-GB"/>
        </w:rPr>
        <w:t xml:space="preserve"> a higher safety performance and reduced incidences (Janes et al., 2021). The transformational leadership approach would have hugely enhanced results in this case through encouraging open communication, employee questioning of decisions and introducing effective feedback systems. Leaders who would follow this practice would focus on training, responsibility, and constant observation to make sure that safety rules are followed, like the RED drugs policy, under the Traffic Light system of the UK (Hart, 2025). Also, the psychological safety would be facilitated by the emotionally intelligent leadership, and the staff would be able to express their concerns without fear.</w:t>
      </w:r>
    </w:p>
    <w:p w14:paraId="7FA1538E" w14:textId="77777777" w:rsidR="00822979" w:rsidRPr="00234F15" w:rsidRDefault="00FC6DEF">
      <w:pPr>
        <w:pStyle w:val="Normal1"/>
        <w:jc w:val="center"/>
        <w:rPr>
          <w:lang w:val="en-GB"/>
        </w:rPr>
      </w:pPr>
      <w:r w:rsidRPr="00234F15">
        <w:rPr>
          <w:noProof/>
          <w:lang w:val="en-GB"/>
        </w:rPr>
        <w:lastRenderedPageBreak/>
        <w:drawing>
          <wp:inline distT="114300" distB="114300" distL="114300" distR="114300" wp14:anchorId="7FA15407" wp14:editId="7FA15408">
            <wp:extent cx="3690938" cy="2765138"/>
            <wp:effectExtent l="0" t="0" r="0" b="0"/>
            <wp:docPr id="2"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8" cstate="print"/>
                    <a:srcRect/>
                    <a:stretch>
                      <a:fillRect/>
                    </a:stretch>
                  </pic:blipFill>
                  <pic:spPr>
                    <a:xfrm>
                      <a:off x="0" y="0"/>
                      <a:ext cx="3690938" cy="2765138"/>
                    </a:xfrm>
                    <a:prstGeom prst="rect">
                      <a:avLst/>
                    </a:prstGeom>
                    <a:ln/>
                  </pic:spPr>
                </pic:pic>
              </a:graphicData>
            </a:graphic>
          </wp:inline>
        </w:drawing>
      </w:r>
    </w:p>
    <w:p w14:paraId="7FA1538F" w14:textId="77777777" w:rsidR="00822979" w:rsidRPr="00234F15" w:rsidRDefault="00FC6DEF">
      <w:pPr>
        <w:pStyle w:val="Normal1"/>
        <w:jc w:val="center"/>
        <w:rPr>
          <w:b/>
          <w:bCs/>
          <w:lang w:val="en-GB"/>
        </w:rPr>
      </w:pPr>
      <w:r w:rsidRPr="00234F15">
        <w:rPr>
          <w:b/>
          <w:bCs/>
          <w:lang w:val="en-GB"/>
        </w:rPr>
        <w:t>Figure 10: Red Drug</w:t>
      </w:r>
    </w:p>
    <w:p w14:paraId="7FA15390" w14:textId="77777777" w:rsidR="00822979" w:rsidRPr="00234F15" w:rsidRDefault="00FC6DEF">
      <w:pPr>
        <w:pStyle w:val="Normal1"/>
        <w:jc w:val="center"/>
        <w:rPr>
          <w:sz w:val="20"/>
          <w:szCs w:val="20"/>
          <w:lang w:val="en-GB"/>
        </w:rPr>
      </w:pPr>
      <w:r w:rsidRPr="00234F15">
        <w:rPr>
          <w:lang w:val="en-GB"/>
        </w:rPr>
        <w:t>(Source: Lusher, 2021)</w:t>
      </w:r>
    </w:p>
    <w:p w14:paraId="7FA15391" w14:textId="77777777" w:rsidR="00822979" w:rsidRPr="00234F15" w:rsidRDefault="00FC6DEF">
      <w:pPr>
        <w:pStyle w:val="Normal1"/>
        <w:rPr>
          <w:b/>
          <w:bCs/>
          <w:lang w:val="en-GB"/>
        </w:rPr>
      </w:pPr>
      <w:r w:rsidRPr="00234F15">
        <w:rPr>
          <w:b/>
          <w:bCs/>
          <w:lang w:val="en-GB"/>
        </w:rPr>
        <w:t>What Should Have Been Done Differently</w:t>
      </w:r>
    </w:p>
    <w:p w14:paraId="7FA15392" w14:textId="77777777" w:rsidR="00822979" w:rsidRPr="00234F15" w:rsidRDefault="00FC6DEF">
      <w:pPr>
        <w:pStyle w:val="Normal1"/>
        <w:rPr>
          <w:lang w:val="en-GB"/>
        </w:rPr>
      </w:pPr>
      <w:r w:rsidRPr="00234F15">
        <w:rPr>
          <w:lang w:val="en-GB"/>
        </w:rPr>
        <w:t xml:space="preserve">A better way of leadership in the situation would have been an integration of transformational and democratic leadership, with well-established governance structures. There is a need for leaders to play a proactive role where the level of monitoring was high, open communication, and accountability </w:t>
      </w:r>
      <w:r w:rsidR="00D647CD" w:rsidRPr="00234F15">
        <w:rPr>
          <w:lang w:val="en-GB"/>
        </w:rPr>
        <w:t>was</w:t>
      </w:r>
      <w:r w:rsidRPr="00234F15">
        <w:rPr>
          <w:lang w:val="en-GB"/>
        </w:rPr>
        <w:t xml:space="preserve"> ensured (Zhang </w:t>
      </w:r>
      <w:r w:rsidRPr="00234F15">
        <w:rPr>
          <w:i/>
          <w:iCs/>
          <w:lang w:val="en-GB"/>
        </w:rPr>
        <w:t>et al.</w:t>
      </w:r>
      <w:r w:rsidRPr="00234F15">
        <w:rPr>
          <w:lang w:val="en-GB"/>
        </w:rPr>
        <w:t>, 2022). Distributed leadership with a distributed responsibility through the system may have improved verification procedures, as well as decreased the use of personal judgment. Moreover, a culture of psychological safety would facilitate the problem of challenging decisions and reporting concerns among the staff. After all, the reason it failed was not because of the absence of policy, but because of the absence of effective leadership to implement and maintain safe practices.</w:t>
      </w:r>
    </w:p>
    <w:p w14:paraId="7FA15393" w14:textId="77777777" w:rsidR="00822979" w:rsidRPr="00234F15" w:rsidRDefault="00FC6DEF">
      <w:pPr>
        <w:pStyle w:val="Heading2"/>
        <w:rPr>
          <w:lang w:val="en-GB"/>
        </w:rPr>
      </w:pPr>
      <w:bookmarkStart w:id="13" w:name="_gkdwk46s77m4" w:colFirst="0" w:colLast="0"/>
      <w:bookmarkStart w:id="14" w:name="_Toc225457771"/>
      <w:bookmarkEnd w:id="13"/>
      <w:r w:rsidRPr="00234F15">
        <w:rPr>
          <w:lang w:val="en-GB"/>
        </w:rPr>
        <w:t>d. Improvement, and Lessons Learned</w:t>
      </w:r>
      <w:bookmarkEnd w:id="14"/>
      <w:r w:rsidRPr="00234F15">
        <w:rPr>
          <w:lang w:val="en-GB"/>
        </w:rPr>
        <w:t xml:space="preserve"> </w:t>
      </w:r>
    </w:p>
    <w:p w14:paraId="7FA15394" w14:textId="77777777" w:rsidR="00822979" w:rsidRPr="00234F15" w:rsidRDefault="00FC6DEF">
      <w:pPr>
        <w:pStyle w:val="Normal1"/>
        <w:rPr>
          <w:b/>
          <w:bCs/>
          <w:lang w:val="en-GB"/>
        </w:rPr>
      </w:pPr>
      <w:r w:rsidRPr="00234F15">
        <w:rPr>
          <w:b/>
          <w:bCs/>
          <w:lang w:val="en-GB"/>
        </w:rPr>
        <w:t>Interaction between Leadership and Governance</w:t>
      </w:r>
    </w:p>
    <w:p w14:paraId="7FA15395" w14:textId="77777777" w:rsidR="00822979" w:rsidRPr="00234F15" w:rsidRDefault="00FC6DEF">
      <w:pPr>
        <w:pStyle w:val="Normal1"/>
        <w:rPr>
          <w:lang w:val="en-GB"/>
        </w:rPr>
      </w:pPr>
      <w:r w:rsidRPr="00234F15">
        <w:rPr>
          <w:lang w:val="en-GB"/>
        </w:rPr>
        <w:t xml:space="preserve">The consequences that were caused by the infant morphine overdose case were an outcome of a key interaction between poor leadership and weak governance structures. Although policies like the RED drug policies had been put in place at the central level, the leadership did not succeed in ensuring their effective implementation at the operational level (Singh </w:t>
      </w:r>
      <w:r w:rsidRPr="00D647CD">
        <w:rPr>
          <w:i/>
          <w:iCs/>
          <w:lang w:val="en-GB"/>
        </w:rPr>
        <w:t>et al</w:t>
      </w:r>
      <w:r w:rsidRPr="00234F15">
        <w:rPr>
          <w:lang w:val="en-GB"/>
        </w:rPr>
        <w:t xml:space="preserve">., 2024). This is a sign of a lack of relationship between policy and practice in the sense that leadership was not actively involved in ensuring that compliance was met or encouraging accountability. On the leadership side, a lack of proactive control and communication led to a culture where mistakes were likely to go unnoticed (Hubbart, 2024). The mechanisms of governance were based on formal rules and did not have any effective enforcement and feedback mechanisms. This resulted in leadership and governance being an isolated entity as </w:t>
      </w:r>
      <w:r w:rsidRPr="00234F15">
        <w:rPr>
          <w:lang w:val="en-GB"/>
        </w:rPr>
        <w:lastRenderedPageBreak/>
        <w:t>opposed to an integrated entity. This misfit was a direct cause of the failure, which shows that good governance needs equally good leadership to implement policy into safe clinical practice.</w:t>
      </w:r>
    </w:p>
    <w:p w14:paraId="7FA15396" w14:textId="77777777" w:rsidR="00822979" w:rsidRPr="00234F15" w:rsidRDefault="00FC6DEF">
      <w:pPr>
        <w:pStyle w:val="Normal1"/>
        <w:rPr>
          <w:b/>
          <w:bCs/>
          <w:lang w:val="en-GB"/>
        </w:rPr>
      </w:pPr>
      <w:r w:rsidRPr="00234F15">
        <w:rPr>
          <w:b/>
          <w:bCs/>
          <w:lang w:val="en-GB"/>
        </w:rPr>
        <w:t>Problem-Data-Solution-Analysis</w:t>
      </w:r>
    </w:p>
    <w:p w14:paraId="7FA15397" w14:textId="77777777" w:rsidR="00822979" w:rsidRPr="00234F15" w:rsidRDefault="00FC6DEF">
      <w:pPr>
        <w:pStyle w:val="Normal1"/>
        <w:rPr>
          <w:lang w:val="en-GB"/>
        </w:rPr>
      </w:pPr>
      <w:r w:rsidRPr="00234F15">
        <w:rPr>
          <w:lang w:val="en-GB"/>
        </w:rPr>
        <w:t>One of the major issues in this case was a failure in communication between the prescribing, dispensing and administration processes. The cause of patient safety incidents is closely associated with communication failures, and it has been proven that serious medical errors are connected to inefficient communication (GOV, 2025). The absence of effective information transfer and verification processes, in this instance, enabled the wrong dosage to pass unnoticed.</w:t>
      </w:r>
    </w:p>
    <w:p w14:paraId="7FA15398" w14:textId="77777777" w:rsidR="00822979" w:rsidRPr="00234F15" w:rsidRDefault="00FC6DEF">
      <w:pPr>
        <w:pStyle w:val="Normal1"/>
        <w:rPr>
          <w:b/>
          <w:bCs/>
          <w:i/>
          <w:iCs/>
          <w:lang w:val="en-GB"/>
        </w:rPr>
      </w:pPr>
      <w:r w:rsidRPr="00234F15">
        <w:rPr>
          <w:b/>
          <w:bCs/>
          <w:i/>
          <w:iCs/>
          <w:lang w:val="en-GB"/>
        </w:rPr>
        <w:t>Improvement</w:t>
      </w:r>
    </w:p>
    <w:p w14:paraId="7FA15399" w14:textId="77777777" w:rsidR="00822979" w:rsidRPr="00234F15" w:rsidRDefault="00FC6DEF">
      <w:pPr>
        <w:pStyle w:val="Normal1"/>
        <w:rPr>
          <w:lang w:val="en-GB"/>
        </w:rPr>
      </w:pPr>
      <w:r w:rsidRPr="00234F15">
        <w:rPr>
          <w:lang w:val="en-GB"/>
        </w:rPr>
        <w:t>The adoption of electronic prescribing and digital verification systems is one of the evidence-based solutions to the problem, as it helps to decrease the rate of human error by automating the dosage checks and standardising the communication. Research indicates that these systems have the capability of greatly decreasing medication errors and increasing the safety outcomes.</w:t>
      </w:r>
    </w:p>
    <w:p w14:paraId="7FA1539A" w14:textId="77777777" w:rsidR="00822979" w:rsidRPr="00234F15" w:rsidRDefault="00FC6DEF">
      <w:pPr>
        <w:pStyle w:val="Normal1"/>
        <w:rPr>
          <w:lang w:val="en-GB"/>
        </w:rPr>
      </w:pPr>
      <w:r w:rsidRPr="00234F15">
        <w:rPr>
          <w:lang w:val="en-GB"/>
        </w:rPr>
        <w:t>Excessive dependence on technology can cause less critical thinking on the part of the staff, and, even in the case of failure or lack of proper training, err</w:t>
      </w:r>
      <w:r w:rsidR="00D647CD">
        <w:rPr>
          <w:lang w:val="en-GB"/>
        </w:rPr>
        <w:t>ors can still be made (Maternova</w:t>
      </w:r>
      <w:r w:rsidRPr="00234F15">
        <w:rPr>
          <w:lang w:val="en-GB"/>
        </w:rPr>
        <w:t xml:space="preserve"> </w:t>
      </w:r>
      <w:r w:rsidRPr="00234F15">
        <w:rPr>
          <w:i/>
          <w:iCs/>
          <w:lang w:val="en-GB"/>
        </w:rPr>
        <w:t>et al.</w:t>
      </w:r>
      <w:r w:rsidRPr="00234F15">
        <w:rPr>
          <w:lang w:val="en-GB"/>
        </w:rPr>
        <w:t>, 2023). Thus, the digital solutions should be facilitated by effective leadership, training, and continuous observation.</w:t>
      </w:r>
    </w:p>
    <w:p w14:paraId="7FA1539B" w14:textId="77777777" w:rsidR="00822979" w:rsidRPr="00234F15" w:rsidRDefault="00FC6DEF">
      <w:pPr>
        <w:pStyle w:val="Normal1"/>
        <w:rPr>
          <w:lang w:val="en-GB"/>
        </w:rPr>
      </w:pPr>
      <w:r w:rsidRPr="00234F15">
        <w:rPr>
          <w:lang w:val="en-GB"/>
        </w:rPr>
        <w:t>The other issue was poor accountability and quick identification of mistakes. A significant percentage of medication incidents do not get reported immediately, which limits the chances of early intervention.</w:t>
      </w:r>
    </w:p>
    <w:p w14:paraId="7FA1539C" w14:textId="77777777" w:rsidR="00822979" w:rsidRPr="00234F15" w:rsidRDefault="00FC6DEF">
      <w:pPr>
        <w:pStyle w:val="Normal1"/>
        <w:rPr>
          <w:b/>
          <w:bCs/>
          <w:i/>
          <w:iCs/>
          <w:lang w:val="en-GB"/>
        </w:rPr>
      </w:pPr>
      <w:r w:rsidRPr="00234F15">
        <w:rPr>
          <w:b/>
          <w:bCs/>
          <w:i/>
          <w:iCs/>
          <w:lang w:val="en-GB"/>
        </w:rPr>
        <w:t>Enhancement</w:t>
      </w:r>
    </w:p>
    <w:p w14:paraId="7FA1539D" w14:textId="77777777" w:rsidR="00822979" w:rsidRPr="00234F15" w:rsidRDefault="00FC6DEF">
      <w:pPr>
        <w:pStyle w:val="Normal1"/>
        <w:rPr>
          <w:lang w:val="en-GB"/>
        </w:rPr>
      </w:pPr>
      <w:r w:rsidRPr="00234F15">
        <w:rPr>
          <w:lang w:val="en-GB"/>
        </w:rPr>
        <w:t>To enhance the responsiveness and safety, the introduction of a decentralised accountability structure and real-time reporting systems can enable the frontline staff to detect and report risky situations in time.</w:t>
      </w:r>
    </w:p>
    <w:p w14:paraId="7FA1539E" w14:textId="77777777" w:rsidR="00822979" w:rsidRPr="00234F15" w:rsidRDefault="00FC6DEF">
      <w:pPr>
        <w:pStyle w:val="Normal1"/>
        <w:rPr>
          <w:b/>
          <w:bCs/>
          <w:lang w:val="en-GB"/>
        </w:rPr>
      </w:pPr>
      <w:r w:rsidRPr="00234F15">
        <w:rPr>
          <w:b/>
          <w:bCs/>
          <w:lang w:val="en-GB"/>
        </w:rPr>
        <w:t>Systems Interdependence and Integration</w:t>
      </w:r>
    </w:p>
    <w:p w14:paraId="7FA1539F" w14:textId="77777777" w:rsidR="00822979" w:rsidRPr="00234F15" w:rsidRDefault="00FC6DEF">
      <w:pPr>
        <w:pStyle w:val="Normal1"/>
        <w:rPr>
          <w:lang w:val="en-GB"/>
        </w:rPr>
      </w:pPr>
      <w:r w:rsidRPr="00234F15">
        <w:rPr>
          <w:lang w:val="en-GB"/>
        </w:rPr>
        <w:t xml:space="preserve">The case demonstrates the need to have a fully integrated healthcare system where there is cohesiveness in leadership, governance, and operational processes. </w:t>
      </w:r>
      <w:r w:rsidR="00D647CD" w:rsidRPr="00234F15">
        <w:rPr>
          <w:lang w:val="en-GB"/>
        </w:rPr>
        <w:t>Systems thinking insist</w:t>
      </w:r>
      <w:r w:rsidRPr="00234F15">
        <w:rPr>
          <w:lang w:val="en-GB"/>
        </w:rPr>
        <w:t xml:space="preserve"> on the fact that healthcare results are determined by interconnected elements, such as policies, workforce, communication channels, and feedback systems (GOV, 2026). The absence of integration of these components in this case led to the fragmentation of the processes and risk of being at risk. Effective systems need coordination between centralised governance and decentralised practice, along with a feedback loop and monitoring systems. The aspect of leadership is significant in ensuring this integration, as policies do not just get implemented, but they are also revised and solidified through practice.</w:t>
      </w:r>
    </w:p>
    <w:p w14:paraId="7FA153A0" w14:textId="77777777" w:rsidR="00822979" w:rsidRPr="00234F15" w:rsidRDefault="00FC6DEF">
      <w:pPr>
        <w:pStyle w:val="Normal1"/>
        <w:rPr>
          <w:b/>
          <w:bCs/>
          <w:lang w:val="en-GB"/>
        </w:rPr>
      </w:pPr>
      <w:r w:rsidRPr="00234F15">
        <w:rPr>
          <w:b/>
          <w:bCs/>
          <w:lang w:val="en-GB"/>
        </w:rPr>
        <w:t>Lessons Learned and System-Wide Implications</w:t>
      </w:r>
    </w:p>
    <w:p w14:paraId="7FA153A1" w14:textId="77777777" w:rsidR="00822979" w:rsidRPr="00234F15" w:rsidRDefault="00FC6DEF">
      <w:pPr>
        <w:pStyle w:val="Normal1"/>
        <w:rPr>
          <w:lang w:val="en-GB"/>
        </w:rPr>
      </w:pPr>
      <w:r w:rsidRPr="00234F15">
        <w:rPr>
          <w:lang w:val="en-GB"/>
        </w:rPr>
        <w:lastRenderedPageBreak/>
        <w:t>The combination of the leadership style, the government structures, and system design provided the circumstances under which the mistake might be made and go unnoticed (Mergel, 2023). The accountability gap and poor feedback mechanisms were caused by the centralisation of policies and decentralisation of implementation without proper integration.</w:t>
      </w:r>
    </w:p>
    <w:p w14:paraId="7FA153A2" w14:textId="77777777" w:rsidR="00822979" w:rsidRPr="00234F15" w:rsidRDefault="00FC6DEF">
      <w:pPr>
        <w:pStyle w:val="Normal1"/>
        <w:rPr>
          <w:lang w:val="en-GB"/>
        </w:rPr>
      </w:pPr>
      <w:r w:rsidRPr="00234F15">
        <w:rPr>
          <w:lang w:val="en-GB"/>
        </w:rPr>
        <w:t>The case can teach other healthcare organisations by focusing on proactive leadership and enhancing an organisation in terms of communication systems and entrenching the process of continuous monitoring. Risks, performance gauging and improvement should be driven by the use of evidence and data in a systematic way (Vuong and Nguyen, 2022). Finally, continuous improvement involves an all-in solution where leadership, governance and system design collaborate to guarantee accountability, learning, and patient safety.</w:t>
      </w:r>
    </w:p>
    <w:p w14:paraId="7FA153A3" w14:textId="77777777" w:rsidR="00822979" w:rsidRPr="00234F15" w:rsidRDefault="00FC6DEF">
      <w:pPr>
        <w:pStyle w:val="Heading2"/>
        <w:rPr>
          <w:lang w:val="en-GB"/>
        </w:rPr>
      </w:pPr>
      <w:bookmarkStart w:id="15" w:name="_uola7tqmx9ud" w:colFirst="0" w:colLast="0"/>
      <w:bookmarkStart w:id="16" w:name="_Toc225457772"/>
      <w:bookmarkEnd w:id="15"/>
      <w:r w:rsidRPr="00234F15">
        <w:rPr>
          <w:lang w:val="en-GB"/>
        </w:rPr>
        <w:t>e. Recommendations</w:t>
      </w:r>
      <w:bookmarkEnd w:id="16"/>
    </w:p>
    <w:p w14:paraId="7FA153A4" w14:textId="77777777" w:rsidR="00822979" w:rsidRPr="00234F15" w:rsidRDefault="00FC6DEF">
      <w:pPr>
        <w:pStyle w:val="Normal1"/>
        <w:rPr>
          <w:b/>
          <w:bCs/>
          <w:lang w:val="en-GB"/>
        </w:rPr>
      </w:pPr>
      <w:r w:rsidRPr="00234F15">
        <w:rPr>
          <w:b/>
          <w:bCs/>
          <w:lang w:val="en-GB"/>
        </w:rPr>
        <w:t>Leadership Strategy</w:t>
      </w:r>
    </w:p>
    <w:p w14:paraId="7FA153A5" w14:textId="77777777" w:rsidR="00822979" w:rsidRPr="00234F15" w:rsidRDefault="00FC6DEF">
      <w:pPr>
        <w:pStyle w:val="Normal1"/>
        <w:rPr>
          <w:lang w:val="en-GB"/>
        </w:rPr>
      </w:pPr>
      <w:r w:rsidRPr="00234F15">
        <w:rPr>
          <w:lang w:val="en-GB"/>
        </w:rPr>
        <w:t>Organisational leaders in the healthcare sector ought to embrace transformational leadership to enhance the experiences of patients and the overall functioning of the system (Tsapnidou et al., 2024). The identified issues with reactive leadership are prevented by this leadership style that encourages proactive communication, collaboration, and a collective sense of dedication to safety.</w:t>
      </w:r>
    </w:p>
    <w:p w14:paraId="7FA153A6" w14:textId="77777777" w:rsidR="00822979" w:rsidRPr="00234F15" w:rsidRDefault="00FC6DEF">
      <w:pPr>
        <w:pStyle w:val="Normal1"/>
        <w:rPr>
          <w:lang w:val="en-GB"/>
        </w:rPr>
      </w:pPr>
      <w:r w:rsidRPr="00234F15">
        <w:rPr>
          <w:lang w:val="en-GB"/>
        </w:rPr>
        <w:t xml:space="preserve">Emotional intelligence is also one of the factors that leaders should develop so that they can establish psychological safety, whereby staff would not fear questioning decisions or reporting any concerns (Filice and Weese, 2024). It has been demonstrated that increased engagement by the staff members is associated with better safety outcomes in the NHS. Thus, the leadership training programmes must be directed to the areas of communication, coordination of teams, and safety culture to make sure that the frontline </w:t>
      </w:r>
      <w:r w:rsidR="00D647CD" w:rsidRPr="00234F15">
        <w:rPr>
          <w:lang w:val="en-GB"/>
        </w:rPr>
        <w:t>staffs are</w:t>
      </w:r>
      <w:r w:rsidRPr="00234F15">
        <w:rPr>
          <w:lang w:val="en-GB"/>
        </w:rPr>
        <w:t xml:space="preserve"> also engaged in avoiding errors and being accountable.</w:t>
      </w:r>
    </w:p>
    <w:p w14:paraId="7FA153A7" w14:textId="77777777" w:rsidR="00822979" w:rsidRPr="00234F15" w:rsidRDefault="00FC6DEF">
      <w:pPr>
        <w:pStyle w:val="Normal1"/>
        <w:rPr>
          <w:b/>
          <w:bCs/>
          <w:lang w:val="en-GB"/>
        </w:rPr>
      </w:pPr>
      <w:r w:rsidRPr="00234F15">
        <w:rPr>
          <w:b/>
          <w:bCs/>
          <w:lang w:val="en-GB"/>
        </w:rPr>
        <w:t>Governance Improvements</w:t>
      </w:r>
    </w:p>
    <w:p w14:paraId="7FA153A8" w14:textId="77777777" w:rsidR="00822979" w:rsidRPr="00234F15" w:rsidRDefault="00FC6DEF">
      <w:pPr>
        <w:pStyle w:val="Normal1"/>
        <w:rPr>
          <w:lang w:val="en-GB"/>
        </w:rPr>
      </w:pPr>
      <w:r w:rsidRPr="00234F15">
        <w:rPr>
          <w:lang w:val="en-GB"/>
        </w:rPr>
        <w:t xml:space="preserve">Governance systems should go beyond the establishment of policies in order to have good implementation and accountability. Despite the presence of RED drug policies, the lack of enforcement increased the incidence. Regular accountability audits, compliance checks and definitive accountability arrangements should be initiated by organisations to improve compliance with safety measures (Mokander </w:t>
      </w:r>
      <w:r w:rsidRPr="00234F15">
        <w:rPr>
          <w:i/>
          <w:iCs/>
          <w:lang w:val="en-GB"/>
        </w:rPr>
        <w:t>et al</w:t>
      </w:r>
      <w:r w:rsidRPr="00234F15">
        <w:rPr>
          <w:lang w:val="en-GB"/>
        </w:rPr>
        <w:t>., 2021b). There is evidence that a large percentage of medication errors occur due to non-adherence to set procedures. Instant monitoring and tracking of performance can make the process of transparency more transparent and make sure safety standards are upheld at all times. Such strengthening of governance will help minimise the policy-practice gap and enhance the reliability of systems in general.</w:t>
      </w:r>
    </w:p>
    <w:p w14:paraId="7FA153A9" w14:textId="77777777" w:rsidR="00822979" w:rsidRPr="00234F15" w:rsidRDefault="00FC6DEF">
      <w:pPr>
        <w:pStyle w:val="Normal1"/>
        <w:rPr>
          <w:b/>
          <w:bCs/>
          <w:lang w:val="en-GB"/>
        </w:rPr>
      </w:pPr>
      <w:r w:rsidRPr="00234F15">
        <w:rPr>
          <w:b/>
          <w:bCs/>
          <w:lang w:val="en-GB"/>
        </w:rPr>
        <w:t>Improv</w:t>
      </w:r>
      <w:r w:rsidR="00D647CD">
        <w:rPr>
          <w:b/>
          <w:bCs/>
          <w:lang w:val="en-GB"/>
        </w:rPr>
        <w:t>ement in Systems and Technology</w:t>
      </w:r>
    </w:p>
    <w:p w14:paraId="7FA153AA" w14:textId="77777777" w:rsidR="00822979" w:rsidRPr="00234F15" w:rsidRDefault="00FC6DEF">
      <w:pPr>
        <w:pStyle w:val="Normal1"/>
        <w:rPr>
          <w:lang w:val="en-GB"/>
        </w:rPr>
      </w:pPr>
      <w:r w:rsidRPr="00234F15">
        <w:rPr>
          <w:lang w:val="en-GB"/>
        </w:rPr>
        <w:lastRenderedPageBreak/>
        <w:t xml:space="preserve">Medication errors need to be decreased by the integration of electronic prescribing or e-prescribing and clinical decision support systems (Osmani </w:t>
      </w:r>
      <w:r w:rsidRPr="00234F15">
        <w:rPr>
          <w:i/>
          <w:iCs/>
          <w:lang w:val="en-GB"/>
        </w:rPr>
        <w:t>et al</w:t>
      </w:r>
      <w:r w:rsidRPr="00234F15">
        <w:rPr>
          <w:lang w:val="en-GB"/>
        </w:rPr>
        <w:t>., 2022). These technologies have the ability to automate dosage calculations, identify risks and enhance communication among healthcare providers. Research indicates that digital prescribing systems minimise medication-related errors by limiting human errors. However, technology should be aided with proper training and integration of the system. This will facilitate the use of data in making decisions and enhance coordination in the system-wide, which will lower the use of manual processes that promoted failure in this situation.</w:t>
      </w:r>
    </w:p>
    <w:p w14:paraId="7FA153AB" w14:textId="77777777" w:rsidR="00822979" w:rsidRPr="00234F15" w:rsidRDefault="00FC6DEF">
      <w:pPr>
        <w:pStyle w:val="Normal1"/>
        <w:rPr>
          <w:b/>
          <w:bCs/>
          <w:lang w:val="en-GB"/>
        </w:rPr>
      </w:pPr>
      <w:r w:rsidRPr="00234F15">
        <w:rPr>
          <w:b/>
          <w:bCs/>
          <w:lang w:val="en-GB"/>
        </w:rPr>
        <w:t>Constant Lear</w:t>
      </w:r>
      <w:r w:rsidR="00D647CD">
        <w:rPr>
          <w:b/>
          <w:bCs/>
          <w:lang w:val="en-GB"/>
        </w:rPr>
        <w:t>ning and Stakeholder Engagement</w:t>
      </w:r>
    </w:p>
    <w:p w14:paraId="7FA153AC" w14:textId="77777777" w:rsidR="00822979" w:rsidRPr="00234F15" w:rsidRDefault="00FC6DEF">
      <w:pPr>
        <w:pStyle w:val="Normal1"/>
        <w:rPr>
          <w:lang w:val="en-GB"/>
        </w:rPr>
      </w:pPr>
      <w:r w:rsidRPr="00234F15">
        <w:rPr>
          <w:lang w:val="en-GB"/>
        </w:rPr>
        <w:t>The enhancement of patient safety presupposes the direct participation of all stakeholders, such as medical workers, patients, and organisational managers. Employee training will be based on medication safety, communication and verification processes (Alghamdi, 2025). There should also be the promotion of a non-disciplinary reporting culture in organisations where mistakes become learning opportunities. Strong reporting cultures have been shown to enhance safety outcomes due to the enhanced transparency. This process is ensured by involving the stakeholders to provide practical and sustainable solutions and ultimately increase the resilience of the system and minimise the chances of such incidents.</w:t>
      </w:r>
    </w:p>
    <w:p w14:paraId="7FA153AD" w14:textId="77777777" w:rsidR="00822979" w:rsidRPr="00234F15" w:rsidRDefault="00FC6DEF">
      <w:pPr>
        <w:pStyle w:val="Heading1"/>
        <w:rPr>
          <w:lang w:val="en-GB"/>
        </w:rPr>
      </w:pPr>
      <w:bookmarkStart w:id="17" w:name="_yrayinzf5x6i" w:colFirst="0" w:colLast="0"/>
      <w:bookmarkStart w:id="18" w:name="_Toc225457773"/>
      <w:bookmarkEnd w:id="17"/>
      <w:r w:rsidRPr="00234F15">
        <w:rPr>
          <w:lang w:val="en-GB"/>
        </w:rPr>
        <w:t>Conclusion</w:t>
      </w:r>
      <w:bookmarkEnd w:id="18"/>
    </w:p>
    <w:p w14:paraId="7FA153AE" w14:textId="77777777" w:rsidR="00822979" w:rsidRPr="00234F15" w:rsidRDefault="00FC6DEF">
      <w:pPr>
        <w:pStyle w:val="Normal1"/>
        <w:rPr>
          <w:lang w:val="en-GB"/>
        </w:rPr>
      </w:pPr>
      <w:r w:rsidRPr="00234F15">
        <w:rPr>
          <w:lang w:val="en-GB"/>
        </w:rPr>
        <w:t>This report has shown that the case of baby morphine overdose was a systemic failure caused by the inefficiencies in the areas of leadership, governance and integration of the system as opposed to individual failure. System thinking showed how interdependencies, communication failures and absence of feedback were contributing factors to the event. The discussion revealed accountability gaps existed due to poor alignment between the centralised policy and decentralised practice by use of poor leaders.</w:t>
      </w:r>
    </w:p>
    <w:p w14:paraId="7FA153AF" w14:textId="77777777" w:rsidR="00822979" w:rsidRPr="00234F15" w:rsidRDefault="00FC6DEF">
      <w:pPr>
        <w:pStyle w:val="Normal1"/>
        <w:rPr>
          <w:lang w:val="en-GB"/>
        </w:rPr>
      </w:pPr>
      <w:r w:rsidRPr="00234F15">
        <w:rPr>
          <w:lang w:val="en-GB"/>
        </w:rPr>
        <w:t xml:space="preserve">These results emphasize the role of active leadership, good governance, and integrated systems in providing patient safety. Healthcare organisations can enhance </w:t>
      </w:r>
      <w:r w:rsidR="00D647CD" w:rsidRPr="00234F15">
        <w:rPr>
          <w:lang w:val="en-GB"/>
        </w:rPr>
        <w:t>accountability;</w:t>
      </w:r>
      <w:r w:rsidRPr="00234F15">
        <w:rPr>
          <w:lang w:val="en-GB"/>
        </w:rPr>
        <w:t xml:space="preserve"> minimize risks, and overall performance with the help of data, evidence, and constant monitoring. Finally, leadership, governance, and system processes should be well coordinated to avoid such incidences.</w:t>
      </w:r>
    </w:p>
    <w:p w14:paraId="7FA153B0" w14:textId="77777777" w:rsidR="00822979" w:rsidRPr="00234F15" w:rsidRDefault="00822979">
      <w:pPr>
        <w:pStyle w:val="Normal1"/>
        <w:rPr>
          <w:lang w:val="en-GB"/>
        </w:rPr>
      </w:pPr>
    </w:p>
    <w:p w14:paraId="7FA153B1" w14:textId="77777777" w:rsidR="00822979" w:rsidRPr="00234F15" w:rsidRDefault="00822979">
      <w:pPr>
        <w:pStyle w:val="Normal1"/>
        <w:rPr>
          <w:lang w:val="en-GB"/>
        </w:rPr>
      </w:pPr>
    </w:p>
    <w:p w14:paraId="7FA153B2" w14:textId="77777777" w:rsidR="00822979" w:rsidRPr="00234F15" w:rsidRDefault="00822979">
      <w:pPr>
        <w:pStyle w:val="Heading2"/>
        <w:rPr>
          <w:lang w:val="en-GB"/>
        </w:rPr>
      </w:pPr>
      <w:bookmarkStart w:id="19" w:name="_shvtop7wpikf" w:colFirst="0" w:colLast="0"/>
      <w:bookmarkEnd w:id="19"/>
    </w:p>
    <w:p w14:paraId="7FA153B3" w14:textId="77777777" w:rsidR="00822979" w:rsidRPr="00234F15" w:rsidRDefault="00822979">
      <w:pPr>
        <w:pStyle w:val="Normal1"/>
        <w:rPr>
          <w:lang w:val="en-GB"/>
        </w:rPr>
      </w:pPr>
    </w:p>
    <w:p w14:paraId="7FA153B4" w14:textId="77777777" w:rsidR="00822979" w:rsidRPr="00234F15" w:rsidRDefault="00822979">
      <w:pPr>
        <w:pStyle w:val="Normal1"/>
        <w:rPr>
          <w:lang w:val="en-GB"/>
        </w:rPr>
      </w:pPr>
    </w:p>
    <w:p w14:paraId="7FA153B5" w14:textId="77777777" w:rsidR="00822979" w:rsidRPr="00234F15" w:rsidRDefault="00822979">
      <w:pPr>
        <w:pStyle w:val="Heading1"/>
        <w:rPr>
          <w:lang w:val="en-GB"/>
        </w:rPr>
      </w:pPr>
      <w:bookmarkStart w:id="20" w:name="_jke7713o06z7" w:colFirst="0" w:colLast="0"/>
      <w:bookmarkEnd w:id="20"/>
    </w:p>
    <w:p w14:paraId="7FA153B6" w14:textId="77777777" w:rsidR="00822979" w:rsidRPr="00234F15" w:rsidRDefault="00822979">
      <w:pPr>
        <w:pStyle w:val="Normal1"/>
        <w:rPr>
          <w:lang w:val="en-GB"/>
        </w:rPr>
      </w:pPr>
    </w:p>
    <w:p w14:paraId="7FA153B7" w14:textId="77777777" w:rsidR="00822979" w:rsidRPr="00234F15" w:rsidRDefault="00FC6DEF">
      <w:pPr>
        <w:pStyle w:val="Heading1"/>
        <w:rPr>
          <w:lang w:val="en-GB"/>
        </w:rPr>
      </w:pPr>
      <w:bookmarkStart w:id="21" w:name="_7evbmbrmtr83" w:colFirst="0" w:colLast="0"/>
      <w:bookmarkStart w:id="22" w:name="_Toc225457774"/>
      <w:bookmarkEnd w:id="21"/>
      <w:r w:rsidRPr="00234F15">
        <w:rPr>
          <w:lang w:val="en-GB"/>
        </w:rPr>
        <w:lastRenderedPageBreak/>
        <w:t>References</w:t>
      </w:r>
      <w:bookmarkEnd w:id="22"/>
    </w:p>
    <w:p w14:paraId="03652BF5" w14:textId="77777777" w:rsidR="005E21CA" w:rsidRPr="005E21CA" w:rsidRDefault="005E21CA" w:rsidP="005E21CA">
      <w:pPr>
        <w:pStyle w:val="Normal1"/>
        <w:numPr>
          <w:ilvl w:val="0"/>
          <w:numId w:val="1"/>
        </w:numPr>
        <w:spacing w:after="240"/>
        <w:rPr>
          <w:sz w:val="24"/>
          <w:szCs w:val="24"/>
          <w:lang w:val="en-GB"/>
        </w:rPr>
      </w:pPr>
      <w:r w:rsidRPr="005E21CA">
        <w:rPr>
          <w:sz w:val="24"/>
          <w:szCs w:val="24"/>
          <w:lang w:val="en-GB"/>
        </w:rPr>
        <w:t xml:space="preserve">Aguilar-Fernández, M., Salgado-Escobar, G. and Barragán-Hernández, A.D. (2024). Human Resource Management in Complex Environments: A Viable Model Based on Systems Thinking. </w:t>
      </w:r>
      <w:r w:rsidRPr="005E21CA">
        <w:rPr>
          <w:i/>
          <w:iCs/>
          <w:sz w:val="24"/>
          <w:szCs w:val="24"/>
          <w:lang w:val="en-GB"/>
        </w:rPr>
        <w:t>Systems</w:t>
      </w:r>
      <w:r w:rsidRPr="005E21CA">
        <w:rPr>
          <w:sz w:val="24"/>
          <w:szCs w:val="24"/>
          <w:lang w:val="en-GB"/>
        </w:rPr>
        <w:t>, [online] 12(11), pp.489–489. doi:</w:t>
      </w:r>
      <w:hyperlink r:id="rId19">
        <w:r w:rsidRPr="005E21CA">
          <w:rPr>
            <w:color w:val="1155CC"/>
            <w:sz w:val="24"/>
            <w:szCs w:val="24"/>
            <w:u w:val="single"/>
            <w:lang w:val="en-GB"/>
          </w:rPr>
          <w:t>https://doi.org/10.3390/systems12110489</w:t>
        </w:r>
      </w:hyperlink>
      <w:r w:rsidRPr="005E21CA">
        <w:rPr>
          <w:sz w:val="24"/>
          <w:szCs w:val="24"/>
          <w:lang w:val="en-GB"/>
        </w:rPr>
        <w:t xml:space="preserve">. </w:t>
      </w:r>
    </w:p>
    <w:p w14:paraId="5B53F519" w14:textId="77777777" w:rsidR="005E21CA" w:rsidRPr="00234F15" w:rsidRDefault="005E21CA">
      <w:pPr>
        <w:pStyle w:val="Normal1"/>
        <w:numPr>
          <w:ilvl w:val="0"/>
          <w:numId w:val="1"/>
        </w:numPr>
        <w:rPr>
          <w:sz w:val="24"/>
          <w:szCs w:val="24"/>
          <w:lang w:val="en-GB"/>
        </w:rPr>
      </w:pPr>
      <w:r w:rsidRPr="00234F15">
        <w:rPr>
          <w:sz w:val="24"/>
          <w:szCs w:val="24"/>
          <w:lang w:val="en-GB"/>
        </w:rPr>
        <w:t xml:space="preserve">Alansari, A.N., Omri, A.E. and Singh, K. (2025). Staff shortages linked to burnout, depression, and anxiety among outpatient nurses: a cross-sectional analysis at Hamad General Hospital, Qatar. </w:t>
      </w:r>
      <w:r w:rsidRPr="00234F15">
        <w:rPr>
          <w:i/>
          <w:iCs/>
          <w:sz w:val="24"/>
          <w:szCs w:val="24"/>
          <w:lang w:val="en-GB"/>
        </w:rPr>
        <w:t>BMC Nursing</w:t>
      </w:r>
      <w:r w:rsidRPr="00234F15">
        <w:rPr>
          <w:sz w:val="24"/>
          <w:szCs w:val="24"/>
          <w:lang w:val="en-GB"/>
        </w:rPr>
        <w:t>, 24(1). doi:</w:t>
      </w:r>
      <w:hyperlink r:id="rId20">
        <w:r w:rsidRPr="00234F15">
          <w:rPr>
            <w:color w:val="1155CC"/>
            <w:sz w:val="24"/>
            <w:szCs w:val="24"/>
            <w:u w:val="single"/>
            <w:lang w:val="en-GB"/>
          </w:rPr>
          <w:t>https://doi.org/10.1186/s12912-025-03758-7</w:t>
        </w:r>
      </w:hyperlink>
      <w:r w:rsidRPr="00234F15">
        <w:rPr>
          <w:sz w:val="24"/>
          <w:szCs w:val="24"/>
          <w:lang w:val="en-GB"/>
        </w:rPr>
        <w:t xml:space="preserve">. </w:t>
      </w:r>
    </w:p>
    <w:p w14:paraId="3EEEA888" w14:textId="77777777" w:rsidR="005E21CA" w:rsidRPr="00234F15" w:rsidRDefault="005E21CA">
      <w:pPr>
        <w:pStyle w:val="Normal1"/>
        <w:numPr>
          <w:ilvl w:val="0"/>
          <w:numId w:val="1"/>
        </w:numPr>
        <w:rPr>
          <w:sz w:val="24"/>
          <w:szCs w:val="24"/>
          <w:lang w:val="en-GB"/>
        </w:rPr>
      </w:pPr>
      <w:r w:rsidRPr="00234F15">
        <w:rPr>
          <w:sz w:val="24"/>
          <w:szCs w:val="24"/>
          <w:lang w:val="en-GB"/>
        </w:rPr>
        <w:t xml:space="preserve">Alghamdi, A.A. (2025). Medication Safety in Saudi Arabia: Evaluating the Current Situation and Identifying the Areas for Improvement. </w:t>
      </w:r>
      <w:r w:rsidRPr="00234F15">
        <w:rPr>
          <w:i/>
          <w:iCs/>
          <w:sz w:val="24"/>
          <w:szCs w:val="24"/>
          <w:lang w:val="en-GB"/>
        </w:rPr>
        <w:t>Pharmacy</w:t>
      </w:r>
      <w:r w:rsidRPr="00234F15">
        <w:rPr>
          <w:sz w:val="24"/>
          <w:szCs w:val="24"/>
          <w:lang w:val="en-GB"/>
        </w:rPr>
        <w:t>, 13(2), pp.50–50. doi:</w:t>
      </w:r>
      <w:hyperlink r:id="rId21">
        <w:r w:rsidRPr="00234F15">
          <w:rPr>
            <w:color w:val="1155CC"/>
            <w:sz w:val="24"/>
            <w:szCs w:val="24"/>
            <w:u w:val="single"/>
            <w:lang w:val="en-GB"/>
          </w:rPr>
          <w:t>https://doi.org/10.3390/pharmacy13020050</w:t>
        </w:r>
      </w:hyperlink>
      <w:r w:rsidRPr="00234F15">
        <w:rPr>
          <w:sz w:val="24"/>
          <w:szCs w:val="24"/>
          <w:lang w:val="en-GB"/>
        </w:rPr>
        <w:t xml:space="preserve">. </w:t>
      </w:r>
    </w:p>
    <w:p w14:paraId="64C44B30" w14:textId="77777777" w:rsidR="005E21CA" w:rsidRPr="00234F15" w:rsidRDefault="005E21CA">
      <w:pPr>
        <w:pStyle w:val="Normal1"/>
        <w:numPr>
          <w:ilvl w:val="0"/>
          <w:numId w:val="1"/>
        </w:numPr>
        <w:rPr>
          <w:sz w:val="24"/>
          <w:szCs w:val="24"/>
          <w:lang w:val="en-GB"/>
        </w:rPr>
      </w:pPr>
      <w:r w:rsidRPr="00234F15">
        <w:rPr>
          <w:sz w:val="24"/>
          <w:szCs w:val="24"/>
          <w:lang w:val="en-GB"/>
        </w:rPr>
        <w:t xml:space="preserve">Alotiabi, J.S. (2024). Causes of medication administration errors and barriers to reporting as perceived by nurses in Saudi Arabia: A qualitative study. </w:t>
      </w:r>
      <w:r w:rsidRPr="00234F15">
        <w:rPr>
          <w:i/>
          <w:iCs/>
          <w:sz w:val="24"/>
          <w:szCs w:val="24"/>
          <w:lang w:val="en-GB"/>
        </w:rPr>
        <w:t>Belitung Nursing Journal</w:t>
      </w:r>
      <w:r w:rsidRPr="00234F15">
        <w:rPr>
          <w:sz w:val="24"/>
          <w:szCs w:val="24"/>
          <w:lang w:val="en-GB"/>
        </w:rPr>
        <w:t>, 10(2), pp.215–221. doi:</w:t>
      </w:r>
      <w:hyperlink r:id="rId22">
        <w:r w:rsidRPr="00234F15">
          <w:rPr>
            <w:color w:val="1155CC"/>
            <w:sz w:val="24"/>
            <w:szCs w:val="24"/>
            <w:u w:val="single"/>
            <w:lang w:val="en-GB"/>
          </w:rPr>
          <w:t>https://doi.org/10.33546/bnj.3249</w:t>
        </w:r>
      </w:hyperlink>
      <w:r w:rsidRPr="00234F15">
        <w:rPr>
          <w:sz w:val="24"/>
          <w:szCs w:val="24"/>
          <w:lang w:val="en-GB"/>
        </w:rPr>
        <w:t xml:space="preserve">. </w:t>
      </w:r>
    </w:p>
    <w:p w14:paraId="59854BD9" w14:textId="77777777" w:rsidR="005E21CA" w:rsidRPr="00234F15" w:rsidRDefault="005E21CA">
      <w:pPr>
        <w:pStyle w:val="Normal1"/>
        <w:numPr>
          <w:ilvl w:val="0"/>
          <w:numId w:val="1"/>
        </w:numPr>
        <w:rPr>
          <w:sz w:val="24"/>
          <w:szCs w:val="24"/>
          <w:lang w:val="en-GB"/>
        </w:rPr>
      </w:pPr>
      <w:r w:rsidRPr="00234F15">
        <w:rPr>
          <w:sz w:val="24"/>
          <w:szCs w:val="24"/>
          <w:lang w:val="en-GB"/>
        </w:rPr>
        <w:t xml:space="preserve">Alrowily, A., Alfaraidy, K., Almutairi, S., Alamri, A., Alrowily, W., Abutaleb, M., Zaitoun, M., Sarawi, W. and Aljead, M. (2024). High-risk Medication errors: Insight from the UK National Reporting and Learning System. </w:t>
      </w:r>
      <w:r w:rsidRPr="00234F15">
        <w:rPr>
          <w:i/>
          <w:iCs/>
          <w:sz w:val="24"/>
          <w:szCs w:val="24"/>
          <w:lang w:val="en-GB"/>
        </w:rPr>
        <w:t>Exploratory Research in Clinical and Social Pharmacy</w:t>
      </w:r>
      <w:r w:rsidRPr="00234F15">
        <w:rPr>
          <w:sz w:val="24"/>
          <w:szCs w:val="24"/>
          <w:lang w:val="en-GB"/>
        </w:rPr>
        <w:t>, 17(100531), p.100531. doi:</w:t>
      </w:r>
      <w:hyperlink r:id="rId23">
        <w:r w:rsidRPr="00234F15">
          <w:rPr>
            <w:color w:val="1155CC"/>
            <w:sz w:val="24"/>
            <w:szCs w:val="24"/>
            <w:u w:val="single"/>
            <w:lang w:val="en-GB"/>
          </w:rPr>
          <w:t>https://doi.org/10.1016/j.rcsop.2024.100531</w:t>
        </w:r>
      </w:hyperlink>
      <w:r w:rsidRPr="00234F15">
        <w:rPr>
          <w:sz w:val="24"/>
          <w:szCs w:val="24"/>
          <w:lang w:val="en-GB"/>
        </w:rPr>
        <w:t xml:space="preserve">. </w:t>
      </w:r>
    </w:p>
    <w:p w14:paraId="69BBB4BF" w14:textId="77777777" w:rsidR="005E21CA" w:rsidRPr="00234F15" w:rsidRDefault="005E21CA">
      <w:pPr>
        <w:pStyle w:val="Normal1"/>
        <w:numPr>
          <w:ilvl w:val="0"/>
          <w:numId w:val="1"/>
        </w:numPr>
        <w:rPr>
          <w:sz w:val="24"/>
          <w:szCs w:val="24"/>
          <w:lang w:val="en-GB"/>
        </w:rPr>
      </w:pPr>
      <w:r w:rsidRPr="00234F15">
        <w:rPr>
          <w:sz w:val="24"/>
          <w:szCs w:val="24"/>
          <w:lang w:val="en-GB"/>
        </w:rPr>
        <w:t xml:space="preserve">BMJ (2020). </w:t>
      </w:r>
      <w:r w:rsidRPr="00234F15">
        <w:rPr>
          <w:i/>
          <w:iCs/>
          <w:sz w:val="24"/>
          <w:szCs w:val="24"/>
          <w:lang w:val="en-GB"/>
        </w:rPr>
        <w:t>237+ million medication errors made every year in England - BMJ Group</w:t>
      </w:r>
      <w:r w:rsidRPr="00234F15">
        <w:rPr>
          <w:sz w:val="24"/>
          <w:szCs w:val="24"/>
          <w:lang w:val="en-GB"/>
        </w:rPr>
        <w:t xml:space="preserve">. [online] BMJ. Available at: </w:t>
      </w:r>
      <w:hyperlink r:id="rId24">
        <w:r w:rsidRPr="00234F15">
          <w:rPr>
            <w:color w:val="1155CC"/>
            <w:sz w:val="24"/>
            <w:szCs w:val="24"/>
            <w:u w:val="single"/>
            <w:lang w:val="en-GB"/>
          </w:rPr>
          <w:t>https://www.bmj.com/company/%20newsroom/237-million-medication-errors-made-every-year-in-england/</w:t>
        </w:r>
      </w:hyperlink>
      <w:r w:rsidRPr="00234F15">
        <w:rPr>
          <w:sz w:val="24"/>
          <w:szCs w:val="24"/>
          <w:lang w:val="en-GB"/>
        </w:rPr>
        <w:t xml:space="preserve"> [Accessed 26 Mar. 2026].</w:t>
      </w:r>
    </w:p>
    <w:p w14:paraId="6111F952" w14:textId="77777777" w:rsidR="005E21CA" w:rsidRPr="00234F15" w:rsidRDefault="005E21CA">
      <w:pPr>
        <w:pStyle w:val="Normal1"/>
        <w:numPr>
          <w:ilvl w:val="0"/>
          <w:numId w:val="1"/>
        </w:numPr>
        <w:rPr>
          <w:sz w:val="24"/>
          <w:szCs w:val="24"/>
          <w:lang w:val="en-GB"/>
        </w:rPr>
      </w:pPr>
      <w:r w:rsidRPr="00234F15">
        <w:rPr>
          <w:sz w:val="24"/>
          <w:szCs w:val="24"/>
          <w:lang w:val="en-GB"/>
        </w:rPr>
        <w:t xml:space="preserve">Clydebankbarclay (2025). </w:t>
      </w:r>
      <w:r w:rsidRPr="00234F15">
        <w:rPr>
          <w:i/>
          <w:iCs/>
          <w:sz w:val="24"/>
          <w:szCs w:val="24"/>
          <w:lang w:val="en-GB"/>
        </w:rPr>
        <w:t>Red Drugs Policy</w:t>
      </w:r>
      <w:r w:rsidRPr="00234F15">
        <w:rPr>
          <w:sz w:val="24"/>
          <w:szCs w:val="24"/>
          <w:lang w:val="en-GB"/>
        </w:rPr>
        <w:t xml:space="preserve">. [online] Barclay Medical Practice Clydebank. Available at: </w:t>
      </w:r>
      <w:hyperlink r:id="rId25">
        <w:r w:rsidRPr="00234F15">
          <w:rPr>
            <w:color w:val="1155CC"/>
            <w:sz w:val="24"/>
            <w:szCs w:val="24"/>
            <w:u w:val="single"/>
            <w:lang w:val="en-GB"/>
          </w:rPr>
          <w:t>https://www.clydebankbarclay.com/red-drugs-policy/</w:t>
        </w:r>
      </w:hyperlink>
      <w:r w:rsidRPr="00234F15">
        <w:rPr>
          <w:sz w:val="24"/>
          <w:szCs w:val="24"/>
          <w:lang w:val="en-GB"/>
        </w:rPr>
        <w:t xml:space="preserve"> [Accessed 26 Mar. 2026].</w:t>
      </w:r>
    </w:p>
    <w:p w14:paraId="0996BB40" w14:textId="77777777" w:rsidR="005E21CA" w:rsidRPr="00234F15" w:rsidRDefault="005E21CA">
      <w:pPr>
        <w:pStyle w:val="Normal1"/>
        <w:numPr>
          <w:ilvl w:val="0"/>
          <w:numId w:val="1"/>
        </w:numPr>
        <w:rPr>
          <w:sz w:val="24"/>
          <w:szCs w:val="24"/>
          <w:lang w:val="en-GB"/>
        </w:rPr>
      </w:pPr>
      <w:r w:rsidRPr="00234F15">
        <w:rPr>
          <w:sz w:val="24"/>
          <w:szCs w:val="24"/>
          <w:lang w:val="en-GB"/>
        </w:rPr>
        <w:t xml:space="preserve">Dahleez, K.A., Aboramadan, M. and Abu sharikh, N. (2022). Empowering leadership and healthcare workers performance outcomes in times of crisis: the mediating role of safety climate. </w:t>
      </w:r>
      <w:r w:rsidRPr="00234F15">
        <w:rPr>
          <w:i/>
          <w:iCs/>
          <w:sz w:val="24"/>
          <w:szCs w:val="24"/>
          <w:lang w:val="en-GB"/>
        </w:rPr>
        <w:t>Journal of Organizational Effectiveness: People and Performance</w:t>
      </w:r>
      <w:r w:rsidRPr="00234F15">
        <w:rPr>
          <w:sz w:val="24"/>
          <w:szCs w:val="24"/>
          <w:lang w:val="en-GB"/>
        </w:rPr>
        <w:t>, 9(3). doi:</w:t>
      </w:r>
      <w:hyperlink r:id="rId26">
        <w:r w:rsidRPr="00234F15">
          <w:rPr>
            <w:color w:val="1155CC"/>
            <w:sz w:val="24"/>
            <w:szCs w:val="24"/>
            <w:u w:val="single"/>
            <w:lang w:val="en-GB"/>
          </w:rPr>
          <w:t>https://doi.org/10.1108/joepp-03-2021-0080</w:t>
        </w:r>
      </w:hyperlink>
      <w:r w:rsidRPr="00234F15">
        <w:rPr>
          <w:sz w:val="24"/>
          <w:szCs w:val="24"/>
          <w:lang w:val="en-GB"/>
        </w:rPr>
        <w:t xml:space="preserve">. </w:t>
      </w:r>
    </w:p>
    <w:p w14:paraId="769A2E69" w14:textId="77777777" w:rsidR="005E21CA" w:rsidRPr="00234F15" w:rsidRDefault="005E21CA">
      <w:pPr>
        <w:pStyle w:val="Normal1"/>
        <w:numPr>
          <w:ilvl w:val="0"/>
          <w:numId w:val="1"/>
        </w:numPr>
        <w:rPr>
          <w:sz w:val="24"/>
          <w:szCs w:val="24"/>
          <w:lang w:val="en-GB"/>
        </w:rPr>
      </w:pPr>
      <w:r w:rsidRPr="00234F15">
        <w:rPr>
          <w:sz w:val="24"/>
          <w:szCs w:val="24"/>
          <w:lang w:val="en-GB"/>
        </w:rPr>
        <w:lastRenderedPageBreak/>
        <w:t xml:space="preserve">Damaševičius, R., Bacanin, N. and Misra, S. (2023). From Sensors to Safety: Internet of Emergency Services (IoES) for Emergency Response and Disaster Management. </w:t>
      </w:r>
      <w:r w:rsidRPr="00234F15">
        <w:rPr>
          <w:i/>
          <w:iCs/>
          <w:sz w:val="24"/>
          <w:szCs w:val="24"/>
          <w:lang w:val="en-GB"/>
        </w:rPr>
        <w:t>Journal of Sensor and Actuator Networks</w:t>
      </w:r>
      <w:r w:rsidRPr="00234F15">
        <w:rPr>
          <w:sz w:val="24"/>
          <w:szCs w:val="24"/>
          <w:lang w:val="en-GB"/>
        </w:rPr>
        <w:t>, 12(3), p.41. doi:</w:t>
      </w:r>
      <w:hyperlink r:id="rId27">
        <w:r w:rsidRPr="00234F15">
          <w:rPr>
            <w:color w:val="1155CC"/>
            <w:sz w:val="24"/>
            <w:szCs w:val="24"/>
            <w:u w:val="single"/>
            <w:lang w:val="en-GB"/>
          </w:rPr>
          <w:t>https://doi.org/10.3390/jsan12030041</w:t>
        </w:r>
      </w:hyperlink>
      <w:r w:rsidRPr="00234F15">
        <w:rPr>
          <w:sz w:val="24"/>
          <w:szCs w:val="24"/>
          <w:lang w:val="en-GB"/>
        </w:rPr>
        <w:t xml:space="preserve">. </w:t>
      </w:r>
    </w:p>
    <w:p w14:paraId="13F359C6" w14:textId="77777777" w:rsidR="005E21CA" w:rsidRPr="00234F15" w:rsidRDefault="005E21CA">
      <w:pPr>
        <w:pStyle w:val="Normal1"/>
        <w:numPr>
          <w:ilvl w:val="0"/>
          <w:numId w:val="1"/>
        </w:numPr>
        <w:rPr>
          <w:sz w:val="24"/>
          <w:szCs w:val="24"/>
          <w:lang w:val="en-GB"/>
        </w:rPr>
      </w:pPr>
      <w:r w:rsidRPr="00234F15">
        <w:rPr>
          <w:sz w:val="24"/>
          <w:szCs w:val="24"/>
          <w:lang w:val="en-GB"/>
        </w:rPr>
        <w:t xml:space="preserve">Filice, L. and Weese, W.J. (2024). Developing emotional intelligence. </w:t>
      </w:r>
      <w:r w:rsidRPr="00234F15">
        <w:rPr>
          <w:i/>
          <w:iCs/>
          <w:sz w:val="24"/>
          <w:szCs w:val="24"/>
          <w:lang w:val="en-GB"/>
        </w:rPr>
        <w:t>Encyclopedia</w:t>
      </w:r>
      <w:r w:rsidRPr="00234F15">
        <w:rPr>
          <w:sz w:val="24"/>
          <w:szCs w:val="24"/>
          <w:lang w:val="en-GB"/>
        </w:rPr>
        <w:t>, 4(1), pp.583–599. doi:</w:t>
      </w:r>
      <w:hyperlink r:id="rId28">
        <w:r w:rsidRPr="00234F15">
          <w:rPr>
            <w:color w:val="1155CC"/>
            <w:sz w:val="24"/>
            <w:szCs w:val="24"/>
            <w:u w:val="single"/>
            <w:lang w:val="en-GB"/>
          </w:rPr>
          <w:t>https://doi.org/10.3390/encyclopedia4010037</w:t>
        </w:r>
      </w:hyperlink>
      <w:r w:rsidRPr="00234F15">
        <w:rPr>
          <w:sz w:val="24"/>
          <w:szCs w:val="24"/>
          <w:lang w:val="en-GB"/>
        </w:rPr>
        <w:t xml:space="preserve">. </w:t>
      </w:r>
    </w:p>
    <w:p w14:paraId="79C7BC7F" w14:textId="77777777" w:rsidR="005E21CA" w:rsidRPr="00234F15" w:rsidRDefault="005E21CA">
      <w:pPr>
        <w:pStyle w:val="Normal1"/>
        <w:numPr>
          <w:ilvl w:val="0"/>
          <w:numId w:val="1"/>
        </w:numPr>
        <w:rPr>
          <w:sz w:val="24"/>
          <w:szCs w:val="24"/>
          <w:lang w:val="en-GB"/>
        </w:rPr>
      </w:pPr>
      <w:r w:rsidRPr="00234F15">
        <w:rPr>
          <w:sz w:val="24"/>
          <w:szCs w:val="24"/>
          <w:lang w:val="en-GB"/>
        </w:rPr>
        <w:t xml:space="preserve">Goel, A. and Rahulamathavan, Y. (2024). A Comparative Survey of Centralised and Decentralised Identity Management Systems: Analysing Scalability, Security, and Feasibility. </w:t>
      </w:r>
      <w:r w:rsidRPr="00234F15">
        <w:rPr>
          <w:i/>
          <w:iCs/>
          <w:sz w:val="24"/>
          <w:szCs w:val="24"/>
          <w:lang w:val="en-GB"/>
        </w:rPr>
        <w:t>Future Internet</w:t>
      </w:r>
      <w:r w:rsidRPr="00234F15">
        <w:rPr>
          <w:sz w:val="24"/>
          <w:szCs w:val="24"/>
          <w:lang w:val="en-GB"/>
        </w:rPr>
        <w:t>, 17(1), pp.1–1. doi:</w:t>
      </w:r>
      <w:hyperlink r:id="rId29">
        <w:r w:rsidRPr="00234F15">
          <w:rPr>
            <w:color w:val="1155CC"/>
            <w:sz w:val="24"/>
            <w:szCs w:val="24"/>
            <w:u w:val="single"/>
            <w:lang w:val="en-GB"/>
          </w:rPr>
          <w:t>https://doi.org/10.3390/fi17010001</w:t>
        </w:r>
      </w:hyperlink>
      <w:r w:rsidRPr="00234F15">
        <w:rPr>
          <w:sz w:val="24"/>
          <w:szCs w:val="24"/>
          <w:lang w:val="en-GB"/>
        </w:rPr>
        <w:t xml:space="preserve">. </w:t>
      </w:r>
    </w:p>
    <w:p w14:paraId="7E973D7B" w14:textId="77777777" w:rsidR="005E21CA" w:rsidRPr="00234F15" w:rsidRDefault="005E21CA">
      <w:pPr>
        <w:pStyle w:val="Normal1"/>
        <w:numPr>
          <w:ilvl w:val="0"/>
          <w:numId w:val="1"/>
        </w:numPr>
        <w:rPr>
          <w:sz w:val="24"/>
          <w:szCs w:val="24"/>
          <w:lang w:val="en-GB"/>
        </w:rPr>
      </w:pPr>
      <w:r w:rsidRPr="00234F15">
        <w:rPr>
          <w:sz w:val="24"/>
          <w:szCs w:val="24"/>
          <w:lang w:val="en-GB"/>
        </w:rPr>
        <w:t xml:space="preserve">GOV (2021). </w:t>
      </w:r>
      <w:r w:rsidRPr="00234F15">
        <w:rPr>
          <w:i/>
          <w:iCs/>
          <w:sz w:val="24"/>
          <w:szCs w:val="24"/>
          <w:lang w:val="en-GB"/>
        </w:rPr>
        <w:t>Figure - PMC</w:t>
      </w:r>
      <w:r w:rsidRPr="00234F15">
        <w:rPr>
          <w:sz w:val="24"/>
          <w:szCs w:val="24"/>
          <w:lang w:val="en-GB"/>
        </w:rPr>
        <w:t xml:space="preserve">. [online] Nih.gov. Available at: </w:t>
      </w:r>
      <w:hyperlink r:id="rId30">
        <w:r w:rsidRPr="00234F15">
          <w:rPr>
            <w:color w:val="1155CC"/>
            <w:sz w:val="24"/>
            <w:szCs w:val="24"/>
            <w:u w:val="single"/>
            <w:lang w:val="en-GB"/>
          </w:rPr>
          <w:t>https://pmc.ncbi.nlm.nih.gov/articles/PMC5651704/figure/Fig1/</w:t>
        </w:r>
      </w:hyperlink>
      <w:r w:rsidRPr="00234F15">
        <w:rPr>
          <w:sz w:val="24"/>
          <w:szCs w:val="24"/>
          <w:lang w:val="en-GB"/>
        </w:rPr>
        <w:t xml:space="preserve"> [Accessed 26 Mar. 2026].</w:t>
      </w:r>
    </w:p>
    <w:p w14:paraId="0B1EA6E0" w14:textId="77777777" w:rsidR="005E21CA" w:rsidRPr="00234F15" w:rsidRDefault="005E21CA">
      <w:pPr>
        <w:pStyle w:val="Normal1"/>
        <w:numPr>
          <w:ilvl w:val="0"/>
          <w:numId w:val="1"/>
        </w:numPr>
        <w:rPr>
          <w:sz w:val="24"/>
          <w:szCs w:val="24"/>
          <w:lang w:val="en-GB"/>
        </w:rPr>
      </w:pPr>
      <w:r w:rsidRPr="00234F15">
        <w:rPr>
          <w:sz w:val="24"/>
          <w:szCs w:val="24"/>
          <w:lang w:val="en-GB"/>
        </w:rPr>
        <w:t xml:space="preserve">GOV (2025). </w:t>
      </w:r>
      <w:r w:rsidRPr="00234F15">
        <w:rPr>
          <w:i/>
          <w:iCs/>
          <w:sz w:val="24"/>
          <w:szCs w:val="24"/>
          <w:lang w:val="en-GB"/>
        </w:rPr>
        <w:t>Factors affecting the recurrence of medical errors in hospitals and the preventive strategies: a scoping review</w:t>
      </w:r>
      <w:r w:rsidRPr="00234F15">
        <w:rPr>
          <w:sz w:val="24"/>
          <w:szCs w:val="24"/>
          <w:lang w:val="en-GB"/>
        </w:rPr>
        <w:t xml:space="preserve">. [online] Nih.gov. Available at: </w:t>
      </w:r>
      <w:hyperlink r:id="rId31">
        <w:r w:rsidRPr="00234F15">
          <w:rPr>
            <w:color w:val="1155CC"/>
            <w:sz w:val="24"/>
            <w:szCs w:val="24"/>
            <w:u w:val="single"/>
            <w:lang w:val="en-GB"/>
          </w:rPr>
          <w:t>https://pmc.ncbi.nlm.nih.gov/articles/PMC10151730/pdf/JMEHM-15-7.pdf</w:t>
        </w:r>
      </w:hyperlink>
      <w:r w:rsidRPr="00234F15">
        <w:rPr>
          <w:sz w:val="24"/>
          <w:szCs w:val="24"/>
          <w:lang w:val="en-GB"/>
        </w:rPr>
        <w:t xml:space="preserve"> [Accessed 26 Mar. 2026].</w:t>
      </w:r>
    </w:p>
    <w:p w14:paraId="31F49759" w14:textId="77777777" w:rsidR="005E21CA" w:rsidRPr="00234F15" w:rsidRDefault="005E21CA">
      <w:pPr>
        <w:pStyle w:val="Normal1"/>
        <w:numPr>
          <w:ilvl w:val="0"/>
          <w:numId w:val="1"/>
        </w:numPr>
        <w:rPr>
          <w:sz w:val="24"/>
          <w:szCs w:val="24"/>
          <w:lang w:val="en-GB"/>
        </w:rPr>
      </w:pPr>
      <w:r w:rsidRPr="00234F15">
        <w:rPr>
          <w:sz w:val="24"/>
          <w:szCs w:val="24"/>
          <w:lang w:val="en-GB"/>
        </w:rPr>
        <w:t xml:space="preserve">GOV (2026). </w:t>
      </w:r>
      <w:r w:rsidRPr="00234F15">
        <w:rPr>
          <w:i/>
          <w:iCs/>
          <w:sz w:val="24"/>
          <w:szCs w:val="24"/>
          <w:lang w:val="en-GB"/>
        </w:rPr>
        <w:t>Identification of key components in health system using system thinking approach: a scoping review</w:t>
      </w:r>
      <w:r w:rsidRPr="00234F15">
        <w:rPr>
          <w:sz w:val="24"/>
          <w:szCs w:val="24"/>
          <w:lang w:val="en-GB"/>
        </w:rPr>
        <w:t xml:space="preserve">. [online] Nih.gov. Available at: </w:t>
      </w:r>
      <w:hyperlink r:id="rId32">
        <w:r w:rsidRPr="00234F15">
          <w:rPr>
            <w:color w:val="1155CC"/>
            <w:sz w:val="24"/>
            <w:szCs w:val="24"/>
            <w:u w:val="single"/>
            <w:lang w:val="en-GB"/>
          </w:rPr>
          <w:t>https://pmc.ncbi.nlm.nih.gov/articles/PMC10329510/pdf/mjiri-37-47.pdf</w:t>
        </w:r>
      </w:hyperlink>
      <w:r w:rsidRPr="00234F15">
        <w:rPr>
          <w:sz w:val="24"/>
          <w:szCs w:val="24"/>
          <w:lang w:val="en-GB"/>
        </w:rPr>
        <w:t xml:space="preserve"> [Accessed 26 Mar. 2026].</w:t>
      </w:r>
    </w:p>
    <w:p w14:paraId="0F5EFF1C" w14:textId="77777777" w:rsidR="005E21CA" w:rsidRPr="00234F15" w:rsidRDefault="005E21CA">
      <w:pPr>
        <w:pStyle w:val="Normal1"/>
        <w:numPr>
          <w:ilvl w:val="0"/>
          <w:numId w:val="1"/>
        </w:numPr>
        <w:rPr>
          <w:sz w:val="24"/>
          <w:szCs w:val="24"/>
          <w:lang w:val="en-GB"/>
        </w:rPr>
      </w:pPr>
      <w:r w:rsidRPr="00234F15">
        <w:rPr>
          <w:sz w:val="24"/>
          <w:szCs w:val="24"/>
          <w:lang w:val="en-GB"/>
        </w:rPr>
        <w:t xml:space="preserve">Grandviewresearch (2026). </w:t>
      </w:r>
      <w:r w:rsidRPr="00234F15">
        <w:rPr>
          <w:i/>
          <w:iCs/>
          <w:sz w:val="24"/>
          <w:szCs w:val="24"/>
          <w:lang w:val="en-GB"/>
        </w:rPr>
        <w:t>UK Health Insurance Market Size &amp; Share Report, 2030</w:t>
      </w:r>
      <w:r w:rsidRPr="00234F15">
        <w:rPr>
          <w:sz w:val="24"/>
          <w:szCs w:val="24"/>
          <w:lang w:val="en-GB"/>
        </w:rPr>
        <w:t xml:space="preserve">. [online] www.grandviewresearch.com. Available at: </w:t>
      </w:r>
      <w:hyperlink r:id="rId33">
        <w:r w:rsidRPr="00234F15">
          <w:rPr>
            <w:color w:val="1155CC"/>
            <w:sz w:val="24"/>
            <w:szCs w:val="24"/>
            <w:u w:val="single"/>
            <w:lang w:val="en-GB"/>
          </w:rPr>
          <w:t>https://www.grandviewresearch.com/industry-analysis/uk-health-insurance-market-report</w:t>
        </w:r>
      </w:hyperlink>
      <w:r w:rsidRPr="00234F15">
        <w:rPr>
          <w:sz w:val="24"/>
          <w:szCs w:val="24"/>
          <w:lang w:val="en-GB"/>
        </w:rPr>
        <w:t xml:space="preserve"> [Accessed 26 Mar. 2026].</w:t>
      </w:r>
    </w:p>
    <w:p w14:paraId="4A6D9D7A" w14:textId="77777777" w:rsidR="005E21CA" w:rsidRPr="00234F15" w:rsidRDefault="005E21CA">
      <w:pPr>
        <w:pStyle w:val="Normal1"/>
        <w:numPr>
          <w:ilvl w:val="0"/>
          <w:numId w:val="1"/>
        </w:numPr>
        <w:rPr>
          <w:sz w:val="24"/>
          <w:szCs w:val="24"/>
          <w:lang w:val="en-GB"/>
        </w:rPr>
      </w:pPr>
      <w:r w:rsidRPr="00234F15">
        <w:rPr>
          <w:sz w:val="24"/>
          <w:szCs w:val="24"/>
          <w:lang w:val="en-GB"/>
        </w:rPr>
        <w:t xml:space="preserve">Hart, G. (2025). </w:t>
      </w:r>
      <w:r w:rsidRPr="00234F15">
        <w:rPr>
          <w:i/>
          <w:iCs/>
          <w:sz w:val="24"/>
          <w:szCs w:val="24"/>
          <w:lang w:val="en-GB"/>
        </w:rPr>
        <w:t>How the left can support drug law reform - Red Pepper</w:t>
      </w:r>
      <w:r w:rsidRPr="00234F15">
        <w:rPr>
          <w:sz w:val="24"/>
          <w:szCs w:val="24"/>
          <w:lang w:val="en-GB"/>
        </w:rPr>
        <w:t xml:space="preserve">. [online] Red Pepper. Available at: </w:t>
      </w:r>
      <w:hyperlink r:id="rId34">
        <w:r w:rsidRPr="00234F15">
          <w:rPr>
            <w:color w:val="1155CC"/>
            <w:sz w:val="24"/>
            <w:szCs w:val="24"/>
            <w:u w:val="single"/>
            <w:lang w:val="en-GB"/>
          </w:rPr>
          <w:t>https://www.redpepper.org.uk/society/health/how-the-left-can-support-drug-law-reform/</w:t>
        </w:r>
      </w:hyperlink>
      <w:r w:rsidRPr="00234F15">
        <w:rPr>
          <w:sz w:val="24"/>
          <w:szCs w:val="24"/>
          <w:lang w:val="en-GB"/>
        </w:rPr>
        <w:t xml:space="preserve"> [Accessed 26 Mar. 2026].</w:t>
      </w:r>
    </w:p>
    <w:p w14:paraId="6A3F3606" w14:textId="77777777" w:rsidR="005E21CA" w:rsidRPr="00234F15" w:rsidRDefault="005E21CA">
      <w:pPr>
        <w:pStyle w:val="Normal1"/>
        <w:numPr>
          <w:ilvl w:val="0"/>
          <w:numId w:val="1"/>
        </w:numPr>
        <w:rPr>
          <w:sz w:val="24"/>
          <w:szCs w:val="24"/>
          <w:lang w:val="en-GB"/>
        </w:rPr>
      </w:pPr>
      <w:r w:rsidRPr="00234F15">
        <w:rPr>
          <w:sz w:val="24"/>
          <w:szCs w:val="24"/>
          <w:lang w:val="en-GB"/>
        </w:rPr>
        <w:t xml:space="preserve">HSE (2024). </w:t>
      </w:r>
      <w:r w:rsidRPr="00234F15">
        <w:rPr>
          <w:i/>
          <w:iCs/>
          <w:sz w:val="24"/>
          <w:szCs w:val="24"/>
          <w:lang w:val="en-GB"/>
        </w:rPr>
        <w:t>Health and safety at work act 1974</w:t>
      </w:r>
      <w:r w:rsidRPr="00234F15">
        <w:rPr>
          <w:sz w:val="24"/>
          <w:szCs w:val="24"/>
          <w:lang w:val="en-GB"/>
        </w:rPr>
        <w:t>. [online] Hse.gov.uk. Available at: https://www.hse.gov.uk/legislation/hswa.htm [Accessed 26 Mar. 2026].</w:t>
      </w:r>
    </w:p>
    <w:p w14:paraId="160862D1" w14:textId="77777777" w:rsidR="005E21CA" w:rsidRPr="00234F15" w:rsidRDefault="005E21CA">
      <w:pPr>
        <w:pStyle w:val="Normal1"/>
        <w:numPr>
          <w:ilvl w:val="0"/>
          <w:numId w:val="1"/>
        </w:numPr>
        <w:rPr>
          <w:sz w:val="24"/>
          <w:szCs w:val="24"/>
          <w:lang w:val="en-GB"/>
        </w:rPr>
      </w:pPr>
      <w:r w:rsidRPr="00234F15">
        <w:rPr>
          <w:sz w:val="24"/>
          <w:szCs w:val="24"/>
          <w:lang w:val="en-GB"/>
        </w:rPr>
        <w:t xml:space="preserve">Hubbart, J.A. (2024). Understanding and Mitigating Leadership Fear-Based Behaviors on Employee and Organizational Success. </w:t>
      </w:r>
      <w:r w:rsidRPr="00234F15">
        <w:rPr>
          <w:i/>
          <w:iCs/>
          <w:sz w:val="24"/>
          <w:szCs w:val="24"/>
          <w:lang w:val="en-GB"/>
        </w:rPr>
        <w:t>Administrative Sciences</w:t>
      </w:r>
      <w:r w:rsidRPr="00234F15">
        <w:rPr>
          <w:sz w:val="24"/>
          <w:szCs w:val="24"/>
          <w:lang w:val="en-GB"/>
        </w:rPr>
        <w:t>, 14(9), p.225. doi:</w:t>
      </w:r>
      <w:hyperlink r:id="rId35">
        <w:r w:rsidRPr="00234F15">
          <w:rPr>
            <w:color w:val="1155CC"/>
            <w:sz w:val="24"/>
            <w:szCs w:val="24"/>
            <w:u w:val="single"/>
            <w:lang w:val="en-GB"/>
          </w:rPr>
          <w:t>https://doi.org/10.3390/admsci14090225</w:t>
        </w:r>
      </w:hyperlink>
      <w:r w:rsidRPr="00234F15">
        <w:rPr>
          <w:sz w:val="24"/>
          <w:szCs w:val="24"/>
          <w:lang w:val="en-GB"/>
        </w:rPr>
        <w:t xml:space="preserve">. </w:t>
      </w:r>
    </w:p>
    <w:p w14:paraId="5AC3AF36" w14:textId="77777777" w:rsidR="005E21CA" w:rsidRPr="00234F15" w:rsidRDefault="005E21CA">
      <w:pPr>
        <w:pStyle w:val="Normal1"/>
        <w:numPr>
          <w:ilvl w:val="0"/>
          <w:numId w:val="1"/>
        </w:numPr>
        <w:rPr>
          <w:sz w:val="24"/>
          <w:szCs w:val="24"/>
          <w:lang w:val="en-GB"/>
        </w:rPr>
      </w:pPr>
      <w:r w:rsidRPr="00234F15">
        <w:rPr>
          <w:sz w:val="24"/>
          <w:szCs w:val="24"/>
          <w:lang w:val="en-GB"/>
        </w:rPr>
        <w:lastRenderedPageBreak/>
        <w:t xml:space="preserve">Humphrey, K.E., Sundberg, M., Milliren, C.E., Graham, D.A. and Landrigan, C.P. (2022). Frequency and Nature of Communication and Handoff Failures in Medical Malpractice Claims. </w:t>
      </w:r>
      <w:r w:rsidRPr="00234F15">
        <w:rPr>
          <w:i/>
          <w:iCs/>
          <w:sz w:val="24"/>
          <w:szCs w:val="24"/>
          <w:lang w:val="en-GB"/>
        </w:rPr>
        <w:t>Journal of Patient Safety</w:t>
      </w:r>
      <w:r w:rsidRPr="00234F15">
        <w:rPr>
          <w:sz w:val="24"/>
          <w:szCs w:val="24"/>
          <w:lang w:val="en-GB"/>
        </w:rPr>
        <w:t>, 18(2). doi:</w:t>
      </w:r>
      <w:hyperlink r:id="rId36">
        <w:r w:rsidRPr="00234F15">
          <w:rPr>
            <w:color w:val="1155CC"/>
            <w:sz w:val="24"/>
            <w:szCs w:val="24"/>
            <w:u w:val="single"/>
            <w:lang w:val="en-GB"/>
          </w:rPr>
          <w:t>https://doi.org/10.1097/PTS.0000000000000937</w:t>
        </w:r>
      </w:hyperlink>
      <w:r w:rsidRPr="00234F15">
        <w:rPr>
          <w:sz w:val="24"/>
          <w:szCs w:val="24"/>
          <w:lang w:val="en-GB"/>
        </w:rPr>
        <w:t xml:space="preserve">. </w:t>
      </w:r>
    </w:p>
    <w:p w14:paraId="202588CE" w14:textId="77777777" w:rsidR="005E21CA" w:rsidRPr="00234F15" w:rsidRDefault="005E21CA">
      <w:pPr>
        <w:pStyle w:val="Normal1"/>
        <w:numPr>
          <w:ilvl w:val="0"/>
          <w:numId w:val="1"/>
        </w:numPr>
        <w:rPr>
          <w:sz w:val="24"/>
          <w:szCs w:val="24"/>
          <w:lang w:val="en-GB"/>
        </w:rPr>
      </w:pPr>
      <w:r w:rsidRPr="00234F15">
        <w:rPr>
          <w:sz w:val="24"/>
          <w:szCs w:val="24"/>
          <w:lang w:val="en-GB"/>
        </w:rPr>
        <w:t xml:space="preserve">Janes, G., Mills, T., Budworth, L., Johnson, J. and Lawton, R. (2021). The association between health care staff engagement and patient safety outcomes. </w:t>
      </w:r>
      <w:r w:rsidRPr="00234F15">
        <w:rPr>
          <w:i/>
          <w:iCs/>
          <w:sz w:val="24"/>
          <w:szCs w:val="24"/>
          <w:lang w:val="en-GB"/>
        </w:rPr>
        <w:t>Journal of Patient Safety</w:t>
      </w:r>
      <w:r w:rsidRPr="00234F15">
        <w:rPr>
          <w:sz w:val="24"/>
          <w:szCs w:val="24"/>
          <w:lang w:val="en-GB"/>
        </w:rPr>
        <w:t>, Publish Ahead of Print(3). doi:https://doi.org/10.1097/PTS.0000000000000807.</w:t>
      </w:r>
    </w:p>
    <w:p w14:paraId="5AFE06AC" w14:textId="77777777" w:rsidR="005E21CA" w:rsidRPr="00234F15" w:rsidRDefault="005E21CA">
      <w:pPr>
        <w:pStyle w:val="Normal1"/>
        <w:numPr>
          <w:ilvl w:val="0"/>
          <w:numId w:val="1"/>
        </w:numPr>
        <w:rPr>
          <w:sz w:val="24"/>
          <w:szCs w:val="24"/>
          <w:lang w:val="en-GB"/>
        </w:rPr>
      </w:pPr>
      <w:r w:rsidRPr="00234F15">
        <w:rPr>
          <w:sz w:val="24"/>
          <w:szCs w:val="24"/>
          <w:lang w:val="en-GB"/>
        </w:rPr>
        <w:t xml:space="preserve">Klasmeier, K.N., Schleu, J.E., Millhoff, C., Poethke, U. and Bormann, K.C. (2021). On the destructiveness of laissez-faire versus abusive supervision: a comparative, multilevel investigation of destructive forms of leadership. </w:t>
      </w:r>
      <w:r w:rsidRPr="00234F15">
        <w:rPr>
          <w:i/>
          <w:iCs/>
          <w:sz w:val="24"/>
          <w:szCs w:val="24"/>
          <w:lang w:val="en-GB"/>
        </w:rPr>
        <w:t>European Journal of Work and Organizational Psychology</w:t>
      </w:r>
      <w:r w:rsidRPr="00234F15">
        <w:rPr>
          <w:sz w:val="24"/>
          <w:szCs w:val="24"/>
          <w:lang w:val="en-GB"/>
        </w:rPr>
        <w:t>, 31(3), pp.1–15. doi:</w:t>
      </w:r>
      <w:hyperlink r:id="rId37">
        <w:r w:rsidRPr="00234F15">
          <w:rPr>
            <w:color w:val="1155CC"/>
            <w:sz w:val="24"/>
            <w:szCs w:val="24"/>
            <w:u w:val="single"/>
            <w:lang w:val="en-GB"/>
          </w:rPr>
          <w:t>https://doi.org/10.1080/1359432x.2021.1968375</w:t>
        </w:r>
      </w:hyperlink>
      <w:r w:rsidRPr="00234F15">
        <w:rPr>
          <w:sz w:val="24"/>
          <w:szCs w:val="24"/>
          <w:lang w:val="en-GB"/>
        </w:rPr>
        <w:t xml:space="preserve">. </w:t>
      </w:r>
    </w:p>
    <w:p w14:paraId="5E52EB65" w14:textId="77777777" w:rsidR="005E21CA" w:rsidRPr="00234F15" w:rsidRDefault="005E21CA">
      <w:pPr>
        <w:pStyle w:val="Normal1"/>
        <w:numPr>
          <w:ilvl w:val="0"/>
          <w:numId w:val="1"/>
        </w:numPr>
        <w:rPr>
          <w:sz w:val="24"/>
          <w:szCs w:val="24"/>
          <w:lang w:val="en-GB"/>
        </w:rPr>
      </w:pPr>
      <w:r w:rsidRPr="00234F15">
        <w:rPr>
          <w:sz w:val="24"/>
          <w:szCs w:val="24"/>
          <w:lang w:val="en-GB"/>
        </w:rPr>
        <w:t xml:space="preserve">Krenyacz, E. and Revesz, E.E. (2025). Consequences of centralized healthcare systems: changing role and autonomy of hospital managers – insights from a Hungarian case. </w:t>
      </w:r>
      <w:r w:rsidRPr="00234F15">
        <w:rPr>
          <w:i/>
          <w:iCs/>
          <w:sz w:val="24"/>
          <w:szCs w:val="24"/>
          <w:lang w:val="en-GB"/>
        </w:rPr>
        <w:t>Journal of Health Organization and Management</w:t>
      </w:r>
      <w:r w:rsidRPr="00234F15">
        <w:rPr>
          <w:sz w:val="24"/>
          <w:szCs w:val="24"/>
          <w:lang w:val="en-GB"/>
        </w:rPr>
        <w:t>, [online] 39(9), pp.177–191. doi:</w:t>
      </w:r>
      <w:hyperlink r:id="rId38">
        <w:r w:rsidRPr="00234F15">
          <w:rPr>
            <w:color w:val="1155CC"/>
            <w:sz w:val="24"/>
            <w:szCs w:val="24"/>
            <w:u w:val="single"/>
            <w:lang w:val="en-GB"/>
          </w:rPr>
          <w:t>https://doi.org/10.1108/jhom-08-2024-0358</w:t>
        </w:r>
      </w:hyperlink>
      <w:r w:rsidRPr="00234F15">
        <w:rPr>
          <w:sz w:val="24"/>
          <w:szCs w:val="24"/>
          <w:lang w:val="en-GB"/>
        </w:rPr>
        <w:t xml:space="preserve">. </w:t>
      </w:r>
    </w:p>
    <w:p w14:paraId="2E1D65A6" w14:textId="77777777" w:rsidR="005E21CA" w:rsidRPr="00234F15" w:rsidRDefault="005E21CA">
      <w:pPr>
        <w:pStyle w:val="Normal1"/>
        <w:numPr>
          <w:ilvl w:val="0"/>
          <w:numId w:val="1"/>
        </w:numPr>
        <w:rPr>
          <w:sz w:val="24"/>
          <w:szCs w:val="24"/>
          <w:lang w:val="en-GB"/>
        </w:rPr>
      </w:pPr>
      <w:r w:rsidRPr="00234F15">
        <w:rPr>
          <w:sz w:val="24"/>
          <w:szCs w:val="24"/>
          <w:lang w:val="en-GB"/>
        </w:rPr>
        <w:t xml:space="preserve">Larue, G.S. and Naweed, A. (2021). Evaluating the effects of automated monitoring on driver non-compliance at active railway level crossings. </w:t>
      </w:r>
      <w:r w:rsidRPr="00234F15">
        <w:rPr>
          <w:i/>
          <w:iCs/>
          <w:sz w:val="24"/>
          <w:szCs w:val="24"/>
          <w:lang w:val="en-GB"/>
        </w:rPr>
        <w:t>Accident Analysis &amp; Prevention</w:t>
      </w:r>
      <w:r w:rsidRPr="00234F15">
        <w:rPr>
          <w:sz w:val="24"/>
          <w:szCs w:val="24"/>
          <w:lang w:val="en-GB"/>
        </w:rPr>
        <w:t>, 163, p.106432. doi:</w:t>
      </w:r>
      <w:hyperlink r:id="rId39">
        <w:r w:rsidRPr="00234F15">
          <w:rPr>
            <w:color w:val="1155CC"/>
            <w:sz w:val="24"/>
            <w:szCs w:val="24"/>
            <w:u w:val="single"/>
            <w:lang w:val="en-GB"/>
          </w:rPr>
          <w:t>https://doi.org/10.1016/j.aap.2021.106432</w:t>
        </w:r>
      </w:hyperlink>
      <w:r w:rsidRPr="00234F15">
        <w:rPr>
          <w:sz w:val="24"/>
          <w:szCs w:val="24"/>
          <w:lang w:val="en-GB"/>
        </w:rPr>
        <w:t xml:space="preserve">. </w:t>
      </w:r>
    </w:p>
    <w:p w14:paraId="38D1509F" w14:textId="77777777" w:rsidR="005E21CA" w:rsidRPr="00234F15" w:rsidRDefault="005E21CA">
      <w:pPr>
        <w:pStyle w:val="Normal1"/>
        <w:numPr>
          <w:ilvl w:val="0"/>
          <w:numId w:val="1"/>
        </w:numPr>
        <w:rPr>
          <w:sz w:val="24"/>
          <w:szCs w:val="24"/>
          <w:lang w:val="en-GB"/>
        </w:rPr>
      </w:pPr>
      <w:r w:rsidRPr="00234F15">
        <w:rPr>
          <w:sz w:val="24"/>
          <w:szCs w:val="24"/>
          <w:lang w:val="en-GB"/>
        </w:rPr>
        <w:t xml:space="preserve">Lusher, A. (2021). Big Pharma and governments are ‘turning a blind eye to corruption’, report claims. </w:t>
      </w:r>
      <w:r w:rsidRPr="00234F15">
        <w:rPr>
          <w:i/>
          <w:iCs/>
          <w:sz w:val="24"/>
          <w:szCs w:val="24"/>
          <w:lang w:val="en-GB"/>
        </w:rPr>
        <w:t>The Independent</w:t>
      </w:r>
      <w:r w:rsidRPr="00234F15">
        <w:rPr>
          <w:sz w:val="24"/>
          <w:szCs w:val="24"/>
          <w:lang w:val="en-GB"/>
        </w:rPr>
        <w:t xml:space="preserve">. [online] 1 Jun. Available at: </w:t>
      </w:r>
      <w:hyperlink r:id="rId40">
        <w:r w:rsidRPr="00234F15">
          <w:rPr>
            <w:color w:val="1155CC"/>
            <w:sz w:val="24"/>
            <w:szCs w:val="24"/>
            <w:u w:val="single"/>
            <w:lang w:val="en-GB"/>
          </w:rPr>
          <w:t>https://www.independent.co.uk/news/world/politics/big-pharma-and-governments-are-turning-a-blind-eye-to-corruption-report-claims-a7059871.html</w:t>
        </w:r>
      </w:hyperlink>
      <w:r w:rsidRPr="00234F15">
        <w:rPr>
          <w:sz w:val="24"/>
          <w:szCs w:val="24"/>
          <w:lang w:val="en-GB"/>
        </w:rPr>
        <w:t xml:space="preserve"> [Accessed 26 Mar. 2026].</w:t>
      </w:r>
    </w:p>
    <w:p w14:paraId="510EA9E5" w14:textId="77777777" w:rsidR="005E21CA" w:rsidRPr="00234F15" w:rsidRDefault="005E21CA">
      <w:pPr>
        <w:pStyle w:val="Normal1"/>
        <w:numPr>
          <w:ilvl w:val="0"/>
          <w:numId w:val="1"/>
        </w:numPr>
        <w:rPr>
          <w:sz w:val="24"/>
          <w:szCs w:val="24"/>
          <w:lang w:val="en-GB"/>
        </w:rPr>
      </w:pPr>
      <w:r w:rsidRPr="00234F15">
        <w:rPr>
          <w:sz w:val="24"/>
          <w:szCs w:val="24"/>
          <w:lang w:val="en-GB"/>
        </w:rPr>
        <w:t xml:space="preserve">Manyazewal, T. (2021). Using the World Health Organization Health System Building Blocks Through Survey of Healthcare Professionals to Determine the Performance of Public Healthcare Facilities. </w:t>
      </w:r>
      <w:r w:rsidRPr="00234F15">
        <w:rPr>
          <w:i/>
          <w:iCs/>
          <w:sz w:val="24"/>
          <w:szCs w:val="24"/>
          <w:lang w:val="en-GB"/>
        </w:rPr>
        <w:t>Archives of Public Health</w:t>
      </w:r>
      <w:r w:rsidRPr="00234F15">
        <w:rPr>
          <w:sz w:val="24"/>
          <w:szCs w:val="24"/>
          <w:lang w:val="en-GB"/>
        </w:rPr>
        <w:t>, 75(1). doi:</w:t>
      </w:r>
      <w:hyperlink r:id="rId41">
        <w:r w:rsidRPr="00234F15">
          <w:rPr>
            <w:color w:val="1155CC"/>
            <w:sz w:val="24"/>
            <w:szCs w:val="24"/>
            <w:u w:val="single"/>
            <w:lang w:val="en-GB"/>
          </w:rPr>
          <w:t>https://doi.org/10.1186/s13690-017-0221-9</w:t>
        </w:r>
      </w:hyperlink>
      <w:r w:rsidRPr="00234F15">
        <w:rPr>
          <w:sz w:val="24"/>
          <w:szCs w:val="24"/>
          <w:lang w:val="en-GB"/>
        </w:rPr>
        <w:t xml:space="preserve">. </w:t>
      </w:r>
    </w:p>
    <w:p w14:paraId="3A9890A1" w14:textId="77777777" w:rsidR="005E21CA" w:rsidRPr="00234F15" w:rsidRDefault="005E21CA">
      <w:pPr>
        <w:pStyle w:val="Normal1"/>
        <w:numPr>
          <w:ilvl w:val="0"/>
          <w:numId w:val="1"/>
        </w:numPr>
        <w:rPr>
          <w:sz w:val="24"/>
          <w:szCs w:val="24"/>
          <w:lang w:val="en-GB"/>
        </w:rPr>
      </w:pPr>
      <w:r w:rsidRPr="00234F15">
        <w:rPr>
          <w:sz w:val="24"/>
          <w:szCs w:val="24"/>
          <w:lang w:val="en-GB"/>
        </w:rPr>
        <w:t xml:space="preserve">Maternová, A., Materna, M., Dávid, A., Török, A. and Švábová, L. (2023). Human Error Analysis and Fatality Prediction in Maritime Accidents. </w:t>
      </w:r>
      <w:r w:rsidRPr="00234F15">
        <w:rPr>
          <w:i/>
          <w:iCs/>
          <w:sz w:val="24"/>
          <w:szCs w:val="24"/>
          <w:lang w:val="en-GB"/>
        </w:rPr>
        <w:t>Journal of Marine Science and Engineering</w:t>
      </w:r>
      <w:r w:rsidRPr="00234F15">
        <w:rPr>
          <w:sz w:val="24"/>
          <w:szCs w:val="24"/>
          <w:lang w:val="en-GB"/>
        </w:rPr>
        <w:t>, 11(12), p.2287. doi:</w:t>
      </w:r>
      <w:hyperlink r:id="rId42">
        <w:r w:rsidRPr="00234F15">
          <w:rPr>
            <w:color w:val="1155CC"/>
            <w:sz w:val="24"/>
            <w:szCs w:val="24"/>
            <w:u w:val="single"/>
            <w:lang w:val="en-GB"/>
          </w:rPr>
          <w:t>https://doi.org/10.3390/jmse11122287</w:t>
        </w:r>
      </w:hyperlink>
      <w:r w:rsidRPr="00234F15">
        <w:rPr>
          <w:sz w:val="24"/>
          <w:szCs w:val="24"/>
          <w:lang w:val="en-GB"/>
        </w:rPr>
        <w:t xml:space="preserve">. </w:t>
      </w:r>
    </w:p>
    <w:p w14:paraId="09F1538C" w14:textId="77777777" w:rsidR="005E21CA" w:rsidRPr="00234F15" w:rsidRDefault="005E21CA">
      <w:pPr>
        <w:pStyle w:val="Normal1"/>
        <w:numPr>
          <w:ilvl w:val="0"/>
          <w:numId w:val="1"/>
        </w:numPr>
        <w:rPr>
          <w:sz w:val="24"/>
          <w:szCs w:val="24"/>
          <w:lang w:val="en-GB"/>
        </w:rPr>
      </w:pPr>
      <w:r w:rsidRPr="00234F15">
        <w:rPr>
          <w:sz w:val="24"/>
          <w:szCs w:val="24"/>
          <w:lang w:val="en-GB"/>
        </w:rPr>
        <w:lastRenderedPageBreak/>
        <w:t xml:space="preserve">McNab, D., McKay, J., Shorrock, S., Luty, S. and Bowie, P. (2020). Development and application of ‘systems thinking’ principles for quality improvement. </w:t>
      </w:r>
      <w:r w:rsidRPr="00234F15">
        <w:rPr>
          <w:i/>
          <w:iCs/>
          <w:sz w:val="24"/>
          <w:szCs w:val="24"/>
          <w:lang w:val="en-GB"/>
        </w:rPr>
        <w:t>BMJ Open Quality</w:t>
      </w:r>
      <w:r w:rsidRPr="00234F15">
        <w:rPr>
          <w:sz w:val="24"/>
          <w:szCs w:val="24"/>
          <w:lang w:val="en-GB"/>
        </w:rPr>
        <w:t>, 9(1), p.e000714. doi:</w:t>
      </w:r>
      <w:hyperlink r:id="rId43">
        <w:r w:rsidRPr="00234F15">
          <w:rPr>
            <w:color w:val="1155CC"/>
            <w:sz w:val="24"/>
            <w:szCs w:val="24"/>
            <w:u w:val="single"/>
            <w:lang w:val="en-GB"/>
          </w:rPr>
          <w:t>https://doi.org/10.1136/bmjoq-2019-000714</w:t>
        </w:r>
      </w:hyperlink>
      <w:r w:rsidRPr="00234F15">
        <w:rPr>
          <w:sz w:val="24"/>
          <w:szCs w:val="24"/>
          <w:lang w:val="en-GB"/>
        </w:rPr>
        <w:t xml:space="preserve">. </w:t>
      </w:r>
    </w:p>
    <w:p w14:paraId="0A1EDA49" w14:textId="77777777" w:rsidR="005E21CA" w:rsidRPr="00234F15" w:rsidRDefault="005E21CA">
      <w:pPr>
        <w:pStyle w:val="Normal1"/>
        <w:numPr>
          <w:ilvl w:val="0"/>
          <w:numId w:val="1"/>
        </w:numPr>
        <w:rPr>
          <w:sz w:val="24"/>
          <w:szCs w:val="24"/>
          <w:lang w:val="en-GB"/>
        </w:rPr>
      </w:pPr>
      <w:r w:rsidRPr="00234F15">
        <w:rPr>
          <w:sz w:val="24"/>
          <w:szCs w:val="24"/>
          <w:lang w:val="en-GB"/>
        </w:rPr>
        <w:t xml:space="preserve">Mergel, I. (2023). Social affordances of agile governance. </w:t>
      </w:r>
      <w:r w:rsidRPr="00234F15">
        <w:rPr>
          <w:i/>
          <w:iCs/>
          <w:sz w:val="24"/>
          <w:szCs w:val="24"/>
          <w:lang w:val="en-GB"/>
        </w:rPr>
        <w:t>Public Administration Review</w:t>
      </w:r>
      <w:r w:rsidRPr="00234F15">
        <w:rPr>
          <w:sz w:val="24"/>
          <w:szCs w:val="24"/>
          <w:lang w:val="en-GB"/>
        </w:rPr>
        <w:t>, 85(5). doi:</w:t>
      </w:r>
      <w:hyperlink r:id="rId44">
        <w:r w:rsidRPr="00234F15">
          <w:rPr>
            <w:color w:val="1155CC"/>
            <w:sz w:val="24"/>
            <w:szCs w:val="24"/>
            <w:u w:val="single"/>
            <w:lang w:val="en-GB"/>
          </w:rPr>
          <w:t>https://doi.org/10.1111/puar.13787</w:t>
        </w:r>
      </w:hyperlink>
      <w:r w:rsidRPr="00234F15">
        <w:rPr>
          <w:sz w:val="24"/>
          <w:szCs w:val="24"/>
          <w:lang w:val="en-GB"/>
        </w:rPr>
        <w:t xml:space="preserve">. </w:t>
      </w:r>
    </w:p>
    <w:p w14:paraId="5CA8CD61" w14:textId="77777777" w:rsidR="005E21CA" w:rsidRPr="00234F15" w:rsidRDefault="005E21CA">
      <w:pPr>
        <w:pStyle w:val="Normal1"/>
        <w:numPr>
          <w:ilvl w:val="0"/>
          <w:numId w:val="1"/>
        </w:numPr>
        <w:rPr>
          <w:sz w:val="24"/>
          <w:szCs w:val="24"/>
          <w:lang w:val="en-GB"/>
        </w:rPr>
      </w:pPr>
      <w:r w:rsidRPr="00234F15">
        <w:rPr>
          <w:sz w:val="24"/>
          <w:szCs w:val="24"/>
          <w:lang w:val="en-GB"/>
        </w:rPr>
        <w:t xml:space="preserve">Mökander, J., Axente, M., Casolari, F. and Floridi, L. (2021a). Conformity Assessments and Post-market Monitoring: A Guide to the Role of Auditing in the Proposed European AI Regulation. </w:t>
      </w:r>
      <w:r w:rsidRPr="00234F15">
        <w:rPr>
          <w:i/>
          <w:iCs/>
          <w:sz w:val="24"/>
          <w:szCs w:val="24"/>
          <w:lang w:val="en-GB"/>
        </w:rPr>
        <w:t>Minds and Machines</w:t>
      </w:r>
      <w:r w:rsidRPr="00234F15">
        <w:rPr>
          <w:sz w:val="24"/>
          <w:szCs w:val="24"/>
          <w:lang w:val="en-GB"/>
        </w:rPr>
        <w:t>, 32. doi:</w:t>
      </w:r>
      <w:hyperlink r:id="rId45">
        <w:r w:rsidRPr="00234F15">
          <w:rPr>
            <w:color w:val="1155CC"/>
            <w:sz w:val="24"/>
            <w:szCs w:val="24"/>
            <w:u w:val="single"/>
            <w:lang w:val="en-GB"/>
          </w:rPr>
          <w:t>https://doi.org/10.1007/s11023-021-09577-4</w:t>
        </w:r>
      </w:hyperlink>
      <w:r w:rsidRPr="00234F15">
        <w:rPr>
          <w:sz w:val="24"/>
          <w:szCs w:val="24"/>
          <w:lang w:val="en-GB"/>
        </w:rPr>
        <w:t xml:space="preserve">. </w:t>
      </w:r>
    </w:p>
    <w:p w14:paraId="52DBD82E" w14:textId="77777777" w:rsidR="005E21CA" w:rsidRPr="00234F15" w:rsidRDefault="005E21CA">
      <w:pPr>
        <w:pStyle w:val="Normal1"/>
        <w:numPr>
          <w:ilvl w:val="0"/>
          <w:numId w:val="1"/>
        </w:numPr>
        <w:rPr>
          <w:sz w:val="24"/>
          <w:szCs w:val="24"/>
          <w:lang w:val="en-GB"/>
        </w:rPr>
      </w:pPr>
      <w:r w:rsidRPr="00234F15">
        <w:rPr>
          <w:sz w:val="24"/>
          <w:szCs w:val="24"/>
          <w:lang w:val="en-GB"/>
        </w:rPr>
        <w:t xml:space="preserve">Mökander, J., Axente, M., Casolari, F. and Floridi, L. (2021b). Conformity Assessments and Post-market Monitoring: A Guide to the Role of Auditing in the Proposed European AI Regulation. </w:t>
      </w:r>
      <w:r w:rsidRPr="00234F15">
        <w:rPr>
          <w:i/>
          <w:iCs/>
          <w:sz w:val="24"/>
          <w:szCs w:val="24"/>
          <w:lang w:val="en-GB"/>
        </w:rPr>
        <w:t>Minds and Machines</w:t>
      </w:r>
      <w:r w:rsidRPr="00234F15">
        <w:rPr>
          <w:sz w:val="24"/>
          <w:szCs w:val="24"/>
          <w:lang w:val="en-GB"/>
        </w:rPr>
        <w:t>, 32. doi:</w:t>
      </w:r>
      <w:hyperlink r:id="rId46">
        <w:r w:rsidRPr="00234F15">
          <w:rPr>
            <w:color w:val="1155CC"/>
            <w:sz w:val="24"/>
            <w:szCs w:val="24"/>
            <w:u w:val="single"/>
            <w:lang w:val="en-GB"/>
          </w:rPr>
          <w:t>https://doi.org/10.1007/s11023-021-09577-4</w:t>
        </w:r>
      </w:hyperlink>
      <w:r w:rsidRPr="00234F15">
        <w:rPr>
          <w:sz w:val="24"/>
          <w:szCs w:val="24"/>
          <w:lang w:val="en-GB"/>
        </w:rPr>
        <w:t xml:space="preserve">. </w:t>
      </w:r>
    </w:p>
    <w:p w14:paraId="570143A9" w14:textId="77777777" w:rsidR="005E21CA" w:rsidRPr="00234F15" w:rsidRDefault="005E21CA">
      <w:pPr>
        <w:pStyle w:val="Normal1"/>
        <w:numPr>
          <w:ilvl w:val="0"/>
          <w:numId w:val="1"/>
        </w:numPr>
        <w:rPr>
          <w:sz w:val="24"/>
          <w:szCs w:val="24"/>
          <w:lang w:val="en-GB"/>
        </w:rPr>
      </w:pPr>
      <w:r w:rsidRPr="00234F15">
        <w:rPr>
          <w:sz w:val="24"/>
          <w:szCs w:val="24"/>
          <w:lang w:val="en-GB"/>
        </w:rPr>
        <w:t xml:space="preserve">Muzingili, T. (2026). Social workers’ challenges in multi-professional substance use disorder care management in Zimbabwe. </w:t>
      </w:r>
      <w:r w:rsidRPr="00234F15">
        <w:rPr>
          <w:i/>
          <w:iCs/>
          <w:sz w:val="24"/>
          <w:szCs w:val="24"/>
          <w:lang w:val="en-GB"/>
        </w:rPr>
        <w:t>Journal of Social Work Practice in the Addictions</w:t>
      </w:r>
      <w:r w:rsidRPr="00234F15">
        <w:rPr>
          <w:sz w:val="24"/>
          <w:szCs w:val="24"/>
          <w:lang w:val="en-GB"/>
        </w:rPr>
        <w:t>, pp.1–17. doi:</w:t>
      </w:r>
      <w:hyperlink r:id="rId47">
        <w:r w:rsidRPr="00234F15">
          <w:rPr>
            <w:color w:val="1155CC"/>
            <w:sz w:val="24"/>
            <w:szCs w:val="24"/>
            <w:u w:val="single"/>
            <w:lang w:val="en-GB"/>
          </w:rPr>
          <w:t>https://doi.org/10.1080/1533256x.2026.2630196</w:t>
        </w:r>
      </w:hyperlink>
      <w:r w:rsidRPr="00234F15">
        <w:rPr>
          <w:sz w:val="24"/>
          <w:szCs w:val="24"/>
          <w:lang w:val="en-GB"/>
        </w:rPr>
        <w:t xml:space="preserve">. </w:t>
      </w:r>
    </w:p>
    <w:p w14:paraId="668D9A43" w14:textId="77777777" w:rsidR="005E21CA" w:rsidRPr="00234F15" w:rsidRDefault="005E21CA">
      <w:pPr>
        <w:pStyle w:val="Normal1"/>
        <w:numPr>
          <w:ilvl w:val="0"/>
          <w:numId w:val="1"/>
        </w:numPr>
        <w:rPr>
          <w:sz w:val="24"/>
          <w:szCs w:val="24"/>
          <w:lang w:val="en-GB"/>
        </w:rPr>
      </w:pPr>
      <w:r w:rsidRPr="00234F15">
        <w:rPr>
          <w:sz w:val="24"/>
          <w:szCs w:val="24"/>
          <w:lang w:val="en-GB"/>
        </w:rPr>
        <w:t xml:space="preserve">NHS (2024). </w:t>
      </w:r>
      <w:r w:rsidRPr="00234F15">
        <w:rPr>
          <w:i/>
          <w:iCs/>
          <w:sz w:val="24"/>
          <w:szCs w:val="24"/>
          <w:lang w:val="en-GB"/>
        </w:rPr>
        <w:t>NHS England» NHS leadership competency framework for board members</w:t>
      </w:r>
      <w:r w:rsidRPr="00234F15">
        <w:rPr>
          <w:sz w:val="24"/>
          <w:szCs w:val="24"/>
          <w:lang w:val="en-GB"/>
        </w:rPr>
        <w:t xml:space="preserve">. [online] www.england.nhs.uk. Available at: </w:t>
      </w:r>
      <w:hyperlink r:id="rId48">
        <w:r w:rsidRPr="00234F15">
          <w:rPr>
            <w:color w:val="1155CC"/>
            <w:sz w:val="24"/>
            <w:szCs w:val="24"/>
            <w:u w:val="single"/>
            <w:lang w:val="en-GB"/>
          </w:rPr>
          <w:t>https://www.england.nhs.uk/long-read/nhs-leadership-competency-framework-for-board-members/</w:t>
        </w:r>
      </w:hyperlink>
      <w:r w:rsidRPr="00234F15">
        <w:rPr>
          <w:sz w:val="24"/>
          <w:szCs w:val="24"/>
          <w:lang w:val="en-GB"/>
        </w:rPr>
        <w:t xml:space="preserve"> [Accessed 26 Mar. 2026].</w:t>
      </w:r>
    </w:p>
    <w:p w14:paraId="6163DD72" w14:textId="77777777" w:rsidR="005E21CA" w:rsidRPr="00234F15" w:rsidRDefault="005E21CA">
      <w:pPr>
        <w:pStyle w:val="Normal1"/>
        <w:numPr>
          <w:ilvl w:val="0"/>
          <w:numId w:val="1"/>
        </w:numPr>
        <w:rPr>
          <w:sz w:val="24"/>
          <w:szCs w:val="24"/>
          <w:lang w:val="en-GB"/>
        </w:rPr>
      </w:pPr>
      <w:r w:rsidRPr="00234F15">
        <w:rPr>
          <w:sz w:val="24"/>
          <w:szCs w:val="24"/>
          <w:lang w:val="en-GB"/>
        </w:rPr>
        <w:t xml:space="preserve">NHS (2025a). </w:t>
      </w:r>
      <w:r w:rsidRPr="00234F15">
        <w:rPr>
          <w:i/>
          <w:iCs/>
          <w:sz w:val="24"/>
          <w:szCs w:val="24"/>
          <w:lang w:val="en-GB"/>
        </w:rPr>
        <w:t>NHS Vacancy Statistics England, April 2015 - June 2025, Experimental Statistics</w:t>
      </w:r>
      <w:r w:rsidRPr="00234F15">
        <w:rPr>
          <w:sz w:val="24"/>
          <w:szCs w:val="24"/>
          <w:lang w:val="en-GB"/>
        </w:rPr>
        <w:t xml:space="preserve">. [online] Available at: </w:t>
      </w:r>
      <w:hyperlink r:id="rId49">
        <w:r w:rsidRPr="00234F15">
          <w:rPr>
            <w:color w:val="1155CC"/>
            <w:sz w:val="24"/>
            <w:szCs w:val="24"/>
            <w:u w:val="single"/>
            <w:lang w:val="en-GB"/>
          </w:rPr>
          <w:t>https://digital.nhs.uk/data-and-information/publications/statistical/nhs-vacancies-survey/april-2015---june-2025-experimental-statistics</w:t>
        </w:r>
      </w:hyperlink>
      <w:r w:rsidRPr="00234F15">
        <w:rPr>
          <w:sz w:val="24"/>
          <w:szCs w:val="24"/>
          <w:lang w:val="en-GB"/>
        </w:rPr>
        <w:t xml:space="preserve"> [Accessed 26 Mar. 2026].</w:t>
      </w:r>
    </w:p>
    <w:p w14:paraId="4F3347D6" w14:textId="77777777" w:rsidR="005E21CA" w:rsidRPr="00234F15" w:rsidRDefault="005E21CA">
      <w:pPr>
        <w:pStyle w:val="Normal1"/>
        <w:numPr>
          <w:ilvl w:val="0"/>
          <w:numId w:val="1"/>
        </w:numPr>
        <w:rPr>
          <w:sz w:val="24"/>
          <w:szCs w:val="24"/>
          <w:lang w:val="en-GB"/>
        </w:rPr>
      </w:pPr>
      <w:r w:rsidRPr="00234F15">
        <w:rPr>
          <w:sz w:val="24"/>
          <w:szCs w:val="24"/>
          <w:lang w:val="en-GB"/>
        </w:rPr>
        <w:t xml:space="preserve">NHS (2025b). </w:t>
      </w:r>
      <w:r w:rsidRPr="00234F15">
        <w:rPr>
          <w:i/>
          <w:iCs/>
          <w:sz w:val="24"/>
          <w:szCs w:val="24"/>
          <w:lang w:val="en-GB"/>
        </w:rPr>
        <w:t>NHS Vacancy Statistics, England, April 2015 - March 2025, Experimental Statistics</w:t>
      </w:r>
      <w:r w:rsidRPr="00234F15">
        <w:rPr>
          <w:sz w:val="24"/>
          <w:szCs w:val="24"/>
          <w:lang w:val="en-GB"/>
        </w:rPr>
        <w:t xml:space="preserve">. [online] NHS. Available at: </w:t>
      </w:r>
      <w:hyperlink r:id="rId50" w:anchor=":~:text=Key%20Facts&amp;text=show%20a%20vacancy%20rate%20of,are%20filled%20by%20temporary%20workforce">
        <w:r w:rsidRPr="00234F15">
          <w:rPr>
            <w:color w:val="1155CC"/>
            <w:sz w:val="24"/>
            <w:szCs w:val="24"/>
            <w:u w:val="single"/>
            <w:lang w:val="en-GB"/>
          </w:rPr>
          <w:t>https://digital.nhs.uk/data-and-information/publications/statistical/nhs-vacancies-survey/april-2015---march-2025-experimental-statistics#:~:text=Key%20Facts&amp;text=show%20a%20vacancy%20rate%20of,are%20filled%20by%20temporary%20workforce</w:t>
        </w:r>
      </w:hyperlink>
      <w:r w:rsidRPr="00234F15">
        <w:rPr>
          <w:sz w:val="24"/>
          <w:szCs w:val="24"/>
          <w:lang w:val="en-GB"/>
        </w:rPr>
        <w:t>. [Accessed 26 Mar. 2026].</w:t>
      </w:r>
    </w:p>
    <w:p w14:paraId="7D57CC62" w14:textId="77777777" w:rsidR="005E21CA" w:rsidRPr="00234F15" w:rsidRDefault="005E21CA">
      <w:pPr>
        <w:pStyle w:val="Normal1"/>
        <w:numPr>
          <w:ilvl w:val="0"/>
          <w:numId w:val="1"/>
        </w:numPr>
        <w:rPr>
          <w:sz w:val="24"/>
          <w:szCs w:val="24"/>
          <w:lang w:val="en-GB"/>
        </w:rPr>
      </w:pPr>
      <w:r w:rsidRPr="00234F15">
        <w:rPr>
          <w:sz w:val="24"/>
          <w:szCs w:val="24"/>
          <w:lang w:val="en-GB"/>
        </w:rPr>
        <w:t xml:space="preserve">Northyorkshireccg. (2023). </w:t>
      </w:r>
      <w:r w:rsidRPr="00234F15">
        <w:rPr>
          <w:i/>
          <w:iCs/>
          <w:sz w:val="24"/>
          <w:szCs w:val="24"/>
          <w:lang w:val="en-GB"/>
        </w:rPr>
        <w:t>Serious Incident Case Study: Infant Morphine Overdose Investigation Summary &amp; Learning</w:t>
      </w:r>
      <w:r w:rsidRPr="00234F15">
        <w:rPr>
          <w:sz w:val="24"/>
          <w:szCs w:val="24"/>
          <w:lang w:val="en-GB"/>
        </w:rPr>
        <w:t xml:space="preserve">. [online] Available at: </w:t>
      </w:r>
      <w:hyperlink r:id="rId51">
        <w:r w:rsidRPr="00234F15">
          <w:rPr>
            <w:color w:val="1155CC"/>
            <w:sz w:val="24"/>
            <w:szCs w:val="24"/>
            <w:u w:val="single"/>
            <w:lang w:val="en-GB"/>
          </w:rPr>
          <w:t>https://northyorkshireccg.nhs.uk/wp-content/uploads/2023/07/July-2023-NHS-NEY-INFANT-MORPHINE-OVERDOSE-CASE-STUDY.pdf?UNLID=193374120245125844</w:t>
        </w:r>
      </w:hyperlink>
      <w:r w:rsidRPr="00234F15">
        <w:rPr>
          <w:sz w:val="24"/>
          <w:szCs w:val="24"/>
          <w:lang w:val="en-GB"/>
        </w:rPr>
        <w:t xml:space="preserve"> [Accessed 26 Mar. 2026].</w:t>
      </w:r>
    </w:p>
    <w:p w14:paraId="2C48BE2B" w14:textId="77777777" w:rsidR="005E21CA" w:rsidRPr="00234F15" w:rsidRDefault="005E21CA">
      <w:pPr>
        <w:pStyle w:val="Normal1"/>
        <w:numPr>
          <w:ilvl w:val="0"/>
          <w:numId w:val="1"/>
        </w:numPr>
        <w:rPr>
          <w:sz w:val="24"/>
          <w:szCs w:val="24"/>
          <w:lang w:val="en-GB"/>
        </w:rPr>
      </w:pPr>
      <w:r w:rsidRPr="00234F15">
        <w:rPr>
          <w:sz w:val="24"/>
          <w:szCs w:val="24"/>
          <w:lang w:val="en-GB"/>
        </w:rPr>
        <w:t xml:space="preserve">Osmani, F., Arab-Zozani, M., Osmani, M. and shahali, Z. (2022). Evaluation of the effectiveness of electronic prescription in reducing medical and medical errors (Systematic review study). </w:t>
      </w:r>
      <w:r w:rsidRPr="00234F15">
        <w:rPr>
          <w:i/>
          <w:iCs/>
          <w:sz w:val="24"/>
          <w:szCs w:val="24"/>
          <w:lang w:val="en-GB"/>
        </w:rPr>
        <w:t>Annales Pharmaceutiques Françaises</w:t>
      </w:r>
      <w:r w:rsidRPr="00234F15">
        <w:rPr>
          <w:sz w:val="24"/>
          <w:szCs w:val="24"/>
          <w:lang w:val="en-GB"/>
        </w:rPr>
        <w:t>, 81(3). doi:</w:t>
      </w:r>
      <w:hyperlink r:id="rId52">
        <w:r w:rsidRPr="00234F15">
          <w:rPr>
            <w:color w:val="1155CC"/>
            <w:sz w:val="24"/>
            <w:szCs w:val="24"/>
            <w:u w:val="single"/>
            <w:lang w:val="en-GB"/>
          </w:rPr>
          <w:t>https://doi.org/10.1016/j.pharma.2022.12.002</w:t>
        </w:r>
      </w:hyperlink>
      <w:r w:rsidRPr="00234F15">
        <w:rPr>
          <w:sz w:val="24"/>
          <w:szCs w:val="24"/>
          <w:lang w:val="en-GB"/>
        </w:rPr>
        <w:t xml:space="preserve">. </w:t>
      </w:r>
    </w:p>
    <w:p w14:paraId="7DB4471E" w14:textId="77777777" w:rsidR="005E21CA" w:rsidRPr="00234F15" w:rsidRDefault="005E21CA">
      <w:pPr>
        <w:pStyle w:val="Normal1"/>
        <w:numPr>
          <w:ilvl w:val="0"/>
          <w:numId w:val="1"/>
        </w:numPr>
        <w:rPr>
          <w:sz w:val="24"/>
          <w:szCs w:val="24"/>
          <w:lang w:val="en-GB"/>
        </w:rPr>
      </w:pPr>
      <w:r w:rsidRPr="00234F15">
        <w:rPr>
          <w:sz w:val="24"/>
          <w:szCs w:val="24"/>
          <w:lang w:val="en-GB"/>
        </w:rPr>
        <w:t xml:space="preserve">Owoyemi, T., Alonge, I., Adetunji, O., Ogbu, E., Ogunbanjo, A., White, S., Adebajo, A., Mallen, C., Babatunde, O.O. and Dziedzic, K. (2024). Everyday Living with Osteoarthritis in the Global South: A qualitative focus group inquiry in Nigeria. </w:t>
      </w:r>
      <w:r w:rsidRPr="00234F15">
        <w:rPr>
          <w:i/>
          <w:iCs/>
          <w:sz w:val="24"/>
          <w:szCs w:val="24"/>
          <w:lang w:val="en-GB"/>
        </w:rPr>
        <w:t>Osteoarthritis and Cartilage Open</w:t>
      </w:r>
      <w:r w:rsidRPr="00234F15">
        <w:rPr>
          <w:sz w:val="24"/>
          <w:szCs w:val="24"/>
          <w:lang w:val="en-GB"/>
        </w:rPr>
        <w:t>, 7(1), pp.100555–100555. doi:</w:t>
      </w:r>
      <w:hyperlink r:id="rId53">
        <w:r w:rsidRPr="00234F15">
          <w:rPr>
            <w:color w:val="1155CC"/>
            <w:sz w:val="24"/>
            <w:szCs w:val="24"/>
            <w:u w:val="single"/>
            <w:lang w:val="en-GB"/>
          </w:rPr>
          <w:t>https://doi.org/10.1016/j.ocarto.2024.100555</w:t>
        </w:r>
      </w:hyperlink>
      <w:r w:rsidRPr="00234F15">
        <w:rPr>
          <w:sz w:val="24"/>
          <w:szCs w:val="24"/>
          <w:lang w:val="en-GB"/>
        </w:rPr>
        <w:t xml:space="preserve">. </w:t>
      </w:r>
    </w:p>
    <w:p w14:paraId="08193F64" w14:textId="77777777" w:rsidR="005E21CA" w:rsidRPr="00234F15" w:rsidRDefault="005E21CA">
      <w:pPr>
        <w:pStyle w:val="Normal1"/>
        <w:numPr>
          <w:ilvl w:val="0"/>
          <w:numId w:val="1"/>
        </w:numPr>
        <w:rPr>
          <w:sz w:val="24"/>
          <w:szCs w:val="24"/>
          <w:lang w:val="en-GB"/>
        </w:rPr>
      </w:pPr>
      <w:r w:rsidRPr="00234F15">
        <w:rPr>
          <w:sz w:val="24"/>
          <w:szCs w:val="24"/>
          <w:lang w:val="en-GB"/>
        </w:rPr>
        <w:t xml:space="preserve">Ramsay, A.I., Tomini, S.M., Gandhi, S., Fulop, N.J. and Morris, S. (2025). Centralisation of specialised healthcare services: a scoping review of definitions, types, and impact on outcomes. </w:t>
      </w:r>
      <w:r w:rsidRPr="00234F15">
        <w:rPr>
          <w:i/>
          <w:iCs/>
          <w:sz w:val="24"/>
          <w:szCs w:val="24"/>
          <w:lang w:val="en-GB"/>
        </w:rPr>
        <w:t>Health and Social Care Delivery Research</w:t>
      </w:r>
      <w:r w:rsidRPr="00234F15">
        <w:rPr>
          <w:sz w:val="24"/>
          <w:szCs w:val="24"/>
          <w:lang w:val="en-GB"/>
        </w:rPr>
        <w:t>, pp.1–70. doi:</w:t>
      </w:r>
      <w:hyperlink r:id="rId54">
        <w:r w:rsidRPr="00234F15">
          <w:rPr>
            <w:color w:val="1155CC"/>
            <w:sz w:val="24"/>
            <w:szCs w:val="24"/>
            <w:u w:val="single"/>
            <w:lang w:val="en-GB"/>
          </w:rPr>
          <w:t>https://doi.org/10.3310/remd6648</w:t>
        </w:r>
      </w:hyperlink>
      <w:r w:rsidRPr="00234F15">
        <w:rPr>
          <w:sz w:val="24"/>
          <w:szCs w:val="24"/>
          <w:lang w:val="en-GB"/>
        </w:rPr>
        <w:t xml:space="preserve">. </w:t>
      </w:r>
    </w:p>
    <w:p w14:paraId="4BA18B9C" w14:textId="77777777" w:rsidR="005E21CA" w:rsidRPr="00234F15" w:rsidRDefault="005E21CA">
      <w:pPr>
        <w:pStyle w:val="Normal1"/>
        <w:numPr>
          <w:ilvl w:val="0"/>
          <w:numId w:val="1"/>
        </w:numPr>
        <w:rPr>
          <w:sz w:val="24"/>
          <w:szCs w:val="24"/>
          <w:lang w:val="en-GB"/>
        </w:rPr>
      </w:pPr>
      <w:r w:rsidRPr="00234F15">
        <w:rPr>
          <w:sz w:val="24"/>
          <w:szCs w:val="24"/>
          <w:lang w:val="en-GB"/>
        </w:rPr>
        <w:t xml:space="preserve">Ravi, P., Pfaff, K., Ralph, J., Cruz, E., Bellaire, M. and Fontanin, G. (2022). Nurse-pharmacist collaborations for promoting medication safety among community-dwelling adults: A scoping review. </w:t>
      </w:r>
      <w:r w:rsidRPr="00234F15">
        <w:rPr>
          <w:i/>
          <w:iCs/>
          <w:sz w:val="24"/>
          <w:szCs w:val="24"/>
          <w:lang w:val="en-GB"/>
        </w:rPr>
        <w:t>International Journal of Nursing Studies Advances</w:t>
      </w:r>
      <w:r w:rsidRPr="00234F15">
        <w:rPr>
          <w:sz w:val="24"/>
          <w:szCs w:val="24"/>
          <w:lang w:val="en-GB"/>
        </w:rPr>
        <w:t>, 4(4), p.100079. doi:</w:t>
      </w:r>
      <w:hyperlink r:id="rId55">
        <w:r w:rsidRPr="00234F15">
          <w:rPr>
            <w:color w:val="1155CC"/>
            <w:sz w:val="24"/>
            <w:szCs w:val="24"/>
            <w:u w:val="single"/>
            <w:lang w:val="en-GB"/>
          </w:rPr>
          <w:t>https://doi.org/10.1016/j.ijnsa.2022.100079</w:t>
        </w:r>
      </w:hyperlink>
      <w:r w:rsidRPr="00234F15">
        <w:rPr>
          <w:sz w:val="24"/>
          <w:szCs w:val="24"/>
          <w:lang w:val="en-GB"/>
        </w:rPr>
        <w:t xml:space="preserve">. </w:t>
      </w:r>
    </w:p>
    <w:p w14:paraId="0F75C6ED" w14:textId="77777777" w:rsidR="005E21CA" w:rsidRPr="00234F15" w:rsidRDefault="005E21CA">
      <w:pPr>
        <w:pStyle w:val="Normal1"/>
        <w:numPr>
          <w:ilvl w:val="0"/>
          <w:numId w:val="1"/>
        </w:numPr>
        <w:rPr>
          <w:sz w:val="24"/>
          <w:szCs w:val="24"/>
          <w:lang w:val="en-GB"/>
        </w:rPr>
      </w:pPr>
      <w:r w:rsidRPr="00234F15">
        <w:rPr>
          <w:sz w:val="24"/>
          <w:szCs w:val="24"/>
          <w:lang w:val="en-GB"/>
        </w:rPr>
        <w:t xml:space="preserve">Samawi, M., Shah, G.H. and Kimsey, L. (2025). Beyond the Incision: Pediatric Postoperative Sepsis Risk Patterns and Related Adverse Events in U.S. Inpatient Care. </w:t>
      </w:r>
      <w:r w:rsidRPr="00234F15">
        <w:rPr>
          <w:i/>
          <w:iCs/>
          <w:sz w:val="24"/>
          <w:szCs w:val="24"/>
          <w:lang w:val="en-GB"/>
        </w:rPr>
        <w:t>Healthcare</w:t>
      </w:r>
      <w:r w:rsidRPr="00234F15">
        <w:rPr>
          <w:sz w:val="24"/>
          <w:szCs w:val="24"/>
          <w:lang w:val="en-GB"/>
        </w:rPr>
        <w:t>, 13(13), pp.1595–1595. doi:</w:t>
      </w:r>
      <w:hyperlink r:id="rId56">
        <w:r w:rsidRPr="00234F15">
          <w:rPr>
            <w:color w:val="1155CC"/>
            <w:sz w:val="24"/>
            <w:szCs w:val="24"/>
            <w:u w:val="single"/>
            <w:lang w:val="en-GB"/>
          </w:rPr>
          <w:t>https://doi.org/10.3390/healthcare13131595</w:t>
        </w:r>
      </w:hyperlink>
      <w:r w:rsidRPr="00234F15">
        <w:rPr>
          <w:sz w:val="24"/>
          <w:szCs w:val="24"/>
          <w:lang w:val="en-GB"/>
        </w:rPr>
        <w:t xml:space="preserve">. </w:t>
      </w:r>
    </w:p>
    <w:p w14:paraId="345D311D" w14:textId="77777777" w:rsidR="005E21CA" w:rsidRPr="00234F15" w:rsidRDefault="005E21CA">
      <w:pPr>
        <w:pStyle w:val="Normal1"/>
        <w:numPr>
          <w:ilvl w:val="0"/>
          <w:numId w:val="1"/>
        </w:numPr>
        <w:rPr>
          <w:sz w:val="24"/>
          <w:szCs w:val="24"/>
          <w:lang w:val="en-GB"/>
        </w:rPr>
      </w:pPr>
      <w:r w:rsidRPr="00234F15">
        <w:rPr>
          <w:sz w:val="24"/>
          <w:szCs w:val="24"/>
          <w:lang w:val="en-GB"/>
        </w:rPr>
        <w:t xml:space="preserve">Sapkota, S., Dhakal, A., Rushton, S., Teijlingen, E. van , Marahatta, S.B., Balen, J. and Lee, A.C. (2023). The impact of decentralisation on health systems: a systematic review of reviews. </w:t>
      </w:r>
      <w:r w:rsidRPr="00234F15">
        <w:rPr>
          <w:i/>
          <w:iCs/>
          <w:sz w:val="24"/>
          <w:szCs w:val="24"/>
          <w:lang w:val="en-GB"/>
        </w:rPr>
        <w:t>BMJ Global Health</w:t>
      </w:r>
      <w:r w:rsidRPr="00234F15">
        <w:rPr>
          <w:sz w:val="24"/>
          <w:szCs w:val="24"/>
          <w:lang w:val="en-GB"/>
        </w:rPr>
        <w:t>, 8(12), pp.e013317–e013317. doi:</w:t>
      </w:r>
      <w:hyperlink r:id="rId57">
        <w:r w:rsidRPr="00234F15">
          <w:rPr>
            <w:color w:val="1155CC"/>
            <w:sz w:val="24"/>
            <w:szCs w:val="24"/>
            <w:u w:val="single"/>
            <w:lang w:val="en-GB"/>
          </w:rPr>
          <w:t>https://doi.org/10.1136/bmjgh-2023-013317</w:t>
        </w:r>
      </w:hyperlink>
      <w:r w:rsidRPr="00234F15">
        <w:rPr>
          <w:sz w:val="24"/>
          <w:szCs w:val="24"/>
          <w:lang w:val="en-GB"/>
        </w:rPr>
        <w:t xml:space="preserve">. </w:t>
      </w:r>
    </w:p>
    <w:p w14:paraId="7631F628" w14:textId="77777777" w:rsidR="005E21CA" w:rsidRPr="005E21CA" w:rsidRDefault="005E21CA" w:rsidP="005E21CA">
      <w:pPr>
        <w:pStyle w:val="Normal1"/>
        <w:numPr>
          <w:ilvl w:val="0"/>
          <w:numId w:val="1"/>
        </w:numPr>
        <w:spacing w:after="240"/>
        <w:rPr>
          <w:sz w:val="24"/>
          <w:szCs w:val="24"/>
        </w:rPr>
      </w:pPr>
      <w:r w:rsidRPr="005E21CA">
        <w:rPr>
          <w:sz w:val="24"/>
          <w:szCs w:val="24"/>
        </w:rPr>
        <w:t>Saproo, S., Goela, P., Datla, J., &amp; Gautam, K. (2025). Securing Patient Rights and Safety in a Digitally Transformed Healthcare Environment. In </w:t>
      </w:r>
      <w:r w:rsidRPr="005E21CA">
        <w:rPr>
          <w:i/>
          <w:iCs/>
          <w:sz w:val="24"/>
          <w:szCs w:val="24"/>
        </w:rPr>
        <w:t>Exploration of Transformative Technologies in Healthcare 6.0</w:t>
      </w:r>
      <w:r w:rsidRPr="005E21CA">
        <w:rPr>
          <w:sz w:val="24"/>
          <w:szCs w:val="24"/>
        </w:rPr>
        <w:t> (pp. 361-390). IGI Global Scientific Publishing. DOI: 10.4018/979-8-3693-7210-4.ch013</w:t>
      </w:r>
    </w:p>
    <w:p w14:paraId="75BD4773" w14:textId="77777777" w:rsidR="005E21CA" w:rsidRPr="00234F15" w:rsidRDefault="005E21CA">
      <w:pPr>
        <w:pStyle w:val="Normal1"/>
        <w:numPr>
          <w:ilvl w:val="0"/>
          <w:numId w:val="1"/>
        </w:numPr>
        <w:rPr>
          <w:sz w:val="24"/>
          <w:szCs w:val="24"/>
          <w:lang w:val="en-GB"/>
        </w:rPr>
      </w:pPr>
      <w:r w:rsidRPr="00234F15">
        <w:rPr>
          <w:sz w:val="24"/>
          <w:szCs w:val="24"/>
          <w:lang w:val="en-GB"/>
        </w:rPr>
        <w:lastRenderedPageBreak/>
        <w:t xml:space="preserve">Schiller, E.Y. and Mechanic, O.J. (2023). </w:t>
      </w:r>
      <w:r w:rsidRPr="00234F15">
        <w:rPr>
          <w:i/>
          <w:iCs/>
          <w:sz w:val="24"/>
          <w:szCs w:val="24"/>
          <w:lang w:val="en-GB"/>
        </w:rPr>
        <w:t>Opioid overdose</w:t>
      </w:r>
      <w:r w:rsidRPr="00234F15">
        <w:rPr>
          <w:sz w:val="24"/>
          <w:szCs w:val="24"/>
          <w:lang w:val="en-GB"/>
        </w:rPr>
        <w:t xml:space="preserve">. [online] National Library of Medicine. Available at: </w:t>
      </w:r>
      <w:hyperlink r:id="rId58">
        <w:r w:rsidRPr="00234F15">
          <w:rPr>
            <w:color w:val="1155CC"/>
            <w:sz w:val="24"/>
            <w:szCs w:val="24"/>
            <w:u w:val="single"/>
            <w:lang w:val="en-GB"/>
          </w:rPr>
          <w:t>https://www.ncbi.nlm.nih.gov/books/NBK470415/</w:t>
        </w:r>
      </w:hyperlink>
      <w:r w:rsidRPr="00234F15">
        <w:rPr>
          <w:sz w:val="24"/>
          <w:szCs w:val="24"/>
          <w:lang w:val="en-GB"/>
        </w:rPr>
        <w:t xml:space="preserve"> [Accessed 26 Mar. 2026].</w:t>
      </w:r>
    </w:p>
    <w:p w14:paraId="796B0EC5" w14:textId="77777777" w:rsidR="005E21CA" w:rsidRPr="00234F15" w:rsidRDefault="005E21CA">
      <w:pPr>
        <w:pStyle w:val="Normal1"/>
        <w:numPr>
          <w:ilvl w:val="0"/>
          <w:numId w:val="1"/>
        </w:numPr>
        <w:rPr>
          <w:sz w:val="24"/>
          <w:szCs w:val="24"/>
          <w:lang w:val="en-GB"/>
        </w:rPr>
      </w:pPr>
      <w:r w:rsidRPr="00234F15">
        <w:rPr>
          <w:sz w:val="24"/>
          <w:szCs w:val="24"/>
          <w:lang w:val="en-GB"/>
        </w:rPr>
        <w:t xml:space="preserve">Singh, G., Patel, R.H. and Boster, J. (2024). </w:t>
      </w:r>
      <w:r w:rsidRPr="00234F15">
        <w:rPr>
          <w:i/>
          <w:iCs/>
          <w:sz w:val="24"/>
          <w:szCs w:val="24"/>
          <w:lang w:val="en-GB"/>
        </w:rPr>
        <w:t>Root cause analysis and medical error prevention</w:t>
      </w:r>
      <w:r w:rsidRPr="00234F15">
        <w:rPr>
          <w:sz w:val="24"/>
          <w:szCs w:val="24"/>
          <w:lang w:val="en-GB"/>
        </w:rPr>
        <w:t xml:space="preserve">. [online] PubMed. Available at: </w:t>
      </w:r>
      <w:hyperlink r:id="rId59">
        <w:r w:rsidRPr="00234F15">
          <w:rPr>
            <w:color w:val="1155CC"/>
            <w:sz w:val="24"/>
            <w:szCs w:val="24"/>
            <w:u w:val="single"/>
            <w:lang w:val="en-GB"/>
          </w:rPr>
          <w:t>https://www.ncbi.nlm.nih.gov/books/NBK570638/</w:t>
        </w:r>
      </w:hyperlink>
      <w:r w:rsidRPr="00234F15">
        <w:rPr>
          <w:sz w:val="24"/>
          <w:szCs w:val="24"/>
          <w:lang w:val="en-GB"/>
        </w:rPr>
        <w:t xml:space="preserve"> [Accessed 26 Mar. 2026].</w:t>
      </w:r>
    </w:p>
    <w:p w14:paraId="1B228F7C" w14:textId="77777777" w:rsidR="005E21CA" w:rsidRDefault="005E21CA" w:rsidP="00825AF3">
      <w:pPr>
        <w:pStyle w:val="Normal1"/>
        <w:numPr>
          <w:ilvl w:val="0"/>
          <w:numId w:val="1"/>
        </w:numPr>
        <w:spacing w:after="240"/>
        <w:rPr>
          <w:sz w:val="24"/>
          <w:szCs w:val="24"/>
        </w:rPr>
      </w:pPr>
      <w:r w:rsidRPr="005E21CA">
        <w:rPr>
          <w:sz w:val="24"/>
          <w:szCs w:val="24"/>
        </w:rPr>
        <w:t>Sirrs, C. (2024). The moment of patient safety: iatrogenic injury, clinical error and cultures of healthcare in the NHS. </w:t>
      </w:r>
      <w:r w:rsidRPr="005E21CA">
        <w:rPr>
          <w:i/>
          <w:iCs/>
          <w:sz w:val="24"/>
          <w:szCs w:val="24"/>
        </w:rPr>
        <w:t>Social History of Medicine</w:t>
      </w:r>
      <w:r w:rsidRPr="005E21CA">
        <w:rPr>
          <w:sz w:val="24"/>
          <w:szCs w:val="24"/>
        </w:rPr>
        <w:t>, </w:t>
      </w:r>
      <w:r w:rsidRPr="005E21CA">
        <w:rPr>
          <w:i/>
          <w:iCs/>
          <w:sz w:val="24"/>
          <w:szCs w:val="24"/>
        </w:rPr>
        <w:t>37</w:t>
      </w:r>
      <w:r w:rsidRPr="005E21CA">
        <w:rPr>
          <w:sz w:val="24"/>
          <w:szCs w:val="24"/>
        </w:rPr>
        <w:t xml:space="preserve">(1), 93-115. </w:t>
      </w:r>
      <w:hyperlink r:id="rId60" w:history="1">
        <w:r w:rsidRPr="005E21CA">
          <w:rPr>
            <w:rStyle w:val="Hyperlink"/>
            <w:sz w:val="24"/>
            <w:szCs w:val="24"/>
          </w:rPr>
          <w:t>https://doi.org/10.1093/shm/hkad089</w:t>
        </w:r>
      </w:hyperlink>
    </w:p>
    <w:p w14:paraId="17E73B86" w14:textId="77777777" w:rsidR="005E21CA" w:rsidRPr="00234F15" w:rsidRDefault="005E21CA">
      <w:pPr>
        <w:pStyle w:val="Normal1"/>
        <w:numPr>
          <w:ilvl w:val="0"/>
          <w:numId w:val="1"/>
        </w:numPr>
        <w:rPr>
          <w:sz w:val="24"/>
          <w:szCs w:val="24"/>
          <w:lang w:val="en-GB"/>
        </w:rPr>
      </w:pPr>
      <w:r w:rsidRPr="00234F15">
        <w:rPr>
          <w:sz w:val="24"/>
          <w:szCs w:val="24"/>
          <w:lang w:val="en-GB"/>
        </w:rPr>
        <w:t xml:space="preserve">Statista (2023). </w:t>
      </w:r>
      <w:r w:rsidRPr="00234F15">
        <w:rPr>
          <w:i/>
          <w:iCs/>
          <w:sz w:val="24"/>
          <w:szCs w:val="24"/>
          <w:lang w:val="en-GB"/>
        </w:rPr>
        <w:t>Pharmaceuticals: consumer spending 2005-2018 | Statista</w:t>
      </w:r>
      <w:r w:rsidRPr="00234F15">
        <w:rPr>
          <w:sz w:val="24"/>
          <w:szCs w:val="24"/>
          <w:lang w:val="en-GB"/>
        </w:rPr>
        <w:t xml:space="preserve">. [online] Statista. Available at: </w:t>
      </w:r>
      <w:hyperlink r:id="rId61">
        <w:r w:rsidRPr="00234F15">
          <w:rPr>
            <w:color w:val="1155CC"/>
            <w:sz w:val="24"/>
            <w:szCs w:val="24"/>
            <w:u w:val="single"/>
            <w:lang w:val="en-GB"/>
          </w:rPr>
          <w:t>https://www.statista.com/statistics/290087/consumer-spending-on-pharmaceutical-products-in-the-united-kingdom-uk/</w:t>
        </w:r>
      </w:hyperlink>
      <w:r w:rsidRPr="00234F15">
        <w:rPr>
          <w:sz w:val="24"/>
          <w:szCs w:val="24"/>
          <w:lang w:val="en-GB"/>
        </w:rPr>
        <w:t xml:space="preserve"> [Accessed 26 Mar. 2026].</w:t>
      </w:r>
    </w:p>
    <w:p w14:paraId="1CE3555B" w14:textId="77777777" w:rsidR="005E21CA" w:rsidRPr="00234F15" w:rsidRDefault="005E21CA">
      <w:pPr>
        <w:pStyle w:val="Normal1"/>
        <w:numPr>
          <w:ilvl w:val="0"/>
          <w:numId w:val="1"/>
        </w:numPr>
        <w:rPr>
          <w:sz w:val="24"/>
          <w:szCs w:val="24"/>
          <w:lang w:val="en-GB"/>
        </w:rPr>
      </w:pPr>
      <w:r w:rsidRPr="00234F15">
        <w:rPr>
          <w:sz w:val="24"/>
          <w:szCs w:val="24"/>
          <w:lang w:val="en-GB"/>
        </w:rPr>
        <w:t xml:space="preserve">Suryadi, Y., Trisnawati, T. and Al-Amin, A.-A. (2024). The Impact Of Transformational Leadership On Organizational Performance And Employee Motivation. </w:t>
      </w:r>
      <w:r w:rsidRPr="00234F15">
        <w:rPr>
          <w:i/>
          <w:iCs/>
          <w:sz w:val="24"/>
          <w:szCs w:val="24"/>
          <w:lang w:val="en-GB"/>
        </w:rPr>
        <w:t>Transforma Jurnal Manajemen</w:t>
      </w:r>
      <w:r w:rsidRPr="00234F15">
        <w:rPr>
          <w:sz w:val="24"/>
          <w:szCs w:val="24"/>
          <w:lang w:val="en-GB"/>
        </w:rPr>
        <w:t>, 2(2), pp.65–76. doi:</w:t>
      </w:r>
      <w:hyperlink r:id="rId62">
        <w:r w:rsidRPr="00234F15">
          <w:rPr>
            <w:color w:val="1155CC"/>
            <w:sz w:val="24"/>
            <w:szCs w:val="24"/>
            <w:u w:val="single"/>
            <w:lang w:val="en-GB"/>
          </w:rPr>
          <w:t>https://doi.org/10.56457/tjm.v2i2.129</w:t>
        </w:r>
      </w:hyperlink>
      <w:r w:rsidRPr="00234F15">
        <w:rPr>
          <w:sz w:val="24"/>
          <w:szCs w:val="24"/>
          <w:lang w:val="en-GB"/>
        </w:rPr>
        <w:t xml:space="preserve">. </w:t>
      </w:r>
    </w:p>
    <w:p w14:paraId="584E3715" w14:textId="77777777" w:rsidR="005E21CA" w:rsidRPr="00234F15" w:rsidRDefault="005E21CA">
      <w:pPr>
        <w:pStyle w:val="Normal1"/>
        <w:numPr>
          <w:ilvl w:val="0"/>
          <w:numId w:val="1"/>
        </w:numPr>
        <w:rPr>
          <w:sz w:val="24"/>
          <w:szCs w:val="24"/>
          <w:lang w:val="en-GB"/>
        </w:rPr>
      </w:pPr>
      <w:r w:rsidRPr="00234F15">
        <w:rPr>
          <w:sz w:val="24"/>
          <w:szCs w:val="24"/>
          <w:lang w:val="en-GB"/>
        </w:rPr>
        <w:t xml:space="preserve">Tariq, R., Scherbak, Y., Vashisht, R. and Sinha, A. (2024). </w:t>
      </w:r>
      <w:r w:rsidRPr="00234F15">
        <w:rPr>
          <w:i/>
          <w:iCs/>
          <w:sz w:val="24"/>
          <w:szCs w:val="24"/>
          <w:lang w:val="en-GB"/>
        </w:rPr>
        <w:t>Medication dispensing errors and prevention</w:t>
      </w:r>
      <w:r w:rsidRPr="00234F15">
        <w:rPr>
          <w:sz w:val="24"/>
          <w:szCs w:val="24"/>
          <w:lang w:val="en-GB"/>
        </w:rPr>
        <w:t xml:space="preserve">. [online] National Library of Medicine. Available at: </w:t>
      </w:r>
      <w:hyperlink r:id="rId63">
        <w:r w:rsidRPr="00234F15">
          <w:rPr>
            <w:color w:val="1155CC"/>
            <w:sz w:val="24"/>
            <w:szCs w:val="24"/>
            <w:u w:val="single"/>
            <w:lang w:val="en-GB"/>
          </w:rPr>
          <w:t>https://www.ncbi.nlm.nih.gov/books/NBK519065/</w:t>
        </w:r>
      </w:hyperlink>
      <w:r w:rsidRPr="00234F15">
        <w:rPr>
          <w:sz w:val="24"/>
          <w:szCs w:val="24"/>
          <w:lang w:val="en-GB"/>
        </w:rPr>
        <w:t xml:space="preserve"> [Accessed 26 Mar. 2026].</w:t>
      </w:r>
    </w:p>
    <w:p w14:paraId="4BA41538" w14:textId="77777777" w:rsidR="005E21CA" w:rsidRPr="00234F15" w:rsidRDefault="005E21CA">
      <w:pPr>
        <w:pStyle w:val="Normal1"/>
        <w:numPr>
          <w:ilvl w:val="0"/>
          <w:numId w:val="1"/>
        </w:numPr>
        <w:rPr>
          <w:sz w:val="24"/>
          <w:szCs w:val="24"/>
          <w:lang w:val="en-GB"/>
        </w:rPr>
      </w:pPr>
      <w:r w:rsidRPr="00234F15">
        <w:rPr>
          <w:sz w:val="24"/>
          <w:szCs w:val="24"/>
          <w:lang w:val="en-GB"/>
        </w:rPr>
        <w:t xml:space="preserve">Tavares, M.C., Vale, J. and Costa, A. (2024). The Role of Decentralised Managers in Decision-Making in a Large Industrial Company. </w:t>
      </w:r>
      <w:r w:rsidRPr="00234F15">
        <w:rPr>
          <w:i/>
          <w:iCs/>
          <w:sz w:val="24"/>
          <w:szCs w:val="24"/>
          <w:lang w:val="en-GB"/>
        </w:rPr>
        <w:t>Administrative Sciences</w:t>
      </w:r>
      <w:r w:rsidRPr="00234F15">
        <w:rPr>
          <w:sz w:val="24"/>
          <w:szCs w:val="24"/>
          <w:lang w:val="en-GB"/>
        </w:rPr>
        <w:t>, 14(9), pp.202–202. doi:</w:t>
      </w:r>
      <w:hyperlink r:id="rId64">
        <w:r w:rsidRPr="00234F15">
          <w:rPr>
            <w:color w:val="1155CC"/>
            <w:sz w:val="24"/>
            <w:szCs w:val="24"/>
            <w:u w:val="single"/>
            <w:lang w:val="en-GB"/>
          </w:rPr>
          <w:t>https://doi.org/10.3390/admsci14090202</w:t>
        </w:r>
      </w:hyperlink>
      <w:r w:rsidRPr="00234F15">
        <w:rPr>
          <w:sz w:val="24"/>
          <w:szCs w:val="24"/>
          <w:lang w:val="en-GB"/>
        </w:rPr>
        <w:t xml:space="preserve">. </w:t>
      </w:r>
    </w:p>
    <w:p w14:paraId="70CED118" w14:textId="77777777" w:rsidR="005E21CA" w:rsidRPr="00234F15" w:rsidRDefault="005E21CA">
      <w:pPr>
        <w:pStyle w:val="Normal1"/>
        <w:numPr>
          <w:ilvl w:val="0"/>
          <w:numId w:val="1"/>
        </w:numPr>
        <w:rPr>
          <w:sz w:val="24"/>
          <w:szCs w:val="24"/>
          <w:lang w:val="en-GB"/>
        </w:rPr>
      </w:pPr>
      <w:r w:rsidRPr="00234F15">
        <w:rPr>
          <w:sz w:val="24"/>
          <w:szCs w:val="24"/>
          <w:lang w:val="en-GB"/>
        </w:rPr>
        <w:t xml:space="preserve">Taylor, T., Columbus, L., Banner, H., Seemann, N., Duncliffe, T.H. and Pack, R. (2024). ‘The patient is awake and we need to stay calm’: reconsidering indirect communication in the face of medical error and professionalism lapses. </w:t>
      </w:r>
      <w:r w:rsidRPr="00234F15">
        <w:rPr>
          <w:i/>
          <w:iCs/>
          <w:sz w:val="24"/>
          <w:szCs w:val="24"/>
          <w:lang w:val="en-GB"/>
        </w:rPr>
        <w:t>Advances in simulation</w:t>
      </w:r>
      <w:r w:rsidRPr="00234F15">
        <w:rPr>
          <w:sz w:val="24"/>
          <w:szCs w:val="24"/>
          <w:lang w:val="en-GB"/>
        </w:rPr>
        <w:t>, 9(1). doi:</w:t>
      </w:r>
      <w:hyperlink r:id="rId65">
        <w:r w:rsidRPr="00234F15">
          <w:rPr>
            <w:color w:val="1155CC"/>
            <w:sz w:val="24"/>
            <w:szCs w:val="24"/>
            <w:u w:val="single"/>
            <w:lang w:val="en-GB"/>
          </w:rPr>
          <w:t>https://doi.org/10.1186/s41077-024-00293-4</w:t>
        </w:r>
      </w:hyperlink>
      <w:r w:rsidRPr="00234F15">
        <w:rPr>
          <w:sz w:val="24"/>
          <w:szCs w:val="24"/>
          <w:lang w:val="en-GB"/>
        </w:rPr>
        <w:t xml:space="preserve">. </w:t>
      </w:r>
    </w:p>
    <w:p w14:paraId="4938780F" w14:textId="77777777" w:rsidR="005E21CA" w:rsidRPr="00234F15" w:rsidRDefault="005E21CA">
      <w:pPr>
        <w:pStyle w:val="Normal1"/>
        <w:numPr>
          <w:ilvl w:val="0"/>
          <w:numId w:val="1"/>
        </w:numPr>
        <w:rPr>
          <w:sz w:val="24"/>
          <w:szCs w:val="24"/>
          <w:lang w:val="en-GB"/>
        </w:rPr>
      </w:pPr>
      <w:r w:rsidRPr="00234F15">
        <w:rPr>
          <w:sz w:val="24"/>
          <w:szCs w:val="24"/>
          <w:lang w:val="en-GB"/>
        </w:rPr>
        <w:t xml:space="preserve">Thompson, M. (2023). </w:t>
      </w:r>
      <w:r w:rsidRPr="00234F15">
        <w:rPr>
          <w:i/>
          <w:iCs/>
          <w:sz w:val="24"/>
          <w:szCs w:val="24"/>
          <w:lang w:val="en-GB"/>
        </w:rPr>
        <w:t>Culture of silence as NHS staff are scared to report problems, fearing repercussions</w:t>
      </w:r>
      <w:r w:rsidRPr="00234F15">
        <w:rPr>
          <w:sz w:val="24"/>
          <w:szCs w:val="24"/>
          <w:lang w:val="en-GB"/>
        </w:rPr>
        <w:t xml:space="preserve">. [online] Sky News. Available at: </w:t>
      </w:r>
      <w:hyperlink r:id="rId66">
        <w:r w:rsidRPr="00234F15">
          <w:rPr>
            <w:color w:val="1155CC"/>
            <w:sz w:val="24"/>
            <w:szCs w:val="24"/>
            <w:u w:val="single"/>
            <w:lang w:val="en-GB"/>
          </w:rPr>
          <w:t>https://news.sky.com/story/culture-of-silence-as-nhs-staff-are-scared-to-report-problems-fearing-repercussions-12798287</w:t>
        </w:r>
      </w:hyperlink>
      <w:r w:rsidRPr="00234F15">
        <w:rPr>
          <w:sz w:val="24"/>
          <w:szCs w:val="24"/>
          <w:lang w:val="en-GB"/>
        </w:rPr>
        <w:t xml:space="preserve"> [Accessed 26 Mar. 2026].</w:t>
      </w:r>
    </w:p>
    <w:p w14:paraId="1662B87C" w14:textId="77777777" w:rsidR="005E21CA" w:rsidRPr="00234F15" w:rsidRDefault="005E21CA">
      <w:pPr>
        <w:pStyle w:val="Normal1"/>
        <w:numPr>
          <w:ilvl w:val="0"/>
          <w:numId w:val="1"/>
        </w:numPr>
        <w:rPr>
          <w:sz w:val="24"/>
          <w:szCs w:val="24"/>
          <w:lang w:val="en-GB"/>
        </w:rPr>
      </w:pPr>
      <w:r w:rsidRPr="00234F15">
        <w:rPr>
          <w:sz w:val="24"/>
          <w:szCs w:val="24"/>
          <w:lang w:val="en-GB"/>
        </w:rPr>
        <w:lastRenderedPageBreak/>
        <w:t xml:space="preserve">Tsapnidou, E., Kelesi, M., Rovithis, M., Katharakis, G., Gerogianni, G., Dafogianni, C., Toylia, G., Fasoi, G. and Stavropoulou, A. (2024). Transformational leadership—quality achievements and benefits for the healthcare organizations: A scoping review. </w:t>
      </w:r>
      <w:r w:rsidRPr="00234F15">
        <w:rPr>
          <w:i/>
          <w:iCs/>
          <w:sz w:val="24"/>
          <w:szCs w:val="24"/>
          <w:lang w:val="en-GB"/>
        </w:rPr>
        <w:t>Hospitals</w:t>
      </w:r>
      <w:r w:rsidRPr="00234F15">
        <w:rPr>
          <w:sz w:val="24"/>
          <w:szCs w:val="24"/>
          <w:lang w:val="en-GB"/>
        </w:rPr>
        <w:t xml:space="preserve">, 1(1), pp.87–103. </w:t>
      </w:r>
      <w:hyperlink r:id="rId67">
        <w:r w:rsidRPr="00234F15">
          <w:rPr>
            <w:color w:val="1155CC"/>
            <w:sz w:val="24"/>
            <w:szCs w:val="24"/>
            <w:u w:val="single"/>
            <w:lang w:val="en-GB"/>
          </w:rPr>
          <w:t>https://doi.org/10.3390/hospitals1010008</w:t>
        </w:r>
      </w:hyperlink>
      <w:r w:rsidRPr="00234F15">
        <w:rPr>
          <w:sz w:val="24"/>
          <w:szCs w:val="24"/>
          <w:lang w:val="en-GB"/>
        </w:rPr>
        <w:t xml:space="preserve"> </w:t>
      </w:r>
    </w:p>
    <w:p w14:paraId="644C2923" w14:textId="77777777" w:rsidR="005E21CA" w:rsidRPr="00234F15" w:rsidRDefault="005E21CA">
      <w:pPr>
        <w:pStyle w:val="Normal1"/>
        <w:numPr>
          <w:ilvl w:val="0"/>
          <w:numId w:val="1"/>
        </w:numPr>
        <w:rPr>
          <w:sz w:val="24"/>
          <w:szCs w:val="24"/>
          <w:lang w:val="en-GB"/>
        </w:rPr>
      </w:pPr>
      <w:r w:rsidRPr="00234F15">
        <w:rPr>
          <w:sz w:val="24"/>
          <w:szCs w:val="24"/>
          <w:lang w:val="en-GB"/>
        </w:rPr>
        <w:t xml:space="preserve">Vuong, T.D.N. and Nguyen, L.T. (2022). The Key Strategies for Measuring Employee Performance in Companies: A Systematic Review. </w:t>
      </w:r>
      <w:r w:rsidRPr="00234F15">
        <w:rPr>
          <w:i/>
          <w:iCs/>
          <w:sz w:val="24"/>
          <w:szCs w:val="24"/>
          <w:lang w:val="en-GB"/>
        </w:rPr>
        <w:t>Sustainability</w:t>
      </w:r>
      <w:r w:rsidRPr="00234F15">
        <w:rPr>
          <w:sz w:val="24"/>
          <w:szCs w:val="24"/>
          <w:lang w:val="en-GB"/>
        </w:rPr>
        <w:t>, 14(21), pp.1–21. doi:</w:t>
      </w:r>
      <w:hyperlink r:id="rId68">
        <w:r w:rsidRPr="00234F15">
          <w:rPr>
            <w:color w:val="1155CC"/>
            <w:sz w:val="24"/>
            <w:szCs w:val="24"/>
            <w:u w:val="single"/>
            <w:lang w:val="en-GB"/>
          </w:rPr>
          <w:t>https://doi.org/10.3390/su142114017</w:t>
        </w:r>
      </w:hyperlink>
      <w:r w:rsidRPr="00234F15">
        <w:rPr>
          <w:sz w:val="24"/>
          <w:szCs w:val="24"/>
          <w:lang w:val="en-GB"/>
        </w:rPr>
        <w:t xml:space="preserve">. </w:t>
      </w:r>
    </w:p>
    <w:p w14:paraId="58D3177A" w14:textId="77777777" w:rsidR="005E21CA" w:rsidRPr="00234F15" w:rsidRDefault="005E21CA">
      <w:pPr>
        <w:pStyle w:val="Normal1"/>
        <w:numPr>
          <w:ilvl w:val="0"/>
          <w:numId w:val="1"/>
        </w:numPr>
        <w:rPr>
          <w:sz w:val="24"/>
          <w:szCs w:val="24"/>
          <w:lang w:val="en-GB"/>
        </w:rPr>
      </w:pPr>
      <w:r w:rsidRPr="00234F15">
        <w:rPr>
          <w:sz w:val="24"/>
          <w:szCs w:val="24"/>
          <w:lang w:val="en-GB"/>
        </w:rPr>
        <w:t xml:space="preserve">West, M., Dawson, J., Admasachew, L. and Topakas, A. (2021). </w:t>
      </w:r>
      <w:r w:rsidRPr="00234F15">
        <w:rPr>
          <w:i/>
          <w:iCs/>
          <w:sz w:val="24"/>
          <w:szCs w:val="24"/>
          <w:lang w:val="en-GB"/>
        </w:rPr>
        <w:t>NHS Staff Management and Health Service Quality Results from the NHS Staff Survey and Related Data</w:t>
      </w:r>
      <w:r w:rsidRPr="00234F15">
        <w:rPr>
          <w:sz w:val="24"/>
          <w:szCs w:val="24"/>
          <w:lang w:val="en-GB"/>
        </w:rPr>
        <w:t xml:space="preserve">. [online] </w:t>
      </w:r>
      <w:r w:rsidRPr="00234F15">
        <w:rPr>
          <w:i/>
          <w:iCs/>
          <w:sz w:val="24"/>
          <w:szCs w:val="24"/>
          <w:lang w:val="en-GB"/>
        </w:rPr>
        <w:t>Gov.uk</w:t>
      </w:r>
      <w:r w:rsidRPr="00234F15">
        <w:rPr>
          <w:sz w:val="24"/>
          <w:szCs w:val="24"/>
          <w:lang w:val="en-GB"/>
        </w:rPr>
        <w:t xml:space="preserve">. Available at: </w:t>
      </w:r>
      <w:hyperlink r:id="rId69">
        <w:r w:rsidRPr="00234F15">
          <w:rPr>
            <w:color w:val="1155CC"/>
            <w:sz w:val="24"/>
            <w:szCs w:val="24"/>
            <w:u w:val="single"/>
            <w:lang w:val="en-GB"/>
          </w:rPr>
          <w:t>https://assets.publishing.service.gov.uk/media/5a7c8b0eed915d6969f459d5/dh_129656.pdf</w:t>
        </w:r>
      </w:hyperlink>
      <w:r w:rsidRPr="00234F15">
        <w:rPr>
          <w:sz w:val="24"/>
          <w:szCs w:val="24"/>
          <w:lang w:val="en-GB"/>
        </w:rPr>
        <w:t xml:space="preserve"> [Accessed 26 Mar. 2026].</w:t>
      </w:r>
    </w:p>
    <w:p w14:paraId="35389583" w14:textId="77777777" w:rsidR="005E21CA" w:rsidDel="005E21CA" w:rsidRDefault="005E21CA" w:rsidP="00825AF3">
      <w:pPr>
        <w:pStyle w:val="Normal1"/>
        <w:numPr>
          <w:ilvl w:val="0"/>
          <w:numId w:val="1"/>
        </w:numPr>
        <w:spacing w:after="240"/>
        <w:rPr>
          <w:sz w:val="24"/>
          <w:szCs w:val="24"/>
          <w:lang w:val="en-GB"/>
        </w:rPr>
      </w:pPr>
      <w:r w:rsidRPr="00234F15">
        <w:rPr>
          <w:sz w:val="24"/>
          <w:szCs w:val="24"/>
          <w:lang w:val="en-GB"/>
        </w:rPr>
        <w:t xml:space="preserve">WHO (2021). </w:t>
      </w:r>
      <w:r w:rsidRPr="00234F15">
        <w:rPr>
          <w:i/>
          <w:iCs/>
          <w:sz w:val="24"/>
          <w:szCs w:val="24"/>
          <w:lang w:val="en-GB"/>
        </w:rPr>
        <w:t>WHO launches global effort to halve medication-related errors in 5 years</w:t>
      </w:r>
      <w:r w:rsidRPr="00234F15">
        <w:rPr>
          <w:sz w:val="24"/>
          <w:szCs w:val="24"/>
          <w:lang w:val="en-GB"/>
        </w:rPr>
        <w:t xml:space="preserve">. [online] www.who.int. Available at: </w:t>
      </w:r>
      <w:hyperlink r:id="rId70">
        <w:r w:rsidRPr="00234F15">
          <w:rPr>
            <w:color w:val="1155CC"/>
            <w:sz w:val="24"/>
            <w:szCs w:val="24"/>
            <w:u w:val="single"/>
            <w:lang w:val="en-GB"/>
          </w:rPr>
          <w:t>https://www.who.int/news/item/29-03-2017-who-launches-global-effort-to-halve-medication-related-errors-in-5-years</w:t>
        </w:r>
      </w:hyperlink>
      <w:r w:rsidRPr="00234F15">
        <w:rPr>
          <w:sz w:val="24"/>
          <w:szCs w:val="24"/>
          <w:lang w:val="en-GB"/>
        </w:rPr>
        <w:t xml:space="preserve"> [Accessed 26 Mar. 2026].</w:t>
      </w:r>
    </w:p>
    <w:p w14:paraId="56CC9589" w14:textId="77777777" w:rsidR="005E21CA" w:rsidDel="005E21CA" w:rsidRDefault="005E21CA" w:rsidP="00825AF3">
      <w:pPr>
        <w:pStyle w:val="Normal1"/>
        <w:numPr>
          <w:ilvl w:val="0"/>
          <w:numId w:val="1"/>
        </w:numPr>
        <w:spacing w:after="240"/>
        <w:rPr>
          <w:sz w:val="24"/>
          <w:szCs w:val="24"/>
          <w:lang w:val="en-GB"/>
        </w:rPr>
      </w:pPr>
      <w:r w:rsidRPr="005E21CA">
        <w:rPr>
          <w:sz w:val="24"/>
          <w:szCs w:val="24"/>
          <w:lang w:val="en-GB"/>
        </w:rPr>
        <w:t xml:space="preserve">WHO (2022). </w:t>
      </w:r>
      <w:r w:rsidRPr="005E21CA">
        <w:rPr>
          <w:i/>
          <w:iCs/>
          <w:sz w:val="24"/>
          <w:szCs w:val="24"/>
          <w:lang w:val="en-GB"/>
        </w:rPr>
        <w:t>WHAT IS A MEDICATION ERROR?</w:t>
      </w:r>
      <w:r w:rsidRPr="005E21CA">
        <w:rPr>
          <w:sz w:val="24"/>
          <w:szCs w:val="24"/>
          <w:lang w:val="en-GB"/>
        </w:rPr>
        <w:t xml:space="preserve"> [online] Available at: </w:t>
      </w:r>
      <w:hyperlink r:id="rId71">
        <w:r w:rsidRPr="005E21CA">
          <w:rPr>
            <w:color w:val="1155CC"/>
            <w:sz w:val="24"/>
            <w:szCs w:val="24"/>
            <w:u w:val="single"/>
            <w:lang w:val="en-GB"/>
          </w:rPr>
          <w:t>https://cdn.who.int/media/docs/librariesprovider2/country-sites/medication-error-wpsd-final.pdf?sfvrsn=e5853e2a_1&amp;download=true</w:t>
        </w:r>
      </w:hyperlink>
      <w:r w:rsidRPr="005E21CA">
        <w:rPr>
          <w:sz w:val="24"/>
          <w:szCs w:val="24"/>
          <w:lang w:val="en-GB"/>
        </w:rPr>
        <w:t xml:space="preserve"> [Accessed 26 Mar. 2026].</w:t>
      </w:r>
    </w:p>
    <w:p w14:paraId="01918589" w14:textId="77777777" w:rsidR="005E21CA" w:rsidDel="005E21CA" w:rsidRDefault="005E21CA" w:rsidP="00825AF3">
      <w:pPr>
        <w:pStyle w:val="Normal1"/>
        <w:numPr>
          <w:ilvl w:val="0"/>
          <w:numId w:val="1"/>
        </w:numPr>
        <w:spacing w:after="240"/>
        <w:rPr>
          <w:sz w:val="24"/>
          <w:szCs w:val="24"/>
          <w:lang w:val="en-GB"/>
        </w:rPr>
      </w:pPr>
      <w:r w:rsidRPr="005E21CA">
        <w:rPr>
          <w:sz w:val="24"/>
          <w:szCs w:val="24"/>
          <w:lang w:val="en-GB"/>
        </w:rPr>
        <w:t xml:space="preserve">WHO (2023). </w:t>
      </w:r>
      <w:r w:rsidRPr="005E21CA">
        <w:rPr>
          <w:i/>
          <w:iCs/>
          <w:sz w:val="24"/>
          <w:szCs w:val="24"/>
          <w:lang w:val="en-GB"/>
        </w:rPr>
        <w:t>Patient safety</w:t>
      </w:r>
      <w:r w:rsidRPr="005E21CA">
        <w:rPr>
          <w:sz w:val="24"/>
          <w:szCs w:val="24"/>
          <w:lang w:val="en-GB"/>
        </w:rPr>
        <w:t xml:space="preserve">. [online] World Health Organization. Available at: </w:t>
      </w:r>
      <w:hyperlink r:id="rId72">
        <w:r w:rsidRPr="005E21CA">
          <w:rPr>
            <w:color w:val="1155CC"/>
            <w:sz w:val="24"/>
            <w:szCs w:val="24"/>
            <w:u w:val="single"/>
            <w:lang w:val="en-GB"/>
          </w:rPr>
          <w:t>https://www.who.int/news-room/fact-sheets/detail/patient-safety</w:t>
        </w:r>
      </w:hyperlink>
      <w:r w:rsidRPr="005E21CA">
        <w:rPr>
          <w:sz w:val="24"/>
          <w:szCs w:val="24"/>
          <w:lang w:val="en-GB"/>
        </w:rPr>
        <w:t xml:space="preserve"> [Accessed 26 Mar. 2026].</w:t>
      </w:r>
    </w:p>
    <w:p w14:paraId="46BC874D" w14:textId="77777777" w:rsidR="005E21CA" w:rsidRPr="005E21CA" w:rsidDel="005E21CA" w:rsidRDefault="005E21CA" w:rsidP="00825AF3">
      <w:pPr>
        <w:pStyle w:val="Normal1"/>
        <w:numPr>
          <w:ilvl w:val="0"/>
          <w:numId w:val="1"/>
        </w:numPr>
        <w:spacing w:after="240"/>
        <w:rPr>
          <w:sz w:val="24"/>
          <w:szCs w:val="24"/>
          <w:lang w:val="en-GB"/>
        </w:rPr>
      </w:pPr>
      <w:r w:rsidRPr="005E21CA">
        <w:rPr>
          <w:sz w:val="24"/>
          <w:szCs w:val="24"/>
          <w:lang w:val="en-GB"/>
        </w:rPr>
        <w:t xml:space="preserve">Zhang, X., Li, D. and Guo, X. (2022). Antecedents of Responsible Leadership: Proactive and Passive Responsible Leadership Behavior. </w:t>
      </w:r>
      <w:r w:rsidRPr="005E21CA">
        <w:rPr>
          <w:i/>
          <w:iCs/>
          <w:sz w:val="24"/>
          <w:szCs w:val="24"/>
          <w:lang w:val="en-GB"/>
        </w:rPr>
        <w:t>Sustainability</w:t>
      </w:r>
      <w:r w:rsidRPr="005E21CA">
        <w:rPr>
          <w:sz w:val="24"/>
          <w:szCs w:val="24"/>
          <w:lang w:val="en-GB"/>
        </w:rPr>
        <w:t>, 14(14), p.8694. doi:</w:t>
      </w:r>
      <w:hyperlink r:id="rId73">
        <w:r w:rsidRPr="005E21CA">
          <w:rPr>
            <w:color w:val="1155CC"/>
            <w:sz w:val="24"/>
            <w:szCs w:val="24"/>
            <w:u w:val="single"/>
            <w:lang w:val="en-GB"/>
          </w:rPr>
          <w:t>https://doi.org/10.3390/su14148694</w:t>
        </w:r>
      </w:hyperlink>
      <w:r w:rsidRPr="005E21CA">
        <w:rPr>
          <w:sz w:val="24"/>
          <w:szCs w:val="24"/>
          <w:lang w:val="en-GB"/>
        </w:rPr>
        <w:t xml:space="preserve">. </w:t>
      </w:r>
    </w:p>
    <w:p w14:paraId="65B735A9" w14:textId="5C3D6297" w:rsidR="003B163A" w:rsidRPr="00234F15" w:rsidRDefault="003B163A">
      <w:pPr>
        <w:pStyle w:val="Normal1"/>
        <w:spacing w:after="240"/>
        <w:rPr>
          <w:sz w:val="24"/>
          <w:szCs w:val="24"/>
          <w:lang w:val="en-GB"/>
        </w:rPr>
      </w:pPr>
    </w:p>
    <w:p w14:paraId="7FA153F0" w14:textId="77777777" w:rsidR="00822979" w:rsidRPr="00234F15" w:rsidRDefault="00822979">
      <w:pPr>
        <w:pStyle w:val="Normal1"/>
        <w:rPr>
          <w:lang w:val="en-GB"/>
        </w:rPr>
      </w:pPr>
    </w:p>
    <w:p w14:paraId="7FA153F1" w14:textId="77777777" w:rsidR="00822979" w:rsidRPr="00234F15" w:rsidRDefault="00822979">
      <w:pPr>
        <w:pStyle w:val="Normal1"/>
        <w:rPr>
          <w:lang w:val="en-GB"/>
        </w:rPr>
      </w:pPr>
    </w:p>
    <w:p w14:paraId="7FA153F2" w14:textId="77777777" w:rsidR="00822979" w:rsidRPr="00234F15" w:rsidRDefault="00822979">
      <w:pPr>
        <w:pStyle w:val="Title"/>
        <w:rPr>
          <w:lang w:val="en-GB"/>
        </w:rPr>
      </w:pPr>
      <w:bookmarkStart w:id="23" w:name="_iahjbctg0bea" w:colFirst="0" w:colLast="0"/>
      <w:bookmarkEnd w:id="23"/>
    </w:p>
    <w:sectPr w:rsidR="00822979" w:rsidRPr="00234F15" w:rsidSect="00F70CD9">
      <w:footerReference w:type="default" r:id="rId74"/>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40DF0B" w14:textId="77777777" w:rsidR="008252F2" w:rsidRDefault="008252F2" w:rsidP="00822979">
      <w:pPr>
        <w:spacing w:line="240" w:lineRule="auto"/>
      </w:pPr>
      <w:r>
        <w:separator/>
      </w:r>
    </w:p>
  </w:endnote>
  <w:endnote w:type="continuationSeparator" w:id="0">
    <w:p w14:paraId="6F506F42" w14:textId="77777777" w:rsidR="008252F2" w:rsidRDefault="008252F2" w:rsidP="0082297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8A1E0583-7390-43A2-816C-A93808C735E8}"/>
  </w:font>
  <w:font w:name="Calibri">
    <w:panose1 w:val="020F0502020204030204"/>
    <w:charset w:val="00"/>
    <w:family w:val="swiss"/>
    <w:pitch w:val="variable"/>
    <w:sig w:usb0="E4002EFF" w:usb1="C200247B" w:usb2="00000009" w:usb3="00000000" w:csb0="000001FF" w:csb1="00000000"/>
    <w:embedRegular r:id="rId2" w:fontKey="{5428E2AC-AE27-47F8-8F7F-8C629D823B35}"/>
    <w:embedBold r:id="rId3" w:fontKey="{CA10BD19-03E6-42E4-8008-16588EFC6247}"/>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embedRegular r:id="rId4" w:fontKey="{FA9B059C-1361-47EC-9CE9-E3608C989FE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81899813"/>
      <w:docPartObj>
        <w:docPartGallery w:val="Page Numbers (Bottom of Page)"/>
        <w:docPartUnique/>
      </w:docPartObj>
    </w:sdtPr>
    <w:sdtEndPr>
      <w:rPr>
        <w:sz w:val="20"/>
        <w:szCs w:val="20"/>
      </w:rPr>
    </w:sdtEndPr>
    <w:sdtContent>
      <w:p w14:paraId="7FA1540D" w14:textId="77777777" w:rsidR="008125CD" w:rsidRPr="008125CD" w:rsidRDefault="008125CD">
        <w:pPr>
          <w:pStyle w:val="Footer"/>
          <w:jc w:val="right"/>
          <w:rPr>
            <w:sz w:val="20"/>
            <w:szCs w:val="20"/>
          </w:rPr>
        </w:pPr>
        <w:r w:rsidRPr="008125CD">
          <w:rPr>
            <w:sz w:val="20"/>
            <w:szCs w:val="20"/>
          </w:rPr>
          <w:fldChar w:fldCharType="begin"/>
        </w:r>
        <w:r w:rsidRPr="008125CD">
          <w:rPr>
            <w:sz w:val="20"/>
            <w:szCs w:val="20"/>
          </w:rPr>
          <w:instrText xml:space="preserve"> PAGE   \* MERGEFORMAT </w:instrText>
        </w:r>
        <w:r w:rsidRPr="008125CD">
          <w:rPr>
            <w:sz w:val="20"/>
            <w:szCs w:val="20"/>
          </w:rPr>
          <w:fldChar w:fldCharType="separate"/>
        </w:r>
        <w:r w:rsidR="00E6468F">
          <w:rPr>
            <w:noProof/>
            <w:sz w:val="20"/>
            <w:szCs w:val="20"/>
          </w:rPr>
          <w:t>1</w:t>
        </w:r>
        <w:r w:rsidRPr="008125CD">
          <w:rPr>
            <w:sz w:val="20"/>
            <w:szCs w:val="20"/>
          </w:rPr>
          <w:fldChar w:fldCharType="end"/>
        </w:r>
      </w:p>
    </w:sdtContent>
  </w:sdt>
  <w:p w14:paraId="7FA1540E" w14:textId="77777777" w:rsidR="008125CD" w:rsidRDefault="008125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2FB956" w14:textId="77777777" w:rsidR="008252F2" w:rsidRDefault="008252F2" w:rsidP="00822979">
      <w:pPr>
        <w:spacing w:line="240" w:lineRule="auto"/>
      </w:pPr>
      <w:r>
        <w:separator/>
      </w:r>
    </w:p>
  </w:footnote>
  <w:footnote w:type="continuationSeparator" w:id="0">
    <w:p w14:paraId="0EECDF2E" w14:textId="77777777" w:rsidR="008252F2" w:rsidRDefault="008252F2" w:rsidP="0082297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B44CE4"/>
    <w:multiLevelType w:val="multilevel"/>
    <w:tmpl w:val="17161F5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7966805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2979"/>
    <w:rsid w:val="00065B38"/>
    <w:rsid w:val="00073131"/>
    <w:rsid w:val="000D1CD3"/>
    <w:rsid w:val="000D6A70"/>
    <w:rsid w:val="001261CD"/>
    <w:rsid w:val="00234F15"/>
    <w:rsid w:val="003520C7"/>
    <w:rsid w:val="003A5313"/>
    <w:rsid w:val="003B163A"/>
    <w:rsid w:val="00426904"/>
    <w:rsid w:val="00443552"/>
    <w:rsid w:val="00577108"/>
    <w:rsid w:val="005E21CA"/>
    <w:rsid w:val="007C0308"/>
    <w:rsid w:val="008125CD"/>
    <w:rsid w:val="00822979"/>
    <w:rsid w:val="008252F2"/>
    <w:rsid w:val="00825AF3"/>
    <w:rsid w:val="00892DE9"/>
    <w:rsid w:val="008B2110"/>
    <w:rsid w:val="008C26AB"/>
    <w:rsid w:val="008C50F1"/>
    <w:rsid w:val="008F56EB"/>
    <w:rsid w:val="009520EA"/>
    <w:rsid w:val="00972D43"/>
    <w:rsid w:val="009B470D"/>
    <w:rsid w:val="009B4E6E"/>
    <w:rsid w:val="009D3A0B"/>
    <w:rsid w:val="00B00D6E"/>
    <w:rsid w:val="00B062AA"/>
    <w:rsid w:val="00B06AA8"/>
    <w:rsid w:val="00B21D29"/>
    <w:rsid w:val="00B62355"/>
    <w:rsid w:val="00BD5075"/>
    <w:rsid w:val="00D551F8"/>
    <w:rsid w:val="00D57611"/>
    <w:rsid w:val="00D647CD"/>
    <w:rsid w:val="00D65806"/>
    <w:rsid w:val="00D71227"/>
    <w:rsid w:val="00D90817"/>
    <w:rsid w:val="00E6468F"/>
    <w:rsid w:val="00F70CD9"/>
    <w:rsid w:val="00FC6DEF"/>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A1531D"/>
  <w15:docId w15:val="{541F1965-7300-4C95-85FE-81FC830A3E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bn-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822979"/>
    <w:pPr>
      <w:keepNext/>
      <w:keepLines/>
      <w:outlineLvl w:val="0"/>
    </w:pPr>
    <w:rPr>
      <w:b/>
      <w:bCs/>
      <w:sz w:val="28"/>
      <w:szCs w:val="28"/>
    </w:rPr>
  </w:style>
  <w:style w:type="paragraph" w:styleId="Heading2">
    <w:name w:val="heading 2"/>
    <w:basedOn w:val="Normal1"/>
    <w:next w:val="Normal1"/>
    <w:rsid w:val="00822979"/>
    <w:pPr>
      <w:keepNext/>
      <w:keepLines/>
      <w:outlineLvl w:val="1"/>
    </w:pPr>
    <w:rPr>
      <w:b/>
      <w:bCs/>
      <w:sz w:val="24"/>
      <w:szCs w:val="24"/>
    </w:rPr>
  </w:style>
  <w:style w:type="paragraph" w:styleId="Heading3">
    <w:name w:val="heading 3"/>
    <w:basedOn w:val="Normal1"/>
    <w:next w:val="Normal1"/>
    <w:rsid w:val="00822979"/>
    <w:pPr>
      <w:keepNext/>
      <w:keepLines/>
      <w:spacing w:before="320" w:after="80"/>
      <w:outlineLvl w:val="2"/>
    </w:pPr>
    <w:rPr>
      <w:color w:val="434343"/>
      <w:sz w:val="28"/>
      <w:szCs w:val="28"/>
    </w:rPr>
  </w:style>
  <w:style w:type="paragraph" w:styleId="Heading4">
    <w:name w:val="heading 4"/>
    <w:basedOn w:val="Normal1"/>
    <w:next w:val="Normal1"/>
    <w:rsid w:val="00822979"/>
    <w:pPr>
      <w:keepNext/>
      <w:keepLines/>
      <w:spacing w:before="280" w:after="80"/>
      <w:outlineLvl w:val="3"/>
    </w:pPr>
    <w:rPr>
      <w:color w:val="666666"/>
      <w:sz w:val="24"/>
      <w:szCs w:val="24"/>
    </w:rPr>
  </w:style>
  <w:style w:type="paragraph" w:styleId="Heading5">
    <w:name w:val="heading 5"/>
    <w:basedOn w:val="Normal1"/>
    <w:next w:val="Normal1"/>
    <w:rsid w:val="00822979"/>
    <w:pPr>
      <w:keepNext/>
      <w:keepLines/>
      <w:spacing w:before="240" w:after="80"/>
      <w:outlineLvl w:val="4"/>
    </w:pPr>
    <w:rPr>
      <w:color w:val="666666"/>
    </w:rPr>
  </w:style>
  <w:style w:type="paragraph" w:styleId="Heading6">
    <w:name w:val="heading 6"/>
    <w:basedOn w:val="Normal1"/>
    <w:next w:val="Normal1"/>
    <w:rsid w:val="00822979"/>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822979"/>
    <w:tblPr>
      <w:tblCellMar>
        <w:top w:w="100" w:type="dxa"/>
        <w:left w:w="100" w:type="dxa"/>
        <w:bottom w:w="100" w:type="dxa"/>
        <w:right w:w="100" w:type="dxa"/>
      </w:tblCellMar>
    </w:tblPr>
  </w:style>
  <w:style w:type="paragraph" w:customStyle="1" w:styleId="Normal1">
    <w:name w:val="Normal1"/>
    <w:rsid w:val="00822979"/>
  </w:style>
  <w:style w:type="paragraph" w:styleId="Title">
    <w:name w:val="Title"/>
    <w:basedOn w:val="Normal1"/>
    <w:next w:val="Normal1"/>
    <w:rsid w:val="00822979"/>
    <w:pPr>
      <w:keepNext/>
      <w:keepLines/>
      <w:jc w:val="center"/>
    </w:pPr>
    <w:rPr>
      <w:b/>
      <w:bCs/>
      <w:sz w:val="36"/>
      <w:szCs w:val="36"/>
    </w:rPr>
  </w:style>
  <w:style w:type="paragraph" w:styleId="Subtitle">
    <w:name w:val="Subtitle"/>
    <w:basedOn w:val="Normal1"/>
    <w:next w:val="Normal1"/>
    <w:rsid w:val="00822979"/>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234F15"/>
    <w:pPr>
      <w:spacing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234F15"/>
    <w:rPr>
      <w:rFonts w:ascii="Tahoma" w:hAnsi="Tahoma" w:cs="Tahoma"/>
      <w:sz w:val="16"/>
      <w:szCs w:val="20"/>
    </w:rPr>
  </w:style>
  <w:style w:type="paragraph" w:styleId="Header">
    <w:name w:val="header"/>
    <w:basedOn w:val="Normal"/>
    <w:link w:val="HeaderChar"/>
    <w:uiPriority w:val="99"/>
    <w:unhideWhenUsed/>
    <w:rsid w:val="008125CD"/>
    <w:pPr>
      <w:tabs>
        <w:tab w:val="center" w:pos="4680"/>
        <w:tab w:val="right" w:pos="9360"/>
      </w:tabs>
      <w:spacing w:line="240" w:lineRule="auto"/>
    </w:pPr>
    <w:rPr>
      <w:szCs w:val="28"/>
    </w:rPr>
  </w:style>
  <w:style w:type="character" w:customStyle="1" w:styleId="HeaderChar">
    <w:name w:val="Header Char"/>
    <w:basedOn w:val="DefaultParagraphFont"/>
    <w:link w:val="Header"/>
    <w:uiPriority w:val="99"/>
    <w:rsid w:val="008125CD"/>
    <w:rPr>
      <w:szCs w:val="28"/>
    </w:rPr>
  </w:style>
  <w:style w:type="paragraph" w:styleId="Footer">
    <w:name w:val="footer"/>
    <w:basedOn w:val="Normal"/>
    <w:link w:val="FooterChar"/>
    <w:uiPriority w:val="99"/>
    <w:unhideWhenUsed/>
    <w:rsid w:val="008125CD"/>
    <w:pPr>
      <w:tabs>
        <w:tab w:val="center" w:pos="4680"/>
        <w:tab w:val="right" w:pos="9360"/>
      </w:tabs>
      <w:spacing w:line="240" w:lineRule="auto"/>
    </w:pPr>
    <w:rPr>
      <w:szCs w:val="28"/>
    </w:rPr>
  </w:style>
  <w:style w:type="character" w:customStyle="1" w:styleId="FooterChar">
    <w:name w:val="Footer Char"/>
    <w:basedOn w:val="DefaultParagraphFont"/>
    <w:link w:val="Footer"/>
    <w:uiPriority w:val="99"/>
    <w:rsid w:val="008125CD"/>
    <w:rPr>
      <w:szCs w:val="28"/>
    </w:rPr>
  </w:style>
  <w:style w:type="paragraph" w:styleId="TOCHeading">
    <w:name w:val="TOC Heading"/>
    <w:basedOn w:val="Heading1"/>
    <w:next w:val="Normal"/>
    <w:uiPriority w:val="39"/>
    <w:semiHidden/>
    <w:unhideWhenUsed/>
    <w:qFormat/>
    <w:rsid w:val="00F70CD9"/>
    <w:pPr>
      <w:spacing w:before="480" w:line="276" w:lineRule="auto"/>
      <w:jc w:val="left"/>
      <w:outlineLvl w:val="9"/>
    </w:pPr>
    <w:rPr>
      <w:rFonts w:asciiTheme="majorHAnsi" w:eastAsiaTheme="majorEastAsia" w:hAnsiTheme="majorHAnsi" w:cstheme="majorBidi"/>
      <w:color w:val="365F91" w:themeColor="accent1" w:themeShade="BF"/>
      <w:lang w:bidi="ar-SA"/>
    </w:rPr>
  </w:style>
  <w:style w:type="paragraph" w:styleId="TOC1">
    <w:name w:val="toc 1"/>
    <w:basedOn w:val="Normal"/>
    <w:next w:val="Normal"/>
    <w:autoRedefine/>
    <w:uiPriority w:val="39"/>
    <w:unhideWhenUsed/>
    <w:rsid w:val="00F70CD9"/>
    <w:pPr>
      <w:spacing w:after="100"/>
    </w:pPr>
    <w:rPr>
      <w:szCs w:val="28"/>
    </w:rPr>
  </w:style>
  <w:style w:type="paragraph" w:styleId="TOC2">
    <w:name w:val="toc 2"/>
    <w:basedOn w:val="Normal"/>
    <w:next w:val="Normal"/>
    <w:autoRedefine/>
    <w:uiPriority w:val="39"/>
    <w:unhideWhenUsed/>
    <w:rsid w:val="00F70CD9"/>
    <w:pPr>
      <w:spacing w:after="100"/>
      <w:ind w:left="220"/>
    </w:pPr>
    <w:rPr>
      <w:szCs w:val="28"/>
    </w:rPr>
  </w:style>
  <w:style w:type="character" w:styleId="Hyperlink">
    <w:name w:val="Hyperlink"/>
    <w:basedOn w:val="DefaultParagraphFont"/>
    <w:uiPriority w:val="99"/>
    <w:unhideWhenUsed/>
    <w:rsid w:val="00F70CD9"/>
    <w:rPr>
      <w:color w:val="0000FF" w:themeColor="hyperlink"/>
      <w:u w:val="single"/>
    </w:rPr>
  </w:style>
  <w:style w:type="character" w:styleId="CommentReference">
    <w:name w:val="annotation reference"/>
    <w:basedOn w:val="DefaultParagraphFont"/>
    <w:uiPriority w:val="99"/>
    <w:semiHidden/>
    <w:unhideWhenUsed/>
    <w:rsid w:val="00972D43"/>
    <w:rPr>
      <w:sz w:val="16"/>
      <w:szCs w:val="16"/>
    </w:rPr>
  </w:style>
  <w:style w:type="paragraph" w:styleId="CommentText">
    <w:name w:val="annotation text"/>
    <w:basedOn w:val="Normal"/>
    <w:link w:val="CommentTextChar"/>
    <w:uiPriority w:val="99"/>
    <w:semiHidden/>
    <w:unhideWhenUsed/>
    <w:rsid w:val="00972D43"/>
    <w:pPr>
      <w:spacing w:line="240" w:lineRule="auto"/>
    </w:pPr>
    <w:rPr>
      <w:sz w:val="20"/>
      <w:szCs w:val="25"/>
    </w:rPr>
  </w:style>
  <w:style w:type="character" w:customStyle="1" w:styleId="CommentTextChar">
    <w:name w:val="Comment Text Char"/>
    <w:basedOn w:val="DefaultParagraphFont"/>
    <w:link w:val="CommentText"/>
    <w:uiPriority w:val="99"/>
    <w:semiHidden/>
    <w:rsid w:val="00972D43"/>
    <w:rPr>
      <w:sz w:val="20"/>
      <w:szCs w:val="25"/>
    </w:rPr>
  </w:style>
  <w:style w:type="paragraph" w:styleId="CommentSubject">
    <w:name w:val="annotation subject"/>
    <w:basedOn w:val="CommentText"/>
    <w:next w:val="CommentText"/>
    <w:link w:val="CommentSubjectChar"/>
    <w:uiPriority w:val="99"/>
    <w:semiHidden/>
    <w:unhideWhenUsed/>
    <w:rsid w:val="00972D43"/>
    <w:rPr>
      <w:b/>
      <w:bCs/>
    </w:rPr>
  </w:style>
  <w:style w:type="character" w:customStyle="1" w:styleId="CommentSubjectChar">
    <w:name w:val="Comment Subject Char"/>
    <w:basedOn w:val="CommentTextChar"/>
    <w:link w:val="CommentSubject"/>
    <w:uiPriority w:val="99"/>
    <w:semiHidden/>
    <w:rsid w:val="00972D43"/>
    <w:rPr>
      <w:b/>
      <w:bCs/>
      <w:sz w:val="20"/>
      <w:szCs w:val="25"/>
    </w:rPr>
  </w:style>
  <w:style w:type="paragraph" w:styleId="Revision">
    <w:name w:val="Revision"/>
    <w:hidden/>
    <w:uiPriority w:val="99"/>
    <w:semiHidden/>
    <w:rsid w:val="009D3A0B"/>
    <w:pPr>
      <w:spacing w:line="240" w:lineRule="auto"/>
      <w:jc w:val="left"/>
    </w:pPr>
    <w:rPr>
      <w:szCs w:val="28"/>
    </w:rPr>
  </w:style>
  <w:style w:type="character" w:styleId="UnresolvedMention">
    <w:name w:val="Unresolved Mention"/>
    <w:basedOn w:val="DefaultParagraphFont"/>
    <w:uiPriority w:val="99"/>
    <w:semiHidden/>
    <w:unhideWhenUsed/>
    <w:rsid w:val="00D658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doi.org/10.1108/joepp-03-2021-0080" TargetMode="External"/><Relationship Id="rId21" Type="http://schemas.openxmlformats.org/officeDocument/2006/relationships/hyperlink" Target="https://doi.org/10.3390/pharmacy13020050" TargetMode="External"/><Relationship Id="rId42" Type="http://schemas.openxmlformats.org/officeDocument/2006/relationships/hyperlink" Target="https://doi.org/10.3390/jmse11122287" TargetMode="External"/><Relationship Id="rId47" Type="http://schemas.openxmlformats.org/officeDocument/2006/relationships/hyperlink" Target="https://doi.org/10.1080/1533256x.2026.2630196" TargetMode="External"/><Relationship Id="rId63" Type="http://schemas.openxmlformats.org/officeDocument/2006/relationships/hyperlink" Target="https://www.ncbi.nlm.nih.gov/books/NBK519065/" TargetMode="External"/><Relationship Id="rId68" Type="http://schemas.openxmlformats.org/officeDocument/2006/relationships/hyperlink" Target="https://doi.org/10.3390/su142114017" TargetMode="Externa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doi.org/10.3390/fi17010001" TargetMode="External"/><Relationship Id="rId11" Type="http://schemas.openxmlformats.org/officeDocument/2006/relationships/image" Target="media/image4.png"/><Relationship Id="rId24" Type="http://schemas.openxmlformats.org/officeDocument/2006/relationships/hyperlink" Target="https://www.bmj.com/company/%20newsroom/237-million-medication-errors-made-every-year-in-england/" TargetMode="External"/><Relationship Id="rId32" Type="http://schemas.openxmlformats.org/officeDocument/2006/relationships/hyperlink" Target="https://pmc.ncbi.nlm.nih.gov/articles/PMC10329510/pdf/mjiri-37-47.pdf" TargetMode="External"/><Relationship Id="rId37" Type="http://schemas.openxmlformats.org/officeDocument/2006/relationships/hyperlink" Target="https://doi.org/10.1080/1359432x.2021.1968375" TargetMode="External"/><Relationship Id="rId40" Type="http://schemas.openxmlformats.org/officeDocument/2006/relationships/hyperlink" Target="https://www.independent.co.uk/news/world/politics/big-pharma-and-governments-are-turning-a-blind-eye-to-corruption-report-claims-a7059871.html" TargetMode="External"/><Relationship Id="rId45" Type="http://schemas.openxmlformats.org/officeDocument/2006/relationships/hyperlink" Target="https://doi.org/10.1007/s11023-021-09577-4" TargetMode="External"/><Relationship Id="rId53" Type="http://schemas.openxmlformats.org/officeDocument/2006/relationships/hyperlink" Target="https://doi.org/10.1016/j.ocarto.2024.100555" TargetMode="External"/><Relationship Id="rId58" Type="http://schemas.openxmlformats.org/officeDocument/2006/relationships/hyperlink" Target="https://www.ncbi.nlm.nih.gov/books/NBK470415/" TargetMode="External"/><Relationship Id="rId66" Type="http://schemas.openxmlformats.org/officeDocument/2006/relationships/hyperlink" Target="https://news.sky.com/story/culture-of-silence-as-nhs-staff-are-scared-to-report-problems-fearing-repercussions-12798287" TargetMode="External"/><Relationship Id="rId74" Type="http://schemas.openxmlformats.org/officeDocument/2006/relationships/footer" Target="footer1.xml"/><Relationship Id="rId5" Type="http://schemas.openxmlformats.org/officeDocument/2006/relationships/webSettings" Target="webSettings.xml"/><Relationship Id="rId61" Type="http://schemas.openxmlformats.org/officeDocument/2006/relationships/hyperlink" Target="https://www.statista.com/statistics/290087/consumer-spending-on-pharmaceutical-products-in-the-united-kingdom-uk/" TargetMode="External"/><Relationship Id="rId19" Type="http://schemas.openxmlformats.org/officeDocument/2006/relationships/hyperlink" Target="https://doi.org/10.3390/systems12110489" TargetMode="External"/><Relationship Id="rId14" Type="http://schemas.openxmlformats.org/officeDocument/2006/relationships/image" Target="media/image7.png"/><Relationship Id="rId22" Type="http://schemas.openxmlformats.org/officeDocument/2006/relationships/hyperlink" Target="https://doi.org/10.33546/bnj.3249" TargetMode="External"/><Relationship Id="rId27" Type="http://schemas.openxmlformats.org/officeDocument/2006/relationships/hyperlink" Target="https://doi.org/10.3390/jsan12030041" TargetMode="External"/><Relationship Id="rId30" Type="http://schemas.openxmlformats.org/officeDocument/2006/relationships/hyperlink" Target="https://pmc.ncbi.nlm.nih.gov/articles/PMC5651704/figure/Fig1/" TargetMode="External"/><Relationship Id="rId35" Type="http://schemas.openxmlformats.org/officeDocument/2006/relationships/hyperlink" Target="https://doi.org/10.3390/admsci14090225" TargetMode="External"/><Relationship Id="rId43" Type="http://schemas.openxmlformats.org/officeDocument/2006/relationships/hyperlink" Target="https://doi.org/10.1136/bmjoq-2019-000714" TargetMode="External"/><Relationship Id="rId48" Type="http://schemas.openxmlformats.org/officeDocument/2006/relationships/hyperlink" Target="https://www.england.nhs.uk/long-read/nhs-leadership-competency-framework-for-board-members/" TargetMode="External"/><Relationship Id="rId56" Type="http://schemas.openxmlformats.org/officeDocument/2006/relationships/hyperlink" Target="https://doi.org/10.3390/healthcare13131595" TargetMode="External"/><Relationship Id="rId64" Type="http://schemas.openxmlformats.org/officeDocument/2006/relationships/hyperlink" Target="https://doi.org/10.3390/admsci14090202" TargetMode="External"/><Relationship Id="rId69" Type="http://schemas.openxmlformats.org/officeDocument/2006/relationships/hyperlink" Target="https://assets.publishing.service.gov.uk/media/5a7c8b0eed915d6969f459d5/dh_129656.pdf" TargetMode="External"/><Relationship Id="rId8" Type="http://schemas.openxmlformats.org/officeDocument/2006/relationships/image" Target="media/image1.png"/><Relationship Id="rId51" Type="http://schemas.openxmlformats.org/officeDocument/2006/relationships/hyperlink" Target="https://northyorkshireccg.nhs.uk/wp-content/uploads/2023/07/July-2023-NHS-NEY-INFANT-MORPHINE-OVERDOSE-CASE-STUDY.pdf?UNLID=193374120245125844" TargetMode="External"/><Relationship Id="rId72" Type="http://schemas.openxmlformats.org/officeDocument/2006/relationships/hyperlink" Target="https://www.who.int/news-room/fact-sheets/detail/patient-safety"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clydebankbarclay.com/red-drugs-policy/" TargetMode="External"/><Relationship Id="rId33" Type="http://schemas.openxmlformats.org/officeDocument/2006/relationships/hyperlink" Target="https://www.grandviewresearch.com/industry-analysis/uk-health-insurance-market-report" TargetMode="External"/><Relationship Id="rId38" Type="http://schemas.openxmlformats.org/officeDocument/2006/relationships/hyperlink" Target="https://doi.org/10.1108/jhom-08-2024-0358" TargetMode="External"/><Relationship Id="rId46" Type="http://schemas.openxmlformats.org/officeDocument/2006/relationships/hyperlink" Target="https://doi.org/10.1007/s11023-021-09577-4" TargetMode="External"/><Relationship Id="rId59" Type="http://schemas.openxmlformats.org/officeDocument/2006/relationships/hyperlink" Target="https://www.ncbi.nlm.nih.gov/books/NBK570638/" TargetMode="External"/><Relationship Id="rId67" Type="http://schemas.openxmlformats.org/officeDocument/2006/relationships/hyperlink" Target="https://doi.org/10.3390/hospitals1010008" TargetMode="External"/><Relationship Id="rId20" Type="http://schemas.openxmlformats.org/officeDocument/2006/relationships/hyperlink" Target="https://doi.org/10.1186/s12912-025-03758-7" TargetMode="External"/><Relationship Id="rId41" Type="http://schemas.openxmlformats.org/officeDocument/2006/relationships/hyperlink" Target="https://doi.org/10.1186/s13690-017-0221-9" TargetMode="External"/><Relationship Id="rId54" Type="http://schemas.openxmlformats.org/officeDocument/2006/relationships/hyperlink" Target="https://doi.org/10.3310/remd6648" TargetMode="External"/><Relationship Id="rId62" Type="http://schemas.openxmlformats.org/officeDocument/2006/relationships/hyperlink" Target="https://doi.org/10.56457/tjm.v2i2.129" TargetMode="External"/><Relationship Id="rId70" Type="http://schemas.openxmlformats.org/officeDocument/2006/relationships/hyperlink" Target="https://www.who.int/news/item/29-03-2017-who-launches-global-effort-to-halve-medication-related-errors-in-5-years" TargetMode="External"/><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doi.org/10.1016/j.rcsop.2024.100531" TargetMode="External"/><Relationship Id="rId28" Type="http://schemas.openxmlformats.org/officeDocument/2006/relationships/hyperlink" Target="https://doi.org/10.3390/encyclopedia4010037" TargetMode="External"/><Relationship Id="rId36" Type="http://schemas.openxmlformats.org/officeDocument/2006/relationships/hyperlink" Target="https://doi.org/10.1097/PTS.0000000000000937" TargetMode="External"/><Relationship Id="rId49" Type="http://schemas.openxmlformats.org/officeDocument/2006/relationships/hyperlink" Target="https://digital.nhs.uk/data-and-information/publications/statistical/nhs-vacancies-survey/april-2015---june-2025-experimental-statistics" TargetMode="External"/><Relationship Id="rId57" Type="http://schemas.openxmlformats.org/officeDocument/2006/relationships/hyperlink" Target="https://doi.org/10.1136/bmjgh-2023-013317" TargetMode="External"/><Relationship Id="rId10" Type="http://schemas.openxmlformats.org/officeDocument/2006/relationships/image" Target="media/image3.png"/><Relationship Id="rId31" Type="http://schemas.openxmlformats.org/officeDocument/2006/relationships/hyperlink" Target="https://pmc.ncbi.nlm.nih.gov/articles/PMC10151730/pdf/JMEHM-15-7.pdf" TargetMode="External"/><Relationship Id="rId44" Type="http://schemas.openxmlformats.org/officeDocument/2006/relationships/hyperlink" Target="https://doi.org/10.1111/puar.13787" TargetMode="External"/><Relationship Id="rId52" Type="http://schemas.openxmlformats.org/officeDocument/2006/relationships/hyperlink" Target="https://doi.org/10.1016/j.pharma.2022.12.002" TargetMode="External"/><Relationship Id="rId60" Type="http://schemas.openxmlformats.org/officeDocument/2006/relationships/hyperlink" Target="https://doi.org/10.1093/shm/hkad089" TargetMode="External"/><Relationship Id="rId65" Type="http://schemas.openxmlformats.org/officeDocument/2006/relationships/hyperlink" Target="https://doi.org/10.1186/s41077-024-00293-4" TargetMode="External"/><Relationship Id="rId73" Type="http://schemas.openxmlformats.org/officeDocument/2006/relationships/hyperlink" Target="https://doi.org/10.3390/su14148694"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doi.org/10.1016/j.aap.2021.106432" TargetMode="External"/><Relationship Id="rId34" Type="http://schemas.openxmlformats.org/officeDocument/2006/relationships/hyperlink" Target="https://www.redpepper.org.uk/society/health/how-the-left-can-support-drug-law-reform/" TargetMode="External"/><Relationship Id="rId50" Type="http://schemas.openxmlformats.org/officeDocument/2006/relationships/hyperlink" Target="https://digital.nhs.uk/data-and-information/publications/statistical/nhs-vacancies-survey/april-2015---march-2025-experimental-statistics" TargetMode="External"/><Relationship Id="rId55" Type="http://schemas.openxmlformats.org/officeDocument/2006/relationships/hyperlink" Target="https://doi.org/10.1016/j.ijnsa.2022.100079" TargetMode="External"/><Relationship Id="rId76"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hyperlink" Target="https://cdn.who.int/media/docs/librariesprovider2/country-sites/medication-error-wpsd-final.pdf?sfvrsn=e5853e2a_1&amp;download=true"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E8F86D0-26D7-49A3-AC39-16BFDF5CFD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27</Pages>
  <Words>8161</Words>
  <Characters>46522</Characters>
  <Application>Microsoft Office Word</Application>
  <DocSecurity>0</DocSecurity>
  <Lines>387</Lines>
  <Paragraphs>109</Paragraphs>
  <ScaleCrop>false</ScaleCrop>
  <Company/>
  <LinksUpToDate>false</LinksUpToDate>
  <CharactersWithSpaces>54574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Hetal Patel</cp:lastModifiedBy>
  <cp:revision>3</cp:revision>
  <dcterms:created xsi:type="dcterms:W3CDTF">2026-04-11T06:29:00Z</dcterms:created>
  <dcterms:modified xsi:type="dcterms:W3CDTF">2026-04-16T13:00:00Z</dcterms:modified>
</cp:coreProperties>
</file>