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rPr/>
      </w:pPr>
      <w:r w:rsidDel="00000000" w:rsidR="00000000" w:rsidRPr="00000000">
        <w:rPr>
          <w:b w:val="1"/>
          <w:rtl w:val="0"/>
        </w:rPr>
        <w:t xml:space="preserve">Name: </w:t>
      </w:r>
      <w:r w:rsidDel="00000000" w:rsidR="00000000" w:rsidRPr="00000000">
        <w:rPr>
          <w:rtl w:val="0"/>
        </w:rPr>
        <w:t xml:space="preserve">Helen Sanson</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b w:val="1"/>
          <w:rtl w:val="0"/>
        </w:rPr>
        <w:t xml:space="preserve">Student Number: </w:t>
      </w:r>
      <w:r w:rsidDel="00000000" w:rsidR="00000000" w:rsidRPr="00000000">
        <w:rPr>
          <w:rtl w:val="0"/>
        </w:rPr>
        <w:t xml:space="preserve">2236588</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b w:val="1"/>
          <w:rtl w:val="0"/>
        </w:rPr>
        <w:t xml:space="preserve">Module Number:</w:t>
      </w:r>
      <w:r w:rsidDel="00000000" w:rsidR="00000000" w:rsidRPr="00000000">
        <w:rPr>
          <w:rtl w:val="0"/>
        </w:rPr>
        <w:t xml:space="preserve"> BMPF7002</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b w:val="1"/>
          <w:rtl w:val="0"/>
        </w:rPr>
        <w:t xml:space="preserve">Title of Submission: </w:t>
      </w:r>
      <w:r w:rsidDel="00000000" w:rsidR="00000000" w:rsidRPr="00000000">
        <w:rPr>
          <w:rtl w:val="0"/>
        </w:rPr>
        <w:t xml:space="preserve">“Moving Towards a Critical Conceptual Inquiry Through a Critical Review of Conceptual Thinking Practices”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b w:val="1"/>
          <w:rtl w:val="0"/>
        </w:rPr>
        <w:t xml:space="preserve">Module: </w:t>
      </w:r>
      <w:r w:rsidDel="00000000" w:rsidR="00000000" w:rsidRPr="00000000">
        <w:rPr>
          <w:rtl w:val="0"/>
        </w:rPr>
        <w:t xml:space="preserve">Practitioner Learning Project</w:t>
      </w:r>
    </w:p>
    <w:p w:rsidR="00000000" w:rsidDel="00000000" w:rsidP="00000000" w:rsidRDefault="00000000" w:rsidRPr="00000000" w14:paraId="0000000A">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0B">
      <w:pPr>
        <w:jc w:val="center"/>
        <w:rPr>
          <w:b w:val="1"/>
        </w:rPr>
      </w:pPr>
      <w:r w:rsidDel="00000000" w:rsidR="00000000" w:rsidRPr="00000000">
        <w:rPr>
          <w:b w:val="1"/>
          <w:rtl w:val="0"/>
        </w:rPr>
        <w:t xml:space="preserve">Moving Towards a Critical Conceptual Inquiry Through a Critical Review of Conceptual Thinking Practices </w:t>
      </w:r>
    </w:p>
    <w:p w:rsidR="00000000" w:rsidDel="00000000" w:rsidP="00000000" w:rsidRDefault="00000000" w:rsidRPr="00000000" w14:paraId="0000000C">
      <w:pPr>
        <w:rPr>
          <w:b w:val="1"/>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This critical review (CR) explores conceptual thinking practices (CTP) to determine whether problematic situations can be better understood by adopting a critical conceptual inquiry (CCI) approach focusing on context rather than the problem.</w:t>
      </w:r>
    </w:p>
    <w:p w:rsidR="00000000" w:rsidDel="00000000" w:rsidP="00000000" w:rsidRDefault="00000000" w:rsidRPr="00000000" w14:paraId="0000000E">
      <w:pPr>
        <w:rPr>
          <w:b w:val="1"/>
        </w:rPr>
      </w:pPr>
      <w:r w:rsidDel="00000000" w:rsidR="00000000" w:rsidRPr="00000000">
        <w:rPr>
          <w:rtl w:val="0"/>
        </w:rPr>
      </w:r>
    </w:p>
    <w:p w:rsidR="00000000" w:rsidDel="00000000" w:rsidP="00000000" w:rsidRDefault="00000000" w:rsidRPr="00000000" w14:paraId="0000000F">
      <w:pPr>
        <w:rPr/>
      </w:pPr>
      <w:r w:rsidDel="00000000" w:rsidR="00000000" w:rsidRPr="00000000">
        <w:rPr>
          <w:b w:val="1"/>
          <w:rtl w:val="0"/>
        </w:rPr>
        <w:t xml:space="preserve">Introduction</w:t>
      </w: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This paper proposes that prevalent CTPs, which claim to understand the complexity of systems (constructs we perceive to exist) through sense and meaning-making to comprehend problematic situations (PS) and take action, may inadvertently hinder change-making and perpetuate the status quo. This is because any resulting options, choices and decisions through these practices are based on the assumption that the way we see the PS is correct, even with the inclusion of multiple perspectives, as they fail to consider that we draw on our past to anticipate and predict the future and the way we facilitate these practices allows for correcting behavioural inputs, outputs and cognitive representations that suit our perception of reality; therefore, any choices made will affirm our bias significantly as the influence of social constraints such as sex, ability, race, politics, are codified and operationalised into and practice creating an amplification of hierarchies and the power dynamics.  Thus, this bias, in turn, can lead to decisions that only serve to reinforce the dominant worldview. </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The paper argues that complex PSs can be better appreciated by considering if the problem is the problem by focusing on context, by adopting a CCI approach which includes positionality and situatedness, through sense and meaning-making and analysing a PSs constructed history to understand how anticipation, prediction and feelings condition our way of seeing. Context provides a practical ontology of determining if the problem is a problem and how it has come into being to challenge our axiology. By analysing problems as abstract concepts and unpicking their origins, we can establish the history of the PS. However, to reduce bias and understand how we arrived at this way of seeing and how our past affects how we anticipate and thus predict the future, a critical stance is required to open up space for other perspectives and to allow for second-order thinking. This paper critically reviews how CTPs handle complexity and problem-solving through participatory practices that assume the problem is the problem. The paper accepts that our present perception of the problem is fundamental to changing our future; however, without considering that our way of seeing the past and present context could be the issue, especially without a high level of criticality, CTPs fail to shift or improve PS thus retaining the status quo.</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This paper reasons that context, as a condition of our past and present, coexists to form our experiences and shapes how we anticipate and thus predict future events. Unlocking this is key to understanding how we see PSs; however, this must be done critically to see the contextual patterns creating our conceptualisation of systems and revealing the behaviours behind them. Only then can we begin to start the process of problem-solving. The paper argues that understanding complex PS requires considering context by exploring its construction through a CCI that draws upon theories from various social science fields. The CCI’s design will allow a broad spectrum of perspectives to be heard, including those that differ through critical participation and thinking. This will open up the conversation so that it appreciates how our context influences how we see and create solutions. A CCI will assess whether PS is a problem and gain insight into how our previous experiences shape our interpretation of context.</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As this is a short theoretical paper based solely on secondary research, the review only suggests the possibility of a CCI by using context to uncover how we perceive problematic situations through a well-thought-out participatory approach that accounts for power and bias. This would allow participants to see that our ways of seeing are based on our past assumptions and how this flaw impacts our options, choices, decisions, and how we make shifts or improvements.  In sectors with a strong focus on societal issues and the need for shifts and improvements, there has been an inability to solve problems. This is partly due to power dynamics, a need to preserve the status quo, the flawed way PSs are seen, and how things might be improved. This critical review opens up the space for redesigning participatory conceptual thinking practices in such areas using context and criticality at its core to overcome some of these issues. As such, it is organised as follows: The first section looks at why CTP struggle to make shifts and improvements, the second focuses on the principles of participation in conceptual thinking and its drawbacks, such as knowledge production, and the third section examines context as a practical ontology. The final section discusses why a CCI  is required to challenge our axiology.</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b w:val="1"/>
        </w:rPr>
      </w:pPr>
      <w:r w:rsidDel="00000000" w:rsidR="00000000" w:rsidRPr="00000000">
        <w:rPr>
          <w:b w:val="1"/>
          <w:rtl w:val="0"/>
        </w:rPr>
        <w:t xml:space="preserve">Critically Dealing with Problematic Situations</w:t>
      </w:r>
    </w:p>
    <w:p w:rsidR="00000000" w:rsidDel="00000000" w:rsidP="00000000" w:rsidRDefault="00000000" w:rsidRPr="00000000" w14:paraId="00000019">
      <w:pPr>
        <w:rPr/>
      </w:pPr>
      <w:r w:rsidDel="00000000" w:rsidR="00000000" w:rsidRPr="00000000">
        <w:rPr>
          <w:rtl w:val="0"/>
        </w:rPr>
        <w:t xml:space="preserve">CTPs, such as systems, design, future and anticipatory thinking, are based on participatory, observational and modelling approaches underpinned by core concepts such as multiple perspectives, emergence, boundaries, and uncertainty, which are addressed by using experimental and exploratory methods that assist in the inquiry to understand the causal interdependent and interconnected relationships between two or more variables in a problematic situation. Typically, the relationships are dubbed “complex”, “wicked”, or “messy”,  which means you have several hidden, discrete and visible variables with feedback loops that, when modelled and observed, no matter how finite the detail fails to capture, describe and anticipate the problematic situation. This has led to a “must try harder” mindset because no one wants to admit they either have no idea how to solve the problem, they do not understand the problem, or it is not in their interests to do either. In the words of Luhmann (2018)</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“What remains ambivalent is who determines whose problem, how the problem can be solved, and finally, whether the problem named (rather than some other one) has to be solved at all and what state the system will find itself in if it addresses the problem and tries to solve it. Agreement can be reached on defining a problem without having to reach agreement on how to solve it – and vice versa. The distinction between problem and solution thus permits agreement with the reservation that disagreement is possible; or also provisional agreement without being able to foresee how far it will go.”</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Hence, it becomes more pacifying to use these phrases to deflect the fact that we find it difficult to solve these types of problems because of how we anticipate and predict the future. Our way of seeing is compromised since it is only as good as our experiences, which hampers our options and, therefore, our ability to make choices and decisions, so we never confront the issue. </w:t>
      </w: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CTPs counter the variation in the way we see complexity or wicked/messy issues by using interpretive tools that allow for an interplay between the problem holder(s) and the PS, generally through a skilled practitioner who can facilitate the process through participatory generative conversations that yield insights that open up the interdependent and interconnected relationships, varying perspectives, boundaries and uncertainties that reveal the way that it is being perceived, however, despite the overlap between the CTPs and no single school of thought, this has led dysfunction in the field. However, one aspect where there is agreement is that the “problem is the problem”, even if ill-defined, and by using these approaches, they can help to work out </w:t>
      </w:r>
      <w:r w:rsidDel="00000000" w:rsidR="00000000" w:rsidRPr="00000000">
        <w:rPr>
          <w:i w:val="1"/>
          <w:rtl w:val="0"/>
        </w:rPr>
        <w:t xml:space="preserve">why </w:t>
      </w:r>
      <w:r w:rsidDel="00000000" w:rsidR="00000000" w:rsidRPr="00000000">
        <w:rPr>
          <w:rtl w:val="0"/>
        </w:rPr>
        <w:t xml:space="preserve">it is a problem and what might be done to overcome it. This means they omit how they have become a problem that has led to how it is being seen, which would require an understanding of context. </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Although multiple perspectives are sought in the other CTPs, the capture of these is still based on the problem being correct, even if ill-considered, so although they may offer a counter viewpoint, it is still based on the “problem being a problem”. These CTPs fail to consider whether there may be a completely different problem, no problem at all, or if the problem owner has a problem since the problem is only as good as their perception of it, which may be biased in the first place and how these different positions interact and give rise to the present context the problem is being presented. There is in all CTPs the notion of a “worldview”, which differs from perspective, which is used as a counterargument to claim that there is a metaphoric way of seeing the world that is ideological and gives us a way to approach it. A worldview derives from the Kantian philosophical idea of Weltanschauung, where there is a rigid distinction between the “world-in-itself (worldview) and the world-as-constructed-by-our-minds (perspective)”. A worldview is supposed to help us sense and make meaning of our world by answering important questions so that we know how to act in it and which forms and informs our beliefs. However, neuroscience, biology, and psychology have shown that what we know, do, and feel are constructed in our minds to create our reality based on experiences. So, our worldviews and perspectives come from our past, which build and shape the way we act and our beliefs. Therefore, our way of seeing is as much shared as it is unique, as they are both based on lived experiences (learnt through first-hand knowledge) and given experiences (learnt through second-hand knowledge), which constantly evolve, merge, develop and change over time.</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Due to this, CTPs have developed “critical” versions due to concerns that power issues contained within perspectives or worldviews were not being addressed, and without considering them, they helped prop up the status quo by creating solutions that do not consider those out of sight and mind. However, once again, there is no unified definition of what it means to be critical, especially as Midgely (1996) said of systems thinking; it is “an evolving debate around a set of themes that are regarded as important by a significant number of &lt;systems&gt; practitioners.” Thus, criticality is based purely on the practitioner’s definition. However, across the CTPs, an essential critical feature is ensuring that those affected by any outcomes are considered. </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For Systems Thinking, Midgely (1996) defined criticality as, </w:t>
      </w:r>
    </w:p>
    <w:p w:rsidR="00000000" w:rsidDel="00000000" w:rsidP="00000000" w:rsidRDefault="00000000" w:rsidRPr="00000000" w14:paraId="00000026">
      <w:pPr>
        <w:rPr/>
      </w:pPr>
      <w:r w:rsidDel="00000000" w:rsidR="00000000" w:rsidRPr="00000000">
        <w:rPr>
          <w:rtl w:val="0"/>
        </w:rPr>
        <w:t xml:space="preserve">“Critical awareness-examining and re-examining taken-for-granted assumptions, along with the conditions that give rise to them. </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Emancipation- ensuring that research is focused on "improvement," defined temporarily and locally, taking issues of power (which may affect the definition) into account.</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Methodological pluralism-using a variety of research methods in a theoretically coherent manner, becoming aware of their strengths and weaknesses, to address a corresponding variety of issues.”</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In DesignThinking, Malpass (2017) stated, “Critical design practice is used as a medium to engage user audiences and provoke debate. It does this by encouraging its audiences to think critically about themes engendered in the design work. Operating this way, critical design can be described as an affective, rather than an explanatory, practice in so much as it opens lines of inquiry as opposed to providing answers or solutions to questions or design problems.”</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Whereas Ramos (2005) saw criticality in Future and Anticipatory thinking much like Midgely: “...it aims at helping the learner to understand how discourses and popular images of the future are mediated by culture,ideology and worldview; or how we project our institutional and cultural assumptions, ideology, and worldviews onto / into futures research, images and</w:t>
      </w:r>
    </w:p>
    <w:p w:rsidR="00000000" w:rsidDel="00000000" w:rsidP="00000000" w:rsidRDefault="00000000" w:rsidRPr="00000000" w14:paraId="0000002F">
      <w:pPr>
        <w:rPr/>
      </w:pPr>
      <w:r w:rsidDel="00000000" w:rsidR="00000000" w:rsidRPr="00000000">
        <w:rPr>
          <w:rtl w:val="0"/>
        </w:rPr>
        <w:t xml:space="preserve">discourses. At a deeper level it asks how we can know the future, problematising the empirical standard, opening up alternatives frames and epistemological questions. It asks how media (in many forms) privilege or marginalised certain futures over others, or reveal deeper structures. Finally, it aims to pluralise the future, showing how there are alternatives futures embedded in the present.”</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What is noticeable about these definitions is that the problem holder is still doing critical thinking, i.e. those with power are still managing the process of analysing the problem and making judgements. Therefore, critical thinking is based on the dominant ways of seeing, thinking and doing. However, for many years, there have been calls for us to widen our conversation by questioning the context of thinking. Fanon (1963) called on academics and influential people to critically question the colonisation of their minds by interrogating how their methods continue to oppress and extract knowledge from those who are researched. Through this lens, to be critical is to understand how we have arrived at our ways of seeing by working with those with different stories to tell to create new perceptions of reality and, therefore, thinking, which was echoed by Walker (2019) “...communities closest to the problems possess unique insight into the solutions. The power dynamic… is impeding our collective efforts to create a better world.” Being critical requires the problem holder to place the collective view first, “we”, before theirs (I am) to create the “world”. It is only by putting those voices that are least heard or are different from those in power first that a CTP practitioner thinks, sees and acts differently and develops new ways of doing so. However, this requires those with power to become reflective, reflexive, and mindful to adopt second-order thinking, i.e., thinking about our thinking through purposeful introspection.</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b w:val="1"/>
        </w:rPr>
      </w:pPr>
      <w:r w:rsidDel="00000000" w:rsidR="00000000" w:rsidRPr="00000000">
        <w:rPr>
          <w:b w:val="1"/>
          <w:rtl w:val="0"/>
        </w:rPr>
        <w:t xml:space="preserve">CTPs- Struggling to Shift the Paradigm </w:t>
      </w:r>
    </w:p>
    <w:p w:rsidR="00000000" w:rsidDel="00000000" w:rsidP="00000000" w:rsidRDefault="00000000" w:rsidRPr="00000000" w14:paraId="00000034">
      <w:pPr>
        <w:rPr/>
      </w:pPr>
      <w:r w:rsidDel="00000000" w:rsidR="00000000" w:rsidRPr="00000000">
        <w:rPr>
          <w:rtl w:val="0"/>
        </w:rPr>
        <w:t xml:space="preserve">Humans, for the most part, are curious and know that strategically, if we can predict the future, we can take advantage of what is coming to avoid uncertainty, especially if it feels threatening. Therefore, it is advantageous to anticipate what is coming next to understand our world and explore new possibilities. CTPs do this by helping people cope with uncertainty when dealing with PS by finding ways to make shifts and improvements. Predicting future events gives us power, control and preparedness, allowing us to influence outcomes. However, this is not uniform because sometimes we feel we have no power or control when we face PS, or they are handed to us (not being aware or consulted), so we cannot be prepared. CTPs are designed to give us a sense of control and agency by using social learning approaches to engage in discussions that encourage dialogue and open our minds to ways to make shifts and improvements to overcome our PS. Therefore, they are all focused on how we think; however, they often fail to consider how this happens and its implications in making shifts and improvements.</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CTPs are championed for their ability to grasp PS through various participatory approaches, which will lead to change, i.e. shifts and improvements. The first hurdle they often fall at is a failure to consider that systems, the future, or designs are conceptual; they are only physical entities once we will them to be, as they are only understood based on how we perceive reality. Our brains have within them a structure that can accept, reject or alter the data and information they receive to form our experiences, thus our knowledge, skills and behaviours (KSBs), which we use to create perception of reality. This perception allows us to anticipate what we think will happen next, and this predicts the future- however, we will do this in a way that suits our experiences. Therefore, our emotional response to life is based on our experiences, which condition our anticipated response and how we cope with predicted outcomes. Thus, our experiences and KSBs are a byproduct of our interactions between our brain and the data or information it receives, shaping how we see, think and act. So, our behaviour, which is an emotional response, is conditioned by our experiences, shaping how we anticipate and perceive a situation and our predicted outcomes. </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When we use any CTP, it plays upon the idea that once we understand the PS through social participation, inquiry, and learning, we will be motivated by our capabilities to shift and improve behaviours and structures so that change will take effect. However, the context of the PS is often given limited time and space, including us, how we perceive it, and our power over it. </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“If we do not address the power dynamic in the creation of research, at best, we are driving decision-making from partial truths. At worst, we are generating inaccurate information that ultimately does more harm than good... This is why we must care about how research is created.” (Chicago Beyond, 2019)</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To mitigate power dynamics and the context of the PS, CTPs claim that they are transdisciplinary, i.e., research produced by people from various academic and professional disciplines working collaboratively with other stakeholders to think creatively and innovatively based on a wide range of knowledge in an integrated way by using a variety of approaches to address the PS. However, this is the idealised version, as the reality is that due to barriers and constraints such as time, resources, politics and motivation, there are several challenges and criticisms of this way of working (Lawrence, 2002)</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numPr>
          <w:ilvl w:val="0"/>
          <w:numId w:val="1"/>
        </w:numPr>
        <w:ind w:left="720" w:hanging="360"/>
        <w:rPr>
          <w:u w:val="none"/>
        </w:rPr>
      </w:pPr>
      <w:r w:rsidDel="00000000" w:rsidR="00000000" w:rsidRPr="00000000">
        <w:rPr>
          <w:rtl w:val="0"/>
        </w:rPr>
        <w:t xml:space="preserve">A lack of awareness of the existence of a specific problem or a lack of agreement over what exactly the problem is;</w:t>
      </w:r>
    </w:p>
    <w:p w:rsidR="00000000" w:rsidDel="00000000" w:rsidP="00000000" w:rsidRDefault="00000000" w:rsidRPr="00000000" w14:paraId="0000003F">
      <w:pPr>
        <w:numPr>
          <w:ilvl w:val="0"/>
          <w:numId w:val="1"/>
        </w:numPr>
        <w:ind w:left="720" w:hanging="360"/>
        <w:rPr>
          <w:u w:val="none"/>
        </w:rPr>
      </w:pPr>
      <w:r w:rsidDel="00000000" w:rsidR="00000000" w:rsidRPr="00000000">
        <w:rPr>
          <w:rtl w:val="0"/>
        </w:rPr>
        <w:t xml:space="preserve">Unbalanced “problem ownership,” with a dominance of academics driving the research process and limited involvement of non-academic actors in defining the research (including objectives);</w:t>
      </w:r>
    </w:p>
    <w:p w:rsidR="00000000" w:rsidDel="00000000" w:rsidP="00000000" w:rsidRDefault="00000000" w:rsidRPr="00000000" w14:paraId="00000040">
      <w:pPr>
        <w:numPr>
          <w:ilvl w:val="0"/>
          <w:numId w:val="1"/>
        </w:numPr>
        <w:ind w:left="720" w:hanging="360"/>
        <w:rPr>
          <w:u w:val="none"/>
        </w:rPr>
      </w:pPr>
      <w:r w:rsidDel="00000000" w:rsidR="00000000" w:rsidRPr="00000000">
        <w:rPr>
          <w:rtl w:val="0"/>
        </w:rPr>
        <w:t xml:space="preserve">A lack of legitimisation of the team of researchers and actors, including underrepresentation of relevant actor groups;</w:t>
      </w:r>
    </w:p>
    <w:p w:rsidR="00000000" w:rsidDel="00000000" w:rsidP="00000000" w:rsidRDefault="00000000" w:rsidRPr="00000000" w14:paraId="00000041">
      <w:pPr>
        <w:numPr>
          <w:ilvl w:val="0"/>
          <w:numId w:val="1"/>
        </w:numPr>
        <w:ind w:left="720" w:hanging="360"/>
        <w:rPr>
          <w:u w:val="none"/>
        </w:rPr>
      </w:pPr>
      <w:r w:rsidDel="00000000" w:rsidR="00000000" w:rsidRPr="00000000">
        <w:rPr>
          <w:rtl w:val="0"/>
        </w:rPr>
        <w:t xml:space="preserve">Conflicting viewpoints over methodological standards, especially between academic and non-academic participants;</w:t>
      </w:r>
    </w:p>
    <w:p w:rsidR="00000000" w:rsidDel="00000000" w:rsidP="00000000" w:rsidRDefault="00000000" w:rsidRPr="00000000" w14:paraId="00000042">
      <w:pPr>
        <w:numPr>
          <w:ilvl w:val="0"/>
          <w:numId w:val="1"/>
        </w:numPr>
        <w:ind w:left="720" w:hanging="360"/>
        <w:rPr>
          <w:u w:val="none"/>
        </w:rPr>
      </w:pPr>
      <w:r w:rsidDel="00000000" w:rsidR="00000000" w:rsidRPr="00000000">
        <w:rPr>
          <w:rtl w:val="0"/>
        </w:rPr>
        <w:t xml:space="preserve">Challenges around various types of integration (knowledge types, social, organisational, communicative and technical) needed;</w:t>
      </w:r>
    </w:p>
    <w:p w:rsidR="00000000" w:rsidDel="00000000" w:rsidP="00000000" w:rsidRDefault="00000000" w:rsidRPr="00000000" w14:paraId="00000043">
      <w:pPr>
        <w:numPr>
          <w:ilvl w:val="0"/>
          <w:numId w:val="1"/>
        </w:numPr>
        <w:ind w:left="720" w:hanging="360"/>
        <w:rPr>
          <w:u w:val="none"/>
        </w:rPr>
      </w:pPr>
      <w:r w:rsidDel="00000000" w:rsidR="00000000" w:rsidRPr="00000000">
        <w:rPr>
          <w:rtl w:val="0"/>
        </w:rPr>
        <w:t xml:space="preserve">Barriers to maintaining extended periods of engagement of participants in research projects, both internal to the project and externally driven;</w:t>
      </w:r>
    </w:p>
    <w:p w:rsidR="00000000" w:rsidDel="00000000" w:rsidP="00000000" w:rsidRDefault="00000000" w:rsidRPr="00000000" w14:paraId="00000044">
      <w:pPr>
        <w:numPr>
          <w:ilvl w:val="0"/>
          <w:numId w:val="1"/>
        </w:numPr>
        <w:ind w:left="720" w:hanging="360"/>
        <w:rPr>
          <w:u w:val="none"/>
        </w:rPr>
      </w:pPr>
      <w:r w:rsidDel="00000000" w:rsidR="00000000" w:rsidRPr="00000000">
        <w:rPr>
          <w:rtl w:val="0"/>
        </w:rPr>
        <w:t xml:space="preserve">The occasional tendency to keep the co-produced knowledge and results from research projects vague and ambiguous to gain approval from all process participants;</w:t>
      </w:r>
    </w:p>
    <w:p w:rsidR="00000000" w:rsidDel="00000000" w:rsidP="00000000" w:rsidRDefault="00000000" w:rsidRPr="00000000" w14:paraId="00000045">
      <w:pPr>
        <w:numPr>
          <w:ilvl w:val="0"/>
          <w:numId w:val="1"/>
        </w:numPr>
        <w:ind w:left="720" w:hanging="360"/>
        <w:rPr>
          <w:u w:val="none"/>
        </w:rPr>
      </w:pPr>
      <w:r w:rsidDel="00000000" w:rsidR="00000000" w:rsidRPr="00000000">
        <w:rPr>
          <w:rtl w:val="0"/>
        </w:rPr>
        <w:t xml:space="preserve">Reversion to pre-packaged (technical) solutions rather than exploring a range of solution options (due to the fear of failure);</w:t>
      </w:r>
    </w:p>
    <w:p w:rsidR="00000000" w:rsidDel="00000000" w:rsidP="00000000" w:rsidRDefault="00000000" w:rsidRPr="00000000" w14:paraId="00000046">
      <w:pPr>
        <w:numPr>
          <w:ilvl w:val="0"/>
          <w:numId w:val="1"/>
        </w:numPr>
        <w:ind w:left="720" w:hanging="360"/>
        <w:rPr>
          <w:u w:val="none"/>
        </w:rPr>
      </w:pPr>
      <w:r w:rsidDel="00000000" w:rsidR="00000000" w:rsidRPr="00000000">
        <w:rPr>
          <w:rtl w:val="0"/>
        </w:rPr>
        <w:t xml:space="preserve">A limited ability to generalise and scale up the results of specific case studies, as well as to transfer knowledge about the effectiveness of the applied research approach;</w:t>
      </w:r>
    </w:p>
    <w:p w:rsidR="00000000" w:rsidDel="00000000" w:rsidP="00000000" w:rsidRDefault="00000000" w:rsidRPr="00000000" w14:paraId="00000047">
      <w:pPr>
        <w:numPr>
          <w:ilvl w:val="0"/>
          <w:numId w:val="1"/>
        </w:numPr>
        <w:ind w:left="720" w:hanging="360"/>
        <w:rPr>
          <w:u w:val="none"/>
        </w:rPr>
      </w:pPr>
      <w:r w:rsidDel="00000000" w:rsidR="00000000" w:rsidRPr="00000000">
        <w:rPr>
          <w:rtl w:val="0"/>
        </w:rPr>
        <w:t xml:space="preserve">A lack of clarity about what role research results could or should play regarding formally legitimised (non-transdisciplinary) procedures and political processes;</w:t>
      </w:r>
    </w:p>
    <w:p w:rsidR="00000000" w:rsidDel="00000000" w:rsidP="00000000" w:rsidRDefault="00000000" w:rsidRPr="00000000" w14:paraId="00000048">
      <w:pPr>
        <w:numPr>
          <w:ilvl w:val="0"/>
          <w:numId w:val="1"/>
        </w:numPr>
        <w:ind w:left="720" w:hanging="360"/>
        <w:rPr>
          <w:u w:val="none"/>
        </w:rPr>
      </w:pPr>
      <w:r w:rsidDel="00000000" w:rsidR="00000000" w:rsidRPr="00000000">
        <w:rPr>
          <w:rtl w:val="0"/>
        </w:rPr>
        <w:t xml:space="preserve">Occasional distortion, misinterpretation, and misuse of results by project partners who are dissatisfied with the outcomes and implications;</w:t>
      </w:r>
    </w:p>
    <w:p w:rsidR="00000000" w:rsidDel="00000000" w:rsidP="00000000" w:rsidRDefault="00000000" w:rsidRPr="00000000" w14:paraId="00000049">
      <w:pPr>
        <w:numPr>
          <w:ilvl w:val="0"/>
          <w:numId w:val="1"/>
        </w:numPr>
        <w:ind w:left="720" w:hanging="360"/>
        <w:rPr>
          <w:u w:val="none"/>
        </w:rPr>
      </w:pPr>
      <w:r w:rsidDel="00000000" w:rsidR="00000000" w:rsidRPr="00000000">
        <w:rPr>
          <w:rtl w:val="0"/>
        </w:rPr>
        <w:t xml:space="preserve">Difficulty with tracking the societal impacts (and sometimes the far-reaching scientific impacts) of research projects.</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This has implications for the design of a CCI: It would need to address these concerns to be effective. However, consideration of who the transdisciplinary team are needs to be added, as this will set the tone, direction and shape of any CCI and is where the power lies and impacts the outcomes. In some forms of research, problem owners and sometimes participants are asked to consider their positionality, i.e. </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“where one is located regarding their various social identities (gender, race, class, ethnicity, ability, geographical location etc.); the combination of these identities and their intersections shape how we understand and engage with the world, including our knowledges, perspectives, and teaching practices. As individuals and as instructors, we occupy multiple identities that are fluid and dialogical in nature, contextually situated, and continuously amended and reproduced” (Alcoff, 1988). </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There is rarely any consideration of situatedness, i.e., how our minds encompass our conceptual realities and our perception of our physical, cultural, social and environmental realities as two interconnected and interdependent entities, i.e. the close interactive relationship between our mind (intangible) and our environment (tangible) making them inseparable. Therefore, the first step in a CCI would be for the problem owners and participants to question who they are, what their stake is, who are they to be part of this and the risk they pose. They would need to think about the history of the problem, how it relates to them, the organisation and the “world”, and how it has been previously understood, including who has benefitted and who has not. This level of systemic awareness would allow assumptions, biases, and power dynamics to be unearthed before the CCI starts. Typically, these things are built and not considered until long afterwards. If more awareness is built into a CCI, the risks and gains of the PS can be seen from multiple perspectives so that there is more understanding and appreciation of whether the problem is a problem or something else, including the team. It would also help to firm up the problem and issues of ownership of the PS. However, this extra layer would take time, effort and resources, which may make the CCI unfeasible or more exclusionary.  </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b w:val="1"/>
        </w:rPr>
      </w:pPr>
      <w:r w:rsidDel="00000000" w:rsidR="00000000" w:rsidRPr="00000000">
        <w:rPr>
          <w:b w:val="1"/>
          <w:rtl w:val="0"/>
        </w:rPr>
        <w:t xml:space="preserve">Limits to Participation in CTPs</w:t>
      </w:r>
    </w:p>
    <w:p w:rsidR="00000000" w:rsidDel="00000000" w:rsidP="00000000" w:rsidRDefault="00000000" w:rsidRPr="00000000" w14:paraId="00000052">
      <w:pPr>
        <w:rPr/>
      </w:pPr>
      <w:r w:rsidDel="00000000" w:rsidR="00000000" w:rsidRPr="00000000">
        <w:rPr>
          <w:rtl w:val="0"/>
        </w:rPr>
        <w:t xml:space="preserve">The growth of participatory approaches in development, whether in organisations, academia or education, took hold in the 1970s, for example, the rise of Freire. However, they date further back, such as Piaget (20s and 30s) and Dewey (50s and 60s), whose work also feeds into the philosophies of the CTPs. Despite the rise of participatory approaches, how participation is defined is still contested, as various definitions exist. What is similar is that participation is a way to empower people who are part of a process that gives control and influence over a PS, which affects them. Hence, they feel it is shared, collaborative and co-created. This links back to the critical aspects of CTPs discussed earlier. The problem with a lack of definition for participation, as the Hull University Business School states, is “...that the blanket use of the term has masked the heterogeneity evident in its realisation in practice and highlights a lack of transparency in participatory methods.” (Gregory, 2000).</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Each CTP promotes participation as a way to explore and understand a PS. However, power in participatory approaches needs to be more developed, especially regarding how they encourage or prohibit power. Instead, the focus is on overblown claims that participation is required to ensure “greater efficiency and effectiveness of investment and of contributing to processes of democratisation and empowerment…&lt;as the&gt; development interventions are assumed to be solvable by the proper involvement of beneficiaries” (Cleaver, 1999). The issue is whether PS can be solved any more or less effectively through participation since this raises the question again about power as someone will be gatekeeping who can and cannot participate and what participation is. What is clear from all definitions is that regardless of the issues around power, some form of participation is beneficial, if not crucial, for dealing with PS. This is where the notion of a CCI is essential, as it can help overcome some of the issues of power by using boundary techniques such as boundary setting or critique and even scoping and as a way to shift or improve knowledge, skills, and behaviours, which will develop the PS. </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However, for a CCI to be realised, what needs to be carefully considered is how participation can actively encourage open and inclusive generative conversations that recognise “knowledge creation cannot be separated from the identities of the researcher(s) and participants and the unique contexts in which it occurs.”. The trend has been, especially in the third sector and public sector, where they have been dealing with social issues for researchers, i.e. the problem owner, see participation as the key to giving space to “others” such as  “marginalised voices” through “empowerment” so that “authentic” voices from “communities” can be heard so PS can be solved through co-creation. However, when this is deconstructed, it leaves more questions unanswered than answers about how participation has the power as is claimed to do these things in ways that are claimed. What is often unclear exactly is how the problem owner has the power to decide who is “marginalised”, whose voice is “authentic”, what makes “communities” (which assumes such a thing exists) or what power people did not have that they need to be “empowered”.  The definition of these words is often vague and paternalistic. Moreover, the lens is often in deficit, as if these people are in need. As such, the problem owner expects these people to be grateful to take up the opportunity to “take space” and be part of a participatory approach for their betterment. What is not explored is how the problem owner sees the problem and how the participant's inclusion affects them or the problem. Therefore, any participation by others can be extractive even when it is well-meaning, and any benefit to participants is assumed. Unless issues such as power, identity and position are overcome, the way we currently use participatory approaches only serves to reinforce the status quo as they lack criticality. </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Any CCI would need to acknowledge, accept and overcome how knowledge creation and the participants' identities relate to the context of the participatory approach but in other contexts, as everyone concerned will occupy different social, economic and political positions depending on how they are situated in any context. Hall (1997) likened this interplay to sense and meaning-making meaning. Sense and meaning-making are made because of our shifting relation to difference, established through other concepts and ideas based on past experiences in a signifying field. As meaning is relational and not essential, it can never be finally fixed but is subject to the constant process of redefinition and appropriation. So, it loses its old meaning and appropriates and collects new ones through the endless, continuous process of resignification, so the meaning differs in various contexts across time and place. Therefore, the signifier is never fixed, as there is always a sliding scale of meaning. Thus, as part of a CCI, the participants would need to comprehend how they place people on the margins and outside of the boundary and for whom the existence of their identity depends on the resilience of what Hall called the ‘signifying field’ or in systems terms the primary and secondary boundaries. The signifying field or boundaries are constantly being contextually created by those comfortable inside them and controlling perspectives so they are not troubled by those they place outside or on the margins. As such, the participatory approach for a CCI would need to be adaptable to take on board the variable, contextual and changeable relationship based on our positionality and situatedness and how this causes discord. Fraser (2016) calls this discord a ‘boundary struggle’ as there is a conflict between how we are situated and the results offered by the system. Just as much as systems can be exploitative and leave us powerless, they can also grant autonomy and power depending on how we are situated often at the same time. Power, as discussed, is a prominent aspect of CTPs and CCIs. It needs to be balanced for researchers and participants based on their contextual situation, as control will be exerted upon them to varying degrees to maintain hierarchies. On this basis, the approach for a CCI would need to allow the problem owner and participants to quickly see how it will impact them and acknowledge that whilst any interventional outcome may make shifts and improvements, there might also be little to none in others, plus things may get worse while others benefit. </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b w:val="1"/>
        </w:rPr>
      </w:pPr>
      <w:r w:rsidDel="00000000" w:rsidR="00000000" w:rsidRPr="00000000">
        <w:rPr>
          <w:b w:val="1"/>
          <w:rtl w:val="0"/>
        </w:rPr>
        <w:t xml:space="preserve">Context is Critical</w:t>
      </w:r>
    </w:p>
    <w:p w:rsidR="00000000" w:rsidDel="00000000" w:rsidP="00000000" w:rsidRDefault="00000000" w:rsidRPr="00000000" w14:paraId="0000005B">
      <w:pPr>
        <w:rPr/>
      </w:pPr>
      <w:r w:rsidDel="00000000" w:rsidR="00000000" w:rsidRPr="00000000">
        <w:rPr>
          <w:rtl w:val="0"/>
        </w:rPr>
        <w:t xml:space="preserve">Critically understanding a PS</w:t>
      </w:r>
      <w:r w:rsidDel="00000000" w:rsidR="00000000" w:rsidRPr="00000000">
        <w:rPr>
          <w:rtl w:val="0"/>
        </w:rPr>
        <w:t xml:space="preserve"> means moving from focusing on the present, as with CTPs and seeing it in context. A CCI must look at a PS in terms of the past, present and future and appreciate how we have experienced it, which traverses time, space and ideology. We believe that we are only experiencing our context in its present form, but what needs to be considered is that our current perspective is a convergence of experiences drawn from our past and present as they co-occur. As time passes, we interact with both the present and past, and these interactions are also formed from actions that happened long ago in our past (from birth to now). We predict the future based on how we anticipate actions occurring based on our past experiences. As such, what we call the future is just a mix of the past and present interacting with our brain’s sense and meaning-making that gives our ways of seeing. We do not tend to consciously see that our present is a condition of our past, except when we have to recollect, remember or recall. We see the present as being new and unfolding. However, everything we do in the “right here and now” is conditioned by our previous experiences, i.e. the past, so anything we believe is the future is just us projecting the past onto the present. </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All too often, CTPs reduce context down to blunt arguments, such as Caberra, 2021, who, when discussing context in systems thinking, said, </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“Generally speaking, what we've seen in our work and research is that "environment" and "context" and other terminology is often [ironically] used as a way to not look at the system as systemic.”</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One problem with CTPs, typified by Caberra’s quote, is that systems are referred to using the definitive article “the,” which refers to specific or identified things. Systems are conceptual and are seen through the eye of the beholder; therefore, we decide what they look like in our minds based on our experiences, which form our KSBs. The way we conceptualise things is contextual because our thinking is only as good as the time and space in which it occurs. This leads to the second problem: what makes systems systemic? Systemic means </w:t>
      </w:r>
      <w:r w:rsidDel="00000000" w:rsidR="00000000" w:rsidRPr="00000000">
        <w:rPr>
          <w:i w:val="1"/>
          <w:rtl w:val="0"/>
        </w:rPr>
        <w:t xml:space="preserve">something</w:t>
      </w:r>
      <w:r w:rsidDel="00000000" w:rsidR="00000000" w:rsidRPr="00000000">
        <w:rPr>
          <w:rtl w:val="0"/>
        </w:rPr>
        <w:t xml:space="preserve"> that affects the entirety of a system. When discussing political, economic, educational, social, technical, legal and sometimes environmental or human systems, </w:t>
      </w:r>
      <w:r w:rsidDel="00000000" w:rsidR="00000000" w:rsidRPr="00000000">
        <w:rPr>
          <w:i w:val="1"/>
          <w:rtl w:val="0"/>
        </w:rPr>
        <w:t xml:space="preserve">something</w:t>
      </w:r>
      <w:r w:rsidDel="00000000" w:rsidR="00000000" w:rsidRPr="00000000">
        <w:rPr>
          <w:rtl w:val="0"/>
        </w:rPr>
        <w:t xml:space="preserve"> usually refers to how people conceptualise systems. How we conceptualise these systems will depend on our context, which affects how we think about them. This is why systemic problems are pervasive: they require behavioural changes, i.e., how we conceptualise systems. Shifting and improving how we conceptualise systems requires us to recognise that they manifest our experiences based on our context.</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Caberra (2021) stated, "The point is, we want to understand the system. If the environment or the context is important then include it in the system. Sure, there are always externalities, but often those externalities are dampened by system boundaries and hierarchical structure. We should stop using environment and context as discrete encompassing objects that things interact with. The environment and context are the things themselves interacting!”.</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Although they are not discrete objects, they are not things either. Context, of which the environment is part, is a facet of our conceptualised thoughts about systems and is as dynamic, fluid, and constantly moving as our thinking. The problem with the quote, other than believing that systems are the definitive things, is that boundaries and hierarchies diminish the notion of external forces, such as context. However, we conceptualise boundaries and hierarchies, and we do so based on our experiences, which took place in contexts that shaped the way we saw and currently see.  </w:t>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t xml:space="preserve">The trap that CTPs have fallen into is that things are static until we give them meaning, which is seen as context. For example, “a rose” = static; “a red rose” = contextual, which we do consciously and unconsciously. The CCI will be based on the viewpoint that as systems are based on our conceptual thoughts, they are dependent on context, as our thinking is based on our experiences conditioned by the time and space in which they took place. Therefore, conceptual thinking evolves because of context as it alters how things are represented in our thoughts due to the time and space we inhabit. As our conceptual thoughts unfold, we relate them to other contextual experiences, and they become interdependent and interconnected. As such, a CCI must focus on context as part of its design, as any actions taken before, during, and after can only be understood in terms of the context that has given rise to them. In addition, it is only by examining the context that we can know if the problem is the problem or something else, including us and begin to see how the PS has come to be. </w:t>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b w:val="1"/>
        </w:rPr>
      </w:pPr>
      <w:r w:rsidDel="00000000" w:rsidR="00000000" w:rsidRPr="00000000">
        <w:rPr>
          <w:b w:val="1"/>
          <w:rtl w:val="0"/>
        </w:rPr>
        <w:t xml:space="preserve">Is CCI a challenge to our axiology? </w:t>
        <w:tab/>
        <w:tab/>
        <w:t xml:space="preserve">Conclusion and Recommendations</w:t>
      </w:r>
    </w:p>
    <w:p w:rsidR="00000000" w:rsidDel="00000000" w:rsidP="00000000" w:rsidRDefault="00000000" w:rsidRPr="00000000" w14:paraId="0000006A">
      <w:pPr>
        <w:rPr/>
      </w:pPr>
      <w:r w:rsidDel="00000000" w:rsidR="00000000" w:rsidRPr="00000000">
        <w:rPr>
          <w:rtl w:val="0"/>
        </w:rPr>
        <w:t xml:space="preserve">Ackoff (1974) once said that "a mess is a system of interacting problems, none of which can be formulated independently, let alone solved, independently of all the other problems on which it impacts and which impact on it.” CTPs all work on the basis that the PS is correct without acknowledging that this version of it is just a selective conceptualisation of the issue, which could unwittingly end up reinforcing the status quo because even by listening to multiple perspectives, all that is happening is proving the existence of a PS, not that is what one or should be one. There is an inbuilt reductionism in CPTs, making them susceptible to making predictions that confirm and validate rather than disprove and disrupt, as the appreciation of the interaction between context and conceptualisation is not there.</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Luhmann’s quote- “who determines whose problem,” takes on new meaning if context and criticality are used to reframe a PS  as it sets the tone of the inquiry, i.e., what the problem's history is. The way we start when using CTPs, i.e. that the problem is the problem, overlooks that the way it is understood is conceptual and needs to be considered before problem-solving if this is developed as part of an inquiry method like the proposed CCI; this will do two things challenge our axiology and the way we assume that as problem owners that our way of seeing is correct which in steer the inquiry into directions that would never have been thought off including that there is no problem- the only problem is us and our way of seeing. This way, assumptions about problems can be challenged, especially if the context is looked at critically; however, although this paper has shown that a CCI would be a way forward to do this, its ability to challenge will depend on the practitioner leading the inquiry who would also have to be open to being challenged, the willingness of the problem owner to be challenged and for all participants to be open to the challenge. </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A CCI would have to work at a level where everyone who takes part comes with an open heart and mind and is comfortable with their conceptualisation of the PS to be critically deconstructed to determine if the problem is the problem and what part their axiology might be playing in creating that problem. A CCI would need to be able to deal with numerous assumptions, which are the key to understanding the PS and should drive any decision-making and the autonomy of the problem owner, to who owns the PS belongs and whether the findings are accepted or rejected as their power can easily be exerted exclusively over the process leaving it no better than had a typical CTP been used. The key is for the CCI to reveal that our conceptual thoughts are not consistent or constant, and how we anticipate will determine future behaviours. As current practitioner training for the CTPs would not allow for this kind of practice, something would need to be put in place which would give someone a way of dealing with the psychological pressures that it would demand of them and the participants, such as supervision and in-depth reflection and reflexivity. The way we conceptualise problems determines the limitations and opportunities that they present. We know enough about how our experience shapes how we understand PS based on perceived reality. A CCI could be a way to integrate what we know about anticipation, prediction, context, and criticality so that our ways of seeing and thinking are challenged and increase the potential for shifts and improvements through decision-making. This requires getting problem owners to accept that although not everything can be known about a PS, believing that the way it has been stated is the actual problem will only reinforce the status quo. Only by allowing the way we have conceptualised PS to emerge can they be worked upon, as systems are human creations, not physical entities we control. </w:t>
      </w:r>
    </w:p>
    <w:p w:rsidR="00000000" w:rsidDel="00000000" w:rsidP="00000000" w:rsidRDefault="00000000" w:rsidRPr="00000000" w14:paraId="0000006F">
      <w:pPr>
        <w:rPr/>
      </w:pPr>
      <w:r w:rsidDel="00000000" w:rsidR="00000000" w:rsidRPr="00000000">
        <w:rPr>
          <w:rtl w:val="0"/>
        </w:rPr>
        <w:t xml:space="preserve"> </w:t>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b w:val="1"/>
        </w:rPr>
      </w:pPr>
      <w:r w:rsidDel="00000000" w:rsidR="00000000" w:rsidRPr="00000000">
        <w:rPr>
          <w:b w:val="1"/>
          <w:rtl w:val="0"/>
        </w:rPr>
        <w:t xml:space="preserve">References</w:t>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t xml:space="preserve">Alcoff, L. (1988). Cultural Feminism Versus Post-Structuralism: The Identity Crisis in Feminist Theory. </w:t>
      </w:r>
      <w:r w:rsidDel="00000000" w:rsidR="00000000" w:rsidRPr="00000000">
        <w:rPr>
          <w:i w:val="1"/>
          <w:rtl w:val="0"/>
        </w:rPr>
        <w:t xml:space="preserve">Signs: Journal of Women in Culture and Society</w:t>
      </w:r>
      <w:r w:rsidDel="00000000" w:rsidR="00000000" w:rsidRPr="00000000">
        <w:rPr>
          <w:rtl w:val="0"/>
        </w:rPr>
        <w:t xml:space="preserve"> Vol.13, no.3 </w:t>
      </w:r>
    </w:p>
    <w:p w:rsidR="00000000" w:rsidDel="00000000" w:rsidP="00000000" w:rsidRDefault="00000000" w:rsidRPr="00000000" w14:paraId="0000009D">
      <w:pPr>
        <w:spacing w:after="240" w:before="240" w:lineRule="auto"/>
        <w:rPr/>
      </w:pPr>
      <w:r w:rsidDel="00000000" w:rsidR="00000000" w:rsidRPr="00000000">
        <w:rPr>
          <w:rtl w:val="0"/>
        </w:rPr>
        <w:t xml:space="preserve">Ackoff, R. (1974). Redesigning the Future. John Wiley</w:t>
      </w:r>
    </w:p>
    <w:p w:rsidR="00000000" w:rsidDel="00000000" w:rsidP="00000000" w:rsidRDefault="00000000" w:rsidRPr="00000000" w14:paraId="0000009E">
      <w:pPr>
        <w:spacing w:after="240" w:before="240" w:lineRule="auto"/>
        <w:rPr/>
      </w:pPr>
      <w:r w:rsidDel="00000000" w:rsidR="00000000" w:rsidRPr="00000000">
        <w:rPr>
          <w:rtl w:val="0"/>
        </w:rPr>
        <w:t xml:space="preserve">Bate, P. (2014). Perspectives on context, Context is everything, The Health Foundation Available at: </w:t>
      </w:r>
      <w:hyperlink r:id="rId6">
        <w:r w:rsidDel="00000000" w:rsidR="00000000" w:rsidRPr="00000000">
          <w:rPr>
            <w:color w:val="1155cc"/>
            <w:u w:val="single"/>
            <w:rtl w:val="0"/>
          </w:rPr>
          <w:t xml:space="preserve">https://www.health.org.uk/sites/default/files/PerspectivesOnContextBateContextIsEverything.pdf</w:t>
        </w:r>
      </w:hyperlink>
      <w:r w:rsidDel="00000000" w:rsidR="00000000" w:rsidRPr="00000000">
        <w:rPr>
          <w:rtl w:val="0"/>
        </w:rPr>
        <w:t xml:space="preserve">  (Accessed: 06 October 2024)</w:t>
      </w:r>
    </w:p>
    <w:p w:rsidR="00000000" w:rsidDel="00000000" w:rsidP="00000000" w:rsidRDefault="00000000" w:rsidRPr="00000000" w14:paraId="0000009F">
      <w:pPr>
        <w:spacing w:after="240" w:before="240" w:lineRule="auto"/>
        <w:rPr/>
      </w:pPr>
      <w:r w:rsidDel="00000000" w:rsidR="00000000" w:rsidRPr="00000000">
        <w:rPr>
          <w:rtl w:val="0"/>
        </w:rPr>
        <w:t xml:space="preserve">Boudon, R. (1983). Why Theories of Social Change Fail: Some Methodological Thoughts. </w:t>
      </w:r>
      <w:r w:rsidDel="00000000" w:rsidR="00000000" w:rsidRPr="00000000">
        <w:rPr>
          <w:i w:val="1"/>
          <w:rtl w:val="0"/>
        </w:rPr>
        <w:t xml:space="preserve">The Public Opinion Quarterly</w:t>
      </w:r>
      <w:r w:rsidDel="00000000" w:rsidR="00000000" w:rsidRPr="00000000">
        <w:rPr>
          <w:rtl w:val="0"/>
        </w:rPr>
        <w:t xml:space="preserve">, </w:t>
      </w:r>
      <w:r w:rsidDel="00000000" w:rsidR="00000000" w:rsidRPr="00000000">
        <w:rPr>
          <w:i w:val="1"/>
          <w:rtl w:val="0"/>
        </w:rPr>
        <w:t xml:space="preserve">47</w:t>
      </w:r>
      <w:r w:rsidDel="00000000" w:rsidR="00000000" w:rsidRPr="00000000">
        <w:rPr>
          <w:rtl w:val="0"/>
        </w:rPr>
        <w:t xml:space="preserve">(2), 143–160. http://www.jstor.org/stable/2749019</w:t>
      </w:r>
    </w:p>
    <w:p w:rsidR="00000000" w:rsidDel="00000000" w:rsidP="00000000" w:rsidRDefault="00000000" w:rsidRPr="00000000" w14:paraId="000000A0">
      <w:pPr>
        <w:spacing w:after="240" w:before="240" w:lineRule="auto"/>
        <w:rPr/>
      </w:pPr>
      <w:r w:rsidDel="00000000" w:rsidR="00000000" w:rsidRPr="00000000">
        <w:rPr>
          <w:rtl w:val="0"/>
        </w:rPr>
        <w:t xml:space="preserve">Brantly, B. (2011).Why Complex Problems are Complex and Hard To Solve, GovLoop. Available at:</w:t>
      </w:r>
      <w:hyperlink r:id="rId7">
        <w:r w:rsidDel="00000000" w:rsidR="00000000" w:rsidRPr="00000000">
          <w:rPr>
            <w:color w:val="1155cc"/>
            <w:u w:val="single"/>
            <w:rtl w:val="0"/>
          </w:rPr>
          <w:t xml:space="preserve">https://www.govloop.com/community/blog/why-complex-problems-are-complex-and-hard-to-solve/</w:t>
        </w:r>
      </w:hyperlink>
      <w:r w:rsidDel="00000000" w:rsidR="00000000" w:rsidRPr="00000000">
        <w:rPr>
          <w:rtl w:val="0"/>
        </w:rPr>
        <w:t xml:space="preserve"> (Accessed: 06 October 2024)</w:t>
      </w:r>
    </w:p>
    <w:p w:rsidR="00000000" w:rsidDel="00000000" w:rsidP="00000000" w:rsidRDefault="00000000" w:rsidRPr="00000000" w14:paraId="000000A1">
      <w:pPr>
        <w:spacing w:after="240" w:before="240" w:lineRule="auto"/>
        <w:rPr/>
      </w:pPr>
      <w:r w:rsidDel="00000000" w:rsidR="00000000" w:rsidRPr="00000000">
        <w:rPr>
          <w:rtl w:val="0"/>
        </w:rPr>
        <w:t xml:space="preserve">Cabrera, D., and Cabrera, L. (2021). Context is the Enemy. Cabrera Lab. Available at: </w:t>
      </w:r>
      <w:hyperlink r:id="rId8">
        <w:r w:rsidDel="00000000" w:rsidR="00000000" w:rsidRPr="00000000">
          <w:rPr>
            <w:color w:val="1155cc"/>
            <w:u w:val="single"/>
            <w:rtl w:val="0"/>
          </w:rPr>
          <w:t xml:space="preserve">https://blog.cabreraresearch.org/context-is-the-enemy</w:t>
        </w:r>
      </w:hyperlink>
      <w:r w:rsidDel="00000000" w:rsidR="00000000" w:rsidRPr="00000000">
        <w:rPr>
          <w:rtl w:val="0"/>
        </w:rPr>
        <w:t xml:space="preserve">  (Accessed: 06 October 2024)</w:t>
      </w:r>
    </w:p>
    <w:p w:rsidR="00000000" w:rsidDel="00000000" w:rsidP="00000000" w:rsidRDefault="00000000" w:rsidRPr="00000000" w14:paraId="000000A2">
      <w:pPr>
        <w:spacing w:after="240" w:before="240" w:lineRule="auto"/>
        <w:rPr/>
      </w:pPr>
      <w:r w:rsidDel="00000000" w:rsidR="00000000" w:rsidRPr="00000000">
        <w:rPr>
          <w:rtl w:val="0"/>
        </w:rPr>
        <w:t xml:space="preserve">Call-Cummings, M., Dazzo Giovanni, P., and Hauber-Özer, M. (2023). Critical Participatory Inquiry: An Interdisciplinary Guide,  Sage Publishing </w:t>
      </w:r>
    </w:p>
    <w:p w:rsidR="00000000" w:rsidDel="00000000" w:rsidP="00000000" w:rsidRDefault="00000000" w:rsidRPr="00000000" w14:paraId="000000A3">
      <w:pPr>
        <w:spacing w:after="240" w:before="240" w:lineRule="auto"/>
        <w:rPr/>
      </w:pPr>
      <w:r w:rsidDel="00000000" w:rsidR="00000000" w:rsidRPr="00000000">
        <w:rPr>
          <w:rtl w:val="0"/>
        </w:rPr>
        <w:t xml:space="preserve">Call-Cummings, M., Dazzo Giovanni, P., and Hauber-Özer, M. (2023). The Routledge International Handbook of Critical Participatory Inquiry in Transnational Research Contexts,  Routledge</w:t>
      </w:r>
    </w:p>
    <w:p w:rsidR="00000000" w:rsidDel="00000000" w:rsidP="00000000" w:rsidRDefault="00000000" w:rsidRPr="00000000" w14:paraId="000000A4">
      <w:pPr>
        <w:spacing w:after="240" w:before="240" w:lineRule="auto"/>
        <w:rPr/>
      </w:pPr>
      <w:r w:rsidDel="00000000" w:rsidR="00000000" w:rsidRPr="00000000">
        <w:rPr>
          <w:rtl w:val="0"/>
        </w:rPr>
        <w:t xml:space="preserve">Cleaver, F. (1999). Paradoxes Of Participation: Questioning Participatory Approaches To Development Journal of International Development J. Int. Dev. 11, 597±612 Available at </w:t>
      </w:r>
      <w:hyperlink r:id="rId9">
        <w:r w:rsidDel="00000000" w:rsidR="00000000" w:rsidRPr="00000000">
          <w:rPr>
            <w:color w:val="1155cc"/>
            <w:u w:val="single"/>
            <w:rtl w:val="0"/>
          </w:rPr>
          <w:t xml:space="preserve">http://doi/pdf/10.1002/28291099132828199</w:t>
        </w:r>
      </w:hyperlink>
      <w:r w:rsidDel="00000000" w:rsidR="00000000" w:rsidRPr="00000000">
        <w:rPr>
          <w:rtl w:val="0"/>
        </w:rPr>
      </w:r>
    </w:p>
    <w:p w:rsidR="00000000" w:rsidDel="00000000" w:rsidP="00000000" w:rsidRDefault="00000000" w:rsidRPr="00000000" w14:paraId="000000A5">
      <w:pPr>
        <w:spacing w:after="240" w:before="240" w:lineRule="auto"/>
        <w:rPr/>
      </w:pPr>
      <w:r w:rsidDel="00000000" w:rsidR="00000000" w:rsidRPr="00000000">
        <w:rPr>
          <w:rtl w:val="0"/>
        </w:rPr>
        <w:t xml:space="preserve">Davis, R., Campbell, R., Hildon, Z., Hobbs, L., and Michie, S. (2015). Theories of behaviour and behaviour change across the social and behavioural sciences: a scoping review. </w:t>
      </w:r>
      <w:r w:rsidDel="00000000" w:rsidR="00000000" w:rsidRPr="00000000">
        <w:rPr>
          <w:i w:val="1"/>
          <w:rtl w:val="0"/>
        </w:rPr>
        <w:t xml:space="preserve">Health psychology review</w:t>
      </w:r>
      <w:r w:rsidDel="00000000" w:rsidR="00000000" w:rsidRPr="00000000">
        <w:rPr>
          <w:rtl w:val="0"/>
        </w:rPr>
        <w:t xml:space="preserve">, 9(3), 323–344. https://doi.org/10.1080/17437199.2014.941722</w:t>
      </w:r>
      <w:r w:rsidDel="00000000" w:rsidR="00000000" w:rsidRPr="00000000">
        <w:rPr>
          <w:rtl w:val="0"/>
        </w:rPr>
      </w:r>
    </w:p>
    <w:p w:rsidR="00000000" w:rsidDel="00000000" w:rsidP="00000000" w:rsidRDefault="00000000" w:rsidRPr="00000000" w14:paraId="000000A6">
      <w:pPr>
        <w:spacing w:after="240" w:before="240" w:lineRule="auto"/>
        <w:rPr/>
      </w:pPr>
      <w:r w:rsidDel="00000000" w:rsidR="00000000" w:rsidRPr="00000000">
        <w:rPr>
          <w:rtl w:val="0"/>
        </w:rPr>
        <w:t xml:space="preserve">Etkind, M., and Shafrir, U. (2019). Pedagogy for Conceptual Thinking and Meaning Equivalence: Emerging Research and Opportunities. IGI Global.</w:t>
      </w:r>
    </w:p>
    <w:p w:rsidR="00000000" w:rsidDel="00000000" w:rsidP="00000000" w:rsidRDefault="00000000" w:rsidRPr="00000000" w14:paraId="000000A7">
      <w:pPr>
        <w:spacing w:after="240" w:before="240" w:lineRule="auto"/>
        <w:rPr/>
      </w:pPr>
      <w:r w:rsidDel="00000000" w:rsidR="00000000" w:rsidRPr="00000000">
        <w:rPr>
          <w:rtl w:val="0"/>
        </w:rPr>
        <w:t xml:space="preserve">Fanon, F (1963). The Wretched of the Earth, Grove Press</w:t>
      </w:r>
    </w:p>
    <w:p w:rsidR="00000000" w:rsidDel="00000000" w:rsidP="00000000" w:rsidRDefault="00000000" w:rsidRPr="00000000" w14:paraId="000000A8">
      <w:pPr>
        <w:spacing w:after="240" w:before="240" w:lineRule="auto"/>
        <w:rPr/>
      </w:pPr>
      <w:r w:rsidDel="00000000" w:rsidR="00000000" w:rsidRPr="00000000">
        <w:rPr>
          <w:rtl w:val="0"/>
        </w:rPr>
        <w:t xml:space="preserve">Frazer, N. (2016). Contradictions of Capital and Care, New Left Review, 100 July - August 2016 Available at: </w:t>
      </w:r>
      <w:hyperlink r:id="rId10">
        <w:r w:rsidDel="00000000" w:rsidR="00000000" w:rsidRPr="00000000">
          <w:rPr>
            <w:color w:val="1155cc"/>
            <w:u w:val="single"/>
            <w:rtl w:val="0"/>
          </w:rPr>
          <w:t xml:space="preserve">https://newleftreview.org/issues/ii100/articles/nancy-fraser-contradictions-of-capital-and-care</w:t>
        </w:r>
      </w:hyperlink>
      <w:r w:rsidDel="00000000" w:rsidR="00000000" w:rsidRPr="00000000">
        <w:rPr>
          <w:rtl w:val="0"/>
        </w:rPr>
        <w:t xml:space="preserve"> (Accessed: 06 October 2024)</w:t>
      </w:r>
    </w:p>
    <w:p w:rsidR="00000000" w:rsidDel="00000000" w:rsidP="00000000" w:rsidRDefault="00000000" w:rsidRPr="00000000" w14:paraId="000000A9">
      <w:pPr>
        <w:rPr/>
      </w:pPr>
      <w:r w:rsidDel="00000000" w:rsidR="00000000" w:rsidRPr="00000000">
        <w:rPr>
          <w:rtl w:val="0"/>
        </w:rPr>
        <w:t xml:space="preserve">Gregory, A. (2000). Problematizing Participation: A Critical Review of Approaches to Participation in Evaluation Theory. Evaluation, 6(2), 179–199. </w:t>
      </w:r>
      <w:hyperlink r:id="rId11">
        <w:r w:rsidDel="00000000" w:rsidR="00000000" w:rsidRPr="00000000">
          <w:rPr>
            <w:color w:val="1155cc"/>
            <w:u w:val="single"/>
            <w:rtl w:val="0"/>
          </w:rPr>
          <w:t xml:space="preserve">https://doi.org/10.1177/13563890022209208</w:t>
        </w:r>
      </w:hyperlink>
      <w:r w:rsidDel="00000000" w:rsidR="00000000" w:rsidRPr="00000000">
        <w:rPr>
          <w:rtl w:val="0"/>
        </w:rPr>
      </w:r>
    </w:p>
    <w:p w:rsidR="00000000" w:rsidDel="00000000" w:rsidP="00000000" w:rsidRDefault="00000000" w:rsidRPr="00000000" w14:paraId="000000AA">
      <w:pPr>
        <w:spacing w:after="240" w:before="240" w:lineRule="auto"/>
        <w:rPr/>
      </w:pPr>
      <w:r w:rsidDel="00000000" w:rsidR="00000000" w:rsidRPr="00000000">
        <w:rPr>
          <w:rtl w:val="0"/>
        </w:rPr>
        <w:t xml:space="preserve">Hall, S (1997). Race and the Floating Signifier, Media Education Foundation. Available at: </w:t>
      </w:r>
      <w:hyperlink r:id="rId12">
        <w:r w:rsidDel="00000000" w:rsidR="00000000" w:rsidRPr="00000000">
          <w:rPr>
            <w:color w:val="1155cc"/>
            <w:u w:val="single"/>
            <w:rtl w:val="0"/>
          </w:rPr>
          <w:t xml:space="preserve">https://www.mediaed.org/transcripts/Stuart-Hall-Race-the-Floating-Signifier-Transcript.pdf</w:t>
        </w:r>
      </w:hyperlink>
      <w:r w:rsidDel="00000000" w:rsidR="00000000" w:rsidRPr="00000000">
        <w:rPr>
          <w:rtl w:val="0"/>
        </w:rPr>
        <w:t xml:space="preserve">  (Accessed: 06 October 2024)</w:t>
      </w:r>
    </w:p>
    <w:p w:rsidR="00000000" w:rsidDel="00000000" w:rsidP="00000000" w:rsidRDefault="00000000" w:rsidRPr="00000000" w14:paraId="000000AB">
      <w:pPr>
        <w:rPr/>
      </w:pPr>
      <w:r w:rsidDel="00000000" w:rsidR="00000000" w:rsidRPr="00000000">
        <w:rPr>
          <w:rtl w:val="0"/>
        </w:rPr>
        <w:t xml:space="preserve">Hodgson, A. (2013). Towards an ontology of the present moment, </w:t>
      </w:r>
      <w:r w:rsidDel="00000000" w:rsidR="00000000" w:rsidRPr="00000000">
        <w:rPr>
          <w:i w:val="1"/>
          <w:rtl w:val="0"/>
        </w:rPr>
        <w:t xml:space="preserve">On the Horizon,</w:t>
      </w:r>
      <w:r w:rsidDel="00000000" w:rsidR="00000000" w:rsidRPr="00000000">
        <w:rPr>
          <w:rtl w:val="0"/>
        </w:rPr>
        <w:t xml:space="preserve"> Vol. 21 Iss: 1 pp. 24 - 38 Available at: </w:t>
      </w:r>
      <w:hyperlink r:id="rId13">
        <w:r w:rsidDel="00000000" w:rsidR="00000000" w:rsidRPr="00000000">
          <w:rPr>
            <w:color w:val="1155cc"/>
            <w:u w:val="single"/>
            <w:rtl w:val="0"/>
          </w:rPr>
          <w:t xml:space="preserve">http://dx.doi.org/10.1108/10748121311297049</w:t>
        </w:r>
      </w:hyperlink>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t xml:space="preserve">Jackson, M. and Cox, D. (2012). The Principles of Experimental Design and Their Application in Sociology. </w:t>
      </w:r>
      <w:r w:rsidDel="00000000" w:rsidR="00000000" w:rsidRPr="00000000">
        <w:rPr>
          <w:i w:val="1"/>
          <w:rtl w:val="0"/>
        </w:rPr>
        <w:t xml:space="preserve">Annual Review of Sociology</w:t>
      </w:r>
      <w:r w:rsidDel="00000000" w:rsidR="00000000" w:rsidRPr="00000000">
        <w:rPr>
          <w:rtl w:val="0"/>
        </w:rPr>
        <w:t xml:space="preserve">. 39. Available at: http://doi.org/10.1146/annurev-soc-071811-145443.</w:t>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t xml:space="preserve">Kanyamuna, V., and Zulu, K. (2022). Participatory Research Methods: Importance and Limitations of Participation in Development Practice, World Journal of Social Sciences and Humanities. 2022, 8(1), 9-13. Available at </w:t>
      </w:r>
      <w:hyperlink r:id="rId14">
        <w:r w:rsidDel="00000000" w:rsidR="00000000" w:rsidRPr="00000000">
          <w:rPr>
            <w:color w:val="1155cc"/>
            <w:u w:val="single"/>
            <w:rtl w:val="0"/>
          </w:rPr>
          <w:t xml:space="preserve">http://doi.org/10.12691/wjssh-8-1-2</w:t>
        </w:r>
      </w:hyperlink>
      <w:r w:rsidDel="00000000" w:rsidR="00000000" w:rsidRPr="00000000">
        <w:rPr>
          <w:rtl w:val="0"/>
        </w:rPr>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t xml:space="preserve">Lawrence, G., M., Williams, S., Nanz, P., and Renn, O., (2022). Characteristics, potentials, and challenges of transdisciplinary research, One Earth, Volume 5, Issue 1, 2022, Pages 44–61,</w:t>
      </w:r>
    </w:p>
    <w:p w:rsidR="00000000" w:rsidDel="00000000" w:rsidP="00000000" w:rsidRDefault="00000000" w:rsidRPr="00000000" w14:paraId="000000B2">
      <w:pPr>
        <w:rPr/>
      </w:pPr>
      <w:r w:rsidDel="00000000" w:rsidR="00000000" w:rsidRPr="00000000">
        <w:rPr>
          <w:rtl w:val="0"/>
        </w:rPr>
        <w:t xml:space="preserve">Available at: https://doi.org/10.1016/j.oneear.2021.12.010.</w:t>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t xml:space="preserve">Littlejohn, B. (2019). What’s So Bad About “Worldview”? Davenant Institute Available at: </w:t>
      </w:r>
      <w:hyperlink r:id="rId15">
        <w:r w:rsidDel="00000000" w:rsidR="00000000" w:rsidRPr="00000000">
          <w:rPr>
            <w:color w:val="1155cc"/>
            <w:u w:val="single"/>
            <w:rtl w:val="0"/>
          </w:rPr>
          <w:t xml:space="preserve">https://davenantinstitute.org/whats-bad-worldview/</w:t>
        </w:r>
      </w:hyperlink>
      <w:r w:rsidDel="00000000" w:rsidR="00000000" w:rsidRPr="00000000">
        <w:rPr>
          <w:rtl w:val="0"/>
        </w:rPr>
        <w:t xml:space="preserve"> (Accessed: 06 October 2024)</w:t>
      </w:r>
    </w:p>
    <w:p w:rsidR="00000000" w:rsidDel="00000000" w:rsidP="00000000" w:rsidRDefault="00000000" w:rsidRPr="00000000" w14:paraId="000000B5">
      <w:pPr>
        <w:spacing w:after="240" w:before="240" w:lineRule="auto"/>
        <w:rPr/>
      </w:pPr>
      <w:r w:rsidDel="00000000" w:rsidR="00000000" w:rsidRPr="00000000">
        <w:rPr>
          <w:rtl w:val="0"/>
        </w:rPr>
        <w:t xml:space="preserve">Luhmann, N. (2018). Organisation and Decision. Barrett R, trans. Baecker D, ed. Cambridge University Press</w:t>
      </w:r>
    </w:p>
    <w:p w:rsidR="00000000" w:rsidDel="00000000" w:rsidP="00000000" w:rsidRDefault="00000000" w:rsidRPr="00000000" w14:paraId="000000B6">
      <w:pPr>
        <w:rPr/>
      </w:pPr>
      <w:r w:rsidDel="00000000" w:rsidR="00000000" w:rsidRPr="00000000">
        <w:rPr>
          <w:rtl w:val="0"/>
        </w:rPr>
        <w:t xml:space="preserve">Sebastian Loewe, S. (2019). Toward a Critical Design Thinking: Propositions to Rewrite the Design Thinking Process, </w:t>
      </w:r>
      <w:r w:rsidDel="00000000" w:rsidR="00000000" w:rsidRPr="00000000">
        <w:rPr>
          <w:i w:val="1"/>
          <w:rtl w:val="0"/>
        </w:rPr>
        <w:t xml:space="preserve">Dialectic</w:t>
      </w:r>
      <w:r w:rsidDel="00000000" w:rsidR="00000000" w:rsidRPr="00000000">
        <w:rPr>
          <w:rtl w:val="0"/>
        </w:rPr>
        <w:t xml:space="preserve"> Volume 2, Issue 2, Summer 2019 Available at: </w:t>
      </w:r>
      <w:hyperlink r:id="rId16">
        <w:r w:rsidDel="00000000" w:rsidR="00000000" w:rsidRPr="00000000">
          <w:rPr>
            <w:color w:val="1155cc"/>
            <w:u w:val="single"/>
            <w:rtl w:val="0"/>
          </w:rPr>
          <w:t xml:space="preserve">https://doi.org/10.3998/dialectic.14932326.0002.208</w:t>
        </w:r>
      </w:hyperlink>
      <w:r w:rsidDel="00000000" w:rsidR="00000000" w:rsidRPr="00000000">
        <w:rPr>
          <w:rtl w:val="0"/>
        </w:rPr>
      </w:r>
    </w:p>
    <w:p w:rsidR="00000000" w:rsidDel="00000000" w:rsidP="00000000" w:rsidRDefault="00000000" w:rsidRPr="00000000" w14:paraId="000000B7">
      <w:pPr>
        <w:spacing w:after="240" w:before="240" w:lineRule="auto"/>
        <w:rPr/>
      </w:pPr>
      <w:r w:rsidDel="00000000" w:rsidR="00000000" w:rsidRPr="00000000">
        <w:rPr>
          <w:rtl w:val="0"/>
        </w:rPr>
        <w:t xml:space="preserve">Malpass, M. (2017) Critical Design In Context: History, Theory, and Practice. Bloomsbury Academic.</w:t>
      </w:r>
    </w:p>
    <w:p w:rsidR="00000000" w:rsidDel="00000000" w:rsidP="00000000" w:rsidRDefault="00000000" w:rsidRPr="00000000" w14:paraId="000000B8">
      <w:pPr>
        <w:rPr/>
      </w:pPr>
      <w:r w:rsidDel="00000000" w:rsidR="00000000" w:rsidRPr="00000000">
        <w:rPr>
          <w:rtl w:val="0"/>
        </w:rPr>
        <w:t xml:space="preserve">Midgley, G. (1996). What is this thing called CST? Available at: http://dx.doi.org/10.1007/978-0-585-34651-9_1. </w:t>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t xml:space="preserve">Mitroff, I I., and Linstone,H, A (1993). The Unbounded Mind: Breaking the Chains of Traditional Business Thinking, Oxford University Press </w:t>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t xml:space="preserve">Noble, A. (2011). A Differing View of Worldview Criticism. Christ Pop Culture. Available at: https://christandpopculture.com/a-differing-view-of-worldview-criticism/ (Accessed: 06 October 2024)</w:t>
      </w:r>
    </w:p>
    <w:p w:rsidR="00000000" w:rsidDel="00000000" w:rsidP="00000000" w:rsidRDefault="00000000" w:rsidRPr="00000000" w14:paraId="000000BD">
      <w:pPr>
        <w:spacing w:after="240" w:before="240" w:lineRule="auto"/>
        <w:rPr/>
      </w:pPr>
      <w:r w:rsidDel="00000000" w:rsidR="00000000" w:rsidRPr="00000000">
        <w:rPr>
          <w:rtl w:val="0"/>
        </w:rPr>
        <w:t xml:space="preserve">Ramos, J. (2005). Futures Education as Temporal Conscientisation. Social Alternatives. 24. </w:t>
      </w:r>
    </w:p>
    <w:p w:rsidR="00000000" w:rsidDel="00000000" w:rsidP="00000000" w:rsidRDefault="00000000" w:rsidRPr="00000000" w14:paraId="000000BE">
      <w:pPr>
        <w:spacing w:after="240" w:before="240" w:lineRule="auto"/>
        <w:rPr/>
      </w:pPr>
      <w:r w:rsidDel="00000000" w:rsidR="00000000" w:rsidRPr="00000000">
        <w:rPr>
          <w:rtl w:val="0"/>
        </w:rPr>
        <w:t xml:space="preserve">Sanson, H. (2023). Our Born Identity The Crisis of Identity in the 21st Century A Systems Perspective </w:t>
      </w:r>
      <w:r w:rsidDel="00000000" w:rsidR="00000000" w:rsidRPr="00000000">
        <w:rPr>
          <w:i w:val="1"/>
          <w:rtl w:val="0"/>
        </w:rPr>
        <w:t xml:space="preserve">Government Operational Society Conference</w:t>
      </w:r>
      <w:r w:rsidDel="00000000" w:rsidR="00000000" w:rsidRPr="00000000">
        <w:rPr>
          <w:rtl w:val="0"/>
        </w:rPr>
        <w:t xml:space="preserve"> February 2023 </w:t>
      </w:r>
    </w:p>
    <w:p w:rsidR="00000000" w:rsidDel="00000000" w:rsidP="00000000" w:rsidRDefault="00000000" w:rsidRPr="00000000" w14:paraId="000000BF">
      <w:pPr>
        <w:rPr/>
      </w:pPr>
      <w:r w:rsidDel="00000000" w:rsidR="00000000" w:rsidRPr="00000000">
        <w:rPr>
          <w:rtl w:val="0"/>
        </w:rPr>
        <w:t xml:space="preserve">Turnbull, N., and Hoppe, R., Problematizing ‘wickedness’: a critique of the wicked problems concept, from philosophy to practice, </w:t>
      </w:r>
      <w:r w:rsidDel="00000000" w:rsidR="00000000" w:rsidRPr="00000000">
        <w:rPr>
          <w:i w:val="1"/>
          <w:rtl w:val="0"/>
        </w:rPr>
        <w:t xml:space="preserve">Policy and Society</w:t>
      </w:r>
      <w:r w:rsidDel="00000000" w:rsidR="00000000" w:rsidRPr="00000000">
        <w:rPr>
          <w:rtl w:val="0"/>
        </w:rPr>
        <w:t xml:space="preserve">, Volume 38, Issue 2, June 2019, Pages 315–337, </w:t>
      </w:r>
      <w:hyperlink r:id="rId17">
        <w:r w:rsidDel="00000000" w:rsidR="00000000" w:rsidRPr="00000000">
          <w:rPr>
            <w:color w:val="1155cc"/>
            <w:u w:val="single"/>
            <w:rtl w:val="0"/>
          </w:rPr>
          <w:t xml:space="preserve">https://doi.org/10.1080/14494035.2018.1488796</w:t>
        </w:r>
      </w:hyperlink>
      <w:r w:rsidDel="00000000" w:rsidR="00000000" w:rsidRPr="00000000">
        <w:rPr>
          <w:rtl w:val="0"/>
        </w:rPr>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t xml:space="preserve">Vaughn-Guy, C. (2024). I Need to See Me in It: Critical Participatory Inquiry as a Bridge Between Theory and Practice for PAR in Healthcare Organizations. </w:t>
      </w:r>
      <w:r w:rsidDel="00000000" w:rsidR="00000000" w:rsidRPr="00000000">
        <w:rPr>
          <w:i w:val="1"/>
          <w:rtl w:val="0"/>
        </w:rPr>
        <w:t xml:space="preserve">New Horizons in Adult Education and Human Resource Development</w:t>
      </w:r>
      <w:r w:rsidDel="00000000" w:rsidR="00000000" w:rsidRPr="00000000">
        <w:rPr>
          <w:rtl w:val="0"/>
        </w:rPr>
        <w:t xml:space="preserve">, 36(3), 214–224. Available at: </w:t>
      </w:r>
      <w:hyperlink r:id="rId18">
        <w:r w:rsidDel="00000000" w:rsidR="00000000" w:rsidRPr="00000000">
          <w:rPr>
            <w:color w:val="1155cc"/>
            <w:u w:val="single"/>
            <w:rtl w:val="0"/>
          </w:rPr>
          <w:t xml:space="preserve">https://doi.org/10.1177/19394225241251406</w:t>
        </w:r>
      </w:hyperlink>
      <w:r w:rsidDel="00000000" w:rsidR="00000000" w:rsidRPr="00000000">
        <w:rPr>
          <w:rtl w:val="0"/>
        </w:rPr>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t xml:space="preserve">Walker, D. (2019). In: Why Am I Always Being Researched? </w:t>
      </w:r>
      <w:r w:rsidDel="00000000" w:rsidR="00000000" w:rsidRPr="00000000">
        <w:rPr>
          <w:i w:val="1"/>
          <w:rtl w:val="0"/>
        </w:rPr>
        <w:t xml:space="preserve">Chicago Beyond Equity Series </w:t>
      </w:r>
      <w:r w:rsidDel="00000000" w:rsidR="00000000" w:rsidRPr="00000000">
        <w:rPr>
          <w:rtl w:val="0"/>
        </w:rPr>
        <w:t xml:space="preserve">V</w:t>
      </w:r>
      <w:r w:rsidDel="00000000" w:rsidR="00000000" w:rsidRPr="00000000">
        <w:rPr>
          <w:rtl w:val="0"/>
        </w:rPr>
        <w:t xml:space="preserve">olume One. Available at: </w:t>
      </w:r>
      <w:hyperlink r:id="rId19">
        <w:r w:rsidDel="00000000" w:rsidR="00000000" w:rsidRPr="00000000">
          <w:rPr>
            <w:color w:val="1155cc"/>
            <w:u w:val="single"/>
            <w:rtl w:val="0"/>
          </w:rPr>
          <w:t xml:space="preserve">https://chicagobeyond.org/insights/philanthropy/why-am-i-always-being-researched/</w:t>
        </w:r>
      </w:hyperlink>
      <w:r w:rsidDel="00000000" w:rsidR="00000000" w:rsidRPr="00000000">
        <w:rPr>
          <w:rtl w:val="0"/>
        </w:rPr>
        <w:t xml:space="preserve"> (Accessed: 06 October 2024)</w:t>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t xml:space="preserve">Why Am I Always Being Researched? (2019) </w:t>
      </w:r>
      <w:r w:rsidDel="00000000" w:rsidR="00000000" w:rsidRPr="00000000">
        <w:rPr>
          <w:i w:val="1"/>
          <w:rtl w:val="0"/>
        </w:rPr>
        <w:t xml:space="preserve">Chicago Beyond Equity Series</w:t>
      </w:r>
      <w:r w:rsidDel="00000000" w:rsidR="00000000" w:rsidRPr="00000000">
        <w:rPr>
          <w:rtl w:val="0"/>
        </w:rPr>
        <w:t xml:space="preserve"> Volume One Available at: </w:t>
      </w:r>
      <w:hyperlink r:id="rId20">
        <w:r w:rsidDel="00000000" w:rsidR="00000000" w:rsidRPr="00000000">
          <w:rPr>
            <w:color w:val="1155cc"/>
            <w:u w:val="single"/>
            <w:rtl w:val="0"/>
          </w:rPr>
          <w:t xml:space="preserve">https://chicagobeyond.org/insights/philanthropy/why-am-i-always-being-researched/</w:t>
        </w:r>
      </w:hyperlink>
      <w:r w:rsidDel="00000000" w:rsidR="00000000" w:rsidRPr="00000000">
        <w:rPr>
          <w:rtl w:val="0"/>
        </w:rPr>
        <w:t xml:space="preserve"> (Accessed: 06 October 2024)</w:t>
      </w:r>
    </w:p>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rPr/>
      </w:pPr>
      <w:r w:rsidDel="00000000" w:rsidR="00000000" w:rsidRPr="00000000">
        <w:rPr>
          <w:rtl w:val="0"/>
        </w:rPr>
        <w:t xml:space="preserve">Yee, E., &amp; Thompson-Schill, S. L. (2016). Putting concepts into context. </w:t>
      </w:r>
      <w:r w:rsidDel="00000000" w:rsidR="00000000" w:rsidRPr="00000000">
        <w:rPr>
          <w:i w:val="1"/>
          <w:rtl w:val="0"/>
        </w:rPr>
        <w:t xml:space="preserve">Psychonomic Bulletin &amp; Review</w:t>
      </w:r>
      <w:r w:rsidDel="00000000" w:rsidR="00000000" w:rsidRPr="00000000">
        <w:rPr>
          <w:rtl w:val="0"/>
        </w:rPr>
        <w:t xml:space="preserve">, 23(4), 1015–1027. Available at: https://doi.org/10.3758/s13423-015-0948-7</w:t>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rPr/>
      </w:pPr>
      <w:r w:rsidDel="00000000" w:rsidR="00000000" w:rsidRPr="00000000">
        <w:rPr>
          <w:rtl w:val="0"/>
        </w:rPr>
      </w:r>
    </w:p>
    <w:p w:rsidR="00000000" w:rsidDel="00000000" w:rsidP="00000000" w:rsidRDefault="00000000" w:rsidRPr="00000000" w14:paraId="000000D5">
      <w:pPr>
        <w:rPr/>
      </w:pPr>
      <w:r w:rsidDel="00000000" w:rsidR="00000000" w:rsidRPr="00000000">
        <w:rPr>
          <w:rtl w:val="0"/>
        </w:rPr>
      </w:r>
    </w:p>
    <w:sectPr>
      <w:pgSz w:h="16838" w:w="11906" w:orient="portrait"/>
      <w:pgMar w:bottom="1440.0000000000002" w:top="1440.0000000000002" w:left="1440.0000000000002" w:right="1440.000000000000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chicagobeyond.org/insights/philanthropy/why-am-i-always-being-researched/" TargetMode="External"/><Relationship Id="rId11" Type="http://schemas.openxmlformats.org/officeDocument/2006/relationships/hyperlink" Target="https://doi.org/10.1177/13563890022209208" TargetMode="External"/><Relationship Id="rId10" Type="http://schemas.openxmlformats.org/officeDocument/2006/relationships/hyperlink" Target="https://newleftreview.org/issues/ii100/articles/nancy-fraser-contradictions-of-capital-and-care" TargetMode="External"/><Relationship Id="rId13" Type="http://schemas.openxmlformats.org/officeDocument/2006/relationships/hyperlink" Target="http://dx.doi.org/10.1108/10748121311297049" TargetMode="External"/><Relationship Id="rId12" Type="http://schemas.openxmlformats.org/officeDocument/2006/relationships/hyperlink" Target="https://www.mediaed.org/transcripts/Stuart-Hall-Race-the-Floating-Signifier-Transcript.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doi/pdf/10.1002/28291099132828199" TargetMode="External"/><Relationship Id="rId15" Type="http://schemas.openxmlformats.org/officeDocument/2006/relationships/hyperlink" Target="https://davenantinstitute.org/whats-bad-worldview/" TargetMode="External"/><Relationship Id="rId14" Type="http://schemas.openxmlformats.org/officeDocument/2006/relationships/hyperlink" Target="http://doi.org/10.12691/wjssh-8-1-2" TargetMode="External"/><Relationship Id="rId17" Type="http://schemas.openxmlformats.org/officeDocument/2006/relationships/hyperlink" Target="https://doi.org/10.1080/14494035.2018.1488796" TargetMode="External"/><Relationship Id="rId16" Type="http://schemas.openxmlformats.org/officeDocument/2006/relationships/hyperlink" Target="https://doi.org/10.3998/dialectic.14932326.0002.208" TargetMode="External"/><Relationship Id="rId5" Type="http://schemas.openxmlformats.org/officeDocument/2006/relationships/styles" Target="styles.xml"/><Relationship Id="rId19" Type="http://schemas.openxmlformats.org/officeDocument/2006/relationships/hyperlink" Target="https://chicagobeyond.org/insights/philanthropy/why-am-i-always-being-researched/" TargetMode="External"/><Relationship Id="rId6" Type="http://schemas.openxmlformats.org/officeDocument/2006/relationships/hyperlink" Target="https://www.health.org.uk/sites/default/files/PerspectivesOnContextBateContextIsEverything.pdf" TargetMode="External"/><Relationship Id="rId18" Type="http://schemas.openxmlformats.org/officeDocument/2006/relationships/hyperlink" Target="https://doi.org/10.1177/19394225241251406" TargetMode="External"/><Relationship Id="rId7" Type="http://schemas.openxmlformats.org/officeDocument/2006/relationships/hyperlink" Target="https://www.govloop.com/community/blog/why-complex-problems-are-complex-and-hard-to-solve/" TargetMode="External"/><Relationship Id="rId8" Type="http://schemas.openxmlformats.org/officeDocument/2006/relationships/hyperlink" Target="https://blog.cabreraresearch.org/context-is-the-enem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