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FEC3CC" w14:textId="3B43B5E8" w:rsidR="00BA157D" w:rsidRDefault="00321FB2" w:rsidP="003D33B2">
      <w:pPr>
        <w:rPr>
          <w:rFonts w:ascii="Times New Roman" w:eastAsia="Times New Roman" w:hAnsi="Times New Roman" w:cs="Times New Roman"/>
          <w:b/>
          <w:bCs/>
          <w:kern w:val="36"/>
          <w:sz w:val="48"/>
          <w:szCs w:val="48"/>
          <w14:ligatures w14:val="none"/>
        </w:rPr>
      </w:pPr>
      <w:r w:rsidRPr="004E2672">
        <w:rPr>
          <w:rFonts w:ascii="Arial" w:hAnsi="Arial" w:cs="Arial"/>
          <w:noProof/>
        </w:rPr>
        <w:drawing>
          <wp:anchor distT="0" distB="0" distL="114300" distR="114300" simplePos="0" relativeHeight="251658247" behindDoc="0" locked="0" layoutInCell="1" allowOverlap="1" wp14:anchorId="34D5061F" wp14:editId="0B7DD54D">
            <wp:simplePos x="0" y="0"/>
            <wp:positionH relativeFrom="page">
              <wp:align>left</wp:align>
            </wp:positionH>
            <wp:positionV relativeFrom="paragraph">
              <wp:posOffset>0</wp:posOffset>
            </wp:positionV>
            <wp:extent cx="7524750" cy="4267200"/>
            <wp:effectExtent l="0" t="0" r="0" b="0"/>
            <wp:wrapTopAndBottom/>
            <wp:docPr id="301623243" name="Picture 301623243">
              <a:extLst xmlns:a="http://schemas.openxmlformats.org/drawingml/2006/main">
                <a:ext uri="{FF2B5EF4-FFF2-40B4-BE49-F238E27FC236}">
                  <a16:creationId xmlns:a16="http://schemas.microsoft.com/office/drawing/2014/main" id="{FBED00E2-4F0C-43F8-8957-B580F283BC7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623243" name=""/>
                    <pic:cNvPicPr/>
                  </pic:nvPicPr>
                  <pic:blipFill>
                    <a:blip r:embed="rId8"/>
                    <a:stretch>
                      <a:fillRect/>
                    </a:stretch>
                  </pic:blipFill>
                  <pic:spPr>
                    <a:xfrm>
                      <a:off x="0" y="0"/>
                      <a:ext cx="7524750" cy="4267200"/>
                    </a:xfrm>
                    <a:prstGeom prst="rect">
                      <a:avLst/>
                    </a:prstGeom>
                  </pic:spPr>
                </pic:pic>
              </a:graphicData>
            </a:graphic>
            <wp14:sizeRelH relativeFrom="margin">
              <wp14:pctWidth>0</wp14:pctWidth>
            </wp14:sizeRelH>
            <wp14:sizeRelV relativeFrom="margin">
              <wp14:pctHeight>0</wp14:pctHeight>
            </wp14:sizeRelV>
          </wp:anchor>
        </w:drawing>
      </w:r>
      <w:r w:rsidR="00C056D0">
        <w:rPr>
          <w:noProof/>
        </w:rPr>
        <w:drawing>
          <wp:anchor distT="0" distB="0" distL="114300" distR="114300" simplePos="0" relativeHeight="251658248" behindDoc="0" locked="0" layoutInCell="1" allowOverlap="1" wp14:anchorId="512D6759" wp14:editId="3CDB76D6">
            <wp:simplePos x="0" y="0"/>
            <wp:positionH relativeFrom="column">
              <wp:posOffset>-809625</wp:posOffset>
            </wp:positionH>
            <wp:positionV relativeFrom="paragraph">
              <wp:posOffset>4000500</wp:posOffset>
            </wp:positionV>
            <wp:extent cx="7381875" cy="4853305"/>
            <wp:effectExtent l="0" t="0" r="9525" b="4445"/>
            <wp:wrapTopAndBottom/>
            <wp:docPr id="1675386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386819" name=""/>
                    <pic:cNvPicPr/>
                  </pic:nvPicPr>
                  <pic:blipFill>
                    <a:blip r:embed="rId9"/>
                    <a:stretch>
                      <a:fillRect/>
                    </a:stretch>
                  </pic:blipFill>
                  <pic:spPr>
                    <a:xfrm>
                      <a:off x="0" y="0"/>
                      <a:ext cx="7381875" cy="4853305"/>
                    </a:xfrm>
                    <a:prstGeom prst="rect">
                      <a:avLst/>
                    </a:prstGeom>
                  </pic:spPr>
                </pic:pic>
              </a:graphicData>
            </a:graphic>
            <wp14:sizeRelH relativeFrom="margin">
              <wp14:pctWidth>0</wp14:pctWidth>
            </wp14:sizeRelH>
            <wp14:sizeRelV relativeFrom="margin">
              <wp14:pctHeight>0</wp14:pctHeight>
            </wp14:sizeRelV>
          </wp:anchor>
        </w:drawing>
      </w:r>
    </w:p>
    <w:bookmarkStart w:id="0" w:name="_Toc243240432" w:displacedByCustomXml="next"/>
    <w:sdt>
      <w:sdtPr>
        <w:rPr>
          <w:sz w:val="28"/>
          <w:szCs w:val="28"/>
        </w:rPr>
        <w:id w:val="-2129377923"/>
        <w:docPartObj>
          <w:docPartGallery w:val="Table of Contents"/>
          <w:docPartUnique/>
        </w:docPartObj>
      </w:sdtPr>
      <w:sdtEndPr>
        <w:rPr>
          <w:rFonts w:asciiTheme="minorHAnsi" w:eastAsiaTheme="minorEastAsia" w:hAnsiTheme="minorHAnsi" w:cstheme="minorBidi"/>
          <w:b/>
          <w:bCs/>
          <w:noProof/>
          <w:color w:val="auto"/>
          <w:kern w:val="2"/>
          <w:lang w:val="en-GB" w:eastAsia="en-GB"/>
          <w14:ligatures w14:val="standardContextual"/>
        </w:rPr>
      </w:sdtEndPr>
      <w:sdtContent>
        <w:p w14:paraId="6537389B" w14:textId="13DA80C4" w:rsidR="006132E6" w:rsidRPr="00B36B89" w:rsidRDefault="006132E6">
          <w:pPr>
            <w:pStyle w:val="TOCHeading"/>
            <w:rPr>
              <w:rFonts w:ascii="Arial" w:hAnsi="Arial" w:cs="Arial"/>
              <w:sz w:val="24"/>
              <w:szCs w:val="24"/>
            </w:rPr>
          </w:pPr>
          <w:r w:rsidRPr="00B36B89">
            <w:rPr>
              <w:rFonts w:ascii="Arial" w:hAnsi="Arial" w:cs="Arial"/>
              <w:sz w:val="24"/>
              <w:szCs w:val="24"/>
            </w:rPr>
            <w:t>Table of Contents</w:t>
          </w:r>
        </w:p>
        <w:p w14:paraId="55C42F50" w14:textId="704C1C1E" w:rsidR="006132E6" w:rsidRPr="00B36B89" w:rsidRDefault="006132E6" w:rsidP="009A3556">
          <w:pPr>
            <w:pStyle w:val="TOC1"/>
            <w:rPr>
              <w:sz w:val="24"/>
              <w:szCs w:val="24"/>
            </w:rPr>
          </w:pPr>
          <w:r w:rsidRPr="00B36B89">
            <w:rPr>
              <w:sz w:val="24"/>
              <w:szCs w:val="24"/>
            </w:rPr>
            <w:fldChar w:fldCharType="begin"/>
          </w:r>
          <w:r w:rsidRPr="00B36B89">
            <w:rPr>
              <w:sz w:val="24"/>
              <w:szCs w:val="24"/>
            </w:rPr>
            <w:instrText xml:space="preserve"> TOC \o "1-3" \h \z \u </w:instrText>
          </w:r>
          <w:r w:rsidRPr="00B36B89">
            <w:rPr>
              <w:sz w:val="24"/>
              <w:szCs w:val="24"/>
            </w:rPr>
            <w:fldChar w:fldCharType="separate"/>
          </w:r>
          <w:hyperlink w:anchor="_Toc243341306" w:history="1">
            <w:r w:rsidRPr="00B36B89">
              <w:rPr>
                <w:rStyle w:val="Hyperlink"/>
                <w:sz w:val="24"/>
                <w:szCs w:val="24"/>
              </w:rPr>
              <w:t>Marketing Environmental Analysis</w:t>
            </w:r>
            <w:r w:rsidRPr="00B36B89">
              <w:rPr>
                <w:webHidden/>
                <w:sz w:val="24"/>
                <w:szCs w:val="24"/>
              </w:rPr>
              <w:tab/>
            </w:r>
            <w:r w:rsidRPr="00B36B89">
              <w:rPr>
                <w:webHidden/>
                <w:sz w:val="24"/>
                <w:szCs w:val="24"/>
              </w:rPr>
              <w:fldChar w:fldCharType="begin"/>
            </w:r>
            <w:r w:rsidRPr="00B36B89">
              <w:rPr>
                <w:webHidden/>
                <w:sz w:val="24"/>
                <w:szCs w:val="24"/>
              </w:rPr>
              <w:instrText xml:space="preserve"> PAGEREF _Toc243341306 \h </w:instrText>
            </w:r>
            <w:r w:rsidRPr="00B36B89">
              <w:rPr>
                <w:webHidden/>
                <w:sz w:val="24"/>
                <w:szCs w:val="24"/>
              </w:rPr>
            </w:r>
            <w:r w:rsidRPr="00B36B89">
              <w:rPr>
                <w:webHidden/>
                <w:sz w:val="24"/>
                <w:szCs w:val="24"/>
              </w:rPr>
              <w:fldChar w:fldCharType="separate"/>
            </w:r>
            <w:r w:rsidRPr="00B36B89">
              <w:rPr>
                <w:webHidden/>
                <w:sz w:val="24"/>
                <w:szCs w:val="24"/>
              </w:rPr>
              <w:t>3</w:t>
            </w:r>
            <w:r w:rsidRPr="00B36B89">
              <w:rPr>
                <w:webHidden/>
                <w:sz w:val="24"/>
                <w:szCs w:val="24"/>
              </w:rPr>
              <w:fldChar w:fldCharType="end"/>
            </w:r>
          </w:hyperlink>
        </w:p>
        <w:p w14:paraId="6257E40E" w14:textId="45E841E7" w:rsidR="006132E6" w:rsidRPr="00B36B89" w:rsidRDefault="006132E6" w:rsidP="009A3556">
          <w:pPr>
            <w:pStyle w:val="TOC2"/>
            <w:rPr>
              <w:sz w:val="24"/>
              <w:szCs w:val="24"/>
            </w:rPr>
          </w:pPr>
          <w:hyperlink w:anchor="_Toc243341307" w:history="1">
            <w:r w:rsidRPr="00B36B89">
              <w:rPr>
                <w:rStyle w:val="Hyperlink"/>
                <w:sz w:val="24"/>
                <w:szCs w:val="24"/>
              </w:rPr>
              <w:t>Introduction</w:t>
            </w:r>
            <w:r w:rsidRPr="00B36B89">
              <w:rPr>
                <w:webHidden/>
                <w:sz w:val="24"/>
                <w:szCs w:val="24"/>
              </w:rPr>
              <w:tab/>
            </w:r>
            <w:r w:rsidRPr="00B36B89">
              <w:rPr>
                <w:webHidden/>
                <w:sz w:val="24"/>
                <w:szCs w:val="24"/>
              </w:rPr>
              <w:fldChar w:fldCharType="begin"/>
            </w:r>
            <w:r w:rsidRPr="00B36B89">
              <w:rPr>
                <w:webHidden/>
                <w:sz w:val="24"/>
                <w:szCs w:val="24"/>
              </w:rPr>
              <w:instrText xml:space="preserve"> PAGEREF _Toc243341307 \h </w:instrText>
            </w:r>
            <w:r w:rsidRPr="00B36B89">
              <w:rPr>
                <w:webHidden/>
                <w:sz w:val="24"/>
                <w:szCs w:val="24"/>
              </w:rPr>
            </w:r>
            <w:r w:rsidRPr="00B36B89">
              <w:rPr>
                <w:webHidden/>
                <w:sz w:val="24"/>
                <w:szCs w:val="24"/>
              </w:rPr>
              <w:fldChar w:fldCharType="separate"/>
            </w:r>
            <w:r w:rsidRPr="00B36B89">
              <w:rPr>
                <w:webHidden/>
                <w:sz w:val="24"/>
                <w:szCs w:val="24"/>
              </w:rPr>
              <w:t>3</w:t>
            </w:r>
            <w:r w:rsidRPr="00B36B89">
              <w:rPr>
                <w:webHidden/>
                <w:sz w:val="24"/>
                <w:szCs w:val="24"/>
              </w:rPr>
              <w:fldChar w:fldCharType="end"/>
            </w:r>
          </w:hyperlink>
        </w:p>
        <w:p w14:paraId="60D4DEAD" w14:textId="642A6876" w:rsidR="006132E6" w:rsidRPr="00B36B89" w:rsidRDefault="006132E6" w:rsidP="009A3556">
          <w:pPr>
            <w:pStyle w:val="TOC1"/>
            <w:rPr>
              <w:sz w:val="24"/>
              <w:szCs w:val="24"/>
            </w:rPr>
          </w:pPr>
          <w:hyperlink w:anchor="_Toc243341308" w:history="1">
            <w:r w:rsidRPr="00B36B89">
              <w:rPr>
                <w:rStyle w:val="Hyperlink"/>
                <w:sz w:val="24"/>
                <w:szCs w:val="24"/>
              </w:rPr>
              <w:t>TASK 1: MARKETING ENVIRONMENT ANALYSIS</w:t>
            </w:r>
            <w:r w:rsidRPr="00B36B89">
              <w:rPr>
                <w:webHidden/>
                <w:sz w:val="24"/>
                <w:szCs w:val="24"/>
              </w:rPr>
              <w:tab/>
            </w:r>
            <w:r w:rsidRPr="00B36B89">
              <w:rPr>
                <w:webHidden/>
                <w:sz w:val="24"/>
                <w:szCs w:val="24"/>
              </w:rPr>
              <w:fldChar w:fldCharType="begin"/>
            </w:r>
            <w:r w:rsidRPr="00B36B89">
              <w:rPr>
                <w:webHidden/>
                <w:sz w:val="24"/>
                <w:szCs w:val="24"/>
              </w:rPr>
              <w:instrText xml:space="preserve"> PAGEREF _Toc243341308 \h </w:instrText>
            </w:r>
            <w:r w:rsidRPr="00B36B89">
              <w:rPr>
                <w:webHidden/>
                <w:sz w:val="24"/>
                <w:szCs w:val="24"/>
              </w:rPr>
            </w:r>
            <w:r w:rsidRPr="00B36B89">
              <w:rPr>
                <w:webHidden/>
                <w:sz w:val="24"/>
                <w:szCs w:val="24"/>
              </w:rPr>
              <w:fldChar w:fldCharType="separate"/>
            </w:r>
            <w:r w:rsidRPr="00B36B89">
              <w:rPr>
                <w:webHidden/>
                <w:sz w:val="24"/>
                <w:szCs w:val="24"/>
              </w:rPr>
              <w:t>3</w:t>
            </w:r>
            <w:r w:rsidRPr="00B36B89">
              <w:rPr>
                <w:webHidden/>
                <w:sz w:val="24"/>
                <w:szCs w:val="24"/>
              </w:rPr>
              <w:fldChar w:fldCharType="end"/>
            </w:r>
          </w:hyperlink>
        </w:p>
        <w:p w14:paraId="616F7AC5" w14:textId="0D5FD4F1" w:rsidR="006132E6" w:rsidRPr="00B36B89" w:rsidRDefault="006132E6" w:rsidP="009A3556">
          <w:pPr>
            <w:pStyle w:val="TOC2"/>
            <w:rPr>
              <w:sz w:val="24"/>
              <w:szCs w:val="24"/>
            </w:rPr>
          </w:pPr>
          <w:hyperlink w:anchor="_Toc243341309" w:history="1">
            <w:r w:rsidRPr="00B36B89">
              <w:rPr>
                <w:rStyle w:val="Hyperlink"/>
                <w:kern w:val="0"/>
                <w:sz w:val="24"/>
                <w:szCs w:val="24"/>
                <w14:ligatures w14:val="none"/>
              </w:rPr>
              <w:t>1.1 Selection of Broken Hill Proprietary (BHP) Group and Strategic Justification</w:t>
            </w:r>
            <w:r w:rsidRPr="00B36B89">
              <w:rPr>
                <w:webHidden/>
                <w:sz w:val="24"/>
                <w:szCs w:val="24"/>
              </w:rPr>
              <w:tab/>
            </w:r>
            <w:r w:rsidRPr="00B36B89">
              <w:rPr>
                <w:webHidden/>
                <w:sz w:val="24"/>
                <w:szCs w:val="24"/>
              </w:rPr>
              <w:fldChar w:fldCharType="begin"/>
            </w:r>
            <w:r w:rsidRPr="00B36B89">
              <w:rPr>
                <w:webHidden/>
                <w:sz w:val="24"/>
                <w:szCs w:val="24"/>
              </w:rPr>
              <w:instrText xml:space="preserve"> PAGEREF _Toc243341309 \h </w:instrText>
            </w:r>
            <w:r w:rsidRPr="00B36B89">
              <w:rPr>
                <w:webHidden/>
                <w:sz w:val="24"/>
                <w:szCs w:val="24"/>
              </w:rPr>
            </w:r>
            <w:r w:rsidRPr="00B36B89">
              <w:rPr>
                <w:webHidden/>
                <w:sz w:val="24"/>
                <w:szCs w:val="24"/>
              </w:rPr>
              <w:fldChar w:fldCharType="separate"/>
            </w:r>
            <w:r w:rsidRPr="00B36B89">
              <w:rPr>
                <w:webHidden/>
                <w:sz w:val="24"/>
                <w:szCs w:val="24"/>
              </w:rPr>
              <w:t>3</w:t>
            </w:r>
            <w:r w:rsidRPr="00B36B89">
              <w:rPr>
                <w:webHidden/>
                <w:sz w:val="24"/>
                <w:szCs w:val="24"/>
              </w:rPr>
              <w:fldChar w:fldCharType="end"/>
            </w:r>
          </w:hyperlink>
        </w:p>
        <w:p w14:paraId="0CC5D54D" w14:textId="26C4FCE4" w:rsidR="006132E6" w:rsidRPr="00B36B89" w:rsidRDefault="006132E6" w:rsidP="009A3556">
          <w:pPr>
            <w:pStyle w:val="TOC2"/>
            <w:rPr>
              <w:sz w:val="24"/>
              <w:szCs w:val="24"/>
            </w:rPr>
          </w:pPr>
          <w:hyperlink w:anchor="_Toc243341310" w:history="1">
            <w:r w:rsidRPr="00B36B89">
              <w:rPr>
                <w:rStyle w:val="Hyperlink"/>
                <w:kern w:val="0"/>
                <w:sz w:val="24"/>
                <w:szCs w:val="24"/>
                <w14:ligatures w14:val="none"/>
              </w:rPr>
              <w:t>1.2 External Marketing Environment Framework</w:t>
            </w:r>
            <w:r w:rsidRPr="00B36B89">
              <w:rPr>
                <w:webHidden/>
                <w:sz w:val="24"/>
                <w:szCs w:val="24"/>
              </w:rPr>
              <w:tab/>
            </w:r>
            <w:r w:rsidRPr="00B36B89">
              <w:rPr>
                <w:webHidden/>
                <w:sz w:val="24"/>
                <w:szCs w:val="24"/>
              </w:rPr>
              <w:fldChar w:fldCharType="begin"/>
            </w:r>
            <w:r w:rsidRPr="00B36B89">
              <w:rPr>
                <w:webHidden/>
                <w:sz w:val="24"/>
                <w:szCs w:val="24"/>
              </w:rPr>
              <w:instrText xml:space="preserve"> PAGEREF _Toc243341310 \h </w:instrText>
            </w:r>
            <w:r w:rsidRPr="00B36B89">
              <w:rPr>
                <w:webHidden/>
                <w:sz w:val="24"/>
                <w:szCs w:val="24"/>
              </w:rPr>
            </w:r>
            <w:r w:rsidRPr="00B36B89">
              <w:rPr>
                <w:webHidden/>
                <w:sz w:val="24"/>
                <w:szCs w:val="24"/>
              </w:rPr>
              <w:fldChar w:fldCharType="separate"/>
            </w:r>
            <w:r w:rsidRPr="00B36B89">
              <w:rPr>
                <w:webHidden/>
                <w:sz w:val="24"/>
                <w:szCs w:val="24"/>
              </w:rPr>
              <w:t>4</w:t>
            </w:r>
            <w:r w:rsidRPr="00B36B89">
              <w:rPr>
                <w:webHidden/>
                <w:sz w:val="24"/>
                <w:szCs w:val="24"/>
              </w:rPr>
              <w:fldChar w:fldCharType="end"/>
            </w:r>
          </w:hyperlink>
        </w:p>
        <w:p w14:paraId="1C949682" w14:textId="53198063" w:rsidR="006132E6" w:rsidRPr="00B36B89" w:rsidRDefault="006132E6" w:rsidP="009A3556">
          <w:pPr>
            <w:pStyle w:val="TOC1"/>
            <w:rPr>
              <w:sz w:val="24"/>
              <w:szCs w:val="24"/>
            </w:rPr>
          </w:pPr>
          <w:hyperlink w:anchor="_Toc243341311" w:history="1">
            <w:r w:rsidRPr="00B36B89">
              <w:rPr>
                <w:rStyle w:val="Hyperlink"/>
                <w:sz w:val="24"/>
                <w:szCs w:val="24"/>
              </w:rPr>
              <w:t>Critical Evaluation</w:t>
            </w:r>
            <w:r w:rsidRPr="00B36B89">
              <w:rPr>
                <w:webHidden/>
                <w:sz w:val="24"/>
                <w:szCs w:val="24"/>
              </w:rPr>
              <w:tab/>
            </w:r>
            <w:r w:rsidRPr="00B36B89">
              <w:rPr>
                <w:webHidden/>
                <w:sz w:val="24"/>
                <w:szCs w:val="24"/>
              </w:rPr>
              <w:fldChar w:fldCharType="begin"/>
            </w:r>
            <w:r w:rsidRPr="00B36B89">
              <w:rPr>
                <w:webHidden/>
                <w:sz w:val="24"/>
                <w:szCs w:val="24"/>
              </w:rPr>
              <w:instrText xml:space="preserve"> PAGEREF _Toc243341311 \h </w:instrText>
            </w:r>
            <w:r w:rsidRPr="00B36B89">
              <w:rPr>
                <w:webHidden/>
                <w:sz w:val="24"/>
                <w:szCs w:val="24"/>
              </w:rPr>
            </w:r>
            <w:r w:rsidRPr="00B36B89">
              <w:rPr>
                <w:webHidden/>
                <w:sz w:val="24"/>
                <w:szCs w:val="24"/>
              </w:rPr>
              <w:fldChar w:fldCharType="separate"/>
            </w:r>
            <w:r w:rsidRPr="00B36B89">
              <w:rPr>
                <w:webHidden/>
                <w:sz w:val="24"/>
                <w:szCs w:val="24"/>
              </w:rPr>
              <w:t>5</w:t>
            </w:r>
            <w:r w:rsidRPr="00B36B89">
              <w:rPr>
                <w:webHidden/>
                <w:sz w:val="24"/>
                <w:szCs w:val="24"/>
              </w:rPr>
              <w:fldChar w:fldCharType="end"/>
            </w:r>
          </w:hyperlink>
        </w:p>
        <w:p w14:paraId="0B5EC129" w14:textId="22A2C48B" w:rsidR="006132E6" w:rsidRPr="00B36B89" w:rsidRDefault="006132E6" w:rsidP="006E4EC5">
          <w:pPr>
            <w:pStyle w:val="TOC3"/>
            <w:rPr>
              <w:sz w:val="24"/>
              <w:szCs w:val="24"/>
            </w:rPr>
          </w:pPr>
          <w:hyperlink w:anchor="_Toc243341312" w:history="1">
            <w:r w:rsidRPr="00B36B89">
              <w:rPr>
                <w:rStyle w:val="Hyperlink"/>
                <w:kern w:val="0"/>
                <w:sz w:val="24"/>
                <w:szCs w:val="24"/>
                <w14:ligatures w14:val="none"/>
              </w:rPr>
              <w:t>1.3.1 Climate Change and Operational Emissions</w:t>
            </w:r>
            <w:r w:rsidRPr="00B36B89">
              <w:rPr>
                <w:webHidden/>
                <w:sz w:val="24"/>
                <w:szCs w:val="24"/>
              </w:rPr>
              <w:tab/>
            </w:r>
            <w:r w:rsidRPr="00B36B89">
              <w:rPr>
                <w:webHidden/>
                <w:sz w:val="24"/>
                <w:szCs w:val="24"/>
              </w:rPr>
              <w:fldChar w:fldCharType="begin"/>
            </w:r>
            <w:r w:rsidRPr="00B36B89">
              <w:rPr>
                <w:webHidden/>
                <w:sz w:val="24"/>
                <w:szCs w:val="24"/>
              </w:rPr>
              <w:instrText xml:space="preserve"> PAGEREF _Toc243341312 \h </w:instrText>
            </w:r>
            <w:r w:rsidRPr="00B36B89">
              <w:rPr>
                <w:webHidden/>
                <w:sz w:val="24"/>
                <w:szCs w:val="24"/>
              </w:rPr>
            </w:r>
            <w:r w:rsidRPr="00B36B89">
              <w:rPr>
                <w:webHidden/>
                <w:sz w:val="24"/>
                <w:szCs w:val="24"/>
              </w:rPr>
              <w:fldChar w:fldCharType="separate"/>
            </w:r>
            <w:r w:rsidRPr="00B36B89">
              <w:rPr>
                <w:webHidden/>
                <w:sz w:val="24"/>
                <w:szCs w:val="24"/>
              </w:rPr>
              <w:t>5</w:t>
            </w:r>
            <w:r w:rsidRPr="00B36B89">
              <w:rPr>
                <w:webHidden/>
                <w:sz w:val="24"/>
                <w:szCs w:val="24"/>
              </w:rPr>
              <w:fldChar w:fldCharType="end"/>
            </w:r>
          </w:hyperlink>
        </w:p>
        <w:p w14:paraId="4D2503C2" w14:textId="0DC99901" w:rsidR="006132E6" w:rsidRPr="00B36B89" w:rsidRDefault="006132E6" w:rsidP="006E4EC5">
          <w:pPr>
            <w:pStyle w:val="TOC3"/>
            <w:rPr>
              <w:sz w:val="24"/>
              <w:szCs w:val="24"/>
            </w:rPr>
          </w:pPr>
          <w:hyperlink w:anchor="_Toc243341313" w:history="1">
            <w:r w:rsidRPr="00B36B89">
              <w:rPr>
                <w:rStyle w:val="Hyperlink"/>
                <w:kern w:val="0"/>
                <w:sz w:val="24"/>
                <w:szCs w:val="24"/>
                <w14:ligatures w14:val="none"/>
              </w:rPr>
              <w:t>1.3.2 Resource Scarcity and Biodiversity</w:t>
            </w:r>
            <w:r w:rsidRPr="00B36B89">
              <w:rPr>
                <w:webHidden/>
                <w:sz w:val="24"/>
                <w:szCs w:val="24"/>
              </w:rPr>
              <w:tab/>
            </w:r>
            <w:r w:rsidRPr="00B36B89">
              <w:rPr>
                <w:webHidden/>
                <w:sz w:val="24"/>
                <w:szCs w:val="24"/>
              </w:rPr>
              <w:fldChar w:fldCharType="begin"/>
            </w:r>
            <w:r w:rsidRPr="00B36B89">
              <w:rPr>
                <w:webHidden/>
                <w:sz w:val="24"/>
                <w:szCs w:val="24"/>
              </w:rPr>
              <w:instrText xml:space="preserve"> PAGEREF _Toc243341313 \h </w:instrText>
            </w:r>
            <w:r w:rsidRPr="00B36B89">
              <w:rPr>
                <w:webHidden/>
                <w:sz w:val="24"/>
                <w:szCs w:val="24"/>
              </w:rPr>
            </w:r>
            <w:r w:rsidRPr="00B36B89">
              <w:rPr>
                <w:webHidden/>
                <w:sz w:val="24"/>
                <w:szCs w:val="24"/>
              </w:rPr>
              <w:fldChar w:fldCharType="separate"/>
            </w:r>
            <w:r w:rsidRPr="00B36B89">
              <w:rPr>
                <w:webHidden/>
                <w:sz w:val="24"/>
                <w:szCs w:val="24"/>
              </w:rPr>
              <w:t>7</w:t>
            </w:r>
            <w:r w:rsidRPr="00B36B89">
              <w:rPr>
                <w:webHidden/>
                <w:sz w:val="24"/>
                <w:szCs w:val="24"/>
              </w:rPr>
              <w:fldChar w:fldCharType="end"/>
            </w:r>
          </w:hyperlink>
        </w:p>
        <w:p w14:paraId="200DF65B" w14:textId="29686777" w:rsidR="006132E6" w:rsidRPr="00B36B89" w:rsidRDefault="006132E6" w:rsidP="006E4EC5">
          <w:pPr>
            <w:pStyle w:val="TOC3"/>
            <w:rPr>
              <w:sz w:val="24"/>
              <w:szCs w:val="24"/>
            </w:rPr>
          </w:pPr>
          <w:hyperlink w:anchor="_Toc243341314" w:history="1">
            <w:r w:rsidRPr="00B36B89">
              <w:rPr>
                <w:rStyle w:val="Hyperlink"/>
                <w:kern w:val="0"/>
                <w:sz w:val="24"/>
                <w:szCs w:val="24"/>
                <w14:ligatures w14:val="none"/>
              </w:rPr>
              <w:t>1.3.3 Green Marketing and Environmental Credibility</w:t>
            </w:r>
            <w:r w:rsidRPr="00B36B89">
              <w:rPr>
                <w:webHidden/>
                <w:sz w:val="24"/>
                <w:szCs w:val="24"/>
              </w:rPr>
              <w:tab/>
            </w:r>
            <w:r w:rsidRPr="00B36B89">
              <w:rPr>
                <w:webHidden/>
                <w:sz w:val="24"/>
                <w:szCs w:val="24"/>
              </w:rPr>
              <w:fldChar w:fldCharType="begin"/>
            </w:r>
            <w:r w:rsidRPr="00B36B89">
              <w:rPr>
                <w:webHidden/>
                <w:sz w:val="24"/>
                <w:szCs w:val="24"/>
              </w:rPr>
              <w:instrText xml:space="preserve"> PAGEREF _Toc243341314 \h </w:instrText>
            </w:r>
            <w:r w:rsidRPr="00B36B89">
              <w:rPr>
                <w:webHidden/>
                <w:sz w:val="24"/>
                <w:szCs w:val="24"/>
              </w:rPr>
            </w:r>
            <w:r w:rsidRPr="00B36B89">
              <w:rPr>
                <w:webHidden/>
                <w:sz w:val="24"/>
                <w:szCs w:val="24"/>
              </w:rPr>
              <w:fldChar w:fldCharType="separate"/>
            </w:r>
            <w:r w:rsidRPr="00B36B89">
              <w:rPr>
                <w:webHidden/>
                <w:sz w:val="24"/>
                <w:szCs w:val="24"/>
              </w:rPr>
              <w:t>8</w:t>
            </w:r>
            <w:r w:rsidRPr="00B36B89">
              <w:rPr>
                <w:webHidden/>
                <w:sz w:val="24"/>
                <w:szCs w:val="24"/>
              </w:rPr>
              <w:fldChar w:fldCharType="end"/>
            </w:r>
          </w:hyperlink>
        </w:p>
        <w:p w14:paraId="62216563" w14:textId="15247DDF" w:rsidR="006132E6" w:rsidRPr="00B36B89" w:rsidRDefault="006132E6" w:rsidP="009A3556">
          <w:pPr>
            <w:pStyle w:val="TOC2"/>
            <w:rPr>
              <w:sz w:val="24"/>
              <w:szCs w:val="24"/>
            </w:rPr>
          </w:pPr>
          <w:hyperlink w:anchor="_Toc243341316" w:history="1">
            <w:r w:rsidRPr="00B36B89">
              <w:rPr>
                <w:rStyle w:val="Hyperlink"/>
                <w:kern w:val="0"/>
                <w:sz w:val="24"/>
                <w:szCs w:val="24"/>
                <w14:ligatures w14:val="none"/>
              </w:rPr>
              <w:t>1.4 Actor Two: Political-Legal Environment</w:t>
            </w:r>
            <w:r w:rsidRPr="00B36B89">
              <w:rPr>
                <w:webHidden/>
                <w:sz w:val="24"/>
                <w:szCs w:val="24"/>
              </w:rPr>
              <w:tab/>
            </w:r>
            <w:r w:rsidRPr="00B36B89">
              <w:rPr>
                <w:webHidden/>
                <w:sz w:val="24"/>
                <w:szCs w:val="24"/>
              </w:rPr>
              <w:fldChar w:fldCharType="begin"/>
            </w:r>
            <w:r w:rsidRPr="00B36B89">
              <w:rPr>
                <w:webHidden/>
                <w:sz w:val="24"/>
                <w:szCs w:val="24"/>
              </w:rPr>
              <w:instrText xml:space="preserve"> PAGEREF _Toc243341316 \h </w:instrText>
            </w:r>
            <w:r w:rsidRPr="00B36B89">
              <w:rPr>
                <w:webHidden/>
                <w:sz w:val="24"/>
                <w:szCs w:val="24"/>
              </w:rPr>
            </w:r>
            <w:r w:rsidRPr="00B36B89">
              <w:rPr>
                <w:webHidden/>
                <w:sz w:val="24"/>
                <w:szCs w:val="24"/>
              </w:rPr>
              <w:fldChar w:fldCharType="separate"/>
            </w:r>
            <w:r w:rsidRPr="00B36B89">
              <w:rPr>
                <w:webHidden/>
                <w:sz w:val="24"/>
                <w:szCs w:val="24"/>
              </w:rPr>
              <w:t>8</w:t>
            </w:r>
            <w:r w:rsidRPr="00B36B89">
              <w:rPr>
                <w:webHidden/>
                <w:sz w:val="24"/>
                <w:szCs w:val="24"/>
              </w:rPr>
              <w:fldChar w:fldCharType="end"/>
            </w:r>
          </w:hyperlink>
        </w:p>
        <w:p w14:paraId="363B611B" w14:textId="67620579" w:rsidR="006132E6" w:rsidRPr="00B36B89" w:rsidRDefault="006132E6" w:rsidP="006E4EC5">
          <w:pPr>
            <w:pStyle w:val="TOC3"/>
            <w:rPr>
              <w:sz w:val="24"/>
              <w:szCs w:val="24"/>
            </w:rPr>
          </w:pPr>
          <w:hyperlink w:anchor="_Toc243341317" w:history="1">
            <w:r w:rsidRPr="00B36B89">
              <w:rPr>
                <w:rStyle w:val="Hyperlink"/>
                <w:sz w:val="24"/>
                <w:szCs w:val="24"/>
              </w:rPr>
              <w:t>1.6 Task 1: Overall  Evaluation and Strategic Implications</w:t>
            </w:r>
            <w:r w:rsidRPr="00B36B89">
              <w:rPr>
                <w:webHidden/>
                <w:sz w:val="24"/>
                <w:szCs w:val="24"/>
              </w:rPr>
              <w:tab/>
            </w:r>
            <w:r w:rsidRPr="00B36B89">
              <w:rPr>
                <w:webHidden/>
                <w:sz w:val="24"/>
                <w:szCs w:val="24"/>
              </w:rPr>
              <w:fldChar w:fldCharType="begin"/>
            </w:r>
            <w:r w:rsidRPr="00B36B89">
              <w:rPr>
                <w:webHidden/>
                <w:sz w:val="24"/>
                <w:szCs w:val="24"/>
              </w:rPr>
              <w:instrText xml:space="preserve"> PAGEREF _Toc243341317 \h </w:instrText>
            </w:r>
            <w:r w:rsidRPr="00B36B89">
              <w:rPr>
                <w:webHidden/>
                <w:sz w:val="24"/>
                <w:szCs w:val="24"/>
              </w:rPr>
            </w:r>
            <w:r w:rsidRPr="00B36B89">
              <w:rPr>
                <w:webHidden/>
                <w:sz w:val="24"/>
                <w:szCs w:val="24"/>
              </w:rPr>
              <w:fldChar w:fldCharType="separate"/>
            </w:r>
            <w:r w:rsidRPr="00B36B89">
              <w:rPr>
                <w:webHidden/>
                <w:sz w:val="24"/>
                <w:szCs w:val="24"/>
              </w:rPr>
              <w:t>10</w:t>
            </w:r>
            <w:r w:rsidRPr="00B36B89">
              <w:rPr>
                <w:webHidden/>
                <w:sz w:val="24"/>
                <w:szCs w:val="24"/>
              </w:rPr>
              <w:fldChar w:fldCharType="end"/>
            </w:r>
          </w:hyperlink>
        </w:p>
        <w:p w14:paraId="1F090FFE" w14:textId="5931FC46" w:rsidR="006132E6" w:rsidRPr="00B36B89" w:rsidRDefault="006132E6" w:rsidP="009A3556">
          <w:pPr>
            <w:pStyle w:val="TOC1"/>
            <w:rPr>
              <w:sz w:val="24"/>
              <w:szCs w:val="24"/>
            </w:rPr>
          </w:pPr>
          <w:hyperlink w:anchor="_Toc243341318" w:history="1">
            <w:r w:rsidRPr="00B36B89">
              <w:rPr>
                <w:rStyle w:val="Hyperlink"/>
                <w:sz w:val="24"/>
                <w:szCs w:val="24"/>
              </w:rPr>
              <w:t>TASK 2: STRATEGIC GROWTH AND COMPETITIVE POSITIONING</w:t>
            </w:r>
            <w:r w:rsidRPr="00B36B89">
              <w:rPr>
                <w:webHidden/>
                <w:sz w:val="24"/>
                <w:szCs w:val="24"/>
              </w:rPr>
              <w:tab/>
            </w:r>
            <w:r w:rsidRPr="00B36B89">
              <w:rPr>
                <w:webHidden/>
                <w:sz w:val="24"/>
                <w:szCs w:val="24"/>
              </w:rPr>
              <w:fldChar w:fldCharType="begin"/>
            </w:r>
            <w:r w:rsidRPr="00B36B89">
              <w:rPr>
                <w:webHidden/>
                <w:sz w:val="24"/>
                <w:szCs w:val="24"/>
              </w:rPr>
              <w:instrText xml:space="preserve"> PAGEREF _Toc243341318 \h </w:instrText>
            </w:r>
            <w:r w:rsidRPr="00B36B89">
              <w:rPr>
                <w:webHidden/>
                <w:sz w:val="24"/>
                <w:szCs w:val="24"/>
              </w:rPr>
            </w:r>
            <w:r w:rsidRPr="00B36B89">
              <w:rPr>
                <w:webHidden/>
                <w:sz w:val="24"/>
                <w:szCs w:val="24"/>
              </w:rPr>
              <w:fldChar w:fldCharType="separate"/>
            </w:r>
            <w:r w:rsidRPr="00B36B89">
              <w:rPr>
                <w:webHidden/>
                <w:sz w:val="24"/>
                <w:szCs w:val="24"/>
              </w:rPr>
              <w:t>10</w:t>
            </w:r>
            <w:r w:rsidRPr="00B36B89">
              <w:rPr>
                <w:webHidden/>
                <w:sz w:val="24"/>
                <w:szCs w:val="24"/>
              </w:rPr>
              <w:fldChar w:fldCharType="end"/>
            </w:r>
          </w:hyperlink>
        </w:p>
        <w:p w14:paraId="39B74C2E" w14:textId="5C48256D" w:rsidR="006132E6" w:rsidRPr="00B36B89" w:rsidRDefault="006132E6" w:rsidP="009A3556">
          <w:pPr>
            <w:pStyle w:val="TOC2"/>
            <w:rPr>
              <w:sz w:val="24"/>
              <w:szCs w:val="24"/>
            </w:rPr>
          </w:pPr>
          <w:hyperlink w:anchor="_Toc243341319" w:history="1">
            <w:r w:rsidRPr="00B36B89">
              <w:rPr>
                <w:rStyle w:val="Hyperlink"/>
                <w:kern w:val="0"/>
                <w:sz w:val="24"/>
                <w:szCs w:val="24"/>
                <w14:ligatures w14:val="none"/>
              </w:rPr>
              <w:t>2.1 Application of Ansoff’s Growth Matrix</w:t>
            </w:r>
            <w:r w:rsidRPr="00B36B89">
              <w:rPr>
                <w:webHidden/>
                <w:sz w:val="24"/>
                <w:szCs w:val="24"/>
              </w:rPr>
              <w:tab/>
            </w:r>
            <w:r w:rsidRPr="00B36B89">
              <w:rPr>
                <w:webHidden/>
                <w:sz w:val="24"/>
                <w:szCs w:val="24"/>
              </w:rPr>
              <w:fldChar w:fldCharType="begin"/>
            </w:r>
            <w:r w:rsidRPr="00B36B89">
              <w:rPr>
                <w:webHidden/>
                <w:sz w:val="24"/>
                <w:szCs w:val="24"/>
              </w:rPr>
              <w:instrText xml:space="preserve"> PAGEREF _Toc243341319 \h </w:instrText>
            </w:r>
            <w:r w:rsidRPr="00B36B89">
              <w:rPr>
                <w:webHidden/>
                <w:sz w:val="24"/>
                <w:szCs w:val="24"/>
              </w:rPr>
            </w:r>
            <w:r w:rsidRPr="00B36B89">
              <w:rPr>
                <w:webHidden/>
                <w:sz w:val="24"/>
                <w:szCs w:val="24"/>
              </w:rPr>
              <w:fldChar w:fldCharType="separate"/>
            </w:r>
            <w:r w:rsidRPr="00B36B89">
              <w:rPr>
                <w:webHidden/>
                <w:sz w:val="24"/>
                <w:szCs w:val="24"/>
              </w:rPr>
              <w:t>10</w:t>
            </w:r>
            <w:r w:rsidRPr="00B36B89">
              <w:rPr>
                <w:webHidden/>
                <w:sz w:val="24"/>
                <w:szCs w:val="24"/>
              </w:rPr>
              <w:fldChar w:fldCharType="end"/>
            </w:r>
          </w:hyperlink>
        </w:p>
        <w:p w14:paraId="47F2506F" w14:textId="20C98AC5" w:rsidR="006132E6" w:rsidRPr="00B36B89" w:rsidRDefault="006132E6" w:rsidP="009A3556">
          <w:pPr>
            <w:pStyle w:val="TOC2"/>
            <w:rPr>
              <w:sz w:val="24"/>
              <w:szCs w:val="24"/>
            </w:rPr>
          </w:pPr>
          <w:hyperlink w:anchor="_Toc243341320" w:history="1">
            <w:r w:rsidRPr="00B36B89">
              <w:rPr>
                <w:rStyle w:val="Hyperlink"/>
                <w:kern w:val="0"/>
                <w:sz w:val="24"/>
                <w:szCs w:val="24"/>
                <w14:ligatures w14:val="none"/>
              </w:rPr>
              <w:t>2.2 Recommended Strategy: Market Penetration and Product Development</w:t>
            </w:r>
            <w:r w:rsidRPr="00B36B89">
              <w:rPr>
                <w:webHidden/>
                <w:sz w:val="24"/>
                <w:szCs w:val="24"/>
              </w:rPr>
              <w:tab/>
            </w:r>
            <w:r w:rsidRPr="00B36B89">
              <w:rPr>
                <w:webHidden/>
                <w:sz w:val="24"/>
                <w:szCs w:val="24"/>
              </w:rPr>
              <w:fldChar w:fldCharType="begin"/>
            </w:r>
            <w:r w:rsidRPr="00B36B89">
              <w:rPr>
                <w:webHidden/>
                <w:sz w:val="24"/>
                <w:szCs w:val="24"/>
              </w:rPr>
              <w:instrText xml:space="preserve"> PAGEREF _Toc243341320 \h </w:instrText>
            </w:r>
            <w:r w:rsidRPr="00B36B89">
              <w:rPr>
                <w:webHidden/>
                <w:sz w:val="24"/>
                <w:szCs w:val="24"/>
              </w:rPr>
            </w:r>
            <w:r w:rsidRPr="00B36B89">
              <w:rPr>
                <w:webHidden/>
                <w:sz w:val="24"/>
                <w:szCs w:val="24"/>
              </w:rPr>
              <w:fldChar w:fldCharType="separate"/>
            </w:r>
            <w:r w:rsidRPr="00B36B89">
              <w:rPr>
                <w:webHidden/>
                <w:sz w:val="24"/>
                <w:szCs w:val="24"/>
              </w:rPr>
              <w:t>11</w:t>
            </w:r>
            <w:r w:rsidRPr="00B36B89">
              <w:rPr>
                <w:webHidden/>
                <w:sz w:val="24"/>
                <w:szCs w:val="24"/>
              </w:rPr>
              <w:fldChar w:fldCharType="end"/>
            </w:r>
          </w:hyperlink>
        </w:p>
        <w:p w14:paraId="3604965B" w14:textId="3F9B2868" w:rsidR="006132E6" w:rsidRPr="00B36B89" w:rsidRDefault="006132E6" w:rsidP="009A3556">
          <w:pPr>
            <w:pStyle w:val="TOC2"/>
            <w:rPr>
              <w:sz w:val="24"/>
              <w:szCs w:val="24"/>
            </w:rPr>
          </w:pPr>
          <w:hyperlink w:anchor="_Toc243341321" w:history="1">
            <w:r w:rsidRPr="00B36B89">
              <w:rPr>
                <w:rStyle w:val="Hyperlink"/>
                <w:kern w:val="0"/>
                <w:sz w:val="24"/>
                <w:szCs w:val="24"/>
                <w14:ligatures w14:val="none"/>
              </w:rPr>
              <w:t>2.3 Evaluation of Alternative Growth Strategies</w:t>
            </w:r>
            <w:r w:rsidRPr="00B36B89">
              <w:rPr>
                <w:webHidden/>
                <w:sz w:val="24"/>
                <w:szCs w:val="24"/>
              </w:rPr>
              <w:tab/>
            </w:r>
            <w:r w:rsidRPr="00B36B89">
              <w:rPr>
                <w:webHidden/>
                <w:sz w:val="24"/>
                <w:szCs w:val="24"/>
              </w:rPr>
              <w:fldChar w:fldCharType="begin"/>
            </w:r>
            <w:r w:rsidRPr="00B36B89">
              <w:rPr>
                <w:webHidden/>
                <w:sz w:val="24"/>
                <w:szCs w:val="24"/>
              </w:rPr>
              <w:instrText xml:space="preserve"> PAGEREF _Toc243341321 \h </w:instrText>
            </w:r>
            <w:r w:rsidRPr="00B36B89">
              <w:rPr>
                <w:webHidden/>
                <w:sz w:val="24"/>
                <w:szCs w:val="24"/>
              </w:rPr>
            </w:r>
            <w:r w:rsidRPr="00B36B89">
              <w:rPr>
                <w:webHidden/>
                <w:sz w:val="24"/>
                <w:szCs w:val="24"/>
              </w:rPr>
              <w:fldChar w:fldCharType="separate"/>
            </w:r>
            <w:r w:rsidRPr="00B36B89">
              <w:rPr>
                <w:webHidden/>
                <w:sz w:val="24"/>
                <w:szCs w:val="24"/>
              </w:rPr>
              <w:t>12</w:t>
            </w:r>
            <w:r w:rsidRPr="00B36B89">
              <w:rPr>
                <w:webHidden/>
                <w:sz w:val="24"/>
                <w:szCs w:val="24"/>
              </w:rPr>
              <w:fldChar w:fldCharType="end"/>
            </w:r>
          </w:hyperlink>
        </w:p>
        <w:p w14:paraId="6908E757" w14:textId="0164AC4A" w:rsidR="006132E6" w:rsidRPr="00B36B89" w:rsidRDefault="006132E6" w:rsidP="009A3556">
          <w:pPr>
            <w:pStyle w:val="TOC2"/>
            <w:rPr>
              <w:sz w:val="24"/>
              <w:szCs w:val="24"/>
            </w:rPr>
          </w:pPr>
          <w:hyperlink w:anchor="_Toc243341322" w:history="1">
            <w:r w:rsidRPr="00B36B89">
              <w:rPr>
                <w:rStyle w:val="Hyperlink"/>
                <w:kern w:val="0"/>
                <w:sz w:val="24"/>
                <w:szCs w:val="24"/>
                <w14:ligatures w14:val="none"/>
              </w:rPr>
              <w:t>2.4 Competitive Advantage: Porter’s Generic Strategies</w:t>
            </w:r>
            <w:r w:rsidRPr="00B36B89">
              <w:rPr>
                <w:webHidden/>
                <w:sz w:val="24"/>
                <w:szCs w:val="24"/>
              </w:rPr>
              <w:tab/>
            </w:r>
            <w:r w:rsidRPr="00B36B89">
              <w:rPr>
                <w:webHidden/>
                <w:sz w:val="24"/>
                <w:szCs w:val="24"/>
              </w:rPr>
              <w:fldChar w:fldCharType="begin"/>
            </w:r>
            <w:r w:rsidRPr="00B36B89">
              <w:rPr>
                <w:webHidden/>
                <w:sz w:val="24"/>
                <w:szCs w:val="24"/>
              </w:rPr>
              <w:instrText xml:space="preserve"> PAGEREF _Toc243341322 \h </w:instrText>
            </w:r>
            <w:r w:rsidRPr="00B36B89">
              <w:rPr>
                <w:webHidden/>
                <w:sz w:val="24"/>
                <w:szCs w:val="24"/>
              </w:rPr>
            </w:r>
            <w:r w:rsidRPr="00B36B89">
              <w:rPr>
                <w:webHidden/>
                <w:sz w:val="24"/>
                <w:szCs w:val="24"/>
              </w:rPr>
              <w:fldChar w:fldCharType="separate"/>
            </w:r>
            <w:r w:rsidRPr="00B36B89">
              <w:rPr>
                <w:webHidden/>
                <w:sz w:val="24"/>
                <w:szCs w:val="24"/>
              </w:rPr>
              <w:t>1</w:t>
            </w:r>
            <w:r w:rsidRPr="00B36B89">
              <w:rPr>
                <w:webHidden/>
                <w:sz w:val="24"/>
                <w:szCs w:val="24"/>
              </w:rPr>
              <w:fldChar w:fldCharType="end"/>
            </w:r>
          </w:hyperlink>
          <w:r w:rsidR="009A3556" w:rsidRPr="00B36B89">
            <w:rPr>
              <w:rStyle w:val="Hyperlink"/>
              <w:b w:val="0"/>
              <w:bCs w:val="0"/>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1E220D2C" w14:textId="6793E9EE" w:rsidR="006132E6" w:rsidRPr="00B36B89" w:rsidRDefault="009A3556" w:rsidP="009A3556">
          <w:pPr>
            <w:pStyle w:val="TOC2"/>
            <w:rPr>
              <w:sz w:val="24"/>
              <w:szCs w:val="24"/>
            </w:rPr>
          </w:pPr>
          <w:r w:rsidRPr="00B36B89">
            <w:rPr>
              <w:sz w:val="24"/>
              <w:szCs w:val="24"/>
            </w:rPr>
            <w:t xml:space="preserve">    </w:t>
          </w:r>
          <w:hyperlink w:anchor="_Toc243341325" w:history="1">
            <w:r w:rsidR="006132E6" w:rsidRPr="00B36B89">
              <w:rPr>
                <w:rStyle w:val="Hyperlink"/>
                <w:kern w:val="0"/>
                <w:sz w:val="24"/>
                <w:szCs w:val="24"/>
                <w14:ligatures w14:val="none"/>
              </w:rPr>
              <w:t>2.5 Recommended Implementation Strategy</w:t>
            </w:r>
            <w:r w:rsidR="006132E6" w:rsidRPr="00B36B89">
              <w:rPr>
                <w:webHidden/>
                <w:sz w:val="24"/>
                <w:szCs w:val="24"/>
              </w:rPr>
              <w:tab/>
            </w:r>
            <w:r w:rsidR="006132E6" w:rsidRPr="00B36B89">
              <w:rPr>
                <w:webHidden/>
                <w:sz w:val="24"/>
                <w:szCs w:val="24"/>
              </w:rPr>
              <w:fldChar w:fldCharType="begin"/>
            </w:r>
            <w:r w:rsidR="006132E6" w:rsidRPr="00B36B89">
              <w:rPr>
                <w:webHidden/>
                <w:sz w:val="24"/>
                <w:szCs w:val="24"/>
              </w:rPr>
              <w:instrText xml:space="preserve"> PAGEREF _Toc243341325 \h </w:instrText>
            </w:r>
            <w:r w:rsidR="006132E6" w:rsidRPr="00B36B89">
              <w:rPr>
                <w:webHidden/>
                <w:sz w:val="24"/>
                <w:szCs w:val="24"/>
              </w:rPr>
            </w:r>
            <w:r w:rsidR="006132E6" w:rsidRPr="00B36B89">
              <w:rPr>
                <w:webHidden/>
                <w:sz w:val="24"/>
                <w:szCs w:val="24"/>
              </w:rPr>
              <w:fldChar w:fldCharType="separate"/>
            </w:r>
            <w:r w:rsidR="006132E6" w:rsidRPr="00B36B89">
              <w:rPr>
                <w:webHidden/>
                <w:sz w:val="24"/>
                <w:szCs w:val="24"/>
              </w:rPr>
              <w:t>14</w:t>
            </w:r>
            <w:r w:rsidR="006132E6" w:rsidRPr="00B36B89">
              <w:rPr>
                <w:webHidden/>
                <w:sz w:val="24"/>
                <w:szCs w:val="24"/>
              </w:rPr>
              <w:fldChar w:fldCharType="end"/>
            </w:r>
          </w:hyperlink>
        </w:p>
        <w:p w14:paraId="1B601B2A" w14:textId="1D4ABA8A" w:rsidR="006132E6" w:rsidRPr="00B36B89" w:rsidRDefault="006132E6" w:rsidP="006E4EC5">
          <w:pPr>
            <w:pStyle w:val="TOC3"/>
            <w:rPr>
              <w:sz w:val="24"/>
              <w:szCs w:val="24"/>
            </w:rPr>
          </w:pPr>
          <w:hyperlink w:anchor="_Toc243341326" w:history="1">
            <w:r w:rsidRPr="00B36B89">
              <w:rPr>
                <w:rStyle w:val="Hyperlink"/>
                <w:kern w:val="0"/>
                <w:sz w:val="24"/>
                <w:szCs w:val="24"/>
                <w14:ligatures w14:val="none"/>
              </w:rPr>
              <w:t>Table 7. Proposed Sustainable Growth Implementation Plan</w:t>
            </w:r>
            <w:r w:rsidRPr="00B36B89">
              <w:rPr>
                <w:webHidden/>
                <w:sz w:val="24"/>
                <w:szCs w:val="24"/>
              </w:rPr>
              <w:tab/>
            </w:r>
            <w:r w:rsidRPr="00B36B89">
              <w:rPr>
                <w:webHidden/>
                <w:sz w:val="24"/>
                <w:szCs w:val="24"/>
              </w:rPr>
              <w:fldChar w:fldCharType="begin"/>
            </w:r>
            <w:r w:rsidRPr="00B36B89">
              <w:rPr>
                <w:webHidden/>
                <w:sz w:val="24"/>
                <w:szCs w:val="24"/>
              </w:rPr>
              <w:instrText xml:space="preserve"> PAGEREF _Toc243341326 \h </w:instrText>
            </w:r>
            <w:r w:rsidRPr="00B36B89">
              <w:rPr>
                <w:webHidden/>
                <w:sz w:val="24"/>
                <w:szCs w:val="24"/>
              </w:rPr>
            </w:r>
            <w:r w:rsidRPr="00B36B89">
              <w:rPr>
                <w:webHidden/>
                <w:sz w:val="24"/>
                <w:szCs w:val="24"/>
              </w:rPr>
              <w:fldChar w:fldCharType="separate"/>
            </w:r>
            <w:r w:rsidRPr="00B36B89">
              <w:rPr>
                <w:webHidden/>
                <w:sz w:val="24"/>
                <w:szCs w:val="24"/>
              </w:rPr>
              <w:t>14</w:t>
            </w:r>
            <w:r w:rsidRPr="00B36B89">
              <w:rPr>
                <w:webHidden/>
                <w:sz w:val="24"/>
                <w:szCs w:val="24"/>
              </w:rPr>
              <w:fldChar w:fldCharType="end"/>
            </w:r>
          </w:hyperlink>
        </w:p>
        <w:p w14:paraId="50FEED5A" w14:textId="4B1D06CA" w:rsidR="006132E6" w:rsidRPr="00B36B89" w:rsidRDefault="006132E6" w:rsidP="006E4EC5">
          <w:pPr>
            <w:pStyle w:val="TOC3"/>
            <w:rPr>
              <w:sz w:val="24"/>
              <w:szCs w:val="24"/>
            </w:rPr>
          </w:pPr>
          <w:hyperlink w:anchor="_Toc243341327" w:history="1">
            <w:r w:rsidRPr="00B36B89">
              <w:rPr>
                <w:rStyle w:val="Hyperlink"/>
                <w:sz w:val="24"/>
                <w:szCs w:val="24"/>
              </w:rPr>
              <w:t>2.6 Strategic Justification and Critical Judgement</w:t>
            </w:r>
            <w:r w:rsidRPr="00B36B89">
              <w:rPr>
                <w:webHidden/>
                <w:sz w:val="24"/>
                <w:szCs w:val="24"/>
              </w:rPr>
              <w:tab/>
            </w:r>
            <w:r w:rsidRPr="00B36B89">
              <w:rPr>
                <w:webHidden/>
                <w:sz w:val="24"/>
                <w:szCs w:val="24"/>
              </w:rPr>
              <w:fldChar w:fldCharType="begin"/>
            </w:r>
            <w:r w:rsidRPr="00B36B89">
              <w:rPr>
                <w:webHidden/>
                <w:sz w:val="24"/>
                <w:szCs w:val="24"/>
              </w:rPr>
              <w:instrText xml:space="preserve"> PAGEREF _Toc243341327 \h </w:instrText>
            </w:r>
            <w:r w:rsidRPr="00B36B89">
              <w:rPr>
                <w:webHidden/>
                <w:sz w:val="24"/>
                <w:szCs w:val="24"/>
              </w:rPr>
            </w:r>
            <w:r w:rsidRPr="00B36B89">
              <w:rPr>
                <w:webHidden/>
                <w:sz w:val="24"/>
                <w:szCs w:val="24"/>
              </w:rPr>
              <w:fldChar w:fldCharType="separate"/>
            </w:r>
            <w:r w:rsidRPr="00B36B89">
              <w:rPr>
                <w:webHidden/>
                <w:sz w:val="24"/>
                <w:szCs w:val="24"/>
              </w:rPr>
              <w:t>15</w:t>
            </w:r>
            <w:r w:rsidRPr="00B36B89">
              <w:rPr>
                <w:webHidden/>
                <w:sz w:val="24"/>
                <w:szCs w:val="24"/>
              </w:rPr>
              <w:fldChar w:fldCharType="end"/>
            </w:r>
          </w:hyperlink>
        </w:p>
        <w:p w14:paraId="5EE48064" w14:textId="485AD077" w:rsidR="006132E6" w:rsidRPr="00B36B89" w:rsidRDefault="006132E6" w:rsidP="009A3556">
          <w:pPr>
            <w:pStyle w:val="TOC1"/>
            <w:rPr>
              <w:sz w:val="24"/>
              <w:szCs w:val="24"/>
            </w:rPr>
          </w:pPr>
          <w:hyperlink w:anchor="_Toc243341328" w:history="1">
            <w:r w:rsidRPr="00B36B89">
              <w:rPr>
                <w:rStyle w:val="Hyperlink"/>
                <w:sz w:val="24"/>
                <w:szCs w:val="24"/>
              </w:rPr>
              <w:t>TASK 3: MANAGERIAL AND PROFESSIONAL REFLECTION</w:t>
            </w:r>
            <w:r w:rsidRPr="00B36B89">
              <w:rPr>
                <w:webHidden/>
                <w:sz w:val="24"/>
                <w:szCs w:val="24"/>
              </w:rPr>
              <w:tab/>
            </w:r>
            <w:r w:rsidRPr="00B36B89">
              <w:rPr>
                <w:webHidden/>
                <w:sz w:val="24"/>
                <w:szCs w:val="24"/>
              </w:rPr>
              <w:fldChar w:fldCharType="begin"/>
            </w:r>
            <w:r w:rsidRPr="00B36B89">
              <w:rPr>
                <w:webHidden/>
                <w:sz w:val="24"/>
                <w:szCs w:val="24"/>
              </w:rPr>
              <w:instrText xml:space="preserve"> PAGEREF _Toc243341328 \h </w:instrText>
            </w:r>
            <w:r w:rsidRPr="00B36B89">
              <w:rPr>
                <w:webHidden/>
                <w:sz w:val="24"/>
                <w:szCs w:val="24"/>
              </w:rPr>
            </w:r>
            <w:r w:rsidRPr="00B36B89">
              <w:rPr>
                <w:webHidden/>
                <w:sz w:val="24"/>
                <w:szCs w:val="24"/>
              </w:rPr>
              <w:fldChar w:fldCharType="separate"/>
            </w:r>
            <w:r w:rsidRPr="00B36B89">
              <w:rPr>
                <w:webHidden/>
                <w:sz w:val="24"/>
                <w:szCs w:val="24"/>
              </w:rPr>
              <w:t>15</w:t>
            </w:r>
            <w:r w:rsidRPr="00B36B89">
              <w:rPr>
                <w:webHidden/>
                <w:sz w:val="24"/>
                <w:szCs w:val="24"/>
              </w:rPr>
              <w:fldChar w:fldCharType="end"/>
            </w:r>
          </w:hyperlink>
        </w:p>
        <w:p w14:paraId="7F1E6F57" w14:textId="10BE482D" w:rsidR="006132E6" w:rsidRPr="00B36B89" w:rsidRDefault="006132E6" w:rsidP="009A3556">
          <w:pPr>
            <w:pStyle w:val="TOC2"/>
            <w:rPr>
              <w:sz w:val="24"/>
              <w:szCs w:val="24"/>
            </w:rPr>
          </w:pPr>
          <w:hyperlink w:anchor="_Toc243341329" w:history="1">
            <w:r w:rsidRPr="00B36B89">
              <w:rPr>
                <w:rStyle w:val="Hyperlink"/>
                <w:sz w:val="24"/>
                <w:szCs w:val="24"/>
              </w:rPr>
              <w:t>3.1 Reflection on Company Selection</w:t>
            </w:r>
            <w:r w:rsidRPr="00B36B89">
              <w:rPr>
                <w:webHidden/>
                <w:sz w:val="24"/>
                <w:szCs w:val="24"/>
              </w:rPr>
              <w:tab/>
            </w:r>
            <w:r w:rsidRPr="00B36B89">
              <w:rPr>
                <w:webHidden/>
                <w:sz w:val="24"/>
                <w:szCs w:val="24"/>
              </w:rPr>
              <w:fldChar w:fldCharType="begin"/>
            </w:r>
            <w:r w:rsidRPr="00B36B89">
              <w:rPr>
                <w:webHidden/>
                <w:sz w:val="24"/>
                <w:szCs w:val="24"/>
              </w:rPr>
              <w:instrText xml:space="preserve"> PAGEREF _Toc243341329 \h </w:instrText>
            </w:r>
            <w:r w:rsidRPr="00B36B89">
              <w:rPr>
                <w:webHidden/>
                <w:sz w:val="24"/>
                <w:szCs w:val="24"/>
              </w:rPr>
            </w:r>
            <w:r w:rsidRPr="00B36B89">
              <w:rPr>
                <w:webHidden/>
                <w:sz w:val="24"/>
                <w:szCs w:val="24"/>
              </w:rPr>
              <w:fldChar w:fldCharType="separate"/>
            </w:r>
            <w:r w:rsidRPr="00B36B89">
              <w:rPr>
                <w:webHidden/>
                <w:sz w:val="24"/>
                <w:szCs w:val="24"/>
              </w:rPr>
              <w:t>15</w:t>
            </w:r>
            <w:r w:rsidRPr="00B36B89">
              <w:rPr>
                <w:webHidden/>
                <w:sz w:val="24"/>
                <w:szCs w:val="24"/>
              </w:rPr>
              <w:fldChar w:fldCharType="end"/>
            </w:r>
          </w:hyperlink>
        </w:p>
        <w:p w14:paraId="4DA255D7" w14:textId="2DC1B79E" w:rsidR="006132E6" w:rsidRPr="00B36B89" w:rsidRDefault="006132E6" w:rsidP="009A3556">
          <w:pPr>
            <w:pStyle w:val="TOC2"/>
            <w:rPr>
              <w:sz w:val="24"/>
              <w:szCs w:val="24"/>
            </w:rPr>
          </w:pPr>
          <w:hyperlink w:anchor="_Toc243341330" w:history="1">
            <w:r w:rsidRPr="00B36B89">
              <w:rPr>
                <w:rStyle w:val="Hyperlink"/>
                <w:kern w:val="0"/>
                <w:sz w:val="24"/>
                <w:szCs w:val="24"/>
                <w14:ligatures w14:val="none"/>
              </w:rPr>
              <w:t>3.2 Reflection on Environmental Actor Selection</w:t>
            </w:r>
            <w:r w:rsidRPr="00B36B89">
              <w:rPr>
                <w:webHidden/>
                <w:sz w:val="24"/>
                <w:szCs w:val="24"/>
              </w:rPr>
              <w:tab/>
            </w:r>
            <w:r w:rsidRPr="00B36B89">
              <w:rPr>
                <w:webHidden/>
                <w:sz w:val="24"/>
                <w:szCs w:val="24"/>
              </w:rPr>
              <w:fldChar w:fldCharType="begin"/>
            </w:r>
            <w:r w:rsidRPr="00B36B89">
              <w:rPr>
                <w:webHidden/>
                <w:sz w:val="24"/>
                <w:szCs w:val="24"/>
              </w:rPr>
              <w:instrText xml:space="preserve"> PAGEREF _Toc243341330 \h </w:instrText>
            </w:r>
            <w:r w:rsidRPr="00B36B89">
              <w:rPr>
                <w:webHidden/>
                <w:sz w:val="24"/>
                <w:szCs w:val="24"/>
              </w:rPr>
            </w:r>
            <w:r w:rsidRPr="00B36B89">
              <w:rPr>
                <w:webHidden/>
                <w:sz w:val="24"/>
                <w:szCs w:val="24"/>
              </w:rPr>
              <w:fldChar w:fldCharType="separate"/>
            </w:r>
            <w:r w:rsidRPr="00B36B89">
              <w:rPr>
                <w:webHidden/>
                <w:sz w:val="24"/>
                <w:szCs w:val="24"/>
              </w:rPr>
              <w:t>16</w:t>
            </w:r>
            <w:r w:rsidRPr="00B36B89">
              <w:rPr>
                <w:webHidden/>
                <w:sz w:val="24"/>
                <w:szCs w:val="24"/>
              </w:rPr>
              <w:fldChar w:fldCharType="end"/>
            </w:r>
          </w:hyperlink>
        </w:p>
        <w:p w14:paraId="67C3EF0C" w14:textId="5B4E4A37" w:rsidR="006132E6" w:rsidRPr="00B36B89" w:rsidRDefault="006132E6" w:rsidP="009A3556">
          <w:pPr>
            <w:pStyle w:val="TOC2"/>
            <w:rPr>
              <w:sz w:val="24"/>
              <w:szCs w:val="24"/>
            </w:rPr>
          </w:pPr>
          <w:hyperlink w:anchor="_Toc243341331" w:history="1">
            <w:r w:rsidRPr="00B36B89">
              <w:rPr>
                <w:rStyle w:val="Hyperlink"/>
                <w:kern w:val="0"/>
                <w:sz w:val="24"/>
                <w:szCs w:val="24"/>
                <w14:ligatures w14:val="none"/>
              </w:rPr>
              <w:t>3.3 Reflection on Strategic Growth Decisions</w:t>
            </w:r>
            <w:r w:rsidRPr="00B36B89">
              <w:rPr>
                <w:webHidden/>
                <w:sz w:val="24"/>
                <w:szCs w:val="24"/>
              </w:rPr>
              <w:tab/>
            </w:r>
            <w:r w:rsidRPr="00B36B89">
              <w:rPr>
                <w:webHidden/>
                <w:sz w:val="24"/>
                <w:szCs w:val="24"/>
              </w:rPr>
              <w:fldChar w:fldCharType="begin"/>
            </w:r>
            <w:r w:rsidRPr="00B36B89">
              <w:rPr>
                <w:webHidden/>
                <w:sz w:val="24"/>
                <w:szCs w:val="24"/>
              </w:rPr>
              <w:instrText xml:space="preserve"> PAGEREF _Toc243341331 \h </w:instrText>
            </w:r>
            <w:r w:rsidRPr="00B36B89">
              <w:rPr>
                <w:webHidden/>
                <w:sz w:val="24"/>
                <w:szCs w:val="24"/>
              </w:rPr>
            </w:r>
            <w:r w:rsidRPr="00B36B89">
              <w:rPr>
                <w:webHidden/>
                <w:sz w:val="24"/>
                <w:szCs w:val="24"/>
              </w:rPr>
              <w:fldChar w:fldCharType="separate"/>
            </w:r>
            <w:r w:rsidRPr="00B36B89">
              <w:rPr>
                <w:webHidden/>
                <w:sz w:val="24"/>
                <w:szCs w:val="24"/>
              </w:rPr>
              <w:t>16</w:t>
            </w:r>
            <w:r w:rsidRPr="00B36B89">
              <w:rPr>
                <w:webHidden/>
                <w:sz w:val="24"/>
                <w:szCs w:val="24"/>
              </w:rPr>
              <w:fldChar w:fldCharType="end"/>
            </w:r>
          </w:hyperlink>
        </w:p>
        <w:p w14:paraId="62B6864F" w14:textId="45CFC52B" w:rsidR="006132E6" w:rsidRPr="00B36B89" w:rsidRDefault="006132E6" w:rsidP="009A3556">
          <w:pPr>
            <w:pStyle w:val="TOC2"/>
            <w:rPr>
              <w:sz w:val="24"/>
              <w:szCs w:val="24"/>
            </w:rPr>
          </w:pPr>
          <w:hyperlink w:anchor="_Toc243341332" w:history="1">
            <w:r w:rsidRPr="00B36B89">
              <w:rPr>
                <w:rStyle w:val="Hyperlink"/>
                <w:kern w:val="0"/>
                <w:sz w:val="24"/>
                <w:szCs w:val="24"/>
                <w14:ligatures w14:val="none"/>
              </w:rPr>
              <w:t>3.4 Limitations of the Analysis</w:t>
            </w:r>
            <w:r w:rsidRPr="00B36B89">
              <w:rPr>
                <w:webHidden/>
                <w:sz w:val="24"/>
                <w:szCs w:val="24"/>
              </w:rPr>
              <w:tab/>
            </w:r>
            <w:r w:rsidRPr="00B36B89">
              <w:rPr>
                <w:webHidden/>
                <w:sz w:val="24"/>
                <w:szCs w:val="24"/>
              </w:rPr>
              <w:fldChar w:fldCharType="begin"/>
            </w:r>
            <w:r w:rsidRPr="00B36B89">
              <w:rPr>
                <w:webHidden/>
                <w:sz w:val="24"/>
                <w:szCs w:val="24"/>
              </w:rPr>
              <w:instrText xml:space="preserve"> PAGEREF _Toc243341332 \h </w:instrText>
            </w:r>
            <w:r w:rsidRPr="00B36B89">
              <w:rPr>
                <w:webHidden/>
                <w:sz w:val="24"/>
                <w:szCs w:val="24"/>
              </w:rPr>
            </w:r>
            <w:r w:rsidRPr="00B36B89">
              <w:rPr>
                <w:webHidden/>
                <w:sz w:val="24"/>
                <w:szCs w:val="24"/>
              </w:rPr>
              <w:fldChar w:fldCharType="separate"/>
            </w:r>
            <w:r w:rsidRPr="00B36B89">
              <w:rPr>
                <w:webHidden/>
                <w:sz w:val="24"/>
                <w:szCs w:val="24"/>
              </w:rPr>
              <w:t>17</w:t>
            </w:r>
            <w:r w:rsidRPr="00B36B89">
              <w:rPr>
                <w:webHidden/>
                <w:sz w:val="24"/>
                <w:szCs w:val="24"/>
              </w:rPr>
              <w:fldChar w:fldCharType="end"/>
            </w:r>
          </w:hyperlink>
        </w:p>
        <w:p w14:paraId="0F4B7492" w14:textId="7EAA22F7" w:rsidR="006132E6" w:rsidRPr="00B36B89" w:rsidRDefault="006132E6" w:rsidP="009A3556">
          <w:pPr>
            <w:pStyle w:val="TOC2"/>
            <w:rPr>
              <w:sz w:val="24"/>
              <w:szCs w:val="24"/>
            </w:rPr>
          </w:pPr>
          <w:hyperlink w:anchor="_Toc243341333" w:history="1">
            <w:r w:rsidRPr="00B36B89">
              <w:rPr>
                <w:rStyle w:val="Hyperlink"/>
                <w:kern w:val="0"/>
                <w:sz w:val="24"/>
                <w:szCs w:val="24"/>
                <w14:ligatures w14:val="none"/>
              </w:rPr>
              <w:t>3.5 Professional Learning and Future Development</w:t>
            </w:r>
            <w:r w:rsidRPr="00B36B89">
              <w:rPr>
                <w:webHidden/>
                <w:sz w:val="24"/>
                <w:szCs w:val="24"/>
              </w:rPr>
              <w:tab/>
            </w:r>
            <w:r w:rsidRPr="00B36B89">
              <w:rPr>
                <w:webHidden/>
                <w:sz w:val="24"/>
                <w:szCs w:val="24"/>
              </w:rPr>
              <w:fldChar w:fldCharType="begin"/>
            </w:r>
            <w:r w:rsidRPr="00B36B89">
              <w:rPr>
                <w:webHidden/>
                <w:sz w:val="24"/>
                <w:szCs w:val="24"/>
              </w:rPr>
              <w:instrText xml:space="preserve"> PAGEREF _Toc243341333 \h </w:instrText>
            </w:r>
            <w:r w:rsidRPr="00B36B89">
              <w:rPr>
                <w:webHidden/>
                <w:sz w:val="24"/>
                <w:szCs w:val="24"/>
              </w:rPr>
            </w:r>
            <w:r w:rsidRPr="00B36B89">
              <w:rPr>
                <w:webHidden/>
                <w:sz w:val="24"/>
                <w:szCs w:val="24"/>
              </w:rPr>
              <w:fldChar w:fldCharType="separate"/>
            </w:r>
            <w:r w:rsidRPr="00B36B89">
              <w:rPr>
                <w:webHidden/>
                <w:sz w:val="24"/>
                <w:szCs w:val="24"/>
              </w:rPr>
              <w:t>17</w:t>
            </w:r>
            <w:r w:rsidRPr="00B36B89">
              <w:rPr>
                <w:webHidden/>
                <w:sz w:val="24"/>
                <w:szCs w:val="24"/>
              </w:rPr>
              <w:fldChar w:fldCharType="end"/>
            </w:r>
          </w:hyperlink>
        </w:p>
        <w:p w14:paraId="5CC3BFC8" w14:textId="55B5E8FC" w:rsidR="006132E6" w:rsidRPr="00B36B89" w:rsidRDefault="006132E6" w:rsidP="009A3556">
          <w:pPr>
            <w:pStyle w:val="TOC1"/>
            <w:rPr>
              <w:sz w:val="24"/>
              <w:szCs w:val="24"/>
            </w:rPr>
          </w:pPr>
          <w:hyperlink w:anchor="_Toc243341334" w:history="1">
            <w:r w:rsidRPr="00B36B89">
              <w:rPr>
                <w:rStyle w:val="Hyperlink"/>
                <w:sz w:val="24"/>
                <w:szCs w:val="24"/>
              </w:rPr>
              <w:t>Conclusion</w:t>
            </w:r>
            <w:r w:rsidRPr="00B36B89">
              <w:rPr>
                <w:webHidden/>
                <w:sz w:val="24"/>
                <w:szCs w:val="24"/>
              </w:rPr>
              <w:tab/>
            </w:r>
            <w:r w:rsidRPr="00B36B89">
              <w:rPr>
                <w:webHidden/>
                <w:sz w:val="24"/>
                <w:szCs w:val="24"/>
              </w:rPr>
              <w:fldChar w:fldCharType="begin"/>
            </w:r>
            <w:r w:rsidRPr="00B36B89">
              <w:rPr>
                <w:webHidden/>
                <w:sz w:val="24"/>
                <w:szCs w:val="24"/>
              </w:rPr>
              <w:instrText xml:space="preserve"> PAGEREF _Toc243341334 \h </w:instrText>
            </w:r>
            <w:r w:rsidRPr="00B36B89">
              <w:rPr>
                <w:webHidden/>
                <w:sz w:val="24"/>
                <w:szCs w:val="24"/>
              </w:rPr>
            </w:r>
            <w:r w:rsidRPr="00B36B89">
              <w:rPr>
                <w:webHidden/>
                <w:sz w:val="24"/>
                <w:szCs w:val="24"/>
              </w:rPr>
              <w:fldChar w:fldCharType="separate"/>
            </w:r>
            <w:r w:rsidRPr="00B36B89">
              <w:rPr>
                <w:webHidden/>
                <w:sz w:val="24"/>
                <w:szCs w:val="24"/>
              </w:rPr>
              <w:t>18</w:t>
            </w:r>
            <w:r w:rsidRPr="00B36B89">
              <w:rPr>
                <w:webHidden/>
                <w:sz w:val="24"/>
                <w:szCs w:val="24"/>
              </w:rPr>
              <w:fldChar w:fldCharType="end"/>
            </w:r>
          </w:hyperlink>
        </w:p>
        <w:p w14:paraId="5CA14514" w14:textId="1FE522D8" w:rsidR="006132E6" w:rsidRPr="00B36B89" w:rsidRDefault="006132E6" w:rsidP="009A3556">
          <w:pPr>
            <w:pStyle w:val="TOC1"/>
            <w:rPr>
              <w:sz w:val="24"/>
              <w:szCs w:val="24"/>
            </w:rPr>
          </w:pPr>
          <w:hyperlink w:anchor="_Toc243341335" w:history="1">
            <w:r w:rsidRPr="00B36B89">
              <w:rPr>
                <w:rStyle w:val="Hyperlink"/>
                <w:sz w:val="24"/>
                <w:szCs w:val="24"/>
              </w:rPr>
              <w:t>References</w:t>
            </w:r>
            <w:r w:rsidRPr="00B36B89">
              <w:rPr>
                <w:webHidden/>
                <w:sz w:val="24"/>
                <w:szCs w:val="24"/>
              </w:rPr>
              <w:tab/>
            </w:r>
            <w:r w:rsidRPr="00B36B89">
              <w:rPr>
                <w:webHidden/>
                <w:sz w:val="24"/>
                <w:szCs w:val="24"/>
              </w:rPr>
              <w:fldChar w:fldCharType="begin"/>
            </w:r>
            <w:r w:rsidRPr="00B36B89">
              <w:rPr>
                <w:webHidden/>
                <w:sz w:val="24"/>
                <w:szCs w:val="24"/>
              </w:rPr>
              <w:instrText xml:space="preserve"> PAGEREF _Toc243341335 \h </w:instrText>
            </w:r>
            <w:r w:rsidRPr="00B36B89">
              <w:rPr>
                <w:webHidden/>
                <w:sz w:val="24"/>
                <w:szCs w:val="24"/>
              </w:rPr>
            </w:r>
            <w:r w:rsidRPr="00B36B89">
              <w:rPr>
                <w:webHidden/>
                <w:sz w:val="24"/>
                <w:szCs w:val="24"/>
              </w:rPr>
              <w:fldChar w:fldCharType="separate"/>
            </w:r>
            <w:r w:rsidRPr="00B36B89">
              <w:rPr>
                <w:webHidden/>
                <w:sz w:val="24"/>
                <w:szCs w:val="24"/>
              </w:rPr>
              <w:t>19</w:t>
            </w:r>
            <w:r w:rsidRPr="00B36B89">
              <w:rPr>
                <w:webHidden/>
                <w:sz w:val="24"/>
                <w:szCs w:val="24"/>
              </w:rPr>
              <w:fldChar w:fldCharType="end"/>
            </w:r>
          </w:hyperlink>
          <w:r w:rsidR="00CD15DA" w:rsidRPr="00CD15DA">
            <w:rPr>
              <w:rStyle w:val="Hyperlink"/>
              <w:b w:val="0"/>
              <w:bCs w:val="0"/>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D15DA" w:rsidRPr="00CD15DA">
            <w:rPr>
              <w:rStyle w:val="Hyperlink"/>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A01D26" w:rsidRPr="009337B9">
            <w:rPr>
              <w:rStyle w:val="Hyperlink"/>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14:paraId="128388B3" w14:textId="29754B67" w:rsidR="006132E6" w:rsidRPr="006F239A" w:rsidRDefault="006132E6">
          <w:pPr>
            <w:rPr>
              <w:sz w:val="28"/>
              <w:szCs w:val="28"/>
            </w:rPr>
          </w:pPr>
          <w:r w:rsidRPr="00B36B89">
            <w:rPr>
              <w:rFonts w:ascii="Arial" w:hAnsi="Arial" w:cs="Arial"/>
              <w:b/>
              <w:bCs/>
              <w:noProof/>
            </w:rPr>
            <w:fldChar w:fldCharType="end"/>
          </w:r>
        </w:p>
      </w:sdtContent>
    </w:sdt>
    <w:p w14:paraId="35C7E4C4" w14:textId="0E55B15A" w:rsidR="00E12048" w:rsidRPr="0081027B" w:rsidRDefault="00E12048" w:rsidP="00321FB2">
      <w:pPr>
        <w:pStyle w:val="Heading1"/>
        <w:spacing w:line="360" w:lineRule="auto"/>
        <w:rPr>
          <w:rFonts w:ascii="Times New Roman" w:eastAsia="Times New Roman" w:hAnsi="Times New Roman" w:cs="Times New Roman"/>
          <w:b/>
          <w:kern w:val="36"/>
          <w:sz w:val="48"/>
          <w:szCs w:val="48"/>
          <w14:ligatures w14:val="none"/>
        </w:rPr>
      </w:pPr>
      <w:bookmarkStart w:id="1" w:name="_Toc243341306"/>
      <w:r>
        <w:t>Marketing Environmental Analysis</w:t>
      </w:r>
      <w:bookmarkEnd w:id="0"/>
      <w:bookmarkEnd w:id="1"/>
    </w:p>
    <w:p w14:paraId="319230C0" w14:textId="77777777" w:rsidR="00437DBA" w:rsidRDefault="00437DBA" w:rsidP="00321FB2">
      <w:pPr>
        <w:pStyle w:val="Heading2"/>
        <w:spacing w:line="360" w:lineRule="auto"/>
        <w:rPr>
          <w:rFonts w:eastAsia="Times New Roman"/>
        </w:rPr>
      </w:pPr>
      <w:bookmarkStart w:id="2" w:name="_Toc243240433"/>
      <w:bookmarkStart w:id="3" w:name="_Toc243341307"/>
      <w:r w:rsidRPr="00F26E98">
        <w:rPr>
          <w:rFonts w:eastAsia="Times New Roman"/>
        </w:rPr>
        <w:t>Introduction</w:t>
      </w:r>
      <w:bookmarkEnd w:id="2"/>
      <w:bookmarkEnd w:id="3"/>
    </w:p>
    <w:p w14:paraId="7BBA490A" w14:textId="26C8CCF4" w:rsidR="00241BB6" w:rsidRDefault="00241BB6" w:rsidP="00321FB2">
      <w:pPr>
        <w:spacing w:before="100" w:beforeAutospacing="1" w:after="100" w:afterAutospacing="1" w:line="360" w:lineRule="auto"/>
        <w:rPr>
          <w:rFonts w:ascii="Arial" w:hAnsi="Arial" w:cs="Arial"/>
          <w:kern w:val="0"/>
          <w14:ligatures w14:val="none"/>
        </w:rPr>
      </w:pPr>
      <w:r w:rsidRPr="00F26E98">
        <w:rPr>
          <w:rFonts w:ascii="Arial" w:hAnsi="Arial" w:cs="Arial"/>
          <w:b/>
          <w:bCs/>
          <w:kern w:val="0"/>
          <w14:ligatures w14:val="none"/>
        </w:rPr>
        <w:t>Selected organisation:</w:t>
      </w:r>
      <w:r w:rsidRPr="00F26E98">
        <w:rPr>
          <w:rFonts w:ascii="Arial" w:hAnsi="Arial" w:cs="Arial"/>
          <w:kern w:val="0"/>
          <w14:ligatures w14:val="none"/>
        </w:rPr>
        <w:t xml:space="preserve"> </w:t>
      </w:r>
      <w:r w:rsidR="00DD198F" w:rsidRPr="001A6959">
        <w:rPr>
          <w:rFonts w:ascii="Arial" w:hAnsi="Arial" w:cs="Arial"/>
          <w:b/>
          <w:bCs/>
          <w:kern w:val="0"/>
          <w14:ligatures w14:val="none"/>
        </w:rPr>
        <w:t>Broken Hill Proprietary</w:t>
      </w:r>
      <w:r w:rsidR="00DD198F" w:rsidRPr="00F26E98">
        <w:rPr>
          <w:rFonts w:ascii="Arial" w:hAnsi="Arial" w:cs="Arial"/>
          <w:kern w:val="0"/>
          <w14:ligatures w14:val="none"/>
        </w:rPr>
        <w:t xml:space="preserve"> </w:t>
      </w:r>
      <w:r w:rsidR="008A1222" w:rsidRPr="00F84699">
        <w:rPr>
          <w:rFonts w:ascii="Arial" w:hAnsi="Arial" w:cs="Arial"/>
          <w:b/>
          <w:bCs/>
          <w:kern w:val="0"/>
          <w14:ligatures w14:val="none"/>
        </w:rPr>
        <w:t>(</w:t>
      </w:r>
      <w:r w:rsidRPr="00F84699">
        <w:rPr>
          <w:rFonts w:ascii="Arial" w:hAnsi="Arial" w:cs="Arial"/>
          <w:b/>
          <w:bCs/>
          <w:kern w:val="0"/>
          <w14:ligatures w14:val="none"/>
        </w:rPr>
        <w:t>BHP</w:t>
      </w:r>
      <w:r w:rsidR="00296F25" w:rsidRPr="00F84699">
        <w:rPr>
          <w:rFonts w:ascii="Arial" w:hAnsi="Arial" w:cs="Arial"/>
          <w:b/>
          <w:bCs/>
          <w:kern w:val="0"/>
          <w14:ligatures w14:val="none"/>
        </w:rPr>
        <w:t>)</w:t>
      </w:r>
      <w:r w:rsidRPr="00F26E98">
        <w:rPr>
          <w:rFonts w:ascii="Arial" w:hAnsi="Arial" w:cs="Arial"/>
          <w:kern w:val="0"/>
          <w14:ligatures w14:val="none"/>
        </w:rPr>
        <w:t xml:space="preserve"> Group Limited, Australia</w:t>
      </w:r>
    </w:p>
    <w:p w14:paraId="2C267375" w14:textId="77777777" w:rsidR="00CC7F12" w:rsidRPr="008C446E" w:rsidRDefault="00CC7F12" w:rsidP="00321FB2">
      <w:pPr>
        <w:pStyle w:val="p1"/>
        <w:spacing w:line="360" w:lineRule="auto"/>
        <w:rPr>
          <w:rFonts w:ascii="Arial" w:hAnsi="Arial" w:cs="Arial"/>
        </w:rPr>
      </w:pPr>
      <w:r w:rsidRPr="008C446E">
        <w:rPr>
          <w:rFonts w:ascii="Arial" w:hAnsi="Arial" w:cs="Arial"/>
        </w:rPr>
        <w:t>The mining industry faces increasing pressure to reduce emissions while supplying minerals essential for the energy transition. Environmental regulations and changing stakeholder expectations make sustainability an important strategic marketing consideration.</w:t>
      </w:r>
    </w:p>
    <w:p w14:paraId="6FE13093" w14:textId="714B558F" w:rsidR="00437DBA" w:rsidRDefault="00437DBA" w:rsidP="00321FB2">
      <w:pPr>
        <w:spacing w:before="100" w:beforeAutospacing="1" w:after="100" w:afterAutospacing="1" w:line="360" w:lineRule="auto"/>
        <w:rPr>
          <w:rFonts w:ascii="Arial" w:hAnsi="Arial" w:cs="Arial"/>
          <w:kern w:val="0"/>
          <w14:ligatures w14:val="none"/>
        </w:rPr>
      </w:pPr>
      <w:r w:rsidRPr="00F26E98">
        <w:rPr>
          <w:rFonts w:ascii="Arial" w:hAnsi="Arial" w:cs="Arial"/>
          <w:kern w:val="0"/>
          <w14:ligatures w14:val="none"/>
        </w:rPr>
        <w:t xml:space="preserve">This report critically examines </w:t>
      </w:r>
      <w:r w:rsidRPr="00BE0C86">
        <w:rPr>
          <w:rFonts w:ascii="Arial" w:hAnsi="Arial" w:cs="Arial"/>
          <w:b/>
          <w:bCs/>
          <w:kern w:val="0"/>
          <w14:ligatures w14:val="none"/>
        </w:rPr>
        <w:t>BHP Group</w:t>
      </w:r>
      <w:r w:rsidRPr="00BE0C86">
        <w:rPr>
          <w:rFonts w:ascii="Arial" w:hAnsi="Arial" w:cs="Arial"/>
          <w:kern w:val="0"/>
          <w14:ligatures w14:val="none"/>
        </w:rPr>
        <w:t>,</w:t>
      </w:r>
      <w:r w:rsidRPr="00F26E98">
        <w:rPr>
          <w:rFonts w:ascii="Arial" w:hAnsi="Arial" w:cs="Arial"/>
          <w:kern w:val="0"/>
          <w14:ligatures w14:val="none"/>
        </w:rPr>
        <w:t xml:space="preserve"> an Australian multinational mining company, focusing on three external marketing environment actors: the </w:t>
      </w:r>
      <w:r w:rsidR="0094425C">
        <w:rPr>
          <w:rFonts w:ascii="Arial" w:hAnsi="Arial" w:cs="Arial"/>
          <w:b/>
          <w:bCs/>
          <w:kern w:val="0"/>
          <w14:ligatures w14:val="none"/>
        </w:rPr>
        <w:t>N</w:t>
      </w:r>
      <w:r w:rsidRPr="00FD1271">
        <w:rPr>
          <w:rFonts w:ascii="Arial" w:hAnsi="Arial" w:cs="Arial"/>
          <w:b/>
          <w:bCs/>
          <w:kern w:val="0"/>
          <w14:ligatures w14:val="none"/>
        </w:rPr>
        <w:t xml:space="preserve">atural </w:t>
      </w:r>
      <w:r w:rsidR="0094425C">
        <w:rPr>
          <w:rFonts w:ascii="Arial" w:hAnsi="Arial" w:cs="Arial"/>
          <w:b/>
          <w:bCs/>
          <w:kern w:val="0"/>
          <w14:ligatures w14:val="none"/>
        </w:rPr>
        <w:t>E</w:t>
      </w:r>
      <w:r w:rsidRPr="00FD1271">
        <w:rPr>
          <w:rFonts w:ascii="Arial" w:hAnsi="Arial" w:cs="Arial"/>
          <w:b/>
          <w:bCs/>
          <w:kern w:val="0"/>
          <w14:ligatures w14:val="none"/>
        </w:rPr>
        <w:t>nvironment</w:t>
      </w:r>
      <w:r w:rsidRPr="00F26E98">
        <w:rPr>
          <w:rFonts w:ascii="Arial" w:hAnsi="Arial" w:cs="Arial"/>
          <w:kern w:val="0"/>
          <w14:ligatures w14:val="none"/>
        </w:rPr>
        <w:t xml:space="preserve">, the </w:t>
      </w:r>
      <w:r w:rsidR="0094425C">
        <w:rPr>
          <w:rFonts w:ascii="Arial" w:hAnsi="Arial" w:cs="Arial"/>
          <w:b/>
          <w:bCs/>
          <w:kern w:val="0"/>
          <w14:ligatures w14:val="none"/>
        </w:rPr>
        <w:t>P</w:t>
      </w:r>
      <w:r w:rsidRPr="00FD1271">
        <w:rPr>
          <w:rFonts w:ascii="Arial" w:hAnsi="Arial" w:cs="Arial"/>
          <w:b/>
          <w:bCs/>
          <w:kern w:val="0"/>
          <w14:ligatures w14:val="none"/>
        </w:rPr>
        <w:t>olitical-</w:t>
      </w:r>
      <w:r w:rsidR="009C60F2" w:rsidRPr="00FD1271">
        <w:rPr>
          <w:rFonts w:ascii="Arial" w:hAnsi="Arial" w:cs="Arial"/>
          <w:b/>
          <w:bCs/>
          <w:kern w:val="0"/>
          <w14:ligatures w14:val="none"/>
        </w:rPr>
        <w:t xml:space="preserve">Legal </w:t>
      </w:r>
      <w:r w:rsidR="0094425C">
        <w:rPr>
          <w:rFonts w:ascii="Arial" w:hAnsi="Arial" w:cs="Arial"/>
          <w:b/>
          <w:bCs/>
          <w:kern w:val="0"/>
          <w14:ligatures w14:val="none"/>
        </w:rPr>
        <w:t>E</w:t>
      </w:r>
      <w:r w:rsidRPr="00FD1271">
        <w:rPr>
          <w:rFonts w:ascii="Arial" w:hAnsi="Arial" w:cs="Arial"/>
          <w:b/>
          <w:bCs/>
          <w:kern w:val="0"/>
          <w14:ligatures w14:val="none"/>
        </w:rPr>
        <w:t>nvironment</w:t>
      </w:r>
      <w:r w:rsidRPr="00F26E98">
        <w:rPr>
          <w:rFonts w:ascii="Arial" w:hAnsi="Arial" w:cs="Arial"/>
          <w:kern w:val="0"/>
          <w14:ligatures w14:val="none"/>
        </w:rPr>
        <w:t xml:space="preserve"> and </w:t>
      </w:r>
      <w:r w:rsidR="00EF6F92" w:rsidRPr="00FD1271">
        <w:rPr>
          <w:rFonts w:ascii="Arial" w:hAnsi="Arial" w:cs="Arial"/>
          <w:b/>
          <w:bCs/>
          <w:kern w:val="0"/>
          <w14:ligatures w14:val="none"/>
        </w:rPr>
        <w:t xml:space="preserve">Social </w:t>
      </w:r>
      <w:r w:rsidR="009F2757">
        <w:rPr>
          <w:rFonts w:ascii="Arial" w:hAnsi="Arial" w:cs="Arial"/>
          <w:b/>
          <w:bCs/>
          <w:kern w:val="0"/>
          <w14:ligatures w14:val="none"/>
        </w:rPr>
        <w:t>E</w:t>
      </w:r>
      <w:r w:rsidR="000F18E2" w:rsidRPr="00FD1271">
        <w:rPr>
          <w:rFonts w:ascii="Arial" w:hAnsi="Arial" w:cs="Arial"/>
          <w:b/>
          <w:bCs/>
          <w:kern w:val="0"/>
          <w14:ligatures w14:val="none"/>
        </w:rPr>
        <w:t>nvironment</w:t>
      </w:r>
      <w:r w:rsidR="00203C7C" w:rsidRPr="00FD1271">
        <w:rPr>
          <w:rFonts w:ascii="Arial" w:hAnsi="Arial" w:cs="Arial"/>
          <w:b/>
          <w:bCs/>
          <w:kern w:val="0"/>
          <w14:ligatures w14:val="none"/>
        </w:rPr>
        <w:t>.</w:t>
      </w:r>
    </w:p>
    <w:p w14:paraId="4D785244" w14:textId="77777777" w:rsidR="000E45CC" w:rsidRPr="00524A7D" w:rsidRDefault="000E45CC" w:rsidP="00321FB2">
      <w:pPr>
        <w:pStyle w:val="p1"/>
        <w:spacing w:line="360" w:lineRule="auto"/>
        <w:rPr>
          <w:rFonts w:ascii="Arial" w:hAnsi="Arial" w:cs="Arial"/>
        </w:rPr>
      </w:pPr>
      <w:r w:rsidRPr="000B4C81">
        <w:rPr>
          <w:rFonts w:ascii="Arial" w:hAnsi="Arial" w:cs="Arial"/>
          <w:b/>
          <w:bCs/>
        </w:rPr>
        <w:t>Ansoff’s Growth Matrix</w:t>
      </w:r>
      <w:r w:rsidRPr="00524A7D">
        <w:rPr>
          <w:rFonts w:ascii="Arial" w:hAnsi="Arial" w:cs="Arial"/>
        </w:rPr>
        <w:t xml:space="preserve"> and </w:t>
      </w:r>
      <w:r w:rsidRPr="000B4C81">
        <w:rPr>
          <w:rFonts w:ascii="Arial" w:hAnsi="Arial" w:cs="Arial"/>
          <w:b/>
          <w:bCs/>
        </w:rPr>
        <w:t>Porter’s Generic Strategies</w:t>
      </w:r>
      <w:r w:rsidRPr="00524A7D">
        <w:rPr>
          <w:rFonts w:ascii="Arial" w:hAnsi="Arial" w:cs="Arial"/>
        </w:rPr>
        <w:t xml:space="preserve"> are subsequently applied to recommend competitive strategies, followed by critical reflection on strategic decisions and professional learning.</w:t>
      </w:r>
    </w:p>
    <w:p w14:paraId="0D8E9BE1" w14:textId="08F8CD15" w:rsidR="00437DBA" w:rsidRPr="00AD1FAC" w:rsidRDefault="00437DBA" w:rsidP="00321FB2">
      <w:pPr>
        <w:pStyle w:val="Heading1"/>
        <w:spacing w:line="360" w:lineRule="auto"/>
        <w:rPr>
          <w:rFonts w:ascii="Arial" w:eastAsia="Times New Roman" w:hAnsi="Arial" w:cs="Arial"/>
          <w:sz w:val="24"/>
          <w:szCs w:val="24"/>
        </w:rPr>
      </w:pPr>
      <w:bookmarkStart w:id="4" w:name="_Toc243240434"/>
      <w:bookmarkStart w:id="5" w:name="_Toc243341308"/>
      <w:r w:rsidRPr="00AD1FAC">
        <w:rPr>
          <w:rFonts w:ascii="Arial" w:eastAsia="Times New Roman" w:hAnsi="Arial" w:cs="Arial"/>
          <w:sz w:val="24"/>
          <w:szCs w:val="24"/>
        </w:rPr>
        <w:t>TASK 1: MARKETING ENVIRONMENT ANALYSIS</w:t>
      </w:r>
      <w:bookmarkEnd w:id="4"/>
      <w:bookmarkEnd w:id="5"/>
    </w:p>
    <w:p w14:paraId="32FEB74B" w14:textId="0A81A8E2" w:rsidR="00437DBA" w:rsidRPr="00F26E98" w:rsidRDefault="00437DBA" w:rsidP="00321FB2">
      <w:pPr>
        <w:spacing w:before="100" w:beforeAutospacing="1" w:after="100" w:afterAutospacing="1" w:line="360" w:lineRule="auto"/>
        <w:outlineLvl w:val="1"/>
        <w:rPr>
          <w:rFonts w:ascii="Arial" w:eastAsia="Times New Roman" w:hAnsi="Arial" w:cs="Arial"/>
          <w:b/>
          <w:bCs/>
          <w:kern w:val="0"/>
          <w14:ligatures w14:val="none"/>
        </w:rPr>
      </w:pPr>
      <w:bookmarkStart w:id="6" w:name="_Toc243240435"/>
      <w:bookmarkStart w:id="7" w:name="_Toc243341309"/>
      <w:r w:rsidRPr="00F26E98">
        <w:rPr>
          <w:rFonts w:ascii="Arial" w:eastAsia="Times New Roman" w:hAnsi="Arial" w:cs="Arial"/>
          <w:b/>
          <w:bCs/>
          <w:kern w:val="0"/>
          <w14:ligatures w14:val="none"/>
        </w:rPr>
        <w:t xml:space="preserve">1.1 Selection of </w:t>
      </w:r>
      <w:r w:rsidR="001364D9">
        <w:rPr>
          <w:rFonts w:ascii="Arial" w:eastAsia="Times New Roman" w:hAnsi="Arial" w:cs="Arial"/>
          <w:b/>
          <w:bCs/>
          <w:kern w:val="0"/>
          <w14:ligatures w14:val="none"/>
        </w:rPr>
        <w:t>Broken</w:t>
      </w:r>
      <w:r w:rsidR="0028008A">
        <w:rPr>
          <w:rFonts w:ascii="Arial" w:eastAsia="Times New Roman" w:hAnsi="Arial" w:cs="Arial"/>
          <w:b/>
          <w:bCs/>
          <w:kern w:val="0"/>
          <w14:ligatures w14:val="none"/>
        </w:rPr>
        <w:t xml:space="preserve"> Hill </w:t>
      </w:r>
      <w:r w:rsidR="00AD6983">
        <w:rPr>
          <w:rFonts w:ascii="Arial" w:eastAsia="Times New Roman" w:hAnsi="Arial" w:cs="Arial"/>
          <w:b/>
          <w:bCs/>
          <w:kern w:val="0"/>
          <w14:ligatures w14:val="none"/>
        </w:rPr>
        <w:t>Proprietary</w:t>
      </w:r>
      <w:r w:rsidR="000F12E0">
        <w:rPr>
          <w:rFonts w:ascii="Arial" w:eastAsia="Times New Roman" w:hAnsi="Arial" w:cs="Arial"/>
          <w:b/>
          <w:bCs/>
          <w:kern w:val="0"/>
          <w14:ligatures w14:val="none"/>
        </w:rPr>
        <w:t xml:space="preserve"> </w:t>
      </w:r>
      <w:r w:rsidR="00AD6983">
        <w:rPr>
          <w:rFonts w:ascii="Arial" w:eastAsia="Times New Roman" w:hAnsi="Arial" w:cs="Arial"/>
          <w:b/>
          <w:bCs/>
          <w:kern w:val="0"/>
          <w14:ligatures w14:val="none"/>
        </w:rPr>
        <w:t>(</w:t>
      </w:r>
      <w:r w:rsidRPr="00F26E98">
        <w:rPr>
          <w:rFonts w:ascii="Arial" w:eastAsia="Times New Roman" w:hAnsi="Arial" w:cs="Arial"/>
          <w:b/>
          <w:bCs/>
          <w:kern w:val="0"/>
          <w14:ligatures w14:val="none"/>
        </w:rPr>
        <w:t>BHP</w:t>
      </w:r>
      <w:r w:rsidR="00AD6983">
        <w:rPr>
          <w:rFonts w:ascii="Arial" w:eastAsia="Times New Roman" w:hAnsi="Arial" w:cs="Arial"/>
          <w:b/>
          <w:bCs/>
          <w:kern w:val="0"/>
          <w14:ligatures w14:val="none"/>
        </w:rPr>
        <w:t>)</w:t>
      </w:r>
      <w:r w:rsidRPr="00F26E98">
        <w:rPr>
          <w:rFonts w:ascii="Arial" w:eastAsia="Times New Roman" w:hAnsi="Arial" w:cs="Arial"/>
          <w:b/>
          <w:bCs/>
          <w:kern w:val="0"/>
          <w14:ligatures w14:val="none"/>
        </w:rPr>
        <w:t xml:space="preserve"> Group and Strategic Justification</w:t>
      </w:r>
      <w:bookmarkEnd w:id="6"/>
      <w:bookmarkEnd w:id="7"/>
    </w:p>
    <w:p w14:paraId="533F7B38" w14:textId="7B080C66" w:rsidR="00CA5369" w:rsidRPr="00465B9D" w:rsidRDefault="00437DBA" w:rsidP="00321FB2">
      <w:pPr>
        <w:pStyle w:val="p1"/>
        <w:spacing w:line="360" w:lineRule="auto"/>
        <w:rPr>
          <w:rFonts w:ascii="Arial" w:hAnsi="Arial" w:cs="Arial"/>
        </w:rPr>
      </w:pPr>
      <w:r w:rsidRPr="007C7214">
        <w:rPr>
          <w:rFonts w:ascii="Arial" w:hAnsi="Arial" w:cs="Arial"/>
          <w:b/>
        </w:rPr>
        <w:t xml:space="preserve">BHP Group </w:t>
      </w:r>
      <w:r w:rsidRPr="00F26E98">
        <w:rPr>
          <w:rFonts w:ascii="Arial" w:hAnsi="Arial" w:cs="Arial"/>
        </w:rPr>
        <w:t>has been selected because its diversified mineral portfolio creates both opportunities and challenges associated with the global transition towards a lower-carbon economy.</w:t>
      </w:r>
      <w:r w:rsidR="00BD70FA">
        <w:rPr>
          <w:rFonts w:ascii="Arial" w:hAnsi="Arial" w:cs="Arial"/>
        </w:rPr>
        <w:t xml:space="preserve"> </w:t>
      </w:r>
      <w:r w:rsidR="00CA5369" w:rsidRPr="00465B9D">
        <w:rPr>
          <w:rFonts w:ascii="Arial" w:hAnsi="Arial" w:cs="Arial"/>
        </w:rPr>
        <w:t xml:space="preserve">Its key commodities, including copper and iron ore, </w:t>
      </w:r>
      <w:r w:rsidR="00135CB3" w:rsidRPr="00465B9D">
        <w:rPr>
          <w:rFonts w:ascii="Arial" w:hAnsi="Arial" w:cs="Arial"/>
        </w:rPr>
        <w:t>support electricity</w:t>
      </w:r>
      <w:r w:rsidR="00CA5369" w:rsidRPr="00465B9D">
        <w:rPr>
          <w:rFonts w:ascii="Arial" w:hAnsi="Arial" w:cs="Arial"/>
        </w:rPr>
        <w:t xml:space="preserve"> infrastructure, renewable energy technologies and </w:t>
      </w:r>
      <w:r w:rsidR="000C5FB0">
        <w:rPr>
          <w:rFonts w:ascii="Arial" w:hAnsi="Arial" w:cs="Arial"/>
        </w:rPr>
        <w:t>substan</w:t>
      </w:r>
      <w:r w:rsidR="00551844">
        <w:rPr>
          <w:rFonts w:ascii="Arial" w:hAnsi="Arial" w:cs="Arial"/>
        </w:rPr>
        <w:t xml:space="preserve">tial </w:t>
      </w:r>
      <w:r w:rsidR="00CA5369" w:rsidRPr="00465B9D">
        <w:rPr>
          <w:rFonts w:ascii="Arial" w:hAnsi="Arial" w:cs="Arial"/>
        </w:rPr>
        <w:t>steel production.</w:t>
      </w:r>
    </w:p>
    <w:p w14:paraId="4566F114" w14:textId="2A6A246D" w:rsidR="00CA5369" w:rsidRPr="00465B9D" w:rsidRDefault="00CA5369" w:rsidP="00321FB2">
      <w:pPr>
        <w:pStyle w:val="p1"/>
        <w:spacing w:line="360" w:lineRule="auto"/>
        <w:rPr>
          <w:rFonts w:ascii="Arial" w:hAnsi="Arial" w:cs="Arial"/>
        </w:rPr>
      </w:pPr>
      <w:r w:rsidRPr="00465B9D">
        <w:rPr>
          <w:rFonts w:ascii="Arial" w:hAnsi="Arial" w:cs="Arial"/>
        </w:rPr>
        <w:t xml:space="preserve">The International Energy Agency </w:t>
      </w:r>
      <w:r w:rsidRPr="00275760">
        <w:rPr>
          <w:rFonts w:ascii="Arial" w:hAnsi="Arial" w:cs="Arial"/>
          <w:b/>
          <w:bCs/>
        </w:rPr>
        <w:t>(IEA, 2025)</w:t>
      </w:r>
      <w:r w:rsidRPr="00465B9D">
        <w:rPr>
          <w:rFonts w:ascii="Arial" w:hAnsi="Arial" w:cs="Arial"/>
        </w:rPr>
        <w:t xml:space="preserve"> projects increasing global copper demand driven by electrification. However, declining ore grades, environmental constraints and rising investment costs may restrict supply, creating s</w:t>
      </w:r>
      <w:r w:rsidR="006A0C89">
        <w:rPr>
          <w:rFonts w:ascii="Arial" w:hAnsi="Arial" w:cs="Arial"/>
        </w:rPr>
        <w:t>ignificant long</w:t>
      </w:r>
      <w:r w:rsidR="00E9526B">
        <w:rPr>
          <w:rFonts w:ascii="Arial" w:hAnsi="Arial" w:cs="Arial"/>
        </w:rPr>
        <w:t xml:space="preserve">-term </w:t>
      </w:r>
      <w:r w:rsidR="007E3ED2">
        <w:rPr>
          <w:rFonts w:ascii="Arial" w:hAnsi="Arial" w:cs="Arial"/>
        </w:rPr>
        <w:t>st</w:t>
      </w:r>
      <w:r w:rsidR="00BC0E0E">
        <w:rPr>
          <w:rFonts w:ascii="Arial" w:hAnsi="Arial" w:cs="Arial"/>
        </w:rPr>
        <w:t xml:space="preserve">rategic </w:t>
      </w:r>
      <w:r w:rsidRPr="00465B9D">
        <w:rPr>
          <w:rFonts w:ascii="Arial" w:hAnsi="Arial" w:cs="Arial"/>
        </w:rPr>
        <w:t>opportunities for BHP.</w:t>
      </w:r>
    </w:p>
    <w:p w14:paraId="193B6F06" w14:textId="0BB9A9AB" w:rsidR="00CA5369" w:rsidRPr="00465B9D" w:rsidRDefault="00CA5369" w:rsidP="00321FB2">
      <w:pPr>
        <w:pStyle w:val="p1"/>
        <w:spacing w:line="360" w:lineRule="auto"/>
        <w:rPr>
          <w:rFonts w:ascii="Arial" w:hAnsi="Arial" w:cs="Arial"/>
        </w:rPr>
      </w:pPr>
      <w:r w:rsidRPr="00465B9D">
        <w:rPr>
          <w:rFonts w:ascii="Arial" w:hAnsi="Arial" w:cs="Arial"/>
        </w:rPr>
        <w:t xml:space="preserve">Nevertheless, a contradiction </w:t>
      </w:r>
      <w:r w:rsidR="008B0050" w:rsidRPr="00465B9D">
        <w:rPr>
          <w:rFonts w:ascii="Arial" w:hAnsi="Arial" w:cs="Arial"/>
        </w:rPr>
        <w:t>exists</w:t>
      </w:r>
      <w:r w:rsidRPr="00465B9D">
        <w:rPr>
          <w:rFonts w:ascii="Arial" w:hAnsi="Arial" w:cs="Arial"/>
        </w:rPr>
        <w:t xml:space="preserve"> although BHP’s minerals support decarbonisation, extraction and industrial processing generate environmental</w:t>
      </w:r>
      <w:r w:rsidR="00321FB2">
        <w:rPr>
          <w:rFonts w:ascii="Arial" w:hAnsi="Arial" w:cs="Arial"/>
        </w:rPr>
        <w:t xml:space="preserve"> </w:t>
      </w:r>
      <w:r w:rsidRPr="00465B9D">
        <w:rPr>
          <w:rFonts w:ascii="Arial" w:hAnsi="Arial" w:cs="Arial"/>
        </w:rPr>
        <w:t xml:space="preserve">impacts. BHP </w:t>
      </w:r>
      <w:r w:rsidRPr="00930832">
        <w:rPr>
          <w:rFonts w:ascii="Arial" w:hAnsi="Arial" w:cs="Arial"/>
          <w:b/>
          <w:bCs/>
        </w:rPr>
        <w:t>(2026)</w:t>
      </w:r>
      <w:r w:rsidRPr="00465B9D">
        <w:rPr>
          <w:rFonts w:ascii="Arial" w:hAnsi="Arial" w:cs="Arial"/>
        </w:rPr>
        <w:t xml:space="preserve"> acknowledges climate-related risks and environmental responsibilities in its corporate reporting.</w:t>
      </w:r>
    </w:p>
    <w:p w14:paraId="1D5446FA" w14:textId="77777777" w:rsidR="00437DBA" w:rsidRDefault="00437DBA" w:rsidP="00321FB2">
      <w:pPr>
        <w:spacing w:before="100" w:beforeAutospacing="1" w:after="100" w:afterAutospacing="1" w:line="360" w:lineRule="auto"/>
        <w:outlineLvl w:val="1"/>
        <w:rPr>
          <w:rFonts w:ascii="Arial" w:eastAsia="Times New Roman" w:hAnsi="Arial" w:cs="Arial"/>
          <w:b/>
          <w:bCs/>
          <w:kern w:val="0"/>
          <w14:ligatures w14:val="none"/>
        </w:rPr>
      </w:pPr>
      <w:bookmarkStart w:id="8" w:name="_Toc243240436"/>
      <w:bookmarkStart w:id="9" w:name="_Toc243341310"/>
      <w:r w:rsidRPr="00F26E98">
        <w:rPr>
          <w:rFonts w:ascii="Arial" w:eastAsia="Times New Roman" w:hAnsi="Arial" w:cs="Arial"/>
          <w:b/>
          <w:bCs/>
          <w:kern w:val="0"/>
          <w14:ligatures w14:val="none"/>
        </w:rPr>
        <w:t>1.2 External Marketing Environment Framework</w:t>
      </w:r>
      <w:bookmarkEnd w:id="8"/>
      <w:bookmarkEnd w:id="9"/>
    </w:p>
    <w:p w14:paraId="07B7B7CD" w14:textId="6F8588DC" w:rsidR="00EF7A21" w:rsidRPr="006E6D34" w:rsidRDefault="00BF375F" w:rsidP="00321FB2">
      <w:pPr>
        <w:pStyle w:val="p1"/>
        <w:spacing w:line="360" w:lineRule="auto"/>
        <w:rPr>
          <w:rStyle w:val="s1"/>
          <w:rFonts w:ascii="Arial" w:hAnsi="Arial" w:cs="Arial"/>
        </w:rPr>
      </w:pPr>
      <w:r w:rsidRPr="00CC6641">
        <w:rPr>
          <w:rFonts w:ascii="Arial" w:hAnsi="Arial" w:cs="Arial"/>
        </w:rPr>
        <w:t xml:space="preserve">The </w:t>
      </w:r>
      <w:r w:rsidR="00556641">
        <w:rPr>
          <w:rFonts w:ascii="Arial" w:hAnsi="Arial" w:cs="Arial"/>
          <w:b/>
          <w:bCs/>
        </w:rPr>
        <w:t>M</w:t>
      </w:r>
      <w:r w:rsidRPr="00556641">
        <w:rPr>
          <w:rFonts w:ascii="Arial" w:hAnsi="Arial" w:cs="Arial"/>
          <w:b/>
          <w:bCs/>
        </w:rPr>
        <w:t>acroenvironment</w:t>
      </w:r>
      <w:r w:rsidRPr="00CC6641">
        <w:rPr>
          <w:rFonts w:ascii="Arial" w:hAnsi="Arial" w:cs="Arial"/>
        </w:rPr>
        <w:t xml:space="preserve"> encompasses</w:t>
      </w:r>
      <w:r w:rsidR="00796871">
        <w:rPr>
          <w:rFonts w:ascii="Arial" w:hAnsi="Arial" w:cs="Arial"/>
        </w:rPr>
        <w:t xml:space="preserve"> </w:t>
      </w:r>
      <w:r w:rsidRPr="00CC6641">
        <w:rPr>
          <w:rFonts w:ascii="Arial" w:hAnsi="Arial" w:cs="Arial"/>
        </w:rPr>
        <w:t xml:space="preserve">external forces that influence an organisation’s strategic decisions, operational performance and competitiveness. </w:t>
      </w:r>
      <w:r w:rsidR="00EF7A21" w:rsidRPr="006E6D34">
        <w:rPr>
          <w:rFonts w:ascii="Arial" w:hAnsi="Arial" w:cs="Arial"/>
        </w:rPr>
        <w:t xml:space="preserve">The </w:t>
      </w:r>
      <w:r w:rsidR="00EF7A21" w:rsidRPr="006E6D34">
        <w:rPr>
          <w:rStyle w:val="s2"/>
          <w:rFonts w:ascii="Arial" w:hAnsi="Arial" w:cs="Arial"/>
          <w:b/>
          <w:bCs/>
        </w:rPr>
        <w:t>Political, Economic, Social, Technological, Environmental and Legal (PESTEL) framework</w:t>
      </w:r>
      <w:r w:rsidR="00EF7A21" w:rsidRPr="006E6D34">
        <w:rPr>
          <w:rStyle w:val="s1"/>
          <w:rFonts w:ascii="Arial" w:hAnsi="Arial" w:cs="Arial"/>
        </w:rPr>
        <w:t xml:space="preserve"> identifies these influences. </w:t>
      </w:r>
      <w:r w:rsidR="00EF7A21" w:rsidRPr="00933744">
        <w:rPr>
          <w:rStyle w:val="s1"/>
          <w:rFonts w:ascii="Arial" w:hAnsi="Arial" w:cs="Arial"/>
          <w:b/>
          <w:bCs/>
        </w:rPr>
        <w:t>Kotler et al. (2024)</w:t>
      </w:r>
      <w:r w:rsidR="00EF7A21" w:rsidRPr="006E6D34">
        <w:rPr>
          <w:rStyle w:val="s1"/>
          <w:rFonts w:ascii="Arial" w:hAnsi="Arial" w:cs="Arial"/>
        </w:rPr>
        <w:t xml:space="preserve"> emphasise that monitoring external changes enables organisations to identify opportunities, anticipate threats and maintain competitive advantage.</w:t>
      </w:r>
    </w:p>
    <w:p w14:paraId="25ABB008" w14:textId="70CDD291" w:rsidR="00EF7A21" w:rsidRPr="006E6D34" w:rsidRDefault="00EF7A21" w:rsidP="00321FB2">
      <w:pPr>
        <w:pStyle w:val="p1"/>
        <w:spacing w:line="360" w:lineRule="auto"/>
        <w:rPr>
          <w:rStyle w:val="s1"/>
          <w:rFonts w:ascii="Arial" w:hAnsi="Arial" w:cs="Arial"/>
        </w:rPr>
      </w:pPr>
      <w:r w:rsidRPr="006E6D34">
        <w:rPr>
          <w:rFonts w:ascii="Arial" w:hAnsi="Arial" w:cs="Arial"/>
        </w:rPr>
        <w:t>Three macroenvironmental factors have been selected for BHP</w:t>
      </w:r>
      <w:r w:rsidRPr="006E6D34">
        <w:rPr>
          <w:rFonts w:ascii="Arial" w:hAnsi="Arial" w:cs="Arial"/>
          <w:b/>
          <w:bCs/>
        </w:rPr>
        <w:t xml:space="preserve"> </w:t>
      </w:r>
      <w:r w:rsidRPr="00237999">
        <w:rPr>
          <w:rFonts w:ascii="Arial" w:hAnsi="Arial" w:cs="Arial"/>
        </w:rPr>
        <w:t>the</w:t>
      </w:r>
      <w:r w:rsidRPr="006E6D34">
        <w:rPr>
          <w:rFonts w:ascii="Arial" w:hAnsi="Arial" w:cs="Arial"/>
          <w:b/>
          <w:bCs/>
        </w:rPr>
        <w:t xml:space="preserve"> </w:t>
      </w:r>
      <w:r w:rsidR="00633F8B">
        <w:rPr>
          <w:rFonts w:ascii="Arial" w:hAnsi="Arial" w:cs="Arial"/>
          <w:b/>
          <w:bCs/>
        </w:rPr>
        <w:t>N</w:t>
      </w:r>
      <w:r w:rsidRPr="006E6D34">
        <w:rPr>
          <w:rFonts w:ascii="Arial" w:hAnsi="Arial" w:cs="Arial"/>
          <w:b/>
          <w:bCs/>
        </w:rPr>
        <w:t xml:space="preserve">atural </w:t>
      </w:r>
      <w:r w:rsidR="00633F8B">
        <w:rPr>
          <w:rFonts w:ascii="Arial" w:hAnsi="Arial" w:cs="Arial"/>
          <w:b/>
          <w:bCs/>
        </w:rPr>
        <w:t>E</w:t>
      </w:r>
      <w:r w:rsidRPr="006E6D34">
        <w:rPr>
          <w:rFonts w:ascii="Arial" w:hAnsi="Arial" w:cs="Arial"/>
          <w:b/>
          <w:bCs/>
        </w:rPr>
        <w:t>nvironment</w:t>
      </w:r>
      <w:r w:rsidRPr="006E6D34">
        <w:rPr>
          <w:rStyle w:val="s1"/>
          <w:rFonts w:ascii="Arial" w:hAnsi="Arial" w:cs="Arial"/>
        </w:rPr>
        <w:t xml:space="preserve"> is prioritised because climate change, greenhouse gas emissions, resource scarcity and biodiversity loss create significant operational and reputational risks.</w:t>
      </w:r>
    </w:p>
    <w:p w14:paraId="468CD7CE" w14:textId="5B6E0269" w:rsidR="00EF7A21" w:rsidRPr="006E6D34" w:rsidRDefault="007C4433" w:rsidP="00321FB2">
      <w:pPr>
        <w:pStyle w:val="p1"/>
        <w:spacing w:line="360" w:lineRule="auto"/>
        <w:rPr>
          <w:rStyle w:val="s1"/>
          <w:rFonts w:ascii="Arial" w:hAnsi="Arial" w:cs="Arial"/>
        </w:rPr>
      </w:pPr>
      <w:r>
        <w:rPr>
          <w:rFonts w:ascii="Arial" w:hAnsi="Arial" w:cs="Arial"/>
        </w:rPr>
        <w:t>T</w:t>
      </w:r>
      <w:r w:rsidR="00EF7A21" w:rsidRPr="0050204F">
        <w:rPr>
          <w:rFonts w:ascii="Arial" w:hAnsi="Arial" w:cs="Arial"/>
        </w:rPr>
        <w:t>he</w:t>
      </w:r>
      <w:r w:rsidR="00EF7A21" w:rsidRPr="006E6D34">
        <w:rPr>
          <w:rFonts w:ascii="Arial" w:hAnsi="Arial" w:cs="Arial"/>
          <w:b/>
          <w:bCs/>
        </w:rPr>
        <w:t xml:space="preserve"> </w:t>
      </w:r>
      <w:r w:rsidR="00633F8B">
        <w:rPr>
          <w:rFonts w:ascii="Arial" w:hAnsi="Arial" w:cs="Arial"/>
          <w:b/>
          <w:bCs/>
        </w:rPr>
        <w:t>P</w:t>
      </w:r>
      <w:r w:rsidR="00EF7A21" w:rsidRPr="006E6D34">
        <w:rPr>
          <w:rFonts w:ascii="Arial" w:hAnsi="Arial" w:cs="Arial"/>
          <w:b/>
          <w:bCs/>
        </w:rPr>
        <w:t>olitical</w:t>
      </w:r>
      <w:r w:rsidR="005B0472">
        <w:rPr>
          <w:rFonts w:ascii="Arial" w:hAnsi="Arial" w:cs="Arial"/>
          <w:b/>
          <w:bCs/>
        </w:rPr>
        <w:t>-</w:t>
      </w:r>
      <w:r w:rsidR="00633F8B">
        <w:rPr>
          <w:rFonts w:ascii="Arial" w:hAnsi="Arial" w:cs="Arial"/>
          <w:b/>
          <w:bCs/>
        </w:rPr>
        <w:t>L</w:t>
      </w:r>
      <w:r w:rsidR="00EF7A21" w:rsidRPr="006E6D34">
        <w:rPr>
          <w:rFonts w:ascii="Arial" w:hAnsi="Arial" w:cs="Arial"/>
          <w:b/>
          <w:bCs/>
        </w:rPr>
        <w:t xml:space="preserve">egal </w:t>
      </w:r>
      <w:r w:rsidR="00633F8B">
        <w:rPr>
          <w:rFonts w:ascii="Arial" w:hAnsi="Arial" w:cs="Arial"/>
          <w:b/>
          <w:bCs/>
        </w:rPr>
        <w:t>E</w:t>
      </w:r>
      <w:r w:rsidR="00EF7A21" w:rsidRPr="006E6D34">
        <w:rPr>
          <w:rFonts w:ascii="Arial" w:hAnsi="Arial" w:cs="Arial"/>
          <w:b/>
          <w:bCs/>
        </w:rPr>
        <w:t>nvironment</w:t>
      </w:r>
      <w:r w:rsidR="00EF7A21" w:rsidRPr="006E6D34">
        <w:rPr>
          <w:rStyle w:val="s1"/>
          <w:rFonts w:ascii="Arial" w:hAnsi="Arial" w:cs="Arial"/>
        </w:rPr>
        <w:t xml:space="preserve"> influences environmental compliance, investment decisions, production costs and international market access through government policies and regulations.</w:t>
      </w:r>
    </w:p>
    <w:p w14:paraId="1072FEA8" w14:textId="0B8F3CB1" w:rsidR="00633F8B" w:rsidRDefault="002757CE" w:rsidP="00321FB2">
      <w:pPr>
        <w:pStyle w:val="p1"/>
        <w:spacing w:line="360" w:lineRule="auto"/>
        <w:rPr>
          <w:rStyle w:val="s1"/>
          <w:rFonts w:ascii="Arial" w:hAnsi="Arial" w:cs="Arial"/>
        </w:rPr>
      </w:pPr>
      <w:r>
        <w:rPr>
          <w:rFonts w:ascii="Arial" w:hAnsi="Arial" w:cs="Arial"/>
        </w:rPr>
        <w:t>T</w:t>
      </w:r>
      <w:r w:rsidR="00EF7A21" w:rsidRPr="007C4433">
        <w:rPr>
          <w:rFonts w:ascii="Arial" w:hAnsi="Arial" w:cs="Arial"/>
        </w:rPr>
        <w:t>he</w:t>
      </w:r>
      <w:r w:rsidR="00EF7A21" w:rsidRPr="006E6D34">
        <w:rPr>
          <w:rFonts w:ascii="Arial" w:hAnsi="Arial" w:cs="Arial"/>
          <w:b/>
          <w:bCs/>
        </w:rPr>
        <w:t xml:space="preserve"> </w:t>
      </w:r>
      <w:r w:rsidR="00633F8B">
        <w:rPr>
          <w:rFonts w:ascii="Arial" w:hAnsi="Arial" w:cs="Arial"/>
          <w:b/>
          <w:bCs/>
        </w:rPr>
        <w:t>S</w:t>
      </w:r>
      <w:r w:rsidR="00EF7A21" w:rsidRPr="006E6D34">
        <w:rPr>
          <w:rFonts w:ascii="Arial" w:hAnsi="Arial" w:cs="Arial"/>
          <w:b/>
          <w:bCs/>
        </w:rPr>
        <w:t xml:space="preserve">ocial </w:t>
      </w:r>
      <w:r w:rsidR="00633F8B">
        <w:rPr>
          <w:rFonts w:ascii="Arial" w:hAnsi="Arial" w:cs="Arial"/>
          <w:b/>
          <w:bCs/>
        </w:rPr>
        <w:t>E</w:t>
      </w:r>
      <w:r w:rsidR="00EF7A21" w:rsidRPr="006E6D34">
        <w:rPr>
          <w:rFonts w:ascii="Arial" w:hAnsi="Arial" w:cs="Arial"/>
          <w:b/>
          <w:bCs/>
        </w:rPr>
        <w:t>nvironment</w:t>
      </w:r>
      <w:r w:rsidR="00EF7A21" w:rsidRPr="006E6D34">
        <w:rPr>
          <w:rStyle w:val="s1"/>
          <w:rFonts w:ascii="Arial" w:hAnsi="Arial" w:cs="Arial"/>
        </w:rPr>
        <w:t xml:space="preserve"> shapes BHP’s marketing strategies through increasing expectations regarding corporate social responsibility, ethical mining, Indigenous peoples’ rights and community wellbeing. </w:t>
      </w:r>
      <w:r w:rsidR="00EF7A21" w:rsidRPr="000C34AD">
        <w:rPr>
          <w:rStyle w:val="s2"/>
          <w:rFonts w:ascii="Arial" w:hAnsi="Arial" w:cs="Arial"/>
        </w:rPr>
        <w:t>Maintaining stakeholder trust and a</w:t>
      </w:r>
      <w:r w:rsidR="00EF7A21" w:rsidRPr="006E6D34">
        <w:rPr>
          <w:rStyle w:val="s2"/>
          <w:rFonts w:ascii="Arial" w:hAnsi="Arial" w:cs="Arial"/>
          <w:b/>
          <w:bCs/>
        </w:rPr>
        <w:t xml:space="preserve"> </w:t>
      </w:r>
      <w:r w:rsidR="00EF7A21" w:rsidRPr="000C34AD">
        <w:rPr>
          <w:rStyle w:val="s2"/>
          <w:rFonts w:ascii="Arial" w:hAnsi="Arial" w:cs="Arial"/>
        </w:rPr>
        <w:t>social licence to operate</w:t>
      </w:r>
      <w:r w:rsidR="00EF7A21" w:rsidRPr="006E6D34">
        <w:rPr>
          <w:rStyle w:val="s1"/>
          <w:rFonts w:ascii="Arial" w:hAnsi="Arial" w:cs="Arial"/>
        </w:rPr>
        <w:t xml:space="preserve"> is essential for long-term sustainability (BHP, 2025).</w:t>
      </w:r>
      <w:bookmarkStart w:id="10" w:name="_Toc243240437"/>
    </w:p>
    <w:p w14:paraId="53847D72" w14:textId="2BEF2534" w:rsidR="00DC34A2" w:rsidRPr="00817624" w:rsidRDefault="00633F8B" w:rsidP="00817624">
      <w:pPr>
        <w:pStyle w:val="p1"/>
        <w:spacing w:line="360" w:lineRule="auto"/>
        <w:rPr>
          <w:rFonts w:ascii="Arial" w:hAnsi="Arial" w:cs="Arial"/>
        </w:rPr>
      </w:pPr>
      <w:r>
        <w:rPr>
          <w:noProof/>
        </w:rPr>
        <w:drawing>
          <wp:anchor distT="0" distB="0" distL="114300" distR="114300" simplePos="0" relativeHeight="251658243" behindDoc="0" locked="0" layoutInCell="1" allowOverlap="1" wp14:anchorId="2A048353" wp14:editId="3A165C01">
            <wp:simplePos x="0" y="0"/>
            <wp:positionH relativeFrom="page">
              <wp:posOffset>66675</wp:posOffset>
            </wp:positionH>
            <wp:positionV relativeFrom="paragraph">
              <wp:posOffset>228600</wp:posOffset>
            </wp:positionV>
            <wp:extent cx="7410450" cy="2771775"/>
            <wp:effectExtent l="0" t="0" r="0" b="9525"/>
            <wp:wrapTopAndBottom/>
            <wp:docPr id="103989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89158" name=""/>
                    <pic:cNvPicPr/>
                  </pic:nvPicPr>
                  <pic:blipFill>
                    <a:blip r:embed="rId10"/>
                    <a:stretch>
                      <a:fillRect/>
                    </a:stretch>
                  </pic:blipFill>
                  <pic:spPr>
                    <a:xfrm>
                      <a:off x="0" y="0"/>
                      <a:ext cx="7410450" cy="2771775"/>
                    </a:xfrm>
                    <a:prstGeom prst="rect">
                      <a:avLst/>
                    </a:prstGeom>
                  </pic:spPr>
                </pic:pic>
              </a:graphicData>
            </a:graphic>
            <wp14:sizeRelH relativeFrom="margin">
              <wp14:pctWidth>0</wp14:pctWidth>
            </wp14:sizeRelH>
            <wp14:sizeRelV relativeFrom="margin">
              <wp14:pctHeight>0</wp14:pctHeight>
            </wp14:sizeRelV>
          </wp:anchor>
        </w:drawing>
      </w:r>
      <w:r w:rsidR="00437DBA" w:rsidRPr="00F26E98">
        <w:rPr>
          <w:rFonts w:ascii="Arial" w:eastAsia="Times New Roman" w:hAnsi="Arial" w:cs="Arial"/>
          <w:b/>
          <w:bCs/>
        </w:rPr>
        <w:t>Table 1: External Marketing Environment Analysis of BHP</w:t>
      </w:r>
      <w:bookmarkEnd w:id="10"/>
    </w:p>
    <w:p w14:paraId="041FBD4E" w14:textId="03F1F8B6" w:rsidR="00C304E3" w:rsidRDefault="00974326" w:rsidP="00C304E3">
      <w:pPr>
        <w:pStyle w:val="p1"/>
        <w:spacing w:line="360" w:lineRule="auto"/>
        <w:rPr>
          <w:rStyle w:val="s2"/>
          <w:rFonts w:ascii="Arial" w:hAnsi="Arial" w:cs="Arial"/>
          <w:b/>
          <w:bCs/>
        </w:rPr>
      </w:pPr>
      <w:r w:rsidRPr="00F20DD4">
        <w:rPr>
          <w:rFonts w:ascii="Arial" w:hAnsi="Arial" w:cs="Arial"/>
          <w:b/>
          <w:bCs/>
        </w:rPr>
        <w:t>Source:</w:t>
      </w:r>
      <w:r w:rsidRPr="00F20DD4">
        <w:rPr>
          <w:rStyle w:val="s2"/>
          <w:rFonts w:ascii="Arial" w:hAnsi="Arial" w:cs="Arial"/>
          <w:b/>
          <w:bCs/>
        </w:rPr>
        <w:t xml:space="preserve"> Author’s analysis based on Kotler et al. (2024) and BHP (2025)</w:t>
      </w:r>
    </w:p>
    <w:p w14:paraId="42DA6371" w14:textId="0CDC384C" w:rsidR="00494F45" w:rsidRPr="00C304E3" w:rsidRDefault="00A601D7" w:rsidP="001B4E0A">
      <w:pPr>
        <w:pStyle w:val="Heading1"/>
        <w:rPr>
          <w:rFonts w:ascii="Arial" w:eastAsiaTheme="minorEastAsia" w:hAnsi="Arial" w:cs="Arial"/>
          <w:b/>
          <w:bCs/>
        </w:rPr>
      </w:pPr>
      <w:bookmarkStart w:id="11" w:name="_Toc243240438"/>
      <w:bookmarkStart w:id="12" w:name="_Toc243341311"/>
      <w:r>
        <w:rPr>
          <w:rFonts w:eastAsia="Times New Roman"/>
        </w:rPr>
        <w:t>Critical Evalua</w:t>
      </w:r>
      <w:r w:rsidR="00833D51">
        <w:rPr>
          <w:rFonts w:eastAsia="Times New Roman"/>
        </w:rPr>
        <w:t>tion</w:t>
      </w:r>
      <w:bookmarkEnd w:id="11"/>
      <w:bookmarkEnd w:id="12"/>
    </w:p>
    <w:p w14:paraId="5ABFBBAD" w14:textId="0BA2C5BD" w:rsidR="00036232" w:rsidRPr="00895014" w:rsidRDefault="00036232" w:rsidP="00B5674F">
      <w:pPr>
        <w:pStyle w:val="p1"/>
        <w:spacing w:line="360" w:lineRule="auto"/>
        <w:rPr>
          <w:rFonts w:ascii="Arial" w:hAnsi="Arial" w:cs="Arial"/>
          <w:b/>
          <w:bCs/>
        </w:rPr>
      </w:pPr>
      <w:r w:rsidRPr="00F26E98">
        <w:rPr>
          <w:rFonts w:ascii="Arial" w:eastAsia="Times New Roman" w:hAnsi="Arial" w:cs="Arial"/>
          <w:b/>
          <w:bCs/>
        </w:rPr>
        <w:t>1</w:t>
      </w:r>
      <w:r w:rsidRPr="00F26E98">
        <w:rPr>
          <w:rFonts w:ascii="Arial" w:eastAsia="Times New Roman" w:hAnsi="Arial" w:cs="Arial"/>
          <w:b/>
        </w:rPr>
        <w:t xml:space="preserve">.3 Actor One: Natural Environment </w:t>
      </w:r>
    </w:p>
    <w:p w14:paraId="088FB384" w14:textId="77777777" w:rsidR="00036232" w:rsidRPr="00F26E98" w:rsidRDefault="00036232" w:rsidP="00B5674F">
      <w:pPr>
        <w:spacing w:before="100" w:beforeAutospacing="1" w:after="100" w:afterAutospacing="1" w:line="360" w:lineRule="auto"/>
        <w:outlineLvl w:val="2"/>
        <w:rPr>
          <w:rFonts w:ascii="Arial" w:eastAsia="Times New Roman" w:hAnsi="Arial" w:cs="Arial"/>
          <w:b/>
          <w:bCs/>
          <w:kern w:val="0"/>
          <w14:ligatures w14:val="none"/>
        </w:rPr>
      </w:pPr>
      <w:bookmarkStart w:id="13" w:name="_Toc243240439"/>
      <w:bookmarkStart w:id="14" w:name="_Toc243341312"/>
      <w:r w:rsidRPr="00F26E98">
        <w:rPr>
          <w:rFonts w:ascii="Arial" w:eastAsia="Times New Roman" w:hAnsi="Arial" w:cs="Arial"/>
          <w:b/>
          <w:bCs/>
          <w:kern w:val="0"/>
          <w14:ligatures w14:val="none"/>
        </w:rPr>
        <w:t>1.3.1 Climate Change and Operational Emissions</w:t>
      </w:r>
      <w:bookmarkEnd w:id="13"/>
      <w:bookmarkEnd w:id="14"/>
    </w:p>
    <w:p w14:paraId="3CAF4F22" w14:textId="0D98FEF3" w:rsidR="00E203B9" w:rsidRPr="00965A5E" w:rsidRDefault="00036232" w:rsidP="00B5674F">
      <w:pPr>
        <w:pStyle w:val="p1"/>
        <w:spacing w:line="360" w:lineRule="auto"/>
        <w:rPr>
          <w:rStyle w:val="s1"/>
          <w:rFonts w:ascii="Arial" w:hAnsi="Arial" w:cs="Arial"/>
        </w:rPr>
      </w:pPr>
      <w:r w:rsidRPr="00965A5E">
        <w:rPr>
          <w:rFonts w:ascii="Arial" w:hAnsi="Arial" w:cs="Arial"/>
        </w:rPr>
        <w:t xml:space="preserve">BHP faces two decarbonisation </w:t>
      </w:r>
      <w:r w:rsidR="00C304E3" w:rsidRPr="00965A5E">
        <w:rPr>
          <w:rFonts w:ascii="Arial" w:hAnsi="Arial" w:cs="Arial"/>
        </w:rPr>
        <w:t>challenges.</w:t>
      </w:r>
      <w:r w:rsidR="00C304E3" w:rsidRPr="00965A5E">
        <w:rPr>
          <w:rStyle w:val="s2"/>
          <w:rFonts w:ascii="Arial" w:hAnsi="Arial" w:cs="Arial"/>
        </w:rPr>
        <w:t xml:space="preserve"> Reducing</w:t>
      </w:r>
      <w:r w:rsidR="00E203B9" w:rsidRPr="00965A5E">
        <w:rPr>
          <w:rStyle w:val="s2"/>
          <w:rFonts w:ascii="Arial" w:hAnsi="Arial" w:cs="Arial"/>
        </w:rPr>
        <w:t xml:space="preserve"> operational emissions and addressing emissions across its value chain</w:t>
      </w:r>
      <w:r w:rsidR="00E203B9" w:rsidRPr="00965A5E">
        <w:rPr>
          <w:rStyle w:val="s1"/>
          <w:rFonts w:ascii="Arial" w:hAnsi="Arial" w:cs="Arial"/>
        </w:rPr>
        <w:t xml:space="preserve">. According to BHP (2025), operational greenhouse gas emissions decreased from </w:t>
      </w:r>
      <w:r w:rsidR="00E203B9" w:rsidRPr="00965A5E">
        <w:rPr>
          <w:rStyle w:val="s2"/>
          <w:rFonts w:ascii="Arial" w:hAnsi="Arial" w:cs="Arial"/>
        </w:rPr>
        <w:t>10.0 million tonnes of carbon dioxide equivalent (MtCO</w:t>
      </w:r>
      <w:r w:rsidR="00E203B9" w:rsidRPr="00965A5E">
        <w:rPr>
          <w:rStyle w:val="s2"/>
          <w:rFonts w:ascii="Cambria Math" w:hAnsi="Cambria Math" w:cs="Cambria Math"/>
        </w:rPr>
        <w:t>₂</w:t>
      </w:r>
      <w:r w:rsidR="00E203B9" w:rsidRPr="00965A5E">
        <w:rPr>
          <w:rStyle w:val="s2"/>
          <w:rFonts w:ascii="Arial" w:hAnsi="Arial" w:cs="Arial"/>
        </w:rPr>
        <w:t xml:space="preserve">-e) in financial year 2024 </w:t>
      </w:r>
      <w:r w:rsidR="00E203B9" w:rsidRPr="00F47216">
        <w:rPr>
          <w:rStyle w:val="s2"/>
          <w:rFonts w:ascii="Arial" w:hAnsi="Arial" w:cs="Arial"/>
          <w:b/>
          <w:bCs/>
        </w:rPr>
        <w:t>(FY2024)</w:t>
      </w:r>
      <w:r w:rsidR="00E203B9" w:rsidRPr="00965A5E">
        <w:rPr>
          <w:rStyle w:val="s2"/>
          <w:rFonts w:ascii="Arial" w:hAnsi="Arial" w:cs="Arial"/>
        </w:rPr>
        <w:t xml:space="preserve"> to 8.7 MtCO</w:t>
      </w:r>
      <w:r w:rsidR="00E203B9" w:rsidRPr="00965A5E">
        <w:rPr>
          <w:rStyle w:val="s2"/>
          <w:rFonts w:ascii="Cambria Math" w:hAnsi="Cambria Math" w:cs="Cambria Math"/>
        </w:rPr>
        <w:t>₂</w:t>
      </w:r>
      <w:r w:rsidR="00E203B9" w:rsidRPr="00965A5E">
        <w:rPr>
          <w:rStyle w:val="s2"/>
          <w:rFonts w:ascii="Arial" w:hAnsi="Arial" w:cs="Arial"/>
        </w:rPr>
        <w:t xml:space="preserve">-e in financial year 2025 </w:t>
      </w:r>
      <w:r w:rsidR="00E203B9" w:rsidRPr="00F47216">
        <w:rPr>
          <w:rStyle w:val="s2"/>
          <w:rFonts w:ascii="Arial" w:hAnsi="Arial" w:cs="Arial"/>
          <w:b/>
          <w:bCs/>
        </w:rPr>
        <w:t>(FY2025)</w:t>
      </w:r>
      <w:r w:rsidR="00E203B9" w:rsidRPr="00F47216">
        <w:rPr>
          <w:rStyle w:val="s1"/>
          <w:rFonts w:ascii="Arial" w:hAnsi="Arial" w:cs="Arial"/>
          <w:b/>
          <w:bCs/>
        </w:rPr>
        <w:t>,</w:t>
      </w:r>
      <w:r w:rsidR="00E203B9" w:rsidRPr="00965A5E">
        <w:rPr>
          <w:rStyle w:val="s1"/>
          <w:rFonts w:ascii="Arial" w:hAnsi="Arial" w:cs="Arial"/>
        </w:rPr>
        <w:t xml:space="preserve"> representing a 13% reduction. However, </w:t>
      </w:r>
      <w:r w:rsidR="00E203B9" w:rsidRPr="00965A5E">
        <w:rPr>
          <w:rStyle w:val="s2"/>
          <w:rFonts w:ascii="Arial" w:hAnsi="Arial" w:cs="Arial"/>
        </w:rPr>
        <w:t>operational improvements do not necessarily reduce emissions associated with downstream steel production</w:t>
      </w:r>
      <w:r w:rsidR="00E203B9" w:rsidRPr="00965A5E">
        <w:rPr>
          <w:rStyle w:val="s1"/>
          <w:rFonts w:ascii="Arial" w:hAnsi="Arial" w:cs="Arial"/>
        </w:rPr>
        <w:t>.</w:t>
      </w:r>
    </w:p>
    <w:p w14:paraId="1C04B6ED" w14:textId="77777777" w:rsidR="00E203B9" w:rsidRPr="00C21FED" w:rsidRDefault="00E203B9" w:rsidP="00B5674F">
      <w:pPr>
        <w:pStyle w:val="p1"/>
        <w:spacing w:line="360" w:lineRule="auto"/>
        <w:rPr>
          <w:rStyle w:val="s1"/>
          <w:rFonts w:ascii="Arial" w:hAnsi="Arial" w:cs="Arial"/>
        </w:rPr>
      </w:pPr>
      <w:r w:rsidRPr="00C21FED">
        <w:rPr>
          <w:rFonts w:ascii="Arial" w:hAnsi="Arial" w:cs="Arial"/>
        </w:rPr>
        <w:t xml:space="preserve">Hart’s (1995) </w:t>
      </w:r>
      <w:r w:rsidRPr="00C21FED">
        <w:rPr>
          <w:rStyle w:val="s2"/>
          <w:rFonts w:ascii="Arial" w:hAnsi="Arial" w:cs="Arial"/>
          <w:b/>
          <w:bCs/>
        </w:rPr>
        <w:t>Natural-Resource-Based View</w:t>
      </w:r>
      <w:r w:rsidRPr="00C21FED">
        <w:rPr>
          <w:rStyle w:val="s1"/>
          <w:rFonts w:ascii="Arial" w:hAnsi="Arial" w:cs="Arial"/>
        </w:rPr>
        <w:t xml:space="preserve"> suggests that pollution prevention, product stewardship and sustainable development can strengthen competitive advantage. Applying this theory, BHP could enhance competitiveness through renewable energy, electrification and resource-efficient technologies (BHP, 2025).</w:t>
      </w:r>
    </w:p>
    <w:p w14:paraId="7BEA6D66" w14:textId="15299692" w:rsidR="00E203B9" w:rsidRPr="007B455F" w:rsidRDefault="00E203B9" w:rsidP="00B5674F">
      <w:pPr>
        <w:pStyle w:val="p2"/>
        <w:spacing w:line="360" w:lineRule="auto"/>
        <w:rPr>
          <w:rStyle w:val="s1"/>
          <w:rFonts w:ascii="Arial" w:hAnsi="Arial" w:cs="Arial"/>
        </w:rPr>
      </w:pPr>
      <w:r w:rsidRPr="007B455F">
        <w:rPr>
          <w:rFonts w:ascii="Arial" w:hAnsi="Arial" w:cs="Arial"/>
        </w:rPr>
        <w:t>Nevertheless, environmental investments do not guarantee competitive advantage</w:t>
      </w:r>
      <w:r w:rsidRPr="00C21FED">
        <w:rPr>
          <w:rStyle w:val="s1"/>
          <w:rFonts w:ascii="Arial" w:hAnsi="Arial" w:cs="Arial"/>
        </w:rPr>
        <w:t xml:space="preserve">, as competitors may adopt similar technologies while implementation costs remain substantial. Therefore, BHP should prioritise initiatives delivering </w:t>
      </w:r>
      <w:r w:rsidRPr="007B455F">
        <w:rPr>
          <w:rStyle w:val="s2"/>
          <w:rFonts w:ascii="Arial" w:hAnsi="Arial" w:cs="Arial"/>
        </w:rPr>
        <w:t>measurable emissions reductions, operational efficiency and commercial value</w:t>
      </w:r>
      <w:r w:rsidRPr="007B455F">
        <w:rPr>
          <w:rStyle w:val="s1"/>
          <w:rFonts w:ascii="Arial" w:hAnsi="Arial" w:cs="Arial"/>
        </w:rPr>
        <w:t xml:space="preserve"> (Hart, 1995; BHP, 2025).</w:t>
      </w:r>
    </w:p>
    <w:p w14:paraId="48961D83" w14:textId="540975D8" w:rsidR="00182BBB" w:rsidRPr="00152222" w:rsidRDefault="00152222" w:rsidP="008157FC">
      <w:pPr>
        <w:spacing w:before="100" w:beforeAutospacing="1" w:after="100" w:afterAutospacing="1" w:line="360" w:lineRule="auto"/>
        <w:rPr>
          <w:rFonts w:ascii="Arial" w:hAnsi="Arial" w:cs="Arial"/>
          <w:kern w:val="0"/>
          <w14:ligatures w14:val="none"/>
        </w:rPr>
      </w:pPr>
      <w:r>
        <w:rPr>
          <w:noProof/>
        </w:rPr>
        <w:drawing>
          <wp:anchor distT="0" distB="0" distL="114300" distR="114300" simplePos="0" relativeHeight="251658242" behindDoc="0" locked="0" layoutInCell="1" allowOverlap="1" wp14:anchorId="4C8AE775" wp14:editId="14C81837">
            <wp:simplePos x="0" y="0"/>
            <wp:positionH relativeFrom="column">
              <wp:posOffset>-880110</wp:posOffset>
            </wp:positionH>
            <wp:positionV relativeFrom="paragraph">
              <wp:posOffset>540385</wp:posOffset>
            </wp:positionV>
            <wp:extent cx="7470140" cy="2586990"/>
            <wp:effectExtent l="0" t="0" r="0" b="3810"/>
            <wp:wrapTopAndBottom/>
            <wp:docPr id="244812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812904" name=""/>
                    <pic:cNvPicPr/>
                  </pic:nvPicPr>
                  <pic:blipFill>
                    <a:blip r:embed="rId11"/>
                    <a:stretch>
                      <a:fillRect/>
                    </a:stretch>
                  </pic:blipFill>
                  <pic:spPr>
                    <a:xfrm>
                      <a:off x="0" y="0"/>
                      <a:ext cx="7470140" cy="258699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eastAsia="Times New Roman" w:hAnsi="Times New Roman" w:cs="Times New Roman"/>
          <w:b/>
          <w:bCs/>
          <w:kern w:val="0"/>
          <w:sz w:val="27"/>
          <w:szCs w:val="27"/>
          <w14:ligatures w14:val="none"/>
        </w:rPr>
        <w:t xml:space="preserve">Table 2. </w:t>
      </w:r>
      <w:r w:rsidR="00182BBB" w:rsidRPr="00182BBB">
        <w:rPr>
          <w:rFonts w:ascii="Times New Roman" w:eastAsia="Times New Roman" w:hAnsi="Times New Roman" w:cs="Times New Roman"/>
          <w:b/>
          <w:bCs/>
          <w:kern w:val="0"/>
          <w:sz w:val="27"/>
          <w:szCs w:val="27"/>
          <w14:ligatures w14:val="none"/>
        </w:rPr>
        <w:t>BHP’s Environmental Performance: Evidence and Critical Evaluation</w:t>
      </w:r>
    </w:p>
    <w:p w14:paraId="5BD704A0" w14:textId="112FE93E" w:rsidR="001477B9" w:rsidRPr="00B82625" w:rsidRDefault="00FF2C84" w:rsidP="008157FC">
      <w:pPr>
        <w:pStyle w:val="p1"/>
        <w:spacing w:line="360" w:lineRule="auto"/>
        <w:rPr>
          <w:rStyle w:val="s2"/>
          <w:rFonts w:ascii="Arial" w:hAnsi="Arial" w:cs="Arial"/>
          <w:b/>
          <w:bCs/>
        </w:rPr>
      </w:pPr>
      <w:r w:rsidRPr="0057467B">
        <w:rPr>
          <w:rFonts w:ascii="Arial" w:hAnsi="Arial" w:cs="Arial"/>
          <w:b/>
          <w:bCs/>
        </w:rPr>
        <w:t>Source:</w:t>
      </w:r>
      <w:r w:rsidRPr="0057467B">
        <w:rPr>
          <w:rStyle w:val="s2"/>
          <w:rFonts w:ascii="Arial" w:hAnsi="Arial" w:cs="Arial"/>
          <w:b/>
          <w:bCs/>
        </w:rPr>
        <w:t xml:space="preserve"> BHP (2025), </w:t>
      </w:r>
      <w:r w:rsidRPr="0057467B">
        <w:rPr>
          <w:rStyle w:val="s1"/>
          <w:rFonts w:ascii="Arial" w:hAnsi="Arial" w:cs="Arial"/>
          <w:b/>
          <w:bCs/>
          <w:i/>
          <w:iCs/>
        </w:rPr>
        <w:t>Annual Report 2025</w:t>
      </w:r>
      <w:r w:rsidRPr="0057467B">
        <w:rPr>
          <w:rStyle w:val="s2"/>
          <w:rFonts w:ascii="Arial" w:hAnsi="Arial" w:cs="Arial"/>
          <w:b/>
          <w:bCs/>
        </w:rPr>
        <w:t xml:space="preserve">. Figures supplied for this analysis; </w:t>
      </w:r>
      <w:r w:rsidRPr="00B82625">
        <w:rPr>
          <w:rStyle w:val="s2"/>
          <w:rFonts w:ascii="Arial" w:hAnsi="Arial" w:cs="Arial"/>
          <w:b/>
          <w:bCs/>
        </w:rPr>
        <w:t>verify against the report before submission.</w:t>
      </w:r>
    </w:p>
    <w:p w14:paraId="03B02FA5" w14:textId="5FB7E0CD" w:rsidR="00F5799F" w:rsidRPr="00951E71" w:rsidRDefault="00F5799F" w:rsidP="00CA0D12">
      <w:pPr>
        <w:pStyle w:val="p1"/>
        <w:spacing w:line="360" w:lineRule="auto"/>
        <w:rPr>
          <w:rFonts w:ascii="Arial" w:hAnsi="Arial" w:cs="Arial"/>
        </w:rPr>
      </w:pPr>
      <w:r w:rsidRPr="00951E71">
        <w:rPr>
          <w:rFonts w:ascii="Arial" w:hAnsi="Arial" w:cs="Arial"/>
        </w:rPr>
        <w:t>BHP’s reported Scope 1 and Scope 2 operational emissions decreased from 10.0 MtCO</w:t>
      </w:r>
      <w:r w:rsidRPr="00951E71">
        <w:rPr>
          <w:rFonts w:ascii="Cambria Math" w:hAnsi="Cambria Math" w:cs="Cambria Math"/>
        </w:rPr>
        <w:t>₂</w:t>
      </w:r>
      <w:r w:rsidRPr="00951E71">
        <w:rPr>
          <w:rFonts w:ascii="Arial" w:hAnsi="Arial" w:cs="Arial"/>
        </w:rPr>
        <w:t xml:space="preserve">-e in </w:t>
      </w:r>
      <w:r w:rsidR="0038705A">
        <w:rPr>
          <w:rFonts w:ascii="Arial" w:hAnsi="Arial" w:cs="Arial"/>
        </w:rPr>
        <w:t>financial</w:t>
      </w:r>
      <w:r w:rsidR="004F4D2D">
        <w:rPr>
          <w:rFonts w:ascii="Arial" w:hAnsi="Arial" w:cs="Arial"/>
        </w:rPr>
        <w:t xml:space="preserve"> year</w:t>
      </w:r>
      <w:r w:rsidR="00E53A0A">
        <w:rPr>
          <w:rFonts w:ascii="Arial" w:hAnsi="Arial" w:cs="Arial"/>
        </w:rPr>
        <w:t xml:space="preserve"> </w:t>
      </w:r>
      <w:r w:rsidR="00E53A0A" w:rsidRPr="00E53A0A">
        <w:rPr>
          <w:rFonts w:ascii="Arial" w:hAnsi="Arial" w:cs="Arial"/>
          <w:b/>
          <w:bCs/>
        </w:rPr>
        <w:t>(</w:t>
      </w:r>
      <w:r w:rsidRPr="00E53A0A">
        <w:rPr>
          <w:rFonts w:ascii="Arial" w:hAnsi="Arial" w:cs="Arial"/>
          <w:b/>
          <w:bCs/>
        </w:rPr>
        <w:t>FY2024</w:t>
      </w:r>
      <w:r w:rsidR="00E53A0A" w:rsidRPr="00E53A0A">
        <w:rPr>
          <w:rFonts w:ascii="Arial" w:hAnsi="Arial" w:cs="Arial"/>
          <w:b/>
          <w:bCs/>
        </w:rPr>
        <w:t>)</w:t>
      </w:r>
      <w:r w:rsidRPr="00951E71">
        <w:rPr>
          <w:rFonts w:ascii="Arial" w:hAnsi="Arial" w:cs="Arial"/>
        </w:rPr>
        <w:t xml:space="preserve"> to 8.7 MtCO</w:t>
      </w:r>
      <w:r w:rsidRPr="00951E71">
        <w:rPr>
          <w:rFonts w:ascii="Cambria Math" w:hAnsi="Cambria Math" w:cs="Cambria Math"/>
        </w:rPr>
        <w:t>₂</w:t>
      </w:r>
      <w:r w:rsidRPr="00951E71">
        <w:rPr>
          <w:rFonts w:ascii="Arial" w:hAnsi="Arial" w:cs="Arial"/>
        </w:rPr>
        <w:t>-e in</w:t>
      </w:r>
      <w:r w:rsidR="00636A4D">
        <w:rPr>
          <w:rFonts w:ascii="Arial" w:hAnsi="Arial" w:cs="Arial"/>
        </w:rPr>
        <w:t xml:space="preserve"> </w:t>
      </w:r>
      <w:r w:rsidR="0038705A">
        <w:rPr>
          <w:rFonts w:ascii="Arial" w:hAnsi="Arial" w:cs="Arial"/>
        </w:rPr>
        <w:t>f</w:t>
      </w:r>
      <w:r w:rsidR="00636A4D">
        <w:rPr>
          <w:rFonts w:ascii="Arial" w:hAnsi="Arial" w:cs="Arial"/>
        </w:rPr>
        <w:t xml:space="preserve">inancial year </w:t>
      </w:r>
      <w:r w:rsidR="00636A4D" w:rsidRPr="00C4765F">
        <w:rPr>
          <w:rFonts w:ascii="Arial" w:hAnsi="Arial" w:cs="Arial"/>
          <w:b/>
          <w:bCs/>
        </w:rPr>
        <w:t>(</w:t>
      </w:r>
      <w:r w:rsidRPr="00C4765F">
        <w:rPr>
          <w:rFonts w:ascii="Arial" w:hAnsi="Arial" w:cs="Arial"/>
          <w:b/>
          <w:bCs/>
        </w:rPr>
        <w:t>FY2025</w:t>
      </w:r>
      <w:r w:rsidR="00C4765F" w:rsidRPr="00C4765F">
        <w:rPr>
          <w:rFonts w:ascii="Arial" w:hAnsi="Arial" w:cs="Arial"/>
          <w:b/>
          <w:bCs/>
        </w:rPr>
        <w:t>)</w:t>
      </w:r>
      <w:r w:rsidR="00C4765F">
        <w:rPr>
          <w:rFonts w:ascii="Arial" w:hAnsi="Arial" w:cs="Arial"/>
        </w:rPr>
        <w:t>,</w:t>
      </w:r>
      <w:r w:rsidRPr="00951E71">
        <w:rPr>
          <w:rFonts w:ascii="Arial" w:hAnsi="Arial" w:cs="Arial"/>
        </w:rPr>
        <w:t xml:space="preserve"> representing a 13% reduction. This demonstrates progress in reducing operational emissions and provides supporting evidence for BHP’s environmental sustainability positioning. However, reductions in operational emissions do not necessarily indicate decarbonisation across the entire value chain, particularly as Scope 3 emissions associated with downstream iron ore processing remain significant (BHP, 2025).</w:t>
      </w:r>
      <w:r w:rsidR="00CA0D12">
        <w:rPr>
          <w:rFonts w:ascii="Arial" w:hAnsi="Arial" w:cs="Arial"/>
        </w:rPr>
        <w:t xml:space="preserve"> </w:t>
      </w:r>
      <w:r w:rsidRPr="00951E71">
        <w:rPr>
          <w:rFonts w:ascii="Arial" w:hAnsi="Arial" w:cs="Arial"/>
        </w:rPr>
        <w:t>changes in production volumes, energy sourcing and operational activities must be considered before attributing emissions reductions entirely to environmental initiatives. Although BHP’s reported improvements demonstrate progress towards sustainability objectives, environmental marketing claims require transparent reporting and independently verified performance data to establish</w:t>
      </w:r>
      <w:r w:rsidRPr="00B82625">
        <w:rPr>
          <w:rFonts w:ascii="Arial" w:hAnsi="Arial" w:cs="Arial"/>
        </w:rPr>
        <w:t xml:space="preserve"> credibility. Consequently, BHP </w:t>
      </w:r>
      <w:r w:rsidRPr="00951E71">
        <w:rPr>
          <w:rFonts w:ascii="Arial" w:hAnsi="Arial" w:cs="Arial"/>
        </w:rPr>
        <w:t>must address both operational and value-chain emissions to strengthen stakeholder confidence and maintain its long-term environmental reputation (BHP, 2025).</w:t>
      </w:r>
    </w:p>
    <w:p w14:paraId="0C0977AA" w14:textId="3103A407" w:rsidR="00036232" w:rsidRDefault="00036232" w:rsidP="006D72C2">
      <w:pPr>
        <w:spacing w:before="100" w:beforeAutospacing="1" w:after="100" w:afterAutospacing="1" w:line="360" w:lineRule="auto"/>
        <w:outlineLvl w:val="2"/>
        <w:rPr>
          <w:rFonts w:ascii="Arial" w:eastAsia="Times New Roman" w:hAnsi="Arial" w:cs="Arial"/>
          <w:b/>
          <w:bCs/>
          <w:kern w:val="0"/>
          <w14:ligatures w14:val="none"/>
        </w:rPr>
      </w:pPr>
      <w:bookmarkStart w:id="15" w:name="_Toc243240440"/>
      <w:bookmarkStart w:id="16" w:name="_Toc243341313"/>
      <w:r w:rsidRPr="00F26E98">
        <w:rPr>
          <w:rFonts w:ascii="Arial" w:eastAsia="Times New Roman" w:hAnsi="Arial" w:cs="Arial"/>
          <w:b/>
          <w:bCs/>
          <w:kern w:val="0"/>
          <w14:ligatures w14:val="none"/>
        </w:rPr>
        <w:t>1.3.2 Resource Scarcity and Biodiversity</w:t>
      </w:r>
      <w:bookmarkEnd w:id="15"/>
      <w:bookmarkEnd w:id="16"/>
    </w:p>
    <w:p w14:paraId="249C0864" w14:textId="50363216" w:rsidR="00DC7137" w:rsidRPr="00D265E3" w:rsidRDefault="00DC7137" w:rsidP="006D72C2">
      <w:pPr>
        <w:pStyle w:val="p1"/>
        <w:spacing w:line="360" w:lineRule="auto"/>
        <w:rPr>
          <w:rFonts w:ascii="Arial" w:hAnsi="Arial" w:cs="Arial"/>
        </w:rPr>
      </w:pPr>
      <w:r w:rsidRPr="00D265E3">
        <w:rPr>
          <w:rStyle w:val="s1"/>
          <w:rFonts w:ascii="Arial" w:hAnsi="Arial" w:cs="Arial"/>
        </w:rPr>
        <w:t xml:space="preserve">Mining operations contribute to </w:t>
      </w:r>
      <w:r w:rsidRPr="00D265E3">
        <w:rPr>
          <w:rStyle w:val="s2"/>
          <w:rFonts w:ascii="Arial" w:hAnsi="Arial" w:cs="Arial"/>
        </w:rPr>
        <w:t>land disturbance, water consumption and biodiversity loss</w:t>
      </w:r>
      <w:r w:rsidRPr="00D265E3">
        <w:rPr>
          <w:rStyle w:val="s1"/>
          <w:rFonts w:ascii="Arial" w:hAnsi="Arial" w:cs="Arial"/>
        </w:rPr>
        <w:t>, creating</w:t>
      </w:r>
      <w:r w:rsidR="007C6EFF">
        <w:rPr>
          <w:rStyle w:val="s1"/>
          <w:rFonts w:ascii="Arial" w:hAnsi="Arial" w:cs="Arial"/>
        </w:rPr>
        <w:t xml:space="preserve"> </w:t>
      </w:r>
      <w:r w:rsidRPr="00D265E3">
        <w:rPr>
          <w:rStyle w:val="s1"/>
          <w:rFonts w:ascii="Arial" w:hAnsi="Arial" w:cs="Arial"/>
        </w:rPr>
        <w:t>challenges. The United Nations Environment Programme (UNEP, 2024) emphasises the importance of sustainable resource management. For BHP, expanding copper production supports renewable energy development but may increase pressure on ecosystems and water resources.</w:t>
      </w:r>
    </w:p>
    <w:p w14:paraId="10FAA19F" w14:textId="77777777" w:rsidR="00DC7137" w:rsidRPr="00D265E3" w:rsidRDefault="00DC7137" w:rsidP="006D72C2">
      <w:pPr>
        <w:pStyle w:val="p1"/>
        <w:spacing w:line="360" w:lineRule="auto"/>
        <w:rPr>
          <w:rFonts w:ascii="Arial" w:hAnsi="Arial" w:cs="Arial"/>
        </w:rPr>
      </w:pPr>
      <w:r w:rsidRPr="00D265E3">
        <w:rPr>
          <w:rStyle w:val="s1"/>
          <w:rFonts w:ascii="Arial" w:hAnsi="Arial" w:cs="Arial"/>
        </w:rPr>
        <w:t xml:space="preserve">Elkington’s (1997) </w:t>
      </w:r>
      <w:r w:rsidRPr="00D265E3">
        <w:rPr>
          <w:rStyle w:val="s2"/>
          <w:rFonts w:ascii="Arial" w:hAnsi="Arial" w:cs="Arial"/>
        </w:rPr>
        <w:t>Triple Bottom Line framework</w:t>
      </w:r>
      <w:r w:rsidRPr="00D265E3">
        <w:rPr>
          <w:rStyle w:val="s1"/>
          <w:rFonts w:ascii="Arial" w:hAnsi="Arial" w:cs="Arial"/>
        </w:rPr>
        <w:t xml:space="preserve"> evaluates organisational performance through </w:t>
      </w:r>
      <w:r w:rsidRPr="00D265E3">
        <w:rPr>
          <w:rStyle w:val="s2"/>
          <w:rFonts w:ascii="Arial" w:hAnsi="Arial" w:cs="Arial"/>
        </w:rPr>
        <w:t>economic, environmental and social dimensions</w:t>
      </w:r>
      <w:r w:rsidRPr="00D265E3">
        <w:rPr>
          <w:rStyle w:val="s1"/>
          <w:rFonts w:ascii="Arial" w:hAnsi="Arial" w:cs="Arial"/>
        </w:rPr>
        <w:t>. Applying this theory, BHP must balance mineral production with ecological protection and community wellbeing.</w:t>
      </w:r>
    </w:p>
    <w:p w14:paraId="16C2706E" w14:textId="5D3B6992" w:rsidR="00BC07BE" w:rsidRPr="00FD55BE" w:rsidRDefault="00C33307" w:rsidP="006D72C2">
      <w:pPr>
        <w:pStyle w:val="p2"/>
        <w:spacing w:line="360" w:lineRule="auto"/>
        <w:rPr>
          <w:rStyle w:val="s1"/>
          <w:rFonts w:ascii="Arial" w:hAnsi="Arial" w:cs="Arial"/>
          <w:b/>
          <w:bCs/>
        </w:rPr>
      </w:pPr>
      <w:r>
        <w:rPr>
          <w:noProof/>
        </w:rPr>
        <w:drawing>
          <wp:anchor distT="0" distB="0" distL="114300" distR="114300" simplePos="0" relativeHeight="251658246" behindDoc="0" locked="0" layoutInCell="1" allowOverlap="1" wp14:anchorId="77F4388B" wp14:editId="0E8E152E">
            <wp:simplePos x="0" y="0"/>
            <wp:positionH relativeFrom="column">
              <wp:posOffset>-857250</wp:posOffset>
            </wp:positionH>
            <wp:positionV relativeFrom="paragraph">
              <wp:posOffset>274955</wp:posOffset>
            </wp:positionV>
            <wp:extent cx="7391400" cy="4562475"/>
            <wp:effectExtent l="0" t="0" r="0" b="9525"/>
            <wp:wrapTopAndBottom/>
            <wp:docPr id="2003815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815964" name=""/>
                    <pic:cNvPicPr/>
                  </pic:nvPicPr>
                  <pic:blipFill>
                    <a:blip r:embed="rId12"/>
                    <a:stretch>
                      <a:fillRect/>
                    </a:stretch>
                  </pic:blipFill>
                  <pic:spPr>
                    <a:xfrm>
                      <a:off x="0" y="0"/>
                      <a:ext cx="7391400" cy="4562475"/>
                    </a:xfrm>
                    <a:prstGeom prst="rect">
                      <a:avLst/>
                    </a:prstGeom>
                  </pic:spPr>
                </pic:pic>
              </a:graphicData>
            </a:graphic>
            <wp14:sizeRelH relativeFrom="margin">
              <wp14:pctWidth>0</wp14:pctWidth>
            </wp14:sizeRelH>
            <wp14:sizeRelV relativeFrom="margin">
              <wp14:pctHeight>0</wp14:pctHeight>
            </wp14:sizeRelV>
          </wp:anchor>
        </w:drawing>
      </w:r>
      <w:r w:rsidR="00FD55BE" w:rsidRPr="00FD55BE">
        <w:rPr>
          <w:rStyle w:val="s1"/>
          <w:rFonts w:ascii="Arial" w:hAnsi="Arial" w:cs="Arial"/>
          <w:b/>
          <w:bCs/>
        </w:rPr>
        <w:t xml:space="preserve">Table </w:t>
      </w:r>
      <w:r w:rsidR="00485ABA">
        <w:rPr>
          <w:rStyle w:val="s1"/>
          <w:rFonts w:ascii="Arial" w:hAnsi="Arial" w:cs="Arial"/>
          <w:b/>
          <w:bCs/>
        </w:rPr>
        <w:t>3</w:t>
      </w:r>
      <w:r w:rsidR="00FD55BE" w:rsidRPr="00FD55BE">
        <w:rPr>
          <w:rStyle w:val="s1"/>
          <w:rFonts w:ascii="Arial" w:hAnsi="Arial" w:cs="Arial"/>
          <w:b/>
          <w:bCs/>
        </w:rPr>
        <w:t>.</w:t>
      </w:r>
      <w:r w:rsidR="003304F5">
        <w:rPr>
          <w:rStyle w:val="s1"/>
          <w:rFonts w:ascii="Arial" w:hAnsi="Arial" w:cs="Arial"/>
          <w:b/>
          <w:bCs/>
        </w:rPr>
        <w:t xml:space="preserve"> Verification</w:t>
      </w:r>
      <w:r w:rsidR="00F3323A">
        <w:rPr>
          <w:rStyle w:val="s1"/>
          <w:rFonts w:ascii="Arial" w:hAnsi="Arial" w:cs="Arial"/>
          <w:b/>
          <w:bCs/>
        </w:rPr>
        <w:t xml:space="preserve"> of BHP’S</w:t>
      </w:r>
      <w:r>
        <w:rPr>
          <w:rStyle w:val="s1"/>
          <w:rFonts w:ascii="Arial" w:hAnsi="Arial" w:cs="Arial"/>
          <w:b/>
          <w:bCs/>
        </w:rPr>
        <w:t xml:space="preserve"> Environmental Figures</w:t>
      </w:r>
    </w:p>
    <w:p w14:paraId="7D93B035" w14:textId="77777777" w:rsidR="000B2F29" w:rsidRPr="00DC1574" w:rsidRDefault="000B2F29" w:rsidP="006D72C2">
      <w:pPr>
        <w:pStyle w:val="p1"/>
        <w:spacing w:line="360" w:lineRule="auto"/>
        <w:jc w:val="center"/>
        <w:rPr>
          <w:rStyle w:val="s1"/>
          <w:rFonts w:ascii="Arial" w:hAnsi="Arial" w:cs="Arial"/>
          <w:b/>
          <w:bCs/>
        </w:rPr>
      </w:pPr>
      <w:r w:rsidRPr="00DC1574">
        <w:rPr>
          <w:rFonts w:ascii="Arial" w:hAnsi="Arial" w:cs="Arial"/>
          <w:b/>
          <w:bCs/>
        </w:rPr>
        <w:t>Source:</w:t>
      </w:r>
      <w:r w:rsidRPr="00DC1574">
        <w:rPr>
          <w:rStyle w:val="s2"/>
          <w:rFonts w:ascii="Arial" w:hAnsi="Arial" w:cs="Arial"/>
          <w:b/>
          <w:bCs/>
        </w:rPr>
        <w:t xml:space="preserve"> BHP Annual Report 2025</w:t>
      </w:r>
      <w:r w:rsidRPr="00DC1574">
        <w:rPr>
          <w:rStyle w:val="s1"/>
          <w:rFonts w:ascii="Segoe UI Symbol" w:hAnsi="Segoe UI Symbol" w:cs="Segoe UI Symbol"/>
          <w:b/>
          <w:bCs/>
        </w:rPr>
        <w:t>⁠</w:t>
      </w:r>
      <w:r w:rsidRPr="00DC1574">
        <w:rPr>
          <w:rFonts w:ascii="Arial" w:hAnsi="Arial" w:cs="Arial"/>
          <w:b/>
          <w:bCs/>
          <w:noProof/>
        </w:rPr>
        <mc:AlternateContent>
          <mc:Choice Requires="wps">
            <w:drawing>
              <wp:inline distT="0" distB="0" distL="0" distR="0" wp14:anchorId="25DBDD30" wp14:editId="7EC13E8B">
                <wp:extent cx="300355" cy="300355"/>
                <wp:effectExtent l="0" t="0" r="0" b="0"/>
                <wp:docPr id="878845122"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rto="http://schemas.microsoft.com/office/word/2006/arto">
            <w:pict>
              <v:rect w14:anchorId="1C4899D1" id="Rectangle 1" o:spid="_x0000_s1026" style="width:23.65pt;height:2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" filled="f" stroked="f">
                <o:lock v:ext="edit" aspectratio="t"/>
                <w10:anchorlock/>
              </v:rect>
            </w:pict>
          </mc:Fallback>
        </mc:AlternateContent>
      </w:r>
    </w:p>
    <w:p w14:paraId="2FECB84B" w14:textId="77777777" w:rsidR="006D72C2" w:rsidRDefault="006D72C2" w:rsidP="006D72C2">
      <w:pPr>
        <w:spacing w:before="100" w:beforeAutospacing="1" w:after="100" w:afterAutospacing="1" w:line="360" w:lineRule="auto"/>
        <w:outlineLvl w:val="2"/>
        <w:rPr>
          <w:rFonts w:ascii="Arial" w:eastAsia="Times New Roman" w:hAnsi="Arial" w:cs="Arial"/>
          <w:b/>
          <w:bCs/>
          <w:kern w:val="0"/>
          <w14:ligatures w14:val="none"/>
        </w:rPr>
      </w:pPr>
      <w:bookmarkStart w:id="17" w:name="_Toc243240441"/>
    </w:p>
    <w:p w14:paraId="2E35981D" w14:textId="77777777" w:rsidR="006D72C2" w:rsidRDefault="00036232" w:rsidP="008157FC">
      <w:pPr>
        <w:spacing w:before="100" w:beforeAutospacing="1" w:after="100" w:afterAutospacing="1" w:line="360" w:lineRule="auto"/>
        <w:outlineLvl w:val="2"/>
        <w:rPr>
          <w:rFonts w:ascii="Arial" w:eastAsia="Times New Roman" w:hAnsi="Arial" w:cs="Arial"/>
          <w:b/>
          <w:bCs/>
          <w:kern w:val="0"/>
          <w14:ligatures w14:val="none"/>
        </w:rPr>
      </w:pPr>
      <w:bookmarkStart w:id="18" w:name="_Toc243341314"/>
      <w:r w:rsidRPr="00F26E98">
        <w:rPr>
          <w:rFonts w:ascii="Arial" w:eastAsia="Times New Roman" w:hAnsi="Arial" w:cs="Arial"/>
          <w:b/>
          <w:bCs/>
          <w:kern w:val="0"/>
          <w14:ligatures w14:val="none"/>
        </w:rPr>
        <w:t>1.3.3 Green Marketing and Environmental Credibility</w:t>
      </w:r>
      <w:bookmarkEnd w:id="17"/>
      <w:bookmarkEnd w:id="18"/>
      <w:r w:rsidR="00EC3C01">
        <w:rPr>
          <w:rFonts w:ascii="Arial" w:eastAsia="Times New Roman" w:hAnsi="Arial" w:cs="Arial"/>
          <w:b/>
          <w:bCs/>
          <w:kern w:val="0"/>
          <w14:ligatures w14:val="none"/>
        </w:rPr>
        <w:t xml:space="preserve">          </w:t>
      </w:r>
      <w:bookmarkStart w:id="19" w:name="_Toc243240442"/>
    </w:p>
    <w:p w14:paraId="60288B9B" w14:textId="4730979F" w:rsidR="003A272E" w:rsidRPr="00C40032" w:rsidRDefault="00F56E0D" w:rsidP="008157FC">
      <w:pPr>
        <w:spacing w:before="100" w:beforeAutospacing="1" w:after="100" w:afterAutospacing="1" w:line="360" w:lineRule="auto"/>
        <w:outlineLvl w:val="2"/>
        <w:rPr>
          <w:rStyle w:val="s2"/>
          <w:rFonts w:ascii="Arial" w:eastAsia="Times New Roman" w:hAnsi="Arial" w:cs="Arial"/>
          <w:b/>
          <w:bCs/>
          <w:kern w:val="0"/>
          <w14:ligatures w14:val="none"/>
        </w:rPr>
      </w:pPr>
      <w:bookmarkStart w:id="20" w:name="_Toc243341315"/>
      <w:r w:rsidRPr="005C56B7">
        <w:rPr>
          <w:rFonts w:ascii="Arial" w:hAnsi="Arial" w:cs="Arial"/>
        </w:rPr>
        <w:t xml:space="preserve">Environmental sustainability also creates opportunities for BHP to strengthen its </w:t>
      </w:r>
      <w:r w:rsidR="007A3C52">
        <w:rPr>
          <w:rStyle w:val="s1"/>
          <w:rFonts w:ascii="Segoe UI Symbol" w:hAnsi="Segoe UI Symbol" w:cs="Segoe UI Symbol"/>
        </w:rPr>
        <w:t>⁠</w:t>
      </w:r>
      <w:r w:rsidR="007A3C52">
        <w:rPr>
          <w:noProof/>
        </w:rPr>
        <mc:AlternateContent>
          <mc:Choice Requires="wps">
            <w:drawing>
              <wp:inline distT="0" distB="0" distL="0" distR="0" wp14:anchorId="7EC77042" wp14:editId="442A923B">
                <wp:extent cx="300355" cy="300355"/>
                <wp:effectExtent l="0" t="0" r="0" b="0"/>
                <wp:docPr id="1834917192"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rto="http://schemas.microsoft.com/office/word/2006/arto">
            <w:pict>
              <v:rect w14:anchorId="1ABB40FE" id="Rectangle 1" o:spid="_x0000_s1026" style="width:23.65pt;height:2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" filled="f" stroked="f">
                <o:lock v:ext="edit" aspectratio="t"/>
                <w10:anchorlock/>
              </v:rect>
            </w:pict>
          </mc:Fallback>
        </mc:AlternateContent>
      </w:r>
      <w:r w:rsidR="003A272E" w:rsidRPr="003A272E">
        <w:rPr>
          <w:b/>
          <w:bCs/>
        </w:rPr>
        <w:t xml:space="preserve"> </w:t>
      </w:r>
      <w:r w:rsidR="003A272E" w:rsidRPr="00FC0DD4">
        <w:rPr>
          <w:rFonts w:ascii="Arial" w:hAnsi="Arial" w:cs="Arial"/>
        </w:rPr>
        <w:t>competitive positioning through responsible marketing and industrial collaboration</w:t>
      </w:r>
      <w:r w:rsidR="003A272E" w:rsidRPr="00FC0DD4">
        <w:rPr>
          <w:rStyle w:val="s2"/>
          <w:rFonts w:ascii="Arial" w:hAnsi="Arial" w:cs="Arial"/>
        </w:rPr>
        <w:t xml:space="preserve">. According to BHP (2025), the company collaborates with </w:t>
      </w:r>
      <w:r w:rsidR="003A272E" w:rsidRPr="00FC0DD4">
        <w:rPr>
          <w:rStyle w:val="s1"/>
          <w:rFonts w:ascii="Arial" w:hAnsi="Arial" w:cs="Arial"/>
        </w:rPr>
        <w:t>11 steel producers representing approximately 22% of reported global steel production</w:t>
      </w:r>
      <w:r w:rsidR="003A272E" w:rsidRPr="00FC0DD4">
        <w:rPr>
          <w:rStyle w:val="s2"/>
          <w:rFonts w:ascii="Arial" w:hAnsi="Arial" w:cs="Arial"/>
        </w:rPr>
        <w:t xml:space="preserve">, with </w:t>
      </w:r>
      <w:r w:rsidR="003A272E" w:rsidRPr="00FC0DD4">
        <w:rPr>
          <w:rStyle w:val="s1"/>
          <w:rFonts w:ascii="Arial" w:hAnsi="Arial" w:cs="Arial"/>
        </w:rPr>
        <w:t>US$171 million committed to steelmaking decarbonisation initiatives</w:t>
      </w:r>
      <w:r w:rsidR="003A272E" w:rsidRPr="00FC0DD4">
        <w:rPr>
          <w:rStyle w:val="s2"/>
          <w:rFonts w:ascii="Arial" w:hAnsi="Arial" w:cs="Arial"/>
        </w:rPr>
        <w:t xml:space="preserve"> by June 2025.</w:t>
      </w:r>
      <w:bookmarkEnd w:id="19"/>
      <w:bookmarkEnd w:id="20"/>
    </w:p>
    <w:p w14:paraId="2632684B" w14:textId="7D584386" w:rsidR="00E06614" w:rsidRDefault="003A272E" w:rsidP="008157FC">
      <w:pPr>
        <w:pStyle w:val="p1"/>
        <w:spacing w:line="360" w:lineRule="auto"/>
        <w:rPr>
          <w:rStyle w:val="s2"/>
          <w:rFonts w:ascii="Arial" w:hAnsi="Arial" w:cs="Arial"/>
        </w:rPr>
      </w:pPr>
      <w:r w:rsidRPr="00FC0DD4">
        <w:rPr>
          <w:rFonts w:ascii="Arial" w:hAnsi="Arial" w:cs="Arial"/>
        </w:rPr>
        <w:t xml:space="preserve">These partnerships support BHP’s goal of developing steelmaking technologies capable of </w:t>
      </w:r>
      <w:r w:rsidRPr="00FC0DD4">
        <w:rPr>
          <w:rStyle w:val="s1"/>
          <w:rFonts w:ascii="Arial" w:hAnsi="Arial" w:cs="Arial"/>
        </w:rPr>
        <w:t>reducing greenhouse gas emissions intensity by 30%</w:t>
      </w:r>
      <w:r w:rsidRPr="00FC0DD4">
        <w:rPr>
          <w:rStyle w:val="s2"/>
          <w:rFonts w:ascii="Arial" w:hAnsi="Arial" w:cs="Arial"/>
        </w:rPr>
        <w:t xml:space="preserve"> compared with conventional blast furnace production</w:t>
      </w:r>
      <w:r w:rsidR="00B41342">
        <w:rPr>
          <w:rStyle w:val="s2"/>
          <w:rFonts w:ascii="Arial" w:hAnsi="Arial" w:cs="Arial"/>
        </w:rPr>
        <w:t>,</w:t>
      </w:r>
      <w:r w:rsidRPr="00FC0DD4">
        <w:rPr>
          <w:rStyle w:val="s2"/>
          <w:rFonts w:ascii="Arial" w:hAnsi="Arial" w:cs="Arial"/>
        </w:rPr>
        <w:t xml:space="preserve"> collaboration with China Baowu </w:t>
      </w:r>
    </w:p>
    <w:p w14:paraId="0E80A79B" w14:textId="7C06A69A" w:rsidR="003A272E" w:rsidRPr="00FC0DD4" w:rsidRDefault="003A272E" w:rsidP="008157FC">
      <w:pPr>
        <w:pStyle w:val="p1"/>
        <w:spacing w:line="360" w:lineRule="auto"/>
        <w:rPr>
          <w:rStyle w:val="s2"/>
          <w:rFonts w:ascii="Arial" w:hAnsi="Arial" w:cs="Arial"/>
        </w:rPr>
      </w:pPr>
      <w:r w:rsidRPr="00FC0DD4">
        <w:rPr>
          <w:rStyle w:val="s2"/>
          <w:rFonts w:ascii="Arial" w:hAnsi="Arial" w:cs="Arial"/>
        </w:rPr>
        <w:t>on hydrogen-based ironmaking demonstrates BHP’s commitment to lower-emission technologies (BHP, 2025).</w:t>
      </w:r>
    </w:p>
    <w:p w14:paraId="78AAA72B" w14:textId="77777777" w:rsidR="003A272E" w:rsidRPr="00FC0DD4" w:rsidRDefault="003A272E" w:rsidP="008157FC">
      <w:pPr>
        <w:pStyle w:val="p1"/>
        <w:spacing w:line="360" w:lineRule="auto"/>
        <w:rPr>
          <w:rStyle w:val="s2"/>
          <w:rFonts w:ascii="Arial" w:hAnsi="Arial" w:cs="Arial"/>
        </w:rPr>
      </w:pPr>
      <w:r w:rsidRPr="00FC0DD4">
        <w:rPr>
          <w:rFonts w:ascii="Arial" w:hAnsi="Arial" w:cs="Arial"/>
        </w:rPr>
        <w:t xml:space="preserve">However, </w:t>
      </w:r>
      <w:r w:rsidRPr="00FC0DD4">
        <w:rPr>
          <w:rStyle w:val="s1"/>
          <w:rFonts w:ascii="Arial" w:hAnsi="Arial" w:cs="Arial"/>
        </w:rPr>
        <w:t>technological innovation does not guarantee commercial adoption or measurable environmental improvements</w:t>
      </w:r>
      <w:r w:rsidRPr="00FC0DD4">
        <w:rPr>
          <w:rStyle w:val="s2"/>
          <w:rFonts w:ascii="Arial" w:hAnsi="Arial" w:cs="Arial"/>
        </w:rPr>
        <w:t xml:space="preserve">. Delmas and Burbano (2011) highlight the risks of </w:t>
      </w:r>
      <w:r w:rsidRPr="00FC0DD4">
        <w:rPr>
          <w:rStyle w:val="s1"/>
          <w:rFonts w:ascii="Arial" w:hAnsi="Arial" w:cs="Arial"/>
        </w:rPr>
        <w:t>greenwashing</w:t>
      </w:r>
      <w:r w:rsidRPr="00FC0DD4">
        <w:rPr>
          <w:rStyle w:val="s2"/>
          <w:rFonts w:ascii="Arial" w:hAnsi="Arial" w:cs="Arial"/>
        </w:rPr>
        <w:t>, where organisations exaggerate environmental achievements to gain competitive advantage.</w:t>
      </w:r>
    </w:p>
    <w:p w14:paraId="45DC0FDC" w14:textId="7939C2A1" w:rsidR="003A272E" w:rsidRPr="00FC0DD4" w:rsidRDefault="003A272E" w:rsidP="008157FC">
      <w:pPr>
        <w:pStyle w:val="p2"/>
        <w:spacing w:line="360" w:lineRule="auto"/>
        <w:rPr>
          <w:rStyle w:val="s2"/>
          <w:rFonts w:ascii="Arial" w:hAnsi="Arial" w:cs="Arial"/>
        </w:rPr>
      </w:pPr>
      <w:r w:rsidRPr="00FC0DD4">
        <w:rPr>
          <w:rFonts w:ascii="Arial" w:hAnsi="Arial" w:cs="Arial"/>
        </w:rPr>
        <w:t xml:space="preserve">Applying this perspective, BHP should support environmental marketing claims with </w:t>
      </w:r>
      <w:r w:rsidRPr="00FC0DD4">
        <w:rPr>
          <w:rStyle w:val="s1"/>
          <w:rFonts w:ascii="Arial" w:hAnsi="Arial" w:cs="Arial"/>
        </w:rPr>
        <w:t>independently verified emissions data and transparent product-level reporting</w:t>
      </w:r>
      <w:r w:rsidRPr="00FC0DD4">
        <w:rPr>
          <w:rStyle w:val="s2"/>
          <w:rFonts w:ascii="Arial" w:hAnsi="Arial" w:cs="Arial"/>
        </w:rPr>
        <w:t xml:space="preserve">. </w:t>
      </w:r>
    </w:p>
    <w:p w14:paraId="010DF9F2" w14:textId="12262350" w:rsidR="00036232" w:rsidRDefault="00036232" w:rsidP="008157FC">
      <w:pPr>
        <w:spacing w:before="100" w:beforeAutospacing="1" w:after="100" w:afterAutospacing="1" w:line="360" w:lineRule="auto"/>
        <w:outlineLvl w:val="1"/>
        <w:rPr>
          <w:rFonts w:ascii="Arial" w:eastAsia="Times New Roman" w:hAnsi="Arial" w:cs="Arial"/>
          <w:b/>
          <w:bCs/>
          <w:kern w:val="0"/>
          <w14:ligatures w14:val="none"/>
        </w:rPr>
      </w:pPr>
      <w:bookmarkStart w:id="21" w:name="_Toc243240443"/>
      <w:bookmarkStart w:id="22" w:name="_Toc243341316"/>
      <w:r w:rsidRPr="00F26E98">
        <w:rPr>
          <w:rFonts w:ascii="Arial" w:eastAsia="Times New Roman" w:hAnsi="Arial" w:cs="Arial"/>
          <w:b/>
          <w:bCs/>
          <w:kern w:val="0"/>
          <w14:ligatures w14:val="none"/>
        </w:rPr>
        <w:t>1.4 Actor Two: Political</w:t>
      </w:r>
      <w:r w:rsidR="004B2819">
        <w:rPr>
          <w:rFonts w:ascii="Arial" w:eastAsia="Times New Roman" w:hAnsi="Arial" w:cs="Arial"/>
          <w:b/>
          <w:bCs/>
          <w:kern w:val="0"/>
          <w14:ligatures w14:val="none"/>
        </w:rPr>
        <w:t>-</w:t>
      </w:r>
      <w:r w:rsidR="00D37225">
        <w:rPr>
          <w:rFonts w:ascii="Arial" w:eastAsia="Times New Roman" w:hAnsi="Arial" w:cs="Arial"/>
          <w:b/>
          <w:bCs/>
          <w:kern w:val="0"/>
          <w14:ligatures w14:val="none"/>
        </w:rPr>
        <w:t xml:space="preserve">Legal </w:t>
      </w:r>
      <w:r w:rsidR="00050D70">
        <w:rPr>
          <w:rFonts w:ascii="Arial" w:eastAsia="Times New Roman" w:hAnsi="Arial" w:cs="Arial"/>
          <w:b/>
          <w:bCs/>
          <w:kern w:val="0"/>
          <w14:ligatures w14:val="none"/>
        </w:rPr>
        <w:t>Environment</w:t>
      </w:r>
      <w:bookmarkEnd w:id="21"/>
      <w:bookmarkEnd w:id="22"/>
    </w:p>
    <w:p w14:paraId="333E75AB" w14:textId="1EEFEE1F" w:rsidR="00D43C81" w:rsidRPr="00374F4F" w:rsidRDefault="00D43C81" w:rsidP="008157FC">
      <w:pPr>
        <w:pStyle w:val="p1"/>
        <w:spacing w:line="360" w:lineRule="auto"/>
        <w:rPr>
          <w:rStyle w:val="s1"/>
          <w:rFonts w:ascii="Arial" w:hAnsi="Arial" w:cs="Arial"/>
        </w:rPr>
      </w:pPr>
      <w:r w:rsidRPr="00374F4F">
        <w:rPr>
          <w:rFonts w:ascii="Arial" w:hAnsi="Arial" w:cs="Arial"/>
        </w:rPr>
        <w:t>Government environmental regulat</w:t>
      </w:r>
      <w:r w:rsidR="00E7720A">
        <w:rPr>
          <w:rFonts w:ascii="Arial" w:hAnsi="Arial" w:cs="Arial"/>
        </w:rPr>
        <w:t xml:space="preserve">ion </w:t>
      </w:r>
      <w:r w:rsidRPr="00374F4F">
        <w:rPr>
          <w:rFonts w:ascii="Arial" w:hAnsi="Arial" w:cs="Arial"/>
        </w:rPr>
        <w:t xml:space="preserve">influence BHP’s </w:t>
      </w:r>
      <w:r w:rsidRPr="00862389">
        <w:rPr>
          <w:rStyle w:val="s2"/>
          <w:rFonts w:ascii="Arial" w:hAnsi="Arial" w:cs="Arial"/>
        </w:rPr>
        <w:t>operational costs,</w:t>
      </w:r>
      <w:r w:rsidRPr="00374F4F">
        <w:rPr>
          <w:rStyle w:val="s2"/>
          <w:rFonts w:ascii="Arial" w:hAnsi="Arial" w:cs="Arial"/>
          <w:b/>
          <w:bCs/>
        </w:rPr>
        <w:t xml:space="preserve"> </w:t>
      </w:r>
      <w:r w:rsidRPr="00862389">
        <w:rPr>
          <w:rStyle w:val="s2"/>
          <w:rFonts w:ascii="Arial" w:hAnsi="Arial" w:cs="Arial"/>
        </w:rPr>
        <w:t>investment decisions and international competitiveness</w:t>
      </w:r>
      <w:r w:rsidRPr="00862389">
        <w:rPr>
          <w:rStyle w:val="s1"/>
          <w:rFonts w:ascii="Arial" w:hAnsi="Arial" w:cs="Arial"/>
        </w:rPr>
        <w:t>.</w:t>
      </w:r>
    </w:p>
    <w:p w14:paraId="7E34FA5B" w14:textId="77777777" w:rsidR="00D43C81" w:rsidRPr="00374F4F" w:rsidRDefault="00D43C81" w:rsidP="008157FC">
      <w:pPr>
        <w:pStyle w:val="p1"/>
        <w:spacing w:line="360" w:lineRule="auto"/>
        <w:rPr>
          <w:rStyle w:val="s1"/>
          <w:rFonts w:ascii="Arial" w:hAnsi="Arial" w:cs="Arial"/>
        </w:rPr>
      </w:pPr>
      <w:r w:rsidRPr="00374F4F">
        <w:rPr>
          <w:rFonts w:ascii="Arial" w:hAnsi="Arial" w:cs="Arial"/>
        </w:rPr>
        <w:t xml:space="preserve">The European Union’s </w:t>
      </w:r>
      <w:r w:rsidRPr="00862389">
        <w:rPr>
          <w:rStyle w:val="s2"/>
          <w:rFonts w:ascii="Arial" w:hAnsi="Arial" w:cs="Arial"/>
        </w:rPr>
        <w:t>Carbon Border Adjustment Mechanism (CBAM)</w:t>
      </w:r>
      <w:r w:rsidRPr="00374F4F">
        <w:rPr>
          <w:rStyle w:val="s1"/>
          <w:rFonts w:ascii="Arial" w:hAnsi="Arial" w:cs="Arial"/>
        </w:rPr>
        <w:t xml:space="preserve"> introduces carbon-related obligations for selected imported products, including iron and steel (European Commission, 2023). Although BHP’s iron ore is not directly covered, these regulations may indirectly affect BHP through steelmaking customers seeking </w:t>
      </w:r>
      <w:r w:rsidRPr="00244EAE">
        <w:rPr>
          <w:rStyle w:val="s2"/>
          <w:rFonts w:ascii="Arial" w:hAnsi="Arial" w:cs="Arial"/>
        </w:rPr>
        <w:t>lower-emission production and greater supply-chain transparency</w:t>
      </w:r>
      <w:r w:rsidRPr="00244EAE">
        <w:rPr>
          <w:rStyle w:val="s1"/>
          <w:rFonts w:ascii="Arial" w:hAnsi="Arial" w:cs="Arial"/>
        </w:rPr>
        <w:t>.</w:t>
      </w:r>
    </w:p>
    <w:p w14:paraId="51758213" w14:textId="18F40A6E" w:rsidR="00D43C81" w:rsidRPr="00374F4F" w:rsidRDefault="00D43C81" w:rsidP="008157FC">
      <w:pPr>
        <w:pStyle w:val="p1"/>
        <w:spacing w:line="360" w:lineRule="auto"/>
        <w:rPr>
          <w:rStyle w:val="s1"/>
          <w:rFonts w:ascii="Arial" w:hAnsi="Arial" w:cs="Arial"/>
        </w:rPr>
      </w:pPr>
      <w:r w:rsidRPr="00374F4F">
        <w:rPr>
          <w:rFonts w:ascii="Arial" w:hAnsi="Arial" w:cs="Arial"/>
        </w:rPr>
        <w:t xml:space="preserve">Porter and van der Linde’s (1995) </w:t>
      </w:r>
      <w:r w:rsidRPr="00862389">
        <w:rPr>
          <w:rStyle w:val="s2"/>
          <w:rFonts w:ascii="Arial" w:hAnsi="Arial" w:cs="Arial"/>
        </w:rPr>
        <w:t>Porter Hypothesis</w:t>
      </w:r>
      <w:r w:rsidRPr="00374F4F">
        <w:rPr>
          <w:rStyle w:val="s1"/>
          <w:rFonts w:ascii="Arial" w:hAnsi="Arial" w:cs="Arial"/>
        </w:rPr>
        <w:t xml:space="preserve"> suggests that well-designed environmental regulations can stimulate innovation and improve resource efficiency,  strengthening competitiveness.</w:t>
      </w:r>
    </w:p>
    <w:p w14:paraId="5D1D13F5" w14:textId="77777777" w:rsidR="008E63A6" w:rsidRDefault="00D43C81" w:rsidP="008157FC">
      <w:pPr>
        <w:pStyle w:val="p2"/>
        <w:spacing w:line="360" w:lineRule="auto"/>
        <w:rPr>
          <w:rStyle w:val="s1"/>
          <w:rFonts w:ascii="Arial" w:hAnsi="Arial" w:cs="Arial"/>
        </w:rPr>
      </w:pPr>
      <w:r w:rsidRPr="00862389">
        <w:rPr>
          <w:rFonts w:ascii="Arial" w:hAnsi="Arial" w:cs="Arial"/>
        </w:rPr>
        <w:t>However, regulatory compliance does not automatically increase profitability</w:t>
      </w:r>
      <w:r w:rsidRPr="00862389">
        <w:rPr>
          <w:rStyle w:val="s1"/>
          <w:rFonts w:ascii="Arial" w:hAnsi="Arial" w:cs="Arial"/>
        </w:rPr>
        <w:t xml:space="preserve">, </w:t>
      </w:r>
      <w:r w:rsidRPr="00374F4F">
        <w:rPr>
          <w:rStyle w:val="s1"/>
          <w:rFonts w:ascii="Arial" w:hAnsi="Arial" w:cs="Arial"/>
        </w:rPr>
        <w:t xml:space="preserve">particularly when low-emission technologies require substantial investment. Consequently, BHP should integrate </w:t>
      </w:r>
      <w:r w:rsidRPr="00862389">
        <w:rPr>
          <w:rStyle w:val="s2"/>
          <w:rFonts w:ascii="Arial" w:hAnsi="Arial" w:cs="Arial"/>
        </w:rPr>
        <w:t>regulatory compliance, technological</w:t>
      </w:r>
      <w:r w:rsidRPr="00374F4F">
        <w:rPr>
          <w:rStyle w:val="s2"/>
          <w:rFonts w:ascii="Arial" w:hAnsi="Arial" w:cs="Arial"/>
          <w:b/>
          <w:bCs/>
        </w:rPr>
        <w:t xml:space="preserve"> </w:t>
      </w:r>
      <w:r w:rsidRPr="00862389">
        <w:rPr>
          <w:rStyle w:val="s2"/>
          <w:rFonts w:ascii="Arial" w:hAnsi="Arial" w:cs="Arial"/>
        </w:rPr>
        <w:t>innovation and customer collaboration</w:t>
      </w:r>
      <w:r w:rsidRPr="00374F4F">
        <w:rPr>
          <w:rStyle w:val="s1"/>
          <w:rFonts w:ascii="Arial" w:hAnsi="Arial" w:cs="Arial"/>
        </w:rPr>
        <w:t xml:space="preserve"> to balance environmental responsibilities with long-term commercial performance (Porter and van der Linde, 1995).</w:t>
      </w:r>
    </w:p>
    <w:p w14:paraId="1F5A44EC" w14:textId="32BECF22" w:rsidR="00B715E3" w:rsidRDefault="00972566" w:rsidP="008157FC">
      <w:pPr>
        <w:pStyle w:val="p2"/>
        <w:spacing w:line="360" w:lineRule="auto"/>
        <w:rPr>
          <w:rFonts w:ascii="Arial" w:eastAsia="Times New Roman" w:hAnsi="Arial" w:cs="Arial"/>
          <w:b/>
        </w:rPr>
      </w:pPr>
      <w:r w:rsidRPr="001E4B7B">
        <w:rPr>
          <w:rFonts w:ascii="Arial" w:hAnsi="Arial" w:cs="Arial"/>
          <w:b/>
        </w:rPr>
        <w:t>1.5</w:t>
      </w:r>
      <w:r w:rsidR="007C3CFD" w:rsidRPr="001E4B7B">
        <w:t xml:space="preserve"> </w:t>
      </w:r>
      <w:r w:rsidR="00B715E3" w:rsidRPr="0090007F">
        <w:rPr>
          <w:rFonts w:ascii="Arial" w:eastAsia="Times New Roman" w:hAnsi="Arial" w:cs="Arial"/>
          <w:b/>
        </w:rPr>
        <w:t>Actor Three: Social Environment</w:t>
      </w:r>
    </w:p>
    <w:p w14:paraId="1E79471E" w14:textId="77777777" w:rsidR="0061461C" w:rsidRPr="00627CE3" w:rsidRDefault="0061461C" w:rsidP="008157FC">
      <w:pPr>
        <w:pStyle w:val="p1"/>
        <w:spacing w:line="360" w:lineRule="auto"/>
        <w:rPr>
          <w:rStyle w:val="s1"/>
          <w:rFonts w:ascii="Arial" w:hAnsi="Arial" w:cs="Arial"/>
        </w:rPr>
      </w:pPr>
      <w:r w:rsidRPr="00627CE3">
        <w:rPr>
          <w:rFonts w:ascii="Arial" w:hAnsi="Arial" w:cs="Arial"/>
        </w:rPr>
        <w:t xml:space="preserve">The </w:t>
      </w:r>
      <w:r w:rsidRPr="00A80851">
        <w:rPr>
          <w:rFonts w:ascii="Arial" w:hAnsi="Arial" w:cs="Arial"/>
          <w:b/>
          <w:bCs/>
        </w:rPr>
        <w:t>social environment</w:t>
      </w:r>
      <w:r w:rsidRPr="00627CE3">
        <w:rPr>
          <w:rFonts w:ascii="Arial" w:hAnsi="Arial" w:cs="Arial"/>
        </w:rPr>
        <w:t xml:space="preserve"> influences BHP’s marketing strategy through increasing expectations regarding </w:t>
      </w:r>
      <w:r w:rsidRPr="00A80851">
        <w:rPr>
          <w:rStyle w:val="s2"/>
          <w:rFonts w:ascii="Arial" w:hAnsi="Arial" w:cs="Arial"/>
        </w:rPr>
        <w:t>corporate social responsibility, ethical mining and Indigenous peoples’ rights</w:t>
      </w:r>
      <w:r w:rsidRPr="00A80851">
        <w:rPr>
          <w:rStyle w:val="s1"/>
          <w:rFonts w:ascii="Arial" w:hAnsi="Arial" w:cs="Arial"/>
        </w:rPr>
        <w:t>.</w:t>
      </w:r>
      <w:r w:rsidRPr="00627CE3">
        <w:rPr>
          <w:rStyle w:val="s1"/>
          <w:rFonts w:ascii="Arial" w:hAnsi="Arial" w:cs="Arial"/>
        </w:rPr>
        <w:t xml:space="preserve"> Kotler et al. (2024) emphasise that changing societal values influence organisational reputation and competitiveness.</w:t>
      </w:r>
    </w:p>
    <w:p w14:paraId="2DAA022C" w14:textId="465C333F" w:rsidR="0061461C" w:rsidRPr="00627CE3" w:rsidRDefault="0061461C" w:rsidP="008157FC">
      <w:pPr>
        <w:pStyle w:val="p1"/>
        <w:spacing w:line="360" w:lineRule="auto"/>
        <w:rPr>
          <w:rStyle w:val="s1"/>
          <w:rFonts w:ascii="Arial" w:hAnsi="Arial" w:cs="Arial"/>
        </w:rPr>
      </w:pPr>
      <w:r w:rsidRPr="00627CE3">
        <w:rPr>
          <w:rFonts w:ascii="Arial" w:hAnsi="Arial" w:cs="Arial"/>
        </w:rPr>
        <w:t xml:space="preserve">BHP (2025) highlights its engagement with Indigenous communities and commitment to </w:t>
      </w:r>
      <w:r w:rsidRPr="00F8043A">
        <w:rPr>
          <w:rStyle w:val="s2"/>
          <w:rFonts w:ascii="Arial" w:hAnsi="Arial" w:cs="Arial"/>
        </w:rPr>
        <w:t>cultural heritage protection and stakeholder relationships</w:t>
      </w:r>
      <w:r w:rsidRPr="00F8043A">
        <w:rPr>
          <w:rStyle w:val="s1"/>
          <w:rFonts w:ascii="Arial" w:hAnsi="Arial" w:cs="Arial"/>
        </w:rPr>
        <w:t>.</w:t>
      </w:r>
      <w:r w:rsidRPr="00627CE3">
        <w:rPr>
          <w:rStyle w:val="s1"/>
          <w:rFonts w:ascii="Arial" w:hAnsi="Arial" w:cs="Arial"/>
        </w:rPr>
        <w:t xml:space="preserve"> BHP continued negotiating agreements with Traditional Owners in Australia to strengthen cultural heritage management and community partnerships.</w:t>
      </w:r>
    </w:p>
    <w:p w14:paraId="6E221544" w14:textId="77777777" w:rsidR="0061461C" w:rsidRPr="00627CE3" w:rsidRDefault="0061461C" w:rsidP="008157FC">
      <w:pPr>
        <w:pStyle w:val="p1"/>
        <w:spacing w:line="360" w:lineRule="auto"/>
        <w:rPr>
          <w:rStyle w:val="s1"/>
          <w:rFonts w:ascii="Arial" w:hAnsi="Arial" w:cs="Arial"/>
        </w:rPr>
      </w:pPr>
      <w:r w:rsidRPr="00627CE3">
        <w:rPr>
          <w:rFonts w:ascii="Arial" w:hAnsi="Arial" w:cs="Arial"/>
        </w:rPr>
        <w:t xml:space="preserve">The </w:t>
      </w:r>
      <w:r w:rsidRPr="00862389">
        <w:rPr>
          <w:rStyle w:val="s2"/>
          <w:rFonts w:ascii="Arial" w:hAnsi="Arial" w:cs="Arial"/>
        </w:rPr>
        <w:t>2020 destruction of Aboriginal cultural heritage sites at Juukan Gorge by</w:t>
      </w:r>
      <w:r w:rsidRPr="00627CE3">
        <w:rPr>
          <w:rStyle w:val="s2"/>
          <w:rFonts w:ascii="Arial" w:hAnsi="Arial" w:cs="Arial"/>
          <w:b/>
          <w:bCs/>
        </w:rPr>
        <w:t xml:space="preserve"> </w:t>
      </w:r>
      <w:r w:rsidRPr="00862389">
        <w:rPr>
          <w:rStyle w:val="s2"/>
          <w:rFonts w:ascii="Arial" w:hAnsi="Arial" w:cs="Arial"/>
        </w:rPr>
        <w:t>Rio Tinto, rather than BHP</w:t>
      </w:r>
      <w:r w:rsidRPr="00862389">
        <w:rPr>
          <w:rStyle w:val="s1"/>
          <w:rFonts w:ascii="Arial" w:hAnsi="Arial" w:cs="Arial"/>
        </w:rPr>
        <w:t>,</w:t>
      </w:r>
      <w:r w:rsidRPr="00627CE3">
        <w:rPr>
          <w:rStyle w:val="s1"/>
          <w:rFonts w:ascii="Arial" w:hAnsi="Arial" w:cs="Arial"/>
        </w:rPr>
        <w:t xml:space="preserve"> demonstrates the mining industry’s reputational risks and the importance of cultural heritage governance (Rio Tinto, 2020).</w:t>
      </w:r>
    </w:p>
    <w:p w14:paraId="2C96D641" w14:textId="77777777" w:rsidR="0061461C" w:rsidRPr="00627CE3" w:rsidRDefault="0061461C" w:rsidP="008157FC">
      <w:pPr>
        <w:pStyle w:val="p1"/>
        <w:spacing w:line="360" w:lineRule="auto"/>
        <w:rPr>
          <w:rStyle w:val="s1"/>
          <w:rFonts w:ascii="Arial" w:hAnsi="Arial" w:cs="Arial"/>
        </w:rPr>
      </w:pPr>
      <w:r w:rsidRPr="00627CE3">
        <w:rPr>
          <w:rFonts w:ascii="Arial" w:hAnsi="Arial" w:cs="Arial"/>
        </w:rPr>
        <w:t xml:space="preserve">However, </w:t>
      </w:r>
      <w:r w:rsidRPr="00D8756B">
        <w:rPr>
          <w:rStyle w:val="s2"/>
          <w:rFonts w:ascii="Arial" w:hAnsi="Arial" w:cs="Arial"/>
        </w:rPr>
        <w:t>corporate social responsibility initiatives do not automatically</w:t>
      </w:r>
      <w:r w:rsidRPr="00627CE3">
        <w:rPr>
          <w:rStyle w:val="s2"/>
          <w:rFonts w:ascii="Arial" w:hAnsi="Arial" w:cs="Arial"/>
          <w:b/>
          <w:bCs/>
        </w:rPr>
        <w:t xml:space="preserve"> </w:t>
      </w:r>
      <w:r w:rsidRPr="00D8756B">
        <w:rPr>
          <w:rStyle w:val="s2"/>
          <w:rFonts w:ascii="Arial" w:hAnsi="Arial" w:cs="Arial"/>
        </w:rPr>
        <w:t>establish stakeholder trust</w:t>
      </w:r>
      <w:r w:rsidRPr="00D8756B">
        <w:rPr>
          <w:rStyle w:val="s1"/>
          <w:rFonts w:ascii="Arial" w:hAnsi="Arial" w:cs="Arial"/>
        </w:rPr>
        <w:t>.</w:t>
      </w:r>
      <w:r w:rsidRPr="00627CE3">
        <w:rPr>
          <w:rStyle w:val="s1"/>
          <w:rFonts w:ascii="Arial" w:hAnsi="Arial" w:cs="Arial"/>
        </w:rPr>
        <w:t xml:space="preserve"> Peattie and Belz (2010) argue that sustainable marketing requires genuine environmental and social value rather than promotional claims.</w:t>
      </w:r>
    </w:p>
    <w:p w14:paraId="7D753236" w14:textId="42D91E4F" w:rsidR="00E15DB7" w:rsidRPr="00222531" w:rsidRDefault="0061461C" w:rsidP="008157FC">
      <w:pPr>
        <w:pStyle w:val="p2"/>
        <w:spacing w:line="360" w:lineRule="auto"/>
        <w:rPr>
          <w:rFonts w:ascii="Arial" w:hAnsi="Arial" w:cs="Arial"/>
        </w:rPr>
      </w:pPr>
      <w:r w:rsidRPr="00627CE3">
        <w:rPr>
          <w:rFonts w:ascii="Arial" w:hAnsi="Arial" w:cs="Arial"/>
        </w:rPr>
        <w:t xml:space="preserve">Consequently, BHP should prioritise </w:t>
      </w:r>
      <w:r w:rsidRPr="00D8756B">
        <w:rPr>
          <w:rStyle w:val="s2"/>
          <w:rFonts w:ascii="Arial" w:hAnsi="Arial" w:cs="Arial"/>
        </w:rPr>
        <w:t>meaningful community consultation,</w:t>
      </w:r>
      <w:r w:rsidRPr="00627CE3">
        <w:rPr>
          <w:rStyle w:val="s2"/>
          <w:rFonts w:ascii="Arial" w:hAnsi="Arial" w:cs="Arial"/>
          <w:b/>
          <w:bCs/>
        </w:rPr>
        <w:t xml:space="preserve"> </w:t>
      </w:r>
      <w:r w:rsidRPr="00D8756B">
        <w:rPr>
          <w:rStyle w:val="s2"/>
          <w:rFonts w:ascii="Arial" w:hAnsi="Arial" w:cs="Arial"/>
        </w:rPr>
        <w:t>Indigenous cultural heritage protection and transparent reporting</w:t>
      </w:r>
      <w:r w:rsidRPr="00627CE3">
        <w:rPr>
          <w:rStyle w:val="s2"/>
          <w:rFonts w:ascii="Arial" w:hAnsi="Arial" w:cs="Arial"/>
          <w:b/>
          <w:bCs/>
        </w:rPr>
        <w:t xml:space="preserve"> </w:t>
      </w:r>
      <w:r w:rsidRPr="00D8756B">
        <w:rPr>
          <w:rStyle w:val="s2"/>
          <w:rFonts w:ascii="Arial" w:hAnsi="Arial" w:cs="Arial"/>
        </w:rPr>
        <w:t>of measurable social</w:t>
      </w:r>
      <w:r w:rsidRPr="00627CE3">
        <w:rPr>
          <w:rStyle w:val="s2"/>
          <w:rFonts w:ascii="Arial" w:hAnsi="Arial" w:cs="Arial"/>
          <w:b/>
          <w:bCs/>
        </w:rPr>
        <w:t xml:space="preserve"> </w:t>
      </w:r>
      <w:r w:rsidRPr="00D8756B">
        <w:rPr>
          <w:rStyle w:val="s2"/>
          <w:rFonts w:ascii="Arial" w:hAnsi="Arial" w:cs="Arial"/>
        </w:rPr>
        <w:t>outcomes</w:t>
      </w:r>
      <w:r w:rsidRPr="00D8756B">
        <w:rPr>
          <w:rStyle w:val="s1"/>
          <w:rFonts w:ascii="Arial" w:hAnsi="Arial" w:cs="Arial"/>
        </w:rPr>
        <w:t xml:space="preserve"> </w:t>
      </w:r>
      <w:r w:rsidRPr="00627CE3">
        <w:rPr>
          <w:rStyle w:val="s1"/>
          <w:rFonts w:ascii="Arial" w:hAnsi="Arial" w:cs="Arial"/>
        </w:rPr>
        <w:t xml:space="preserve">to maintain its </w:t>
      </w:r>
      <w:r w:rsidRPr="00D8756B">
        <w:rPr>
          <w:rStyle w:val="s2"/>
          <w:rFonts w:ascii="Arial" w:hAnsi="Arial" w:cs="Arial"/>
        </w:rPr>
        <w:t>social licence to operate and long-term competitive</w:t>
      </w:r>
      <w:r w:rsidRPr="00627CE3">
        <w:rPr>
          <w:rStyle w:val="s2"/>
          <w:rFonts w:ascii="Arial" w:hAnsi="Arial" w:cs="Arial"/>
          <w:b/>
          <w:bCs/>
        </w:rPr>
        <w:t xml:space="preserve"> </w:t>
      </w:r>
      <w:r w:rsidRPr="00D8756B">
        <w:rPr>
          <w:rStyle w:val="s2"/>
          <w:rFonts w:ascii="Arial" w:hAnsi="Arial" w:cs="Arial"/>
        </w:rPr>
        <w:t>advantage</w:t>
      </w:r>
      <w:r w:rsidRPr="00D8756B">
        <w:rPr>
          <w:rStyle w:val="s1"/>
          <w:rFonts w:ascii="Arial" w:hAnsi="Arial" w:cs="Arial"/>
        </w:rPr>
        <w:t xml:space="preserve"> </w:t>
      </w:r>
      <w:r w:rsidRPr="00627CE3">
        <w:rPr>
          <w:rStyle w:val="s1"/>
          <w:rFonts w:ascii="Arial" w:hAnsi="Arial" w:cs="Arial"/>
        </w:rPr>
        <w:t>(BHP, 2025; Peattie and Belz, 2010).</w:t>
      </w:r>
    </w:p>
    <w:p w14:paraId="240D7DE7" w14:textId="63FF970F" w:rsidR="00036232" w:rsidRDefault="00036232" w:rsidP="008157FC">
      <w:pPr>
        <w:pStyle w:val="Heading3"/>
        <w:spacing w:line="360" w:lineRule="auto"/>
        <w:rPr>
          <w:rFonts w:eastAsia="Times New Roman"/>
        </w:rPr>
      </w:pPr>
      <w:bookmarkStart w:id="23" w:name="_Toc243240444"/>
      <w:bookmarkStart w:id="24" w:name="_Toc243341317"/>
      <w:r w:rsidRPr="00F26E98">
        <w:rPr>
          <w:rFonts w:eastAsia="Times New Roman"/>
        </w:rPr>
        <w:t>1.6 Task 1: Overall  Evaluation</w:t>
      </w:r>
      <w:bookmarkEnd w:id="23"/>
      <w:r w:rsidR="00AF457E">
        <w:rPr>
          <w:rFonts w:eastAsia="Times New Roman"/>
        </w:rPr>
        <w:t xml:space="preserve"> and S</w:t>
      </w:r>
      <w:r w:rsidR="00CC2154">
        <w:rPr>
          <w:rFonts w:eastAsia="Times New Roman"/>
        </w:rPr>
        <w:t>trategic Implications</w:t>
      </w:r>
      <w:bookmarkEnd w:id="24"/>
    </w:p>
    <w:p w14:paraId="3FF4EF92" w14:textId="792DFF14" w:rsidR="007A360D" w:rsidRPr="00932596" w:rsidRDefault="007A360D" w:rsidP="008157FC">
      <w:pPr>
        <w:pStyle w:val="p1"/>
        <w:spacing w:line="360" w:lineRule="auto"/>
        <w:rPr>
          <w:rStyle w:val="s1"/>
          <w:rFonts w:ascii="Arial" w:hAnsi="Arial" w:cs="Arial"/>
        </w:rPr>
      </w:pPr>
      <w:r w:rsidRPr="00932596">
        <w:rPr>
          <w:rFonts w:ascii="Arial" w:hAnsi="Arial" w:cs="Arial"/>
        </w:rPr>
        <w:t xml:space="preserve">BHP’s transition towards lower-carbon operations is influenced </w:t>
      </w:r>
      <w:r w:rsidRPr="00862389">
        <w:rPr>
          <w:rFonts w:ascii="Arial" w:hAnsi="Arial" w:cs="Arial"/>
        </w:rPr>
        <w:t xml:space="preserve">by </w:t>
      </w:r>
      <w:r w:rsidRPr="00862389">
        <w:rPr>
          <w:rStyle w:val="s2"/>
          <w:rFonts w:ascii="Arial" w:hAnsi="Arial" w:cs="Arial"/>
        </w:rPr>
        <w:t>interconnected</w:t>
      </w:r>
      <w:r w:rsidRPr="00932596">
        <w:rPr>
          <w:rStyle w:val="s2"/>
          <w:rFonts w:ascii="Arial" w:hAnsi="Arial" w:cs="Arial"/>
          <w:b/>
          <w:bCs/>
        </w:rPr>
        <w:t xml:space="preserve"> </w:t>
      </w:r>
      <w:r w:rsidR="005756A0">
        <w:rPr>
          <w:rStyle w:val="s2"/>
          <w:rFonts w:ascii="Arial" w:hAnsi="Arial" w:cs="Arial"/>
          <w:b/>
          <w:bCs/>
        </w:rPr>
        <w:t>N</w:t>
      </w:r>
      <w:r w:rsidRPr="00932596">
        <w:rPr>
          <w:rStyle w:val="s2"/>
          <w:rFonts w:ascii="Arial" w:hAnsi="Arial" w:cs="Arial"/>
          <w:b/>
          <w:bCs/>
        </w:rPr>
        <w:t xml:space="preserve">atural, </w:t>
      </w:r>
      <w:r w:rsidR="005756A0">
        <w:rPr>
          <w:rStyle w:val="s2"/>
          <w:rFonts w:ascii="Arial" w:hAnsi="Arial" w:cs="Arial"/>
          <w:b/>
          <w:bCs/>
        </w:rPr>
        <w:t>P</w:t>
      </w:r>
      <w:r w:rsidRPr="00932596">
        <w:rPr>
          <w:rStyle w:val="s2"/>
          <w:rFonts w:ascii="Arial" w:hAnsi="Arial" w:cs="Arial"/>
          <w:b/>
          <w:bCs/>
        </w:rPr>
        <w:t>olitical</w:t>
      </w:r>
      <w:r w:rsidR="008D2492">
        <w:rPr>
          <w:rStyle w:val="s2"/>
          <w:rFonts w:ascii="Arial" w:hAnsi="Arial" w:cs="Arial"/>
          <w:b/>
          <w:bCs/>
        </w:rPr>
        <w:t>-</w:t>
      </w:r>
      <w:r w:rsidRPr="00932596">
        <w:rPr>
          <w:rStyle w:val="s2"/>
          <w:rFonts w:ascii="Arial" w:hAnsi="Arial" w:cs="Arial"/>
          <w:b/>
          <w:bCs/>
        </w:rPr>
        <w:t xml:space="preserve">legal, and </w:t>
      </w:r>
      <w:r w:rsidR="005756A0">
        <w:rPr>
          <w:rStyle w:val="s2"/>
          <w:rFonts w:ascii="Arial" w:hAnsi="Arial" w:cs="Arial"/>
          <w:b/>
          <w:bCs/>
        </w:rPr>
        <w:t>S</w:t>
      </w:r>
      <w:r w:rsidRPr="00932596">
        <w:rPr>
          <w:rStyle w:val="s2"/>
          <w:rFonts w:ascii="Arial" w:hAnsi="Arial" w:cs="Arial"/>
          <w:b/>
          <w:bCs/>
        </w:rPr>
        <w:t xml:space="preserve">ocial </w:t>
      </w:r>
      <w:r w:rsidR="005756A0">
        <w:rPr>
          <w:rStyle w:val="s2"/>
          <w:rFonts w:ascii="Arial" w:hAnsi="Arial" w:cs="Arial"/>
          <w:b/>
          <w:bCs/>
        </w:rPr>
        <w:t>E</w:t>
      </w:r>
      <w:r w:rsidRPr="00932596">
        <w:rPr>
          <w:rStyle w:val="s2"/>
          <w:rFonts w:ascii="Arial" w:hAnsi="Arial" w:cs="Arial"/>
          <w:b/>
          <w:bCs/>
        </w:rPr>
        <w:t>nvironmental factors</w:t>
      </w:r>
      <w:r w:rsidRPr="00932596">
        <w:rPr>
          <w:rStyle w:val="s1"/>
          <w:rFonts w:ascii="Arial" w:hAnsi="Arial" w:cs="Arial"/>
        </w:rPr>
        <w:t>. Climate change, resource scarcity and biodiversity loss create sustainability challenges, while environmental regulations influence compliance costs and investment decisions.</w:t>
      </w:r>
      <w:r w:rsidR="00A7232F">
        <w:rPr>
          <w:rStyle w:val="s1"/>
          <w:rFonts w:ascii="Arial" w:hAnsi="Arial" w:cs="Arial"/>
        </w:rPr>
        <w:t xml:space="preserve"> </w:t>
      </w:r>
      <w:r w:rsidRPr="00932596">
        <w:rPr>
          <w:rStyle w:val="s1"/>
          <w:rFonts w:ascii="Arial" w:hAnsi="Arial" w:cs="Arial"/>
        </w:rPr>
        <w:t xml:space="preserve">societal expectations concerning </w:t>
      </w:r>
      <w:r w:rsidRPr="00862389">
        <w:rPr>
          <w:rStyle w:val="s2"/>
          <w:rFonts w:ascii="Arial" w:hAnsi="Arial" w:cs="Arial"/>
        </w:rPr>
        <w:t>ethical mining, Indigenous peoples’ rights and</w:t>
      </w:r>
      <w:r w:rsidRPr="00932596">
        <w:rPr>
          <w:rStyle w:val="s2"/>
          <w:rFonts w:ascii="Arial" w:hAnsi="Arial" w:cs="Arial"/>
          <w:b/>
          <w:bCs/>
        </w:rPr>
        <w:t xml:space="preserve"> </w:t>
      </w:r>
      <w:r w:rsidRPr="00862389">
        <w:rPr>
          <w:rStyle w:val="s2"/>
          <w:rFonts w:ascii="Arial" w:hAnsi="Arial" w:cs="Arial"/>
        </w:rPr>
        <w:t>corporate social responsibility</w:t>
      </w:r>
      <w:r w:rsidRPr="00932596">
        <w:rPr>
          <w:rStyle w:val="s1"/>
          <w:rFonts w:ascii="Arial" w:hAnsi="Arial" w:cs="Arial"/>
        </w:rPr>
        <w:t xml:space="preserve"> affect stakeholder confidence and organisational reputation (Kotler et al., 2024; BHP, 2025).</w:t>
      </w:r>
    </w:p>
    <w:p w14:paraId="32978184" w14:textId="1ED1F08F" w:rsidR="007A360D" w:rsidRPr="00932596" w:rsidRDefault="007A360D" w:rsidP="008157FC">
      <w:pPr>
        <w:pStyle w:val="p1"/>
        <w:spacing w:line="360" w:lineRule="auto"/>
        <w:rPr>
          <w:rStyle w:val="s1"/>
          <w:rFonts w:ascii="Arial" w:hAnsi="Arial" w:cs="Arial"/>
        </w:rPr>
      </w:pPr>
      <w:r w:rsidRPr="00862389">
        <w:rPr>
          <w:rFonts w:ascii="Arial" w:hAnsi="Arial" w:cs="Arial"/>
        </w:rPr>
        <w:t xml:space="preserve">However, a strategic contradiction </w:t>
      </w:r>
      <w:r w:rsidR="006A7952" w:rsidRPr="00862389">
        <w:rPr>
          <w:rFonts w:ascii="Arial" w:hAnsi="Arial" w:cs="Arial"/>
        </w:rPr>
        <w:t>exists</w:t>
      </w:r>
      <w:r w:rsidRPr="00932596">
        <w:rPr>
          <w:rStyle w:val="s1"/>
          <w:rFonts w:ascii="Arial" w:hAnsi="Arial" w:cs="Arial"/>
        </w:rPr>
        <w:t xml:space="preserve"> expanding copper production supports global decarbonisation but may intensify environmental degradation, resource consumption and community concerns.</w:t>
      </w:r>
    </w:p>
    <w:p w14:paraId="2D38AF0C" w14:textId="72BE3223" w:rsidR="00B24B27" w:rsidRDefault="007A360D" w:rsidP="00B5674F">
      <w:pPr>
        <w:pStyle w:val="p2"/>
        <w:spacing w:line="360" w:lineRule="auto"/>
        <w:rPr>
          <w:rStyle w:val="s1"/>
          <w:rFonts w:ascii="Arial" w:hAnsi="Arial" w:cs="Arial"/>
        </w:rPr>
      </w:pPr>
      <w:r w:rsidRPr="00932596">
        <w:rPr>
          <w:rFonts w:ascii="Arial" w:hAnsi="Arial" w:cs="Arial"/>
        </w:rPr>
        <w:t xml:space="preserve">Consequently, BHP should pursue </w:t>
      </w:r>
      <w:r w:rsidRPr="00862389">
        <w:rPr>
          <w:rStyle w:val="s2"/>
          <w:rFonts w:ascii="Arial" w:hAnsi="Arial" w:cs="Arial"/>
        </w:rPr>
        <w:t>sustainable growth supported by measurable</w:t>
      </w:r>
      <w:r w:rsidRPr="00932596">
        <w:rPr>
          <w:rStyle w:val="s2"/>
          <w:rFonts w:ascii="Arial" w:hAnsi="Arial" w:cs="Arial"/>
          <w:b/>
          <w:bCs/>
        </w:rPr>
        <w:t xml:space="preserve"> </w:t>
      </w:r>
      <w:r w:rsidRPr="00862389">
        <w:rPr>
          <w:rStyle w:val="s2"/>
          <w:rFonts w:ascii="Arial" w:hAnsi="Arial" w:cs="Arial"/>
        </w:rPr>
        <w:t>environmental safeguards, financial viability and meaningful stakeholder</w:t>
      </w:r>
      <w:r w:rsidRPr="00932596">
        <w:rPr>
          <w:rStyle w:val="s2"/>
          <w:rFonts w:ascii="Arial" w:hAnsi="Arial" w:cs="Arial"/>
          <w:b/>
          <w:bCs/>
        </w:rPr>
        <w:t xml:space="preserve"> </w:t>
      </w:r>
      <w:r w:rsidRPr="00862389">
        <w:rPr>
          <w:rStyle w:val="s2"/>
          <w:rFonts w:ascii="Arial" w:hAnsi="Arial" w:cs="Arial"/>
        </w:rPr>
        <w:t>engagement</w:t>
      </w:r>
      <w:r w:rsidRPr="00862389">
        <w:rPr>
          <w:rStyle w:val="s1"/>
          <w:rFonts w:ascii="Arial" w:hAnsi="Arial" w:cs="Arial"/>
        </w:rPr>
        <w:t xml:space="preserve"> </w:t>
      </w:r>
      <w:r w:rsidRPr="00932596">
        <w:rPr>
          <w:rStyle w:val="s1"/>
          <w:rFonts w:ascii="Arial" w:hAnsi="Arial" w:cs="Arial"/>
        </w:rPr>
        <w:t>to strengthen competitiveness (Elkington, 1997; BHP, 2025)</w:t>
      </w:r>
    </w:p>
    <w:p w14:paraId="264384DB" w14:textId="1C3B6259" w:rsidR="00036232" w:rsidRPr="00B24B27" w:rsidRDefault="00036232" w:rsidP="00B5674F">
      <w:pPr>
        <w:pStyle w:val="Heading1"/>
        <w:spacing w:line="360" w:lineRule="auto"/>
        <w:rPr>
          <w:rFonts w:ascii="Arial" w:eastAsia="Times New Roman" w:hAnsi="Arial" w:cs="Arial"/>
          <w:sz w:val="24"/>
          <w:szCs w:val="24"/>
        </w:rPr>
      </w:pPr>
      <w:bookmarkStart w:id="25" w:name="_Toc243240445"/>
      <w:bookmarkStart w:id="26" w:name="_Toc243341318"/>
      <w:r w:rsidRPr="00B24B27">
        <w:rPr>
          <w:rFonts w:ascii="Arial" w:eastAsia="Times New Roman" w:hAnsi="Arial" w:cs="Arial"/>
          <w:sz w:val="24"/>
          <w:szCs w:val="24"/>
        </w:rPr>
        <w:t>TASK 2: STRATEGIC GROWTH AND COMPETITIVE POSITIONING</w:t>
      </w:r>
      <w:bookmarkEnd w:id="25"/>
      <w:bookmarkEnd w:id="26"/>
    </w:p>
    <w:p w14:paraId="074C8D32" w14:textId="77777777" w:rsidR="00036232" w:rsidRPr="00F26E98" w:rsidRDefault="00036232" w:rsidP="00B5674F">
      <w:pPr>
        <w:spacing w:before="100" w:beforeAutospacing="1" w:after="100" w:afterAutospacing="1" w:line="360" w:lineRule="auto"/>
        <w:outlineLvl w:val="1"/>
        <w:rPr>
          <w:rFonts w:ascii="Arial" w:eastAsia="Times New Roman" w:hAnsi="Arial" w:cs="Arial"/>
          <w:b/>
          <w:bCs/>
          <w:kern w:val="0"/>
          <w14:ligatures w14:val="none"/>
        </w:rPr>
      </w:pPr>
      <w:bookmarkStart w:id="27" w:name="_Toc243240446"/>
      <w:bookmarkStart w:id="28" w:name="_Toc243341319"/>
      <w:r w:rsidRPr="00F26E98">
        <w:rPr>
          <w:rFonts w:ascii="Arial" w:eastAsia="Times New Roman" w:hAnsi="Arial" w:cs="Arial"/>
          <w:b/>
          <w:bCs/>
          <w:kern w:val="0"/>
          <w14:ligatures w14:val="none"/>
        </w:rPr>
        <w:t>2.1 Application of Ansoff’s Growth Matrix</w:t>
      </w:r>
      <w:bookmarkEnd w:id="27"/>
      <w:bookmarkEnd w:id="28"/>
    </w:p>
    <w:p w14:paraId="1ED15D28" w14:textId="77777777" w:rsidR="00036232" w:rsidRPr="00F26E98" w:rsidRDefault="00036232" w:rsidP="00B5674F">
      <w:pPr>
        <w:spacing w:before="100" w:beforeAutospacing="1" w:after="100" w:afterAutospacing="1" w:line="360" w:lineRule="auto"/>
        <w:rPr>
          <w:rFonts w:ascii="Arial" w:hAnsi="Arial" w:cs="Arial"/>
          <w:kern w:val="0"/>
          <w14:ligatures w14:val="none"/>
        </w:rPr>
      </w:pPr>
      <w:r w:rsidRPr="00F26E98">
        <w:rPr>
          <w:rFonts w:ascii="Arial" w:hAnsi="Arial" w:cs="Arial"/>
          <w:kern w:val="0"/>
          <w14:ligatures w14:val="none"/>
        </w:rPr>
        <w:t>Ansoff’s (1957) Growth Matrix provides a framework for evaluating four strategic growth options: market penetration, market development, product development and diversification.</w:t>
      </w:r>
    </w:p>
    <w:p w14:paraId="60EF7E87" w14:textId="4980799F" w:rsidR="00036232" w:rsidRPr="00F26E98" w:rsidRDefault="00036232" w:rsidP="00B5674F">
      <w:pPr>
        <w:spacing w:before="100" w:beforeAutospacing="1" w:after="100" w:afterAutospacing="1" w:line="360" w:lineRule="auto"/>
        <w:rPr>
          <w:rFonts w:ascii="Arial" w:hAnsi="Arial" w:cs="Arial"/>
          <w:kern w:val="0"/>
          <w14:ligatures w14:val="none"/>
        </w:rPr>
      </w:pPr>
      <w:r w:rsidRPr="00F26E98">
        <w:rPr>
          <w:rFonts w:ascii="Arial" w:hAnsi="Arial" w:cs="Arial"/>
          <w:kern w:val="0"/>
          <w14:ligatures w14:val="none"/>
        </w:rPr>
        <w:t>The model is appropriate for</w:t>
      </w:r>
      <w:r w:rsidRPr="000122D7">
        <w:rPr>
          <w:rFonts w:ascii="Arial" w:hAnsi="Arial" w:cs="Arial"/>
          <w:b/>
          <w:bCs/>
          <w:kern w:val="0"/>
          <w14:ligatures w14:val="none"/>
        </w:rPr>
        <w:t xml:space="preserve"> BHP</w:t>
      </w:r>
      <w:r w:rsidRPr="00F26E98">
        <w:rPr>
          <w:rFonts w:ascii="Arial" w:hAnsi="Arial" w:cs="Arial"/>
          <w:kern w:val="0"/>
          <w14:ligatures w14:val="none"/>
        </w:rPr>
        <w:t xml:space="preserve"> because it enables management to compare growth opportunities according to existing and new products and markets.</w:t>
      </w:r>
    </w:p>
    <w:p w14:paraId="1B6DA874" w14:textId="3A26CE72" w:rsidR="00B128AE" w:rsidRDefault="00036232" w:rsidP="00B5674F">
      <w:pPr>
        <w:spacing w:before="100" w:beforeAutospacing="1" w:after="100" w:afterAutospacing="1" w:line="360" w:lineRule="auto"/>
        <w:rPr>
          <w:rFonts w:ascii="Arial" w:hAnsi="Arial" w:cs="Arial"/>
          <w:kern w:val="0"/>
          <w14:ligatures w14:val="none"/>
        </w:rPr>
      </w:pPr>
      <w:r w:rsidRPr="00F26E98">
        <w:rPr>
          <w:rFonts w:ascii="Arial" w:hAnsi="Arial" w:cs="Arial"/>
          <w:kern w:val="0"/>
          <w14:ligatures w14:val="none"/>
        </w:rPr>
        <w:t>However, the framework does not independently evaluate environmental consequences or financial feasibility.</w:t>
      </w:r>
      <w:r w:rsidR="008A06BC">
        <w:rPr>
          <w:rFonts w:ascii="Arial" w:hAnsi="Arial" w:cs="Arial"/>
          <w:kern w:val="0"/>
          <w14:ligatures w14:val="none"/>
        </w:rPr>
        <w:t xml:space="preserve"> </w:t>
      </w:r>
      <w:r w:rsidRPr="00F26E98">
        <w:rPr>
          <w:rFonts w:ascii="Arial" w:hAnsi="Arial" w:cs="Arial"/>
          <w:kern w:val="0"/>
          <w14:ligatures w14:val="none"/>
        </w:rPr>
        <w:t xml:space="preserve">Therefore, its application should be combined with </w:t>
      </w:r>
      <w:r w:rsidRPr="00862389">
        <w:rPr>
          <w:rFonts w:ascii="Arial" w:hAnsi="Arial" w:cs="Arial"/>
          <w:kern w:val="0"/>
          <w14:ligatures w14:val="none"/>
        </w:rPr>
        <w:t>sustainability</w:t>
      </w:r>
      <w:r w:rsidRPr="00F26E98">
        <w:rPr>
          <w:rFonts w:ascii="Arial" w:hAnsi="Arial" w:cs="Arial"/>
          <w:kern w:val="0"/>
          <w14:ligatures w14:val="none"/>
        </w:rPr>
        <w:t xml:space="preserve"> and </w:t>
      </w:r>
      <w:r w:rsidRPr="00862389">
        <w:rPr>
          <w:rFonts w:ascii="Arial" w:hAnsi="Arial" w:cs="Arial"/>
          <w:kern w:val="0"/>
          <w14:ligatures w14:val="none"/>
        </w:rPr>
        <w:t>competitive analysis.</w:t>
      </w:r>
      <w:r w:rsidR="00C108CC">
        <w:rPr>
          <w:rFonts w:ascii="Arial" w:hAnsi="Arial" w:cs="Arial"/>
          <w:kern w:val="0"/>
          <w14:ligatures w14:val="none"/>
        </w:rPr>
        <w:t xml:space="preserve"> </w:t>
      </w:r>
    </w:p>
    <w:p w14:paraId="689CEC2B" w14:textId="0641E486" w:rsidR="00036232" w:rsidRPr="00C108CC" w:rsidRDefault="00885DED" w:rsidP="008157FC">
      <w:pPr>
        <w:spacing w:before="100" w:beforeAutospacing="1" w:after="100" w:afterAutospacing="1" w:line="360" w:lineRule="auto"/>
        <w:rPr>
          <w:rFonts w:ascii="Arial" w:hAnsi="Arial" w:cs="Arial"/>
          <w:kern w:val="0"/>
          <w14:ligatures w14:val="none"/>
        </w:rPr>
      </w:pPr>
      <w:r>
        <w:rPr>
          <w:noProof/>
        </w:rPr>
        <w:drawing>
          <wp:anchor distT="0" distB="0" distL="114300" distR="114300" simplePos="0" relativeHeight="251658240" behindDoc="0" locked="0" layoutInCell="1" allowOverlap="1" wp14:anchorId="3641E0BB" wp14:editId="12E1EC07">
            <wp:simplePos x="0" y="0"/>
            <wp:positionH relativeFrom="margin">
              <wp:posOffset>-681355</wp:posOffset>
            </wp:positionH>
            <wp:positionV relativeFrom="paragraph">
              <wp:posOffset>349885</wp:posOffset>
            </wp:positionV>
            <wp:extent cx="7162800" cy="3568700"/>
            <wp:effectExtent l="0" t="0" r="0" b="0"/>
            <wp:wrapTopAndBottom/>
            <wp:docPr id="65330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30675" name=""/>
                    <pic:cNvPicPr/>
                  </pic:nvPicPr>
                  <pic:blipFill>
                    <a:blip r:embed="rId13"/>
                    <a:stretch>
                      <a:fillRect/>
                    </a:stretch>
                  </pic:blipFill>
                  <pic:spPr>
                    <a:xfrm>
                      <a:off x="0" y="0"/>
                      <a:ext cx="7162800" cy="3568700"/>
                    </a:xfrm>
                    <a:prstGeom prst="rect">
                      <a:avLst/>
                    </a:prstGeom>
                  </pic:spPr>
                </pic:pic>
              </a:graphicData>
            </a:graphic>
            <wp14:sizeRelH relativeFrom="margin">
              <wp14:pctWidth>0</wp14:pctWidth>
            </wp14:sizeRelH>
            <wp14:sizeRelV relativeFrom="margin">
              <wp14:pctHeight>0</wp14:pctHeight>
            </wp14:sizeRelV>
          </wp:anchor>
        </w:drawing>
      </w:r>
      <w:r w:rsidR="006D2D24">
        <w:rPr>
          <w:rFonts w:ascii="Arial" w:eastAsia="Times New Roman" w:hAnsi="Arial" w:cs="Arial"/>
          <w:b/>
          <w:bCs/>
          <w:kern w:val="0"/>
          <w14:ligatures w14:val="none"/>
        </w:rPr>
        <w:t xml:space="preserve">TABLE </w:t>
      </w:r>
      <w:r w:rsidR="00485ABA">
        <w:rPr>
          <w:rFonts w:ascii="Arial" w:eastAsia="Times New Roman" w:hAnsi="Arial" w:cs="Arial"/>
          <w:b/>
          <w:bCs/>
          <w:kern w:val="0"/>
          <w14:ligatures w14:val="none"/>
        </w:rPr>
        <w:t>4</w:t>
      </w:r>
      <w:r w:rsidR="006D2D24">
        <w:rPr>
          <w:rFonts w:ascii="Arial" w:eastAsia="Times New Roman" w:hAnsi="Arial" w:cs="Arial"/>
          <w:b/>
          <w:bCs/>
          <w:kern w:val="0"/>
          <w14:ligatures w14:val="none"/>
        </w:rPr>
        <w:t>.</w:t>
      </w:r>
      <w:r w:rsidR="00036232" w:rsidRPr="00F26E98">
        <w:rPr>
          <w:rFonts w:ascii="Arial" w:eastAsia="Times New Roman" w:hAnsi="Arial" w:cs="Arial"/>
          <w:b/>
          <w:bCs/>
          <w:kern w:val="0"/>
          <w14:ligatures w14:val="none"/>
        </w:rPr>
        <w:t xml:space="preserve"> Ansoff Matrix Applied to BHP Group</w:t>
      </w:r>
    </w:p>
    <w:p w14:paraId="08A1DB00" w14:textId="77777777" w:rsidR="00173031" w:rsidRPr="00BE64D5" w:rsidRDefault="00173031" w:rsidP="008157FC">
      <w:pPr>
        <w:spacing w:before="100" w:beforeAutospacing="1" w:after="100" w:afterAutospacing="1" w:line="360" w:lineRule="auto"/>
        <w:rPr>
          <w:rFonts w:ascii="Arial" w:hAnsi="Arial" w:cs="Arial"/>
          <w:b/>
          <w:bCs/>
          <w:kern w:val="0"/>
          <w14:ligatures w14:val="none"/>
        </w:rPr>
      </w:pPr>
      <w:r w:rsidRPr="00BE64D5">
        <w:rPr>
          <w:rFonts w:ascii="Arial" w:hAnsi="Arial" w:cs="Arial"/>
          <w:b/>
          <w:bCs/>
          <w:i/>
          <w:iCs/>
          <w:kern w:val="0"/>
          <w14:ligatures w14:val="none"/>
        </w:rPr>
        <w:t>Source: Adapted from Ansoff (1957), BHP (2024) and IEA (2025).</w:t>
      </w:r>
    </w:p>
    <w:p w14:paraId="445B4925" w14:textId="68D377D7" w:rsidR="00173031" w:rsidRDefault="00173031" w:rsidP="008157FC">
      <w:pPr>
        <w:spacing w:before="100" w:beforeAutospacing="1" w:after="100" w:afterAutospacing="1" w:line="360" w:lineRule="auto"/>
        <w:outlineLvl w:val="1"/>
        <w:rPr>
          <w:rFonts w:ascii="Arial" w:eastAsia="Times New Roman" w:hAnsi="Arial" w:cs="Arial"/>
          <w:b/>
          <w:bCs/>
          <w:kern w:val="0"/>
          <w14:ligatures w14:val="none"/>
        </w:rPr>
      </w:pPr>
      <w:bookmarkStart w:id="29" w:name="_Toc243240447"/>
      <w:bookmarkStart w:id="30" w:name="_Toc243341320"/>
      <w:r w:rsidRPr="00F26E98">
        <w:rPr>
          <w:rFonts w:ascii="Arial" w:eastAsia="Times New Roman" w:hAnsi="Arial" w:cs="Arial"/>
          <w:b/>
          <w:bCs/>
          <w:kern w:val="0"/>
          <w14:ligatures w14:val="none"/>
        </w:rPr>
        <w:t xml:space="preserve">2.2 Recommended Strategy: Market Penetration </w:t>
      </w:r>
      <w:r w:rsidRPr="00C2131C">
        <w:rPr>
          <w:rFonts w:ascii="Arial" w:eastAsia="Times New Roman" w:hAnsi="Arial" w:cs="Arial"/>
          <w:kern w:val="0"/>
          <w14:ligatures w14:val="none"/>
        </w:rPr>
        <w:t>and</w:t>
      </w:r>
      <w:r w:rsidRPr="00F26E98">
        <w:rPr>
          <w:rFonts w:ascii="Arial" w:eastAsia="Times New Roman" w:hAnsi="Arial" w:cs="Arial"/>
          <w:b/>
          <w:bCs/>
          <w:kern w:val="0"/>
          <w14:ligatures w14:val="none"/>
        </w:rPr>
        <w:t xml:space="preserve"> Product Development</w:t>
      </w:r>
      <w:bookmarkEnd w:id="29"/>
      <w:bookmarkEnd w:id="30"/>
    </w:p>
    <w:p w14:paraId="19C30341" w14:textId="4F2FD74E" w:rsidR="00A2217B" w:rsidRPr="00CF3BAB" w:rsidRDefault="00A2217B" w:rsidP="008157FC">
      <w:pPr>
        <w:pStyle w:val="p1"/>
        <w:spacing w:line="360" w:lineRule="auto"/>
        <w:rPr>
          <w:rFonts w:ascii="Arial" w:hAnsi="Arial" w:cs="Arial"/>
        </w:rPr>
      </w:pPr>
      <w:r w:rsidRPr="00CF3BAB">
        <w:rPr>
          <w:rFonts w:ascii="Arial" w:hAnsi="Arial" w:cs="Arial"/>
        </w:rPr>
        <w:t xml:space="preserve">The recommended strategy is </w:t>
      </w:r>
      <w:r w:rsidRPr="001B00FA">
        <w:rPr>
          <w:rFonts w:ascii="Arial" w:hAnsi="Arial" w:cs="Arial"/>
          <w:b/>
          <w:bCs/>
        </w:rPr>
        <w:t xml:space="preserve">market penetration </w:t>
      </w:r>
      <w:r w:rsidRPr="00CF3BAB">
        <w:rPr>
          <w:rFonts w:ascii="Arial" w:hAnsi="Arial" w:cs="Arial"/>
        </w:rPr>
        <w:t xml:space="preserve">supported by selective </w:t>
      </w:r>
      <w:r w:rsidRPr="001B00FA">
        <w:rPr>
          <w:rFonts w:ascii="Arial" w:hAnsi="Arial" w:cs="Arial"/>
          <w:b/>
          <w:bCs/>
        </w:rPr>
        <w:t>product development</w:t>
      </w:r>
      <w:r w:rsidRPr="00CF3BAB">
        <w:rPr>
          <w:rFonts w:ascii="Arial" w:hAnsi="Arial" w:cs="Arial"/>
        </w:rPr>
        <w:t xml:space="preserve">. According to </w:t>
      </w:r>
      <w:r w:rsidRPr="00CF3BAB">
        <w:rPr>
          <w:rFonts w:ascii="Arial" w:hAnsi="Arial" w:cs="Arial"/>
          <w:b/>
          <w:bCs/>
        </w:rPr>
        <w:t>Ansoff (1957)</w:t>
      </w:r>
      <w:r w:rsidRPr="00CF3BAB">
        <w:rPr>
          <w:rFonts w:ascii="Arial" w:hAnsi="Arial" w:cs="Arial"/>
        </w:rPr>
        <w:t>, market penetration involves increasing sales of existing products within established markets, while product development focuses on introducing new or improved offerings to existing customers</w:t>
      </w:r>
      <w:r w:rsidRPr="00E22307">
        <w:rPr>
          <w:rFonts w:ascii="Arial" w:hAnsi="Arial" w:cs="Arial"/>
          <w:b/>
          <w:bCs/>
        </w:rPr>
        <w:t>. Market</w:t>
      </w:r>
      <w:r w:rsidRPr="00CF3BAB">
        <w:rPr>
          <w:rFonts w:ascii="Arial" w:hAnsi="Arial" w:cs="Arial"/>
        </w:rPr>
        <w:t xml:space="preserve"> </w:t>
      </w:r>
      <w:r w:rsidRPr="00E22307">
        <w:rPr>
          <w:rFonts w:ascii="Arial" w:hAnsi="Arial" w:cs="Arial"/>
          <w:b/>
          <w:bCs/>
        </w:rPr>
        <w:t xml:space="preserve">penetration </w:t>
      </w:r>
      <w:r w:rsidRPr="00CF3BAB">
        <w:rPr>
          <w:rFonts w:ascii="Arial" w:hAnsi="Arial" w:cs="Arial"/>
        </w:rPr>
        <w:t xml:space="preserve">has been prioritised because BHP already possesses established mining operations, technical expertise and international customer relationships (BHP, 2025). </w:t>
      </w:r>
      <w:r w:rsidRPr="008B6CBA">
        <w:rPr>
          <w:rFonts w:ascii="Arial" w:hAnsi="Arial" w:cs="Arial"/>
          <w:b/>
          <w:bCs/>
        </w:rPr>
        <w:t>For example</w:t>
      </w:r>
      <w:r w:rsidRPr="00CF3BAB">
        <w:rPr>
          <w:rFonts w:ascii="Arial" w:hAnsi="Arial" w:cs="Arial"/>
        </w:rPr>
        <w:t>, BHP achieved record copper production of 2.02 million tonnes in</w:t>
      </w:r>
      <w:r w:rsidR="00B1322C">
        <w:rPr>
          <w:rFonts w:ascii="Arial" w:hAnsi="Arial" w:cs="Arial"/>
        </w:rPr>
        <w:t xml:space="preserve"> financial year </w:t>
      </w:r>
      <w:r w:rsidR="008A166C" w:rsidRPr="008A166C">
        <w:rPr>
          <w:rFonts w:ascii="Arial" w:hAnsi="Arial" w:cs="Arial"/>
          <w:b/>
          <w:bCs/>
        </w:rPr>
        <w:t>(</w:t>
      </w:r>
      <w:r w:rsidRPr="008A166C">
        <w:rPr>
          <w:rFonts w:ascii="Arial" w:hAnsi="Arial" w:cs="Arial"/>
          <w:b/>
          <w:bCs/>
        </w:rPr>
        <w:t>FY2025</w:t>
      </w:r>
      <w:r w:rsidR="00B1322C" w:rsidRPr="008A166C">
        <w:rPr>
          <w:rFonts w:ascii="Arial" w:hAnsi="Arial" w:cs="Arial"/>
          <w:b/>
          <w:bCs/>
        </w:rPr>
        <w:t>)</w:t>
      </w:r>
      <w:r w:rsidRPr="008A166C">
        <w:rPr>
          <w:rFonts w:ascii="Arial" w:hAnsi="Arial" w:cs="Arial"/>
        </w:rPr>
        <w:t>,</w:t>
      </w:r>
      <w:r w:rsidRPr="00CF3BAB">
        <w:rPr>
          <w:rFonts w:ascii="Arial" w:hAnsi="Arial" w:cs="Arial"/>
        </w:rPr>
        <w:t xml:space="preserve"> representing an 8% increase compared with</w:t>
      </w:r>
      <w:r w:rsidR="00264FB4">
        <w:rPr>
          <w:rFonts w:ascii="Arial" w:hAnsi="Arial" w:cs="Arial"/>
        </w:rPr>
        <w:t xml:space="preserve"> </w:t>
      </w:r>
      <w:r w:rsidR="00490A97">
        <w:rPr>
          <w:rFonts w:ascii="Arial" w:hAnsi="Arial" w:cs="Arial"/>
        </w:rPr>
        <w:t>financial</w:t>
      </w:r>
      <w:r w:rsidR="00264FB4">
        <w:rPr>
          <w:rFonts w:ascii="Arial" w:hAnsi="Arial" w:cs="Arial"/>
        </w:rPr>
        <w:t xml:space="preserve"> year</w:t>
      </w:r>
      <w:r w:rsidRPr="00CF3BAB">
        <w:rPr>
          <w:rFonts w:ascii="Arial" w:hAnsi="Arial" w:cs="Arial"/>
        </w:rPr>
        <w:t xml:space="preserve"> </w:t>
      </w:r>
      <w:r w:rsidR="009153DA" w:rsidRPr="008A166C">
        <w:rPr>
          <w:rFonts w:ascii="Arial" w:hAnsi="Arial" w:cs="Arial"/>
          <w:b/>
          <w:bCs/>
        </w:rPr>
        <w:t>(</w:t>
      </w:r>
      <w:r w:rsidRPr="008A166C">
        <w:rPr>
          <w:rFonts w:ascii="Arial" w:hAnsi="Arial" w:cs="Arial"/>
          <w:b/>
          <w:bCs/>
        </w:rPr>
        <w:t>FY2024</w:t>
      </w:r>
      <w:r w:rsidR="009153DA" w:rsidRPr="008A166C">
        <w:rPr>
          <w:rFonts w:ascii="Arial" w:hAnsi="Arial" w:cs="Arial"/>
          <w:b/>
          <w:bCs/>
        </w:rPr>
        <w:t>)</w:t>
      </w:r>
      <w:r w:rsidRPr="00CF3BAB">
        <w:rPr>
          <w:rFonts w:ascii="Arial" w:hAnsi="Arial" w:cs="Arial"/>
        </w:rPr>
        <w:t>, while iron ore production reached approximately 290 million tonnes (BHP, 2025). These operational capabilities provide opportunities to strengthen existing market relationships and improve competitiveness. However, market penetration alone may not address increasing environmental expectations. Therefore, selective product development through lower-emission mineral offerings and verified environmental information could strengthen BHP’s competitive differentiation and support sustainable growth (Ansoff, 1957; BHP, 2025).</w:t>
      </w:r>
    </w:p>
    <w:p w14:paraId="1096AA49" w14:textId="2A0F8524" w:rsidR="00173031" w:rsidRPr="00F26E98" w:rsidRDefault="00173031" w:rsidP="008157FC">
      <w:pPr>
        <w:spacing w:before="100" w:beforeAutospacing="1" w:after="100" w:afterAutospacing="1" w:line="360" w:lineRule="auto"/>
        <w:outlineLvl w:val="1"/>
        <w:rPr>
          <w:rFonts w:ascii="Arial" w:eastAsia="Times New Roman" w:hAnsi="Arial" w:cs="Arial"/>
          <w:b/>
          <w:bCs/>
          <w:kern w:val="0"/>
          <w14:ligatures w14:val="none"/>
        </w:rPr>
      </w:pPr>
      <w:bookmarkStart w:id="31" w:name="_Toc243240448"/>
      <w:bookmarkStart w:id="32" w:name="_Toc243341321"/>
      <w:r w:rsidRPr="00F26E98">
        <w:rPr>
          <w:rFonts w:ascii="Arial" w:eastAsia="Times New Roman" w:hAnsi="Arial" w:cs="Arial"/>
          <w:b/>
          <w:bCs/>
          <w:kern w:val="0"/>
          <w14:ligatures w14:val="none"/>
        </w:rPr>
        <w:t>2.3 Evaluation of Alternative Growth Strategies</w:t>
      </w:r>
      <w:bookmarkEnd w:id="31"/>
      <w:bookmarkEnd w:id="32"/>
    </w:p>
    <w:p w14:paraId="4858572F" w14:textId="222522C6" w:rsidR="00173031" w:rsidRPr="00F26E98" w:rsidRDefault="00173031" w:rsidP="008157FC">
      <w:pPr>
        <w:spacing w:before="100" w:beforeAutospacing="1" w:after="100" w:afterAutospacing="1" w:line="360" w:lineRule="auto"/>
        <w:rPr>
          <w:rFonts w:ascii="Arial" w:hAnsi="Arial" w:cs="Arial"/>
          <w:kern w:val="0"/>
          <w14:ligatures w14:val="none"/>
        </w:rPr>
      </w:pPr>
      <w:r w:rsidRPr="00F26E98">
        <w:rPr>
          <w:rFonts w:ascii="Arial" w:hAnsi="Arial" w:cs="Arial"/>
          <w:kern w:val="0"/>
          <w14:ligatures w14:val="none"/>
        </w:rPr>
        <w:t>Market development offers opportunities through increasing demand for copper in electricity networks, electric vehicles and renewable-energy infrastructure.</w:t>
      </w:r>
      <w:r w:rsidR="009E22EA">
        <w:rPr>
          <w:rFonts w:ascii="Arial" w:hAnsi="Arial" w:cs="Arial"/>
          <w:kern w:val="0"/>
          <w14:ligatures w14:val="none"/>
        </w:rPr>
        <w:t xml:space="preserve"> </w:t>
      </w:r>
      <w:r w:rsidRPr="00F26E98">
        <w:rPr>
          <w:rFonts w:ascii="Arial" w:hAnsi="Arial" w:cs="Arial"/>
          <w:kern w:val="0"/>
          <w14:ligatures w14:val="none"/>
        </w:rPr>
        <w:t>The IEA (2025) projects substantial growth in copper demand and identifies potential future supply constraints.</w:t>
      </w:r>
      <w:r w:rsidR="00AE2BAD">
        <w:rPr>
          <w:rFonts w:ascii="Arial" w:hAnsi="Arial" w:cs="Arial"/>
          <w:kern w:val="0"/>
          <w14:ligatures w14:val="none"/>
        </w:rPr>
        <w:t xml:space="preserve"> </w:t>
      </w:r>
      <w:r w:rsidRPr="00F26E98">
        <w:rPr>
          <w:rFonts w:ascii="Arial" w:hAnsi="Arial" w:cs="Arial"/>
          <w:kern w:val="0"/>
          <w14:ligatures w14:val="none"/>
        </w:rPr>
        <w:t>However, expanding mining production creates financial, environmental and geopolitical risks.</w:t>
      </w:r>
      <w:r w:rsidR="00AE2BAD">
        <w:rPr>
          <w:rFonts w:ascii="Arial" w:hAnsi="Arial" w:cs="Arial"/>
          <w:kern w:val="0"/>
          <w14:ligatures w14:val="none"/>
        </w:rPr>
        <w:t xml:space="preserve"> </w:t>
      </w:r>
      <w:r w:rsidRPr="00F26E98">
        <w:rPr>
          <w:rFonts w:ascii="Arial" w:hAnsi="Arial" w:cs="Arial"/>
          <w:kern w:val="0"/>
          <w14:ligatures w14:val="none"/>
        </w:rPr>
        <w:t>New projects may require substantial investment and lengthy development periods.</w:t>
      </w:r>
    </w:p>
    <w:p w14:paraId="37C9EE73" w14:textId="46F38010" w:rsidR="00CD64AA" w:rsidRDefault="00173031" w:rsidP="008157FC">
      <w:pPr>
        <w:spacing w:before="100" w:beforeAutospacing="1" w:after="100" w:afterAutospacing="1" w:line="360" w:lineRule="auto"/>
        <w:rPr>
          <w:rFonts w:ascii="Arial" w:hAnsi="Arial" w:cs="Arial"/>
          <w:kern w:val="0"/>
          <w14:ligatures w14:val="none"/>
        </w:rPr>
      </w:pPr>
      <w:r w:rsidRPr="00F26E98">
        <w:rPr>
          <w:rFonts w:ascii="Arial" w:hAnsi="Arial" w:cs="Arial"/>
          <w:kern w:val="0"/>
          <w14:ligatures w14:val="none"/>
        </w:rPr>
        <w:t xml:space="preserve">The World Bank (2020) similarly identifies the importance of minerals for clean-energy technologies while recognising the sustainability challenges associated with mineral </w:t>
      </w:r>
      <w:r w:rsidR="00AE2BAD" w:rsidRPr="00F26E98">
        <w:rPr>
          <w:rFonts w:ascii="Arial" w:hAnsi="Arial" w:cs="Arial"/>
          <w:kern w:val="0"/>
          <w14:ligatures w14:val="none"/>
        </w:rPr>
        <w:t>extraction. Diversification</w:t>
      </w:r>
      <w:r w:rsidRPr="00F26E98">
        <w:rPr>
          <w:rFonts w:ascii="Arial" w:hAnsi="Arial" w:cs="Arial"/>
          <w:kern w:val="0"/>
          <w14:ligatures w14:val="none"/>
        </w:rPr>
        <w:t xml:space="preserve"> into recycling or advanced mineral processing could provide future growth </w:t>
      </w:r>
      <w:r w:rsidR="00AE2BAD" w:rsidRPr="00F26E98">
        <w:rPr>
          <w:rFonts w:ascii="Arial" w:hAnsi="Arial" w:cs="Arial"/>
          <w:kern w:val="0"/>
          <w14:ligatures w14:val="none"/>
        </w:rPr>
        <w:t>opportunities. However</w:t>
      </w:r>
      <w:r w:rsidRPr="00F26E98">
        <w:rPr>
          <w:rFonts w:ascii="Arial" w:hAnsi="Arial" w:cs="Arial"/>
          <w:kern w:val="0"/>
          <w14:ligatures w14:val="none"/>
        </w:rPr>
        <w:t>, diversification may expose BHP to unfamiliar technologies, competitors and business models.</w:t>
      </w:r>
    </w:p>
    <w:p w14:paraId="60B9DAD6" w14:textId="5A94EE79" w:rsidR="00173031" w:rsidRPr="00F26E98" w:rsidRDefault="00173031" w:rsidP="008157FC">
      <w:pPr>
        <w:spacing w:before="100" w:beforeAutospacing="1" w:after="100" w:afterAutospacing="1" w:line="360" w:lineRule="auto"/>
        <w:rPr>
          <w:rFonts w:ascii="Arial" w:hAnsi="Arial" w:cs="Arial"/>
          <w:kern w:val="0"/>
          <w14:ligatures w14:val="none"/>
        </w:rPr>
      </w:pPr>
      <w:r w:rsidRPr="00F26E98">
        <w:rPr>
          <w:rFonts w:ascii="Arial" w:hAnsi="Arial" w:cs="Arial"/>
          <w:kern w:val="0"/>
          <w14:ligatures w14:val="none"/>
        </w:rPr>
        <w:t xml:space="preserve">Ansoff (1957) indicates that entering new markets with new products generally involves greater </w:t>
      </w:r>
      <w:r w:rsidR="00B262CD" w:rsidRPr="00F26E98">
        <w:rPr>
          <w:rFonts w:ascii="Arial" w:hAnsi="Arial" w:cs="Arial"/>
          <w:kern w:val="0"/>
          <w14:ligatures w14:val="none"/>
        </w:rPr>
        <w:t>uncertainty. Therefore</w:t>
      </w:r>
      <w:r w:rsidRPr="00F26E98">
        <w:rPr>
          <w:rFonts w:ascii="Arial" w:hAnsi="Arial" w:cs="Arial"/>
          <w:kern w:val="0"/>
          <w14:ligatures w14:val="none"/>
        </w:rPr>
        <w:t>, diversification should remain a selective longer-term option rather than the primary growth recommendation.</w:t>
      </w:r>
    </w:p>
    <w:p w14:paraId="550D2932" w14:textId="77777777" w:rsidR="00173031" w:rsidRDefault="00173031" w:rsidP="008157FC">
      <w:pPr>
        <w:spacing w:before="100" w:beforeAutospacing="1" w:after="100" w:afterAutospacing="1" w:line="360" w:lineRule="auto"/>
        <w:outlineLvl w:val="1"/>
        <w:rPr>
          <w:rFonts w:ascii="Arial" w:eastAsia="Times New Roman" w:hAnsi="Arial" w:cs="Arial"/>
          <w:b/>
          <w:bCs/>
          <w:kern w:val="0"/>
          <w14:ligatures w14:val="none"/>
        </w:rPr>
      </w:pPr>
      <w:bookmarkStart w:id="33" w:name="_Toc243240449"/>
      <w:bookmarkStart w:id="34" w:name="_Toc243341322"/>
      <w:r w:rsidRPr="00F26E98">
        <w:rPr>
          <w:rFonts w:ascii="Arial" w:eastAsia="Times New Roman" w:hAnsi="Arial" w:cs="Arial"/>
          <w:b/>
          <w:bCs/>
          <w:kern w:val="0"/>
          <w14:ligatures w14:val="none"/>
        </w:rPr>
        <w:t>2.4 Competitive Advantage: Porter’s Generic Strategies</w:t>
      </w:r>
      <w:bookmarkEnd w:id="33"/>
      <w:bookmarkEnd w:id="34"/>
    </w:p>
    <w:p w14:paraId="660C1E0E" w14:textId="013C7F5E" w:rsidR="007510E1" w:rsidRDefault="007510E1" w:rsidP="007510E1">
      <w:pPr>
        <w:spacing w:before="100" w:beforeAutospacing="1" w:after="100" w:afterAutospacing="1" w:line="360" w:lineRule="auto"/>
        <w:outlineLvl w:val="1"/>
        <w:rPr>
          <w:rFonts w:ascii="Arial" w:eastAsia="Times New Roman" w:hAnsi="Arial" w:cs="Arial"/>
          <w:b/>
          <w:bCs/>
          <w:kern w:val="0"/>
          <w14:ligatures w14:val="none"/>
        </w:rPr>
      </w:pPr>
      <w:bookmarkStart w:id="35" w:name="_Toc243240450"/>
      <w:bookmarkStart w:id="36" w:name="_Toc243341323"/>
      <w:r>
        <w:rPr>
          <w:noProof/>
        </w:rPr>
        <w:drawing>
          <wp:anchor distT="0" distB="0" distL="114300" distR="114300" simplePos="0" relativeHeight="251658244" behindDoc="0" locked="0" layoutInCell="1" allowOverlap="1" wp14:anchorId="2EC4C674" wp14:editId="56BD734B">
            <wp:simplePos x="0" y="0"/>
            <wp:positionH relativeFrom="margin">
              <wp:posOffset>-847725</wp:posOffset>
            </wp:positionH>
            <wp:positionV relativeFrom="paragraph">
              <wp:posOffset>382270</wp:posOffset>
            </wp:positionV>
            <wp:extent cx="7419975" cy="3371850"/>
            <wp:effectExtent l="0" t="0" r="9525" b="0"/>
            <wp:wrapTopAndBottom/>
            <wp:docPr id="308326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326673" name=""/>
                    <pic:cNvPicPr/>
                  </pic:nvPicPr>
                  <pic:blipFill>
                    <a:blip r:embed="rId14"/>
                    <a:stretch>
                      <a:fillRect/>
                    </a:stretch>
                  </pic:blipFill>
                  <pic:spPr>
                    <a:xfrm>
                      <a:off x="0" y="0"/>
                      <a:ext cx="7419975" cy="3371850"/>
                    </a:xfrm>
                    <a:prstGeom prst="rect">
                      <a:avLst/>
                    </a:prstGeom>
                  </pic:spPr>
                </pic:pic>
              </a:graphicData>
            </a:graphic>
            <wp14:sizeRelH relativeFrom="margin">
              <wp14:pctWidth>0</wp14:pctWidth>
            </wp14:sizeRelH>
            <wp14:sizeRelV relativeFrom="margin">
              <wp14:pctHeight>0</wp14:pctHeight>
            </wp14:sizeRelV>
          </wp:anchor>
        </w:drawing>
      </w:r>
      <w:r w:rsidR="004D3353">
        <w:rPr>
          <w:rFonts w:ascii="Arial" w:eastAsia="Times New Roman" w:hAnsi="Arial" w:cs="Arial"/>
          <w:b/>
          <w:bCs/>
          <w:kern w:val="0"/>
          <w14:ligatures w14:val="none"/>
        </w:rPr>
        <w:t>T</w:t>
      </w:r>
      <w:r w:rsidR="005E27DC">
        <w:rPr>
          <w:rFonts w:ascii="Arial" w:eastAsia="Times New Roman" w:hAnsi="Arial" w:cs="Arial"/>
          <w:b/>
          <w:bCs/>
          <w:kern w:val="0"/>
          <w14:ligatures w14:val="none"/>
        </w:rPr>
        <w:t xml:space="preserve">able </w:t>
      </w:r>
      <w:r w:rsidR="00485ABA">
        <w:rPr>
          <w:rFonts w:ascii="Arial" w:eastAsia="Times New Roman" w:hAnsi="Arial" w:cs="Arial"/>
          <w:b/>
          <w:bCs/>
          <w:kern w:val="0"/>
          <w14:ligatures w14:val="none"/>
        </w:rPr>
        <w:t>5</w:t>
      </w:r>
      <w:r w:rsidR="005E27DC">
        <w:rPr>
          <w:rFonts w:ascii="Arial" w:eastAsia="Times New Roman" w:hAnsi="Arial" w:cs="Arial"/>
          <w:b/>
          <w:bCs/>
          <w:kern w:val="0"/>
          <w14:ligatures w14:val="none"/>
        </w:rPr>
        <w:t>. Porter</w:t>
      </w:r>
      <w:r w:rsidR="007E6507">
        <w:rPr>
          <w:rFonts w:ascii="Arial" w:eastAsia="Times New Roman" w:hAnsi="Arial" w:cs="Arial"/>
          <w:b/>
          <w:bCs/>
          <w:kern w:val="0"/>
          <w14:ligatures w14:val="none"/>
        </w:rPr>
        <w:t>’s (19</w:t>
      </w:r>
      <w:r w:rsidR="009B717A">
        <w:rPr>
          <w:rFonts w:ascii="Arial" w:eastAsia="Times New Roman" w:hAnsi="Arial" w:cs="Arial"/>
          <w:b/>
          <w:bCs/>
          <w:kern w:val="0"/>
          <w14:ligatures w14:val="none"/>
        </w:rPr>
        <w:t>85) Generic Strategies</w:t>
      </w:r>
      <w:bookmarkEnd w:id="35"/>
      <w:bookmarkEnd w:id="36"/>
    </w:p>
    <w:p w14:paraId="1B8EC6F1" w14:textId="28062EA8" w:rsidR="00173031" w:rsidRPr="007510E1" w:rsidRDefault="00173031" w:rsidP="007510E1">
      <w:pPr>
        <w:spacing w:before="100" w:beforeAutospacing="1" w:after="100" w:afterAutospacing="1" w:line="360" w:lineRule="auto"/>
        <w:outlineLvl w:val="1"/>
        <w:rPr>
          <w:rFonts w:ascii="Arial" w:eastAsia="Times New Roman" w:hAnsi="Arial" w:cs="Arial"/>
          <w:b/>
          <w:bCs/>
          <w:kern w:val="0"/>
          <w14:ligatures w14:val="none"/>
        </w:rPr>
      </w:pPr>
      <w:bookmarkStart w:id="37" w:name="_Toc243341324"/>
      <w:r w:rsidRPr="00F26E98">
        <w:rPr>
          <w:rFonts w:ascii="Arial" w:hAnsi="Arial" w:cs="Arial"/>
          <w:kern w:val="0"/>
          <w14:ligatures w14:val="none"/>
        </w:rPr>
        <w:t xml:space="preserve">Porter (1985) identifies cost leadership, differentiation and focus as approaches to competitive </w:t>
      </w:r>
      <w:r w:rsidR="0000709E" w:rsidRPr="00F26E98">
        <w:rPr>
          <w:rFonts w:ascii="Arial" w:hAnsi="Arial" w:cs="Arial"/>
          <w:kern w:val="0"/>
          <w14:ligatures w14:val="none"/>
        </w:rPr>
        <w:t>positioning. For</w:t>
      </w:r>
      <w:r w:rsidRPr="00F26E98">
        <w:rPr>
          <w:rFonts w:ascii="Arial" w:hAnsi="Arial" w:cs="Arial"/>
          <w:kern w:val="0"/>
          <w14:ligatures w14:val="none"/>
        </w:rPr>
        <w:t xml:space="preserve"> BHP, the recommended approach is differentiation supported by cost discipline.</w:t>
      </w:r>
      <w:r w:rsidR="0000709E">
        <w:rPr>
          <w:rFonts w:ascii="Arial" w:hAnsi="Arial" w:cs="Arial"/>
          <w:kern w:val="0"/>
          <w14:ligatures w14:val="none"/>
        </w:rPr>
        <w:t xml:space="preserve"> </w:t>
      </w:r>
      <w:r w:rsidRPr="00F26E98">
        <w:rPr>
          <w:rFonts w:ascii="Arial" w:hAnsi="Arial" w:cs="Arial"/>
          <w:kern w:val="0"/>
          <w14:ligatures w14:val="none"/>
        </w:rPr>
        <w:t>Environmental differentiation could be achieved through independently verified emissions information, responsible production practices, reliable supply and technical collaboration.</w:t>
      </w:r>
      <w:bookmarkEnd w:id="37"/>
    </w:p>
    <w:p w14:paraId="421D53BD" w14:textId="794B3E5E" w:rsidR="00173031" w:rsidRPr="00F26E98" w:rsidRDefault="00173031" w:rsidP="008157FC">
      <w:pPr>
        <w:spacing w:before="100" w:beforeAutospacing="1" w:after="100" w:afterAutospacing="1" w:line="360" w:lineRule="auto"/>
        <w:rPr>
          <w:rFonts w:ascii="Arial" w:hAnsi="Arial" w:cs="Arial"/>
          <w:kern w:val="0"/>
          <w14:ligatures w14:val="none"/>
        </w:rPr>
      </w:pPr>
      <w:r w:rsidRPr="00DF3CD0">
        <w:rPr>
          <w:rFonts w:ascii="Arial" w:hAnsi="Arial" w:cs="Arial"/>
          <w:b/>
          <w:bCs/>
          <w:kern w:val="0"/>
          <w14:ligatures w14:val="none"/>
        </w:rPr>
        <w:t>For example</w:t>
      </w:r>
      <w:r w:rsidRPr="00F26E98">
        <w:rPr>
          <w:rFonts w:ascii="Arial" w:hAnsi="Arial" w:cs="Arial"/>
          <w:kern w:val="0"/>
          <w14:ligatures w14:val="none"/>
        </w:rPr>
        <w:t xml:space="preserve">, a steel manufacturer facing pressure to reduce emissions may value a supplier capable of supporting cleaner production </w:t>
      </w:r>
      <w:r w:rsidR="0000709E" w:rsidRPr="00F26E98">
        <w:rPr>
          <w:rFonts w:ascii="Arial" w:hAnsi="Arial" w:cs="Arial"/>
          <w:kern w:val="0"/>
          <w14:ligatures w14:val="none"/>
        </w:rPr>
        <w:t>processes. However</w:t>
      </w:r>
      <w:r w:rsidRPr="00F26E98">
        <w:rPr>
          <w:rFonts w:ascii="Arial" w:hAnsi="Arial" w:cs="Arial"/>
          <w:kern w:val="0"/>
          <w14:ligatures w14:val="none"/>
        </w:rPr>
        <w:t>, differentiation provides sustainable competitive advantage only when customers perceive meaningful value.</w:t>
      </w:r>
      <w:r w:rsidR="0000709E">
        <w:rPr>
          <w:rFonts w:ascii="Arial" w:hAnsi="Arial" w:cs="Arial"/>
          <w:kern w:val="0"/>
          <w14:ligatures w14:val="none"/>
        </w:rPr>
        <w:t xml:space="preserve"> </w:t>
      </w:r>
      <w:r w:rsidRPr="00F26E98">
        <w:rPr>
          <w:rFonts w:ascii="Arial" w:hAnsi="Arial" w:cs="Arial"/>
          <w:kern w:val="0"/>
          <w14:ligatures w14:val="none"/>
        </w:rPr>
        <w:t>Barney’s (1991) Resource-Based View suggests that competitive advantage depends on resources and capabilities that are valuable, rare, difficult to imitate and organisationally embedded.</w:t>
      </w:r>
    </w:p>
    <w:p w14:paraId="4C265B61" w14:textId="6D5F6A48" w:rsidR="00A23FF7" w:rsidRDefault="00934734" w:rsidP="008157FC">
      <w:pPr>
        <w:spacing w:before="100" w:beforeAutospacing="1" w:after="100" w:afterAutospacing="1" w:line="360" w:lineRule="auto"/>
        <w:rPr>
          <w:rFonts w:ascii="Arial" w:hAnsi="Arial" w:cs="Arial"/>
          <w:b/>
          <w:bCs/>
          <w:kern w:val="0"/>
          <w14:ligatures w14:val="none"/>
        </w:rPr>
      </w:pPr>
      <w:r>
        <w:rPr>
          <w:noProof/>
        </w:rPr>
        <w:drawing>
          <wp:anchor distT="0" distB="0" distL="114300" distR="114300" simplePos="0" relativeHeight="251658245" behindDoc="0" locked="0" layoutInCell="1" allowOverlap="1" wp14:anchorId="3AFD9254" wp14:editId="4E230F77">
            <wp:simplePos x="0" y="0"/>
            <wp:positionH relativeFrom="margin">
              <wp:posOffset>-838200</wp:posOffset>
            </wp:positionH>
            <wp:positionV relativeFrom="paragraph">
              <wp:posOffset>504825</wp:posOffset>
            </wp:positionV>
            <wp:extent cx="7410450" cy="5095875"/>
            <wp:effectExtent l="0" t="0" r="0" b="9525"/>
            <wp:wrapTopAndBottom/>
            <wp:docPr id="1388463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463607" name=""/>
                    <pic:cNvPicPr/>
                  </pic:nvPicPr>
                  <pic:blipFill>
                    <a:blip r:embed="rId15"/>
                    <a:stretch>
                      <a:fillRect/>
                    </a:stretch>
                  </pic:blipFill>
                  <pic:spPr>
                    <a:xfrm>
                      <a:off x="0" y="0"/>
                      <a:ext cx="7410450" cy="5095875"/>
                    </a:xfrm>
                    <a:prstGeom prst="rect">
                      <a:avLst/>
                    </a:prstGeom>
                  </pic:spPr>
                </pic:pic>
              </a:graphicData>
            </a:graphic>
            <wp14:sizeRelH relativeFrom="margin">
              <wp14:pctWidth>0</wp14:pctWidth>
            </wp14:sizeRelH>
            <wp14:sizeRelV relativeFrom="margin">
              <wp14:pctHeight>0</wp14:pctHeight>
            </wp14:sizeRelV>
          </wp:anchor>
        </w:drawing>
      </w:r>
      <w:r w:rsidRPr="00D86046">
        <w:rPr>
          <w:rFonts w:ascii="Arial" w:hAnsi="Arial" w:cs="Arial"/>
          <w:b/>
          <w:bCs/>
          <w:kern w:val="0"/>
          <w14:ligatures w14:val="none"/>
        </w:rPr>
        <w:t xml:space="preserve">Table </w:t>
      </w:r>
      <w:r w:rsidR="00EE5128">
        <w:rPr>
          <w:rFonts w:ascii="Arial" w:hAnsi="Arial" w:cs="Arial"/>
          <w:b/>
          <w:bCs/>
          <w:kern w:val="0"/>
          <w14:ligatures w14:val="none"/>
        </w:rPr>
        <w:t>6</w:t>
      </w:r>
      <w:r w:rsidRPr="00D86046">
        <w:rPr>
          <w:rFonts w:ascii="Arial" w:hAnsi="Arial" w:cs="Arial"/>
          <w:b/>
          <w:bCs/>
          <w:kern w:val="0"/>
          <w14:ligatures w14:val="none"/>
        </w:rPr>
        <w:t>. Barney’s (1991) Resource – Based View to BHP</w:t>
      </w:r>
    </w:p>
    <w:p w14:paraId="7E446D33" w14:textId="46DD3E9B" w:rsidR="00173031" w:rsidRPr="00A23FF7" w:rsidRDefault="00173031" w:rsidP="008157FC">
      <w:pPr>
        <w:spacing w:before="100" w:beforeAutospacing="1" w:after="100" w:afterAutospacing="1" w:line="360" w:lineRule="auto"/>
        <w:rPr>
          <w:rFonts w:ascii="Arial" w:hAnsi="Arial" w:cs="Arial"/>
          <w:b/>
          <w:bCs/>
          <w:kern w:val="0"/>
          <w14:ligatures w14:val="none"/>
        </w:rPr>
      </w:pPr>
      <w:r w:rsidRPr="00F26E98">
        <w:rPr>
          <w:rFonts w:ascii="Arial" w:hAnsi="Arial" w:cs="Arial"/>
          <w:kern w:val="0"/>
          <w14:ligatures w14:val="none"/>
        </w:rPr>
        <w:t>BHP’s operational expertise, customer relationships and environmental capabilities may support differentiation.</w:t>
      </w:r>
      <w:r w:rsidR="0000709E">
        <w:rPr>
          <w:rFonts w:ascii="Arial" w:hAnsi="Arial" w:cs="Arial"/>
          <w:kern w:val="0"/>
          <w14:ligatures w14:val="none"/>
        </w:rPr>
        <w:t xml:space="preserve"> </w:t>
      </w:r>
      <w:r w:rsidRPr="00F26E98">
        <w:rPr>
          <w:rFonts w:ascii="Arial" w:hAnsi="Arial" w:cs="Arial"/>
          <w:kern w:val="0"/>
          <w14:ligatures w14:val="none"/>
        </w:rPr>
        <w:t xml:space="preserve">Nevertheless, renewable energy procurement and emissions reporting could become standard industry </w:t>
      </w:r>
      <w:r w:rsidR="00606AAB" w:rsidRPr="00F26E98">
        <w:rPr>
          <w:rFonts w:ascii="Arial" w:hAnsi="Arial" w:cs="Arial"/>
          <w:kern w:val="0"/>
          <w14:ligatures w14:val="none"/>
        </w:rPr>
        <w:t>practices. Therefore</w:t>
      </w:r>
      <w:r w:rsidRPr="00F26E98">
        <w:rPr>
          <w:rFonts w:ascii="Arial" w:hAnsi="Arial" w:cs="Arial"/>
          <w:kern w:val="0"/>
          <w14:ligatures w14:val="none"/>
        </w:rPr>
        <w:t>, BHP should develop integrated capabilities rather than relying solely on sustainability claims.</w:t>
      </w:r>
      <w:r w:rsidR="0000709E">
        <w:rPr>
          <w:rFonts w:ascii="Arial" w:hAnsi="Arial" w:cs="Arial"/>
          <w:kern w:val="0"/>
          <w14:ligatures w14:val="none"/>
        </w:rPr>
        <w:t xml:space="preserve"> </w:t>
      </w:r>
      <w:r w:rsidRPr="00F26E98">
        <w:rPr>
          <w:rFonts w:ascii="Arial" w:hAnsi="Arial" w:cs="Arial"/>
          <w:kern w:val="0"/>
          <w14:ligatures w14:val="none"/>
        </w:rPr>
        <w:t xml:space="preserve">Porter and Kramer (2011) argue that businesses can create shared value by connecting commercial success with societal </w:t>
      </w:r>
      <w:r w:rsidR="00606AAB" w:rsidRPr="00F26E98">
        <w:rPr>
          <w:rFonts w:ascii="Arial" w:hAnsi="Arial" w:cs="Arial"/>
          <w:kern w:val="0"/>
          <w14:ligatures w14:val="none"/>
        </w:rPr>
        <w:t xml:space="preserve">improvement </w:t>
      </w:r>
      <w:r w:rsidR="005B10C3" w:rsidRPr="00F26E98">
        <w:rPr>
          <w:rFonts w:ascii="Arial" w:hAnsi="Arial" w:cs="Arial"/>
          <w:kern w:val="0"/>
          <w14:ligatures w14:val="none"/>
        </w:rPr>
        <w:t>for</w:t>
      </w:r>
      <w:r w:rsidRPr="00F26E98">
        <w:rPr>
          <w:rFonts w:ascii="Arial" w:hAnsi="Arial" w:cs="Arial"/>
          <w:kern w:val="0"/>
          <w14:ligatures w14:val="none"/>
        </w:rPr>
        <w:t xml:space="preserve"> BHP, this would involve pursuing environmental innovation that supports customer decarbonisation while generating commercially viable returns.</w:t>
      </w:r>
    </w:p>
    <w:p w14:paraId="221E3677" w14:textId="77777777" w:rsidR="00173031" w:rsidRPr="00F26E98" w:rsidRDefault="00173031" w:rsidP="008157FC">
      <w:pPr>
        <w:spacing w:before="100" w:beforeAutospacing="1" w:after="100" w:afterAutospacing="1" w:line="360" w:lineRule="auto"/>
        <w:outlineLvl w:val="1"/>
        <w:rPr>
          <w:rFonts w:ascii="Arial" w:eastAsia="Times New Roman" w:hAnsi="Arial" w:cs="Arial"/>
          <w:b/>
          <w:bCs/>
          <w:kern w:val="0"/>
          <w14:ligatures w14:val="none"/>
        </w:rPr>
      </w:pPr>
      <w:bookmarkStart w:id="38" w:name="_Toc243240451"/>
      <w:bookmarkStart w:id="39" w:name="_Toc243341325"/>
      <w:r w:rsidRPr="00F26E98">
        <w:rPr>
          <w:rFonts w:ascii="Arial" w:eastAsia="Times New Roman" w:hAnsi="Arial" w:cs="Arial"/>
          <w:b/>
          <w:bCs/>
          <w:kern w:val="0"/>
          <w14:ligatures w14:val="none"/>
        </w:rPr>
        <w:t>2.5 Recommended Implementation Strategy</w:t>
      </w:r>
      <w:bookmarkEnd w:id="38"/>
      <w:bookmarkEnd w:id="39"/>
    </w:p>
    <w:p w14:paraId="7C1C2D26" w14:textId="7ED722E1" w:rsidR="00173031" w:rsidRDefault="00D157DB" w:rsidP="008157FC">
      <w:pPr>
        <w:spacing w:before="100" w:beforeAutospacing="1" w:after="100" w:afterAutospacing="1" w:line="360" w:lineRule="auto"/>
        <w:outlineLvl w:val="2"/>
        <w:rPr>
          <w:rFonts w:ascii="Arial" w:eastAsia="Times New Roman" w:hAnsi="Arial" w:cs="Arial"/>
          <w:b/>
          <w:bCs/>
          <w:kern w:val="0"/>
          <w14:ligatures w14:val="none"/>
        </w:rPr>
      </w:pPr>
      <w:bookmarkStart w:id="40" w:name="_Toc243240452"/>
      <w:bookmarkStart w:id="41" w:name="_Toc243341326"/>
      <w:r>
        <w:rPr>
          <w:noProof/>
        </w:rPr>
        <w:drawing>
          <wp:anchor distT="0" distB="0" distL="114300" distR="114300" simplePos="0" relativeHeight="251658241" behindDoc="0" locked="0" layoutInCell="1" allowOverlap="1" wp14:anchorId="2AE8199D" wp14:editId="73000278">
            <wp:simplePos x="0" y="0"/>
            <wp:positionH relativeFrom="margin">
              <wp:posOffset>-733425</wp:posOffset>
            </wp:positionH>
            <wp:positionV relativeFrom="paragraph">
              <wp:posOffset>389890</wp:posOffset>
            </wp:positionV>
            <wp:extent cx="7229475" cy="4124325"/>
            <wp:effectExtent l="0" t="0" r="9525" b="9525"/>
            <wp:wrapTopAndBottom/>
            <wp:docPr id="1403034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034014" name=""/>
                    <pic:cNvPicPr/>
                  </pic:nvPicPr>
                  <pic:blipFill>
                    <a:blip r:embed="rId16"/>
                    <a:stretch>
                      <a:fillRect/>
                    </a:stretch>
                  </pic:blipFill>
                  <pic:spPr>
                    <a:xfrm>
                      <a:off x="0" y="0"/>
                      <a:ext cx="7229475" cy="4124325"/>
                    </a:xfrm>
                    <a:prstGeom prst="rect">
                      <a:avLst/>
                    </a:prstGeom>
                  </pic:spPr>
                </pic:pic>
              </a:graphicData>
            </a:graphic>
            <wp14:sizeRelH relativeFrom="margin">
              <wp14:pctWidth>0</wp14:pctWidth>
            </wp14:sizeRelH>
            <wp14:sizeRelV relativeFrom="margin">
              <wp14:pctHeight>0</wp14:pctHeight>
            </wp14:sizeRelV>
          </wp:anchor>
        </w:drawing>
      </w:r>
      <w:r w:rsidR="00173031" w:rsidRPr="00F26E98">
        <w:rPr>
          <w:rFonts w:ascii="Arial" w:eastAsia="Times New Roman" w:hAnsi="Arial" w:cs="Arial"/>
          <w:b/>
          <w:bCs/>
          <w:kern w:val="0"/>
          <w14:ligatures w14:val="none"/>
        </w:rPr>
        <w:t xml:space="preserve">Table </w:t>
      </w:r>
      <w:r w:rsidR="00EE5128">
        <w:rPr>
          <w:rFonts w:ascii="Arial" w:eastAsia="Times New Roman" w:hAnsi="Arial" w:cs="Arial"/>
          <w:b/>
          <w:bCs/>
          <w:kern w:val="0"/>
          <w14:ligatures w14:val="none"/>
        </w:rPr>
        <w:t>7</w:t>
      </w:r>
      <w:r w:rsidR="003F5D68">
        <w:rPr>
          <w:rFonts w:ascii="Arial" w:eastAsia="Times New Roman" w:hAnsi="Arial" w:cs="Arial"/>
          <w:b/>
          <w:bCs/>
          <w:kern w:val="0"/>
          <w14:ligatures w14:val="none"/>
        </w:rPr>
        <w:t>.</w:t>
      </w:r>
      <w:r w:rsidR="009E3E95">
        <w:rPr>
          <w:rFonts w:ascii="Arial" w:eastAsia="Times New Roman" w:hAnsi="Arial" w:cs="Arial"/>
          <w:b/>
          <w:bCs/>
          <w:kern w:val="0"/>
          <w14:ligatures w14:val="none"/>
        </w:rPr>
        <w:t xml:space="preserve"> </w:t>
      </w:r>
      <w:r w:rsidR="00173031" w:rsidRPr="00F26E98">
        <w:rPr>
          <w:rFonts w:ascii="Arial" w:eastAsia="Times New Roman" w:hAnsi="Arial" w:cs="Arial"/>
          <w:b/>
          <w:bCs/>
          <w:kern w:val="0"/>
          <w14:ligatures w14:val="none"/>
        </w:rPr>
        <w:t>Proposed Sustainable Growth Implementation Plan</w:t>
      </w:r>
      <w:bookmarkEnd w:id="40"/>
      <w:bookmarkEnd w:id="41"/>
    </w:p>
    <w:p w14:paraId="72C32D61" w14:textId="3A282000" w:rsidR="00DC1C12" w:rsidRDefault="00DC1C12" w:rsidP="008157FC">
      <w:pPr>
        <w:spacing w:before="100" w:beforeAutospacing="1" w:after="100" w:afterAutospacing="1" w:line="360" w:lineRule="auto"/>
        <w:outlineLvl w:val="2"/>
        <w:rPr>
          <w:rFonts w:ascii="Arial" w:eastAsia="Times New Roman" w:hAnsi="Arial" w:cs="Arial"/>
          <w:b/>
          <w:bCs/>
          <w:kern w:val="0"/>
          <w14:ligatures w14:val="none"/>
        </w:rPr>
      </w:pPr>
    </w:p>
    <w:p w14:paraId="7ECCC5F9" w14:textId="77777777" w:rsidR="00FE0935" w:rsidRPr="007E1CD3" w:rsidRDefault="00FE0935" w:rsidP="008157FC">
      <w:pPr>
        <w:spacing w:before="100" w:beforeAutospacing="1" w:after="100" w:afterAutospacing="1" w:line="360" w:lineRule="auto"/>
        <w:rPr>
          <w:rFonts w:ascii="Arial" w:hAnsi="Arial" w:cs="Arial"/>
          <w:b/>
          <w:bCs/>
          <w:kern w:val="0"/>
          <w14:ligatures w14:val="none"/>
        </w:rPr>
      </w:pPr>
      <w:r w:rsidRPr="007E1CD3">
        <w:rPr>
          <w:rFonts w:ascii="Arial" w:hAnsi="Arial" w:cs="Arial"/>
          <w:b/>
          <w:bCs/>
          <w:i/>
          <w:iCs/>
          <w:kern w:val="0"/>
          <w14:ligatures w14:val="none"/>
        </w:rPr>
        <w:t>Source: Author’s recommendations informed by Ansoff (1957), Porter (1985), Barney (1991) and BHP (2026).</w:t>
      </w:r>
    </w:p>
    <w:p w14:paraId="10D3DEAA" w14:textId="77777777" w:rsidR="00FE0935" w:rsidRPr="00F26E98" w:rsidRDefault="00FE0935" w:rsidP="00D60FE4">
      <w:pPr>
        <w:pStyle w:val="Heading3"/>
        <w:spacing w:line="360" w:lineRule="auto"/>
        <w:rPr>
          <w:rFonts w:eastAsia="Times New Roman"/>
        </w:rPr>
      </w:pPr>
      <w:bookmarkStart w:id="42" w:name="_Toc243240453"/>
      <w:bookmarkStart w:id="43" w:name="_Toc243341327"/>
      <w:r w:rsidRPr="00F26E98">
        <w:rPr>
          <w:rFonts w:eastAsia="Times New Roman"/>
        </w:rPr>
        <w:t>2.6 Strategic Justification and Critical Judgement</w:t>
      </w:r>
      <w:bookmarkEnd w:id="42"/>
      <w:bookmarkEnd w:id="43"/>
    </w:p>
    <w:p w14:paraId="07418DAF" w14:textId="553F05CF" w:rsidR="00FE0935" w:rsidRPr="00F26E98" w:rsidRDefault="00FE0935" w:rsidP="00D60FE4">
      <w:pPr>
        <w:spacing w:before="100" w:beforeAutospacing="1" w:after="100" w:afterAutospacing="1" w:line="360" w:lineRule="auto"/>
        <w:rPr>
          <w:rFonts w:ascii="Arial" w:hAnsi="Arial" w:cs="Arial"/>
          <w:kern w:val="0"/>
          <w14:ligatures w14:val="none"/>
        </w:rPr>
      </w:pPr>
      <w:r w:rsidRPr="00F26E98">
        <w:rPr>
          <w:rFonts w:ascii="Arial" w:hAnsi="Arial" w:cs="Arial"/>
          <w:kern w:val="0"/>
          <w14:ligatures w14:val="none"/>
        </w:rPr>
        <w:t xml:space="preserve">Market penetration supported by selective product development represents a comparatively manageable growth approach because it builds on BHP’s existing </w:t>
      </w:r>
      <w:r w:rsidR="00563BC7" w:rsidRPr="00F26E98">
        <w:rPr>
          <w:rFonts w:ascii="Arial" w:hAnsi="Arial" w:cs="Arial"/>
          <w:kern w:val="0"/>
          <w14:ligatures w14:val="none"/>
        </w:rPr>
        <w:t>capabilities. It</w:t>
      </w:r>
      <w:r w:rsidRPr="00F26E98">
        <w:rPr>
          <w:rFonts w:ascii="Arial" w:hAnsi="Arial" w:cs="Arial"/>
          <w:kern w:val="0"/>
          <w14:ligatures w14:val="none"/>
        </w:rPr>
        <w:t xml:space="preserve"> also responds directly to the environmental and customer pressures identified in Task </w:t>
      </w:r>
      <w:r w:rsidR="00563BC7" w:rsidRPr="00F26E98">
        <w:rPr>
          <w:rFonts w:ascii="Arial" w:hAnsi="Arial" w:cs="Arial"/>
          <w:kern w:val="0"/>
          <w14:ligatures w14:val="none"/>
        </w:rPr>
        <w:t>1. However</w:t>
      </w:r>
      <w:r w:rsidRPr="00F26E98">
        <w:rPr>
          <w:rFonts w:ascii="Arial" w:hAnsi="Arial" w:cs="Arial"/>
          <w:kern w:val="0"/>
          <w14:ligatures w14:val="none"/>
        </w:rPr>
        <w:t>, the strategy should be implemented gradually.</w:t>
      </w:r>
    </w:p>
    <w:p w14:paraId="78E5321C" w14:textId="77777777" w:rsidR="00FE0935" w:rsidRPr="00F26E98" w:rsidRDefault="00FE0935" w:rsidP="00D60FE4">
      <w:pPr>
        <w:spacing w:before="100" w:beforeAutospacing="1" w:after="100" w:afterAutospacing="1" w:line="360" w:lineRule="auto"/>
        <w:rPr>
          <w:rFonts w:ascii="Arial" w:hAnsi="Arial" w:cs="Arial"/>
          <w:kern w:val="0"/>
          <w14:ligatures w14:val="none"/>
        </w:rPr>
      </w:pPr>
      <w:r w:rsidRPr="00F26E98">
        <w:rPr>
          <w:rFonts w:ascii="Arial" w:hAnsi="Arial" w:cs="Arial"/>
          <w:kern w:val="0"/>
          <w14:ligatures w14:val="none"/>
        </w:rPr>
        <w:t>Senior management should assess investment costs, customer demand, environmental benefits and financial returns before committing substantial resources.</w:t>
      </w:r>
    </w:p>
    <w:p w14:paraId="6DD29E8D" w14:textId="290189BA" w:rsidR="00FE0935" w:rsidRPr="00F26E98" w:rsidRDefault="00FE0935" w:rsidP="00D60FE4">
      <w:pPr>
        <w:spacing w:before="100" w:beforeAutospacing="1" w:after="100" w:afterAutospacing="1" w:line="360" w:lineRule="auto"/>
        <w:rPr>
          <w:rFonts w:ascii="Arial" w:hAnsi="Arial" w:cs="Arial"/>
          <w:kern w:val="0"/>
          <w14:ligatures w14:val="none"/>
        </w:rPr>
      </w:pPr>
      <w:r w:rsidRPr="00F26E98">
        <w:rPr>
          <w:rFonts w:ascii="Arial" w:hAnsi="Arial" w:cs="Arial"/>
          <w:kern w:val="0"/>
          <w14:ligatures w14:val="none"/>
        </w:rPr>
        <w:t>The World Economic Forum (2022) emphasises the importance of coordinated industrial action in progressing towards net-zero objectives.</w:t>
      </w:r>
      <w:r w:rsidR="00563BC7">
        <w:rPr>
          <w:rFonts w:ascii="Arial" w:hAnsi="Arial" w:cs="Arial"/>
          <w:kern w:val="0"/>
          <w14:ligatures w14:val="none"/>
        </w:rPr>
        <w:t xml:space="preserve"> </w:t>
      </w:r>
      <w:r w:rsidRPr="00F26E98">
        <w:rPr>
          <w:rFonts w:ascii="Arial" w:hAnsi="Arial" w:cs="Arial"/>
          <w:kern w:val="0"/>
          <w14:ligatures w14:val="none"/>
        </w:rPr>
        <w:t>Therefore, BHP should prioritise collaboration, measurable environmental outcomes and commercially sustainable investment.</w:t>
      </w:r>
    </w:p>
    <w:p w14:paraId="4419725F" w14:textId="77777777" w:rsidR="00FE0935" w:rsidRPr="00F26E98" w:rsidRDefault="00FE0935" w:rsidP="00D60FE4">
      <w:pPr>
        <w:pStyle w:val="Heading1"/>
        <w:spacing w:line="360" w:lineRule="auto"/>
        <w:rPr>
          <w:rFonts w:eastAsia="Times New Roman"/>
        </w:rPr>
      </w:pPr>
      <w:bookmarkStart w:id="44" w:name="_Toc243240454"/>
      <w:bookmarkStart w:id="45" w:name="_Toc243341328"/>
      <w:r w:rsidRPr="00F26E98">
        <w:rPr>
          <w:rFonts w:eastAsia="Times New Roman"/>
        </w:rPr>
        <w:t>TASK 3: MANAGERIAL AND PROFESSIONAL REFLECTION</w:t>
      </w:r>
      <w:bookmarkEnd w:id="44"/>
      <w:bookmarkEnd w:id="45"/>
    </w:p>
    <w:p w14:paraId="1F45769D" w14:textId="77777777" w:rsidR="00FE0935" w:rsidRPr="00F26E98" w:rsidRDefault="00FE0935" w:rsidP="00D60FE4">
      <w:pPr>
        <w:pStyle w:val="Heading2"/>
        <w:spacing w:line="360" w:lineRule="auto"/>
        <w:rPr>
          <w:rFonts w:eastAsia="Times New Roman"/>
        </w:rPr>
      </w:pPr>
      <w:bookmarkStart w:id="46" w:name="_Toc243240455"/>
      <w:bookmarkStart w:id="47" w:name="_Toc243341329"/>
      <w:r w:rsidRPr="00F26E98">
        <w:rPr>
          <w:rFonts w:eastAsia="Times New Roman"/>
        </w:rPr>
        <w:t>3.1 Reflection on Company Selection</w:t>
      </w:r>
      <w:bookmarkEnd w:id="46"/>
      <w:bookmarkEnd w:id="47"/>
    </w:p>
    <w:p w14:paraId="143C5300" w14:textId="58EDAF94" w:rsidR="00FE0935" w:rsidRPr="00F26E98" w:rsidRDefault="00FE0935" w:rsidP="00D60FE4">
      <w:pPr>
        <w:spacing w:before="100" w:beforeAutospacing="1" w:after="100" w:afterAutospacing="1" w:line="360" w:lineRule="auto"/>
        <w:rPr>
          <w:rFonts w:ascii="Arial" w:hAnsi="Arial" w:cs="Arial"/>
          <w:kern w:val="0"/>
          <w14:ligatures w14:val="none"/>
        </w:rPr>
      </w:pPr>
      <w:r w:rsidRPr="00F26E98">
        <w:rPr>
          <w:rFonts w:ascii="Arial" w:hAnsi="Arial" w:cs="Arial"/>
          <w:kern w:val="0"/>
          <w14:ligatures w14:val="none"/>
        </w:rPr>
        <w:t xml:space="preserve">Reflecting on my strategic analysis, I selected </w:t>
      </w:r>
      <w:r w:rsidR="002C5CB2" w:rsidRPr="000560F5">
        <w:rPr>
          <w:rFonts w:ascii="Arial" w:hAnsi="Arial" w:cs="Arial"/>
          <w:b/>
          <w:bCs/>
          <w:kern w:val="0"/>
          <w14:ligatures w14:val="none"/>
        </w:rPr>
        <w:t xml:space="preserve">Broken Hill </w:t>
      </w:r>
      <w:r w:rsidR="000560F5" w:rsidRPr="000560F5">
        <w:rPr>
          <w:rFonts w:ascii="Arial" w:hAnsi="Arial" w:cs="Arial"/>
          <w:b/>
          <w:bCs/>
          <w:kern w:val="0"/>
          <w14:ligatures w14:val="none"/>
        </w:rPr>
        <w:t>Proprietary (</w:t>
      </w:r>
      <w:r w:rsidRPr="000560F5">
        <w:rPr>
          <w:rFonts w:ascii="Arial" w:hAnsi="Arial" w:cs="Arial"/>
          <w:b/>
          <w:bCs/>
          <w:kern w:val="0"/>
          <w14:ligatures w14:val="none"/>
        </w:rPr>
        <w:t>BHP</w:t>
      </w:r>
      <w:r w:rsidR="000560F5" w:rsidRPr="000560F5">
        <w:rPr>
          <w:rFonts w:ascii="Arial" w:hAnsi="Arial" w:cs="Arial"/>
          <w:b/>
          <w:bCs/>
          <w:kern w:val="0"/>
          <w14:ligatures w14:val="none"/>
        </w:rPr>
        <w:t>)</w:t>
      </w:r>
      <w:r w:rsidRPr="00F26E98">
        <w:rPr>
          <w:rFonts w:ascii="Arial" w:hAnsi="Arial" w:cs="Arial"/>
          <w:kern w:val="0"/>
          <w14:ligatures w14:val="none"/>
        </w:rPr>
        <w:t xml:space="preserve"> because it demonstrates the complexity of balancing environmental sustainability with commercial </w:t>
      </w:r>
      <w:r w:rsidR="00563BC7" w:rsidRPr="00F26E98">
        <w:rPr>
          <w:rFonts w:ascii="Arial" w:hAnsi="Arial" w:cs="Arial"/>
          <w:kern w:val="0"/>
          <w14:ligatures w14:val="none"/>
        </w:rPr>
        <w:t>growth. Initially</w:t>
      </w:r>
      <w:r w:rsidRPr="00F26E98">
        <w:rPr>
          <w:rFonts w:ascii="Arial" w:hAnsi="Arial" w:cs="Arial"/>
          <w:kern w:val="0"/>
          <w14:ligatures w14:val="none"/>
        </w:rPr>
        <w:t xml:space="preserve">, I considered sustainability primarily as an opportunity for organisations to strengthen reputation and </w:t>
      </w:r>
      <w:r w:rsidR="00563BC7" w:rsidRPr="00F26E98">
        <w:rPr>
          <w:rFonts w:ascii="Arial" w:hAnsi="Arial" w:cs="Arial"/>
          <w:kern w:val="0"/>
          <w14:ligatures w14:val="none"/>
        </w:rPr>
        <w:t>competitiveness. However</w:t>
      </w:r>
      <w:r w:rsidRPr="00F26E98">
        <w:rPr>
          <w:rFonts w:ascii="Arial" w:hAnsi="Arial" w:cs="Arial"/>
          <w:kern w:val="0"/>
          <w14:ligatures w14:val="none"/>
        </w:rPr>
        <w:t>, examining BHP revealed that environmental responsibility involves difficult trade-offs between emissions reduction, operational costs, resource extraction and customer expectations.</w:t>
      </w:r>
    </w:p>
    <w:p w14:paraId="181E1CF5" w14:textId="540D97DF" w:rsidR="00FE0935" w:rsidRPr="00F26E98" w:rsidRDefault="00FE0935" w:rsidP="00D60FE4">
      <w:pPr>
        <w:spacing w:before="100" w:beforeAutospacing="1" w:after="100" w:afterAutospacing="1" w:line="360" w:lineRule="auto"/>
        <w:rPr>
          <w:rFonts w:ascii="Arial" w:hAnsi="Arial" w:cs="Arial"/>
          <w:kern w:val="0"/>
          <w14:ligatures w14:val="none"/>
        </w:rPr>
      </w:pPr>
      <w:r w:rsidRPr="00F26E98">
        <w:rPr>
          <w:rFonts w:ascii="Arial" w:hAnsi="Arial" w:cs="Arial"/>
          <w:kern w:val="0"/>
          <w14:ligatures w14:val="none"/>
        </w:rPr>
        <w:t xml:space="preserve">Hart’s (1995) Natural-Resource-Based View helped me recognise that environmental capabilities can contribute to competitive </w:t>
      </w:r>
      <w:r w:rsidR="00563BC7" w:rsidRPr="00F26E98">
        <w:rPr>
          <w:rFonts w:ascii="Arial" w:hAnsi="Arial" w:cs="Arial"/>
          <w:kern w:val="0"/>
          <w14:ligatures w14:val="none"/>
        </w:rPr>
        <w:t>advantage. Nevertheless</w:t>
      </w:r>
      <w:r w:rsidRPr="00F26E98">
        <w:rPr>
          <w:rFonts w:ascii="Arial" w:hAnsi="Arial" w:cs="Arial"/>
          <w:kern w:val="0"/>
          <w14:ligatures w14:val="none"/>
        </w:rPr>
        <w:t xml:space="preserve">, I also recognised that sustainability investments do not automatically generate financial </w:t>
      </w:r>
      <w:r w:rsidR="00563BC7" w:rsidRPr="00F26E98">
        <w:rPr>
          <w:rFonts w:ascii="Arial" w:hAnsi="Arial" w:cs="Arial"/>
          <w:kern w:val="0"/>
          <w14:ligatures w14:val="none"/>
        </w:rPr>
        <w:t>returns. This</w:t>
      </w:r>
      <w:r w:rsidRPr="00F26E98">
        <w:rPr>
          <w:rFonts w:ascii="Arial" w:hAnsi="Arial" w:cs="Arial"/>
          <w:kern w:val="0"/>
          <w14:ligatures w14:val="none"/>
        </w:rPr>
        <w:t xml:space="preserve"> developed my understanding of the importance of evaluating strategic decisions through both environmental and commercial evidence.</w:t>
      </w:r>
    </w:p>
    <w:p w14:paraId="5649AAC9" w14:textId="5763C667" w:rsidR="00FE0935" w:rsidRPr="00F26E98" w:rsidRDefault="00FE0935" w:rsidP="00D60FE4">
      <w:pPr>
        <w:spacing w:before="100" w:beforeAutospacing="1" w:after="100" w:afterAutospacing="1" w:line="360" w:lineRule="auto"/>
        <w:outlineLvl w:val="1"/>
        <w:rPr>
          <w:rFonts w:ascii="Arial" w:eastAsia="Times New Roman" w:hAnsi="Arial" w:cs="Arial"/>
          <w:b/>
          <w:bCs/>
          <w:kern w:val="0"/>
          <w14:ligatures w14:val="none"/>
        </w:rPr>
      </w:pPr>
      <w:bookmarkStart w:id="48" w:name="_Toc243240456"/>
      <w:bookmarkStart w:id="49" w:name="_Toc243341330"/>
      <w:r w:rsidRPr="00F26E98">
        <w:rPr>
          <w:rFonts w:ascii="Arial" w:eastAsia="Times New Roman" w:hAnsi="Arial" w:cs="Arial"/>
          <w:b/>
          <w:bCs/>
          <w:kern w:val="0"/>
          <w14:ligatures w14:val="none"/>
        </w:rPr>
        <w:t>3.2 Reflection on Environmental Actor Selection</w:t>
      </w:r>
      <w:bookmarkEnd w:id="48"/>
      <w:bookmarkEnd w:id="49"/>
    </w:p>
    <w:p w14:paraId="6F7149FB" w14:textId="77777777" w:rsidR="00747504" w:rsidRDefault="00FE0935" w:rsidP="00D60FE4">
      <w:pPr>
        <w:pStyle w:val="p1"/>
        <w:spacing w:line="360" w:lineRule="auto"/>
        <w:rPr>
          <w:rFonts w:ascii="Arial" w:hAnsi="Arial" w:cs="Arial"/>
        </w:rPr>
      </w:pPr>
      <w:r w:rsidRPr="00416E05">
        <w:rPr>
          <w:rFonts w:ascii="Arial" w:hAnsi="Arial" w:cs="Arial"/>
        </w:rPr>
        <w:t>I prioritised the natural environment because climate change and ecological pressures directly influence BHP’s operating conditions and future development.</w:t>
      </w:r>
      <w:r w:rsidR="00563BC7" w:rsidRPr="00416E05">
        <w:rPr>
          <w:rFonts w:ascii="Arial" w:hAnsi="Arial" w:cs="Arial"/>
        </w:rPr>
        <w:t xml:space="preserve"> </w:t>
      </w:r>
      <w:r w:rsidRPr="00416E05">
        <w:rPr>
          <w:rFonts w:ascii="Arial" w:hAnsi="Arial" w:cs="Arial"/>
        </w:rPr>
        <w:t>The political-</w:t>
      </w:r>
      <w:r w:rsidR="00515E95" w:rsidRPr="00416E05">
        <w:rPr>
          <w:rFonts w:ascii="Arial" w:hAnsi="Arial" w:cs="Arial"/>
        </w:rPr>
        <w:t>Legal</w:t>
      </w:r>
      <w:r w:rsidRPr="00416E05">
        <w:rPr>
          <w:rFonts w:ascii="Arial" w:hAnsi="Arial" w:cs="Arial"/>
        </w:rPr>
        <w:t xml:space="preserve"> environment was selected because government policies can affect operating costs and market access.</w:t>
      </w:r>
      <w:r w:rsidR="00563BC7" w:rsidRPr="00416E05">
        <w:rPr>
          <w:rFonts w:ascii="Arial" w:hAnsi="Arial" w:cs="Arial"/>
        </w:rPr>
        <w:t xml:space="preserve"> </w:t>
      </w:r>
      <w:r w:rsidR="0049681D" w:rsidRPr="00416E05">
        <w:rPr>
          <w:rFonts w:ascii="Arial" w:hAnsi="Arial" w:cs="Arial"/>
        </w:rPr>
        <w:t xml:space="preserve">The social environment was </w:t>
      </w:r>
    </w:p>
    <w:p w14:paraId="464C0992" w14:textId="198A732D" w:rsidR="00E211CE" w:rsidRDefault="0049681D" w:rsidP="00D60FE4">
      <w:pPr>
        <w:pStyle w:val="p1"/>
        <w:spacing w:line="360" w:lineRule="auto"/>
        <w:rPr>
          <w:rFonts w:ascii="Arial" w:hAnsi="Arial" w:cs="Arial"/>
        </w:rPr>
      </w:pPr>
      <w:r w:rsidRPr="00416E05">
        <w:rPr>
          <w:rFonts w:ascii="Arial" w:hAnsi="Arial" w:cs="Arial"/>
        </w:rPr>
        <w:t>selected as the third actor because increasing public expectations regarding corporate social responsibility, ethical mining, Indigenous peoples’ rights and community wellbeing influence BHP’s reputation, stakeholder confidence and long-term sustainability (Kotler et al., 2024; BHP, 2025).</w:t>
      </w:r>
      <w:r w:rsidR="00E211CE">
        <w:rPr>
          <w:rFonts w:ascii="Arial" w:hAnsi="Arial" w:cs="Arial"/>
        </w:rPr>
        <w:t xml:space="preserve"> </w:t>
      </w:r>
    </w:p>
    <w:p w14:paraId="0E4E3357" w14:textId="6D85EFC3" w:rsidR="00693CD6" w:rsidRPr="00416E05" w:rsidRDefault="00693CD6" w:rsidP="00D60FE4">
      <w:pPr>
        <w:pStyle w:val="p1"/>
        <w:spacing w:line="360" w:lineRule="auto"/>
        <w:rPr>
          <w:rFonts w:ascii="Arial" w:hAnsi="Arial" w:cs="Arial"/>
        </w:rPr>
      </w:pPr>
      <w:r w:rsidRPr="00416E05">
        <w:rPr>
          <w:rFonts w:ascii="Arial" w:hAnsi="Arial" w:cs="Arial"/>
        </w:rPr>
        <w:t>An important learning outcome was recognising that these environmental factors are interconnected. For example, environmental concerns such as climate change, biodiversity loss and water scarcity may encourage political and legal intervention, while increasing social expectations regarding corporate social responsibility, ethical mining and Indigenous peoples’ rights influence BHP’s environmental practices and stakeholder relationships. This demonstrates that marketing environment analysis should examine the relationships between natural, political and legal, and social environmental factors rather than treating each independently (Kotler et al., 2024; BHP, 2025).</w:t>
      </w:r>
    </w:p>
    <w:p w14:paraId="098188A9" w14:textId="77777777" w:rsidR="00FE0935" w:rsidRPr="00F26E98" w:rsidRDefault="00FE0935" w:rsidP="00D60FE4">
      <w:pPr>
        <w:spacing w:before="100" w:beforeAutospacing="1" w:after="100" w:afterAutospacing="1" w:line="360" w:lineRule="auto"/>
        <w:outlineLvl w:val="1"/>
        <w:rPr>
          <w:rFonts w:ascii="Arial" w:eastAsia="Times New Roman" w:hAnsi="Arial" w:cs="Arial"/>
          <w:b/>
          <w:bCs/>
          <w:kern w:val="0"/>
          <w14:ligatures w14:val="none"/>
        </w:rPr>
      </w:pPr>
      <w:bookmarkStart w:id="50" w:name="_Toc243240457"/>
      <w:bookmarkStart w:id="51" w:name="_Toc243341331"/>
      <w:r w:rsidRPr="00F26E98">
        <w:rPr>
          <w:rFonts w:ascii="Arial" w:eastAsia="Times New Roman" w:hAnsi="Arial" w:cs="Arial"/>
          <w:b/>
          <w:bCs/>
          <w:kern w:val="0"/>
          <w14:ligatures w14:val="none"/>
        </w:rPr>
        <w:t>3.3 Reflection on Strategic Growth Decisions</w:t>
      </w:r>
      <w:bookmarkEnd w:id="50"/>
      <w:bookmarkEnd w:id="51"/>
    </w:p>
    <w:p w14:paraId="46F3D91C" w14:textId="14EAA029" w:rsidR="00FE0935" w:rsidRPr="00F26E98" w:rsidRDefault="00FE0935" w:rsidP="00D60FE4">
      <w:pPr>
        <w:spacing w:before="100" w:beforeAutospacing="1" w:after="100" w:afterAutospacing="1" w:line="360" w:lineRule="auto"/>
        <w:rPr>
          <w:rFonts w:ascii="Arial" w:hAnsi="Arial" w:cs="Arial"/>
          <w:kern w:val="0"/>
          <w14:ligatures w14:val="none"/>
        </w:rPr>
      </w:pPr>
      <w:r w:rsidRPr="00F26E98">
        <w:rPr>
          <w:rFonts w:ascii="Arial" w:hAnsi="Arial" w:cs="Arial"/>
          <w:kern w:val="0"/>
          <w14:ligatures w14:val="none"/>
        </w:rPr>
        <w:t>Applying the Ansoff Matrix helped me evaluate alternative growth opportunities systematically.</w:t>
      </w:r>
      <w:r w:rsidR="00563BC7">
        <w:rPr>
          <w:rFonts w:ascii="Arial" w:hAnsi="Arial" w:cs="Arial"/>
          <w:kern w:val="0"/>
          <w14:ligatures w14:val="none"/>
        </w:rPr>
        <w:t xml:space="preserve"> </w:t>
      </w:r>
      <w:r w:rsidRPr="00F26E98">
        <w:rPr>
          <w:rFonts w:ascii="Arial" w:hAnsi="Arial" w:cs="Arial"/>
          <w:kern w:val="0"/>
          <w14:ligatures w14:val="none"/>
        </w:rPr>
        <w:t>Although diversification initially appeared attractive because of emerging clean-energy technologies, further analysis highlighted the associated financial and operational risks.</w:t>
      </w:r>
      <w:r w:rsidR="00563BC7">
        <w:rPr>
          <w:rFonts w:ascii="Arial" w:hAnsi="Arial" w:cs="Arial"/>
          <w:kern w:val="0"/>
          <w14:ligatures w14:val="none"/>
        </w:rPr>
        <w:t xml:space="preserve"> </w:t>
      </w:r>
      <w:r w:rsidRPr="00F26E98">
        <w:rPr>
          <w:rFonts w:ascii="Arial" w:hAnsi="Arial" w:cs="Arial"/>
          <w:kern w:val="0"/>
          <w14:ligatures w14:val="none"/>
        </w:rPr>
        <w:t xml:space="preserve">I therefore selected market penetration supported by product </w:t>
      </w:r>
      <w:r w:rsidR="00563BC7" w:rsidRPr="00F26E98">
        <w:rPr>
          <w:rFonts w:ascii="Arial" w:hAnsi="Arial" w:cs="Arial"/>
          <w:kern w:val="0"/>
          <w14:ligatures w14:val="none"/>
        </w:rPr>
        <w:t>development. This</w:t>
      </w:r>
      <w:r w:rsidRPr="00F26E98">
        <w:rPr>
          <w:rFonts w:ascii="Arial" w:hAnsi="Arial" w:cs="Arial"/>
          <w:kern w:val="0"/>
          <w14:ligatures w14:val="none"/>
        </w:rPr>
        <w:t xml:space="preserve"> decision reflects the importance of balancing strategic ambition with organisational capabilities.</w:t>
      </w:r>
    </w:p>
    <w:p w14:paraId="30075485" w14:textId="758FB916" w:rsidR="00FE0935" w:rsidRPr="00F26E98" w:rsidRDefault="00FE0935" w:rsidP="00D60FE4">
      <w:pPr>
        <w:spacing w:before="100" w:beforeAutospacing="1" w:after="100" w:afterAutospacing="1" w:line="360" w:lineRule="auto"/>
        <w:rPr>
          <w:rFonts w:ascii="Arial" w:hAnsi="Arial" w:cs="Arial"/>
          <w:kern w:val="0"/>
          <w14:ligatures w14:val="none"/>
        </w:rPr>
      </w:pPr>
      <w:r w:rsidRPr="00F26E98">
        <w:rPr>
          <w:rFonts w:ascii="Arial" w:hAnsi="Arial" w:cs="Arial"/>
          <w:kern w:val="0"/>
          <w14:ligatures w14:val="none"/>
        </w:rPr>
        <w:t>Porter’s differentiation strategy also demonstrated how environmental performance could support competitive positioning.</w:t>
      </w:r>
      <w:r w:rsidR="00563BC7">
        <w:rPr>
          <w:rFonts w:ascii="Arial" w:hAnsi="Arial" w:cs="Arial"/>
          <w:kern w:val="0"/>
          <w14:ligatures w14:val="none"/>
        </w:rPr>
        <w:t xml:space="preserve"> </w:t>
      </w:r>
      <w:r w:rsidRPr="00F26E98">
        <w:rPr>
          <w:rFonts w:ascii="Arial" w:hAnsi="Arial" w:cs="Arial"/>
          <w:kern w:val="0"/>
          <w14:ligatures w14:val="none"/>
        </w:rPr>
        <w:t>However, I recognised that environmental claims alone cannot guarantee customer loyalty or higher prices.</w:t>
      </w:r>
      <w:r w:rsidR="00563BC7">
        <w:rPr>
          <w:rFonts w:ascii="Arial" w:hAnsi="Arial" w:cs="Arial"/>
          <w:kern w:val="0"/>
          <w14:ligatures w14:val="none"/>
        </w:rPr>
        <w:t xml:space="preserve"> </w:t>
      </w:r>
      <w:r w:rsidRPr="00F26E98">
        <w:rPr>
          <w:rFonts w:ascii="Arial" w:hAnsi="Arial" w:cs="Arial"/>
          <w:kern w:val="0"/>
          <w14:ligatures w14:val="none"/>
        </w:rPr>
        <w:t>Competitive advantage requires credible evidence, operational reliability and customer value.</w:t>
      </w:r>
    </w:p>
    <w:p w14:paraId="24423D79" w14:textId="77777777" w:rsidR="00FE0935" w:rsidRPr="00F26E98" w:rsidRDefault="00FE0935" w:rsidP="00D60FE4">
      <w:pPr>
        <w:spacing w:before="100" w:beforeAutospacing="1" w:after="100" w:afterAutospacing="1" w:line="360" w:lineRule="auto"/>
        <w:outlineLvl w:val="1"/>
        <w:rPr>
          <w:rFonts w:ascii="Arial" w:eastAsia="Times New Roman" w:hAnsi="Arial" w:cs="Arial"/>
          <w:b/>
          <w:bCs/>
          <w:kern w:val="0"/>
          <w14:ligatures w14:val="none"/>
        </w:rPr>
      </w:pPr>
      <w:bookmarkStart w:id="52" w:name="_Toc243240458"/>
      <w:bookmarkStart w:id="53" w:name="_Toc243341332"/>
      <w:r w:rsidRPr="00F26E98">
        <w:rPr>
          <w:rFonts w:ascii="Arial" w:eastAsia="Times New Roman" w:hAnsi="Arial" w:cs="Arial"/>
          <w:b/>
          <w:bCs/>
          <w:kern w:val="0"/>
          <w14:ligatures w14:val="none"/>
        </w:rPr>
        <w:t>3.4 Limitations of the Analysis</w:t>
      </w:r>
      <w:bookmarkEnd w:id="52"/>
      <w:bookmarkEnd w:id="53"/>
    </w:p>
    <w:p w14:paraId="6C0ACDB5" w14:textId="2F23CA40" w:rsidR="00FE0935" w:rsidRPr="00F26E98" w:rsidRDefault="00FE0935" w:rsidP="00D60FE4">
      <w:pPr>
        <w:spacing w:before="100" w:beforeAutospacing="1" w:after="100" w:afterAutospacing="1" w:line="360" w:lineRule="auto"/>
        <w:rPr>
          <w:rFonts w:ascii="Arial" w:hAnsi="Arial" w:cs="Arial"/>
          <w:kern w:val="0"/>
          <w14:ligatures w14:val="none"/>
        </w:rPr>
      </w:pPr>
      <w:r w:rsidRPr="00F26E98">
        <w:rPr>
          <w:rFonts w:ascii="Arial" w:hAnsi="Arial" w:cs="Arial"/>
          <w:kern w:val="0"/>
          <w14:ligatures w14:val="none"/>
        </w:rPr>
        <w:t>The principal limitation of this report is its reliance on secondary information.</w:t>
      </w:r>
      <w:r w:rsidR="00563BC7">
        <w:rPr>
          <w:rFonts w:ascii="Arial" w:hAnsi="Arial" w:cs="Arial"/>
          <w:kern w:val="0"/>
          <w14:ligatures w14:val="none"/>
        </w:rPr>
        <w:t xml:space="preserve"> </w:t>
      </w:r>
      <w:r w:rsidRPr="00F26E98">
        <w:rPr>
          <w:rFonts w:ascii="Arial" w:hAnsi="Arial" w:cs="Arial"/>
          <w:kern w:val="0"/>
          <w14:ligatures w14:val="none"/>
        </w:rPr>
        <w:t>Although academic research and corporate publications provide useful evidence, company sustainability reports may emphasise achievements while giving less attention to unresolved challenges.</w:t>
      </w:r>
    </w:p>
    <w:p w14:paraId="2CF3AF08" w14:textId="508A2FAE" w:rsidR="00FE0935" w:rsidRPr="00F26E98" w:rsidRDefault="00FE0935" w:rsidP="00D60FE4">
      <w:pPr>
        <w:spacing w:before="100" w:beforeAutospacing="1" w:after="100" w:afterAutospacing="1" w:line="360" w:lineRule="auto"/>
        <w:rPr>
          <w:rFonts w:ascii="Arial" w:hAnsi="Arial" w:cs="Arial"/>
          <w:kern w:val="0"/>
          <w14:ligatures w14:val="none"/>
        </w:rPr>
      </w:pPr>
      <w:r w:rsidRPr="00F26E98">
        <w:rPr>
          <w:rFonts w:ascii="Arial" w:hAnsi="Arial" w:cs="Arial"/>
          <w:kern w:val="0"/>
          <w14:ligatures w14:val="none"/>
        </w:rPr>
        <w:t xml:space="preserve">Furthermore, industry forecasts are based on assumptions about technological development, government policy and future </w:t>
      </w:r>
      <w:r w:rsidR="009A7603" w:rsidRPr="00F26E98">
        <w:rPr>
          <w:rFonts w:ascii="Arial" w:hAnsi="Arial" w:cs="Arial"/>
          <w:kern w:val="0"/>
          <w14:ligatures w14:val="none"/>
        </w:rPr>
        <w:t>demand. The</w:t>
      </w:r>
      <w:r w:rsidRPr="00F26E98">
        <w:rPr>
          <w:rFonts w:ascii="Arial" w:hAnsi="Arial" w:cs="Arial"/>
          <w:kern w:val="0"/>
          <w14:ligatures w14:val="none"/>
        </w:rPr>
        <w:t xml:space="preserve"> United Nations Environment Programme (2023) demonstrates the continuing gap between climate ambitions and the emissions reductions required to meet international objectives.</w:t>
      </w:r>
    </w:p>
    <w:p w14:paraId="3B26C9A6" w14:textId="0615316D" w:rsidR="00FE0935" w:rsidRPr="00F26E98" w:rsidRDefault="00FE0935" w:rsidP="00D60FE4">
      <w:pPr>
        <w:spacing w:before="100" w:beforeAutospacing="1" w:after="100" w:afterAutospacing="1" w:line="360" w:lineRule="auto"/>
        <w:rPr>
          <w:rFonts w:ascii="Arial" w:hAnsi="Arial" w:cs="Arial"/>
          <w:kern w:val="0"/>
          <w14:ligatures w14:val="none"/>
        </w:rPr>
      </w:pPr>
      <w:r w:rsidRPr="00F26E98">
        <w:rPr>
          <w:rFonts w:ascii="Arial" w:hAnsi="Arial" w:cs="Arial"/>
          <w:kern w:val="0"/>
          <w14:ligatures w14:val="none"/>
        </w:rPr>
        <w:t>Therefore, corporate sustainability commitments should not automatically be interpreted as evidence of future performance.</w:t>
      </w:r>
      <w:r w:rsidR="00563BC7">
        <w:rPr>
          <w:rFonts w:ascii="Arial" w:hAnsi="Arial" w:cs="Arial"/>
          <w:kern w:val="0"/>
          <w14:ligatures w14:val="none"/>
        </w:rPr>
        <w:t xml:space="preserve"> </w:t>
      </w:r>
      <w:r w:rsidRPr="00F26E98">
        <w:rPr>
          <w:rFonts w:ascii="Arial" w:hAnsi="Arial" w:cs="Arial"/>
          <w:kern w:val="0"/>
          <w14:ligatures w14:val="none"/>
        </w:rPr>
        <w:t>A professional consultant would seek independently verified emissions data, detailed investment costs, competitor benchmarks and customer purchasing information.</w:t>
      </w:r>
      <w:r w:rsidR="00563BC7">
        <w:rPr>
          <w:rFonts w:ascii="Arial" w:hAnsi="Arial" w:cs="Arial"/>
          <w:kern w:val="0"/>
          <w14:ligatures w14:val="none"/>
        </w:rPr>
        <w:t xml:space="preserve"> </w:t>
      </w:r>
      <w:r w:rsidRPr="00F26E98">
        <w:rPr>
          <w:rFonts w:ascii="Arial" w:hAnsi="Arial" w:cs="Arial"/>
          <w:kern w:val="0"/>
          <w14:ligatures w14:val="none"/>
        </w:rPr>
        <w:t>I would also investigate whether customers are willing to pay higher prices for environmentally differentiated mineral products.</w:t>
      </w:r>
    </w:p>
    <w:p w14:paraId="5A12C968" w14:textId="77777777" w:rsidR="00FE0935" w:rsidRPr="00F26E98" w:rsidRDefault="00FE0935" w:rsidP="00D60FE4">
      <w:pPr>
        <w:spacing w:before="100" w:beforeAutospacing="1" w:after="100" w:afterAutospacing="1" w:line="360" w:lineRule="auto"/>
        <w:outlineLvl w:val="1"/>
        <w:rPr>
          <w:rFonts w:ascii="Arial" w:eastAsia="Times New Roman" w:hAnsi="Arial" w:cs="Arial"/>
          <w:b/>
          <w:bCs/>
          <w:kern w:val="0"/>
          <w14:ligatures w14:val="none"/>
        </w:rPr>
      </w:pPr>
      <w:bookmarkStart w:id="54" w:name="_Toc243240459"/>
      <w:bookmarkStart w:id="55" w:name="_Toc243341333"/>
      <w:r w:rsidRPr="00F26E98">
        <w:rPr>
          <w:rFonts w:ascii="Arial" w:eastAsia="Times New Roman" w:hAnsi="Arial" w:cs="Arial"/>
          <w:b/>
          <w:bCs/>
          <w:kern w:val="0"/>
          <w14:ligatures w14:val="none"/>
        </w:rPr>
        <w:t>3.5 Professional Learning and Future Development</w:t>
      </w:r>
      <w:bookmarkEnd w:id="54"/>
      <w:bookmarkEnd w:id="55"/>
    </w:p>
    <w:p w14:paraId="4935CB1A" w14:textId="0E6CAC41" w:rsidR="00FE0935" w:rsidRPr="00F26E98" w:rsidRDefault="00FE0935" w:rsidP="00D60FE4">
      <w:pPr>
        <w:spacing w:before="100" w:beforeAutospacing="1" w:after="100" w:afterAutospacing="1" w:line="360" w:lineRule="auto"/>
        <w:rPr>
          <w:rFonts w:ascii="Arial" w:hAnsi="Arial" w:cs="Arial"/>
          <w:kern w:val="0"/>
          <w14:ligatures w14:val="none"/>
        </w:rPr>
      </w:pPr>
      <w:r w:rsidRPr="00F26E98">
        <w:rPr>
          <w:rFonts w:ascii="Arial" w:hAnsi="Arial" w:cs="Arial"/>
          <w:kern w:val="0"/>
          <w14:ligatures w14:val="none"/>
        </w:rPr>
        <w:t>This assignment has strengthened my ability to apply marketing frameworks to complex strategic decisions.</w:t>
      </w:r>
      <w:r w:rsidR="00563BC7">
        <w:rPr>
          <w:rFonts w:ascii="Arial" w:hAnsi="Arial" w:cs="Arial"/>
          <w:kern w:val="0"/>
          <w14:ligatures w14:val="none"/>
        </w:rPr>
        <w:t xml:space="preserve"> </w:t>
      </w:r>
      <w:r w:rsidRPr="00F26E98">
        <w:rPr>
          <w:rFonts w:ascii="Arial" w:hAnsi="Arial" w:cs="Arial"/>
          <w:kern w:val="0"/>
          <w14:ligatures w14:val="none"/>
        </w:rPr>
        <w:t>It has also improved my understanding of critical evaluation, particularly the importance of questioning assumptions and comparing alternative recommendations.</w:t>
      </w:r>
      <w:r w:rsidR="00563BC7">
        <w:rPr>
          <w:rFonts w:ascii="Arial" w:hAnsi="Arial" w:cs="Arial"/>
          <w:kern w:val="0"/>
          <w14:ligatures w14:val="none"/>
        </w:rPr>
        <w:t xml:space="preserve"> </w:t>
      </w:r>
      <w:r w:rsidRPr="00F26E98">
        <w:rPr>
          <w:rFonts w:ascii="Arial" w:hAnsi="Arial" w:cs="Arial"/>
          <w:kern w:val="0"/>
          <w14:ligatures w14:val="none"/>
        </w:rPr>
        <w:t>If presenting to BHP’s senior leadership, I would recommend a phased strategy supported by measurable environmental and financial indicators.</w:t>
      </w:r>
    </w:p>
    <w:p w14:paraId="498DE34E" w14:textId="77777777" w:rsidR="00EA2AFD" w:rsidRDefault="00FE0935" w:rsidP="00D60FE4">
      <w:pPr>
        <w:spacing w:before="100" w:beforeAutospacing="1" w:after="100" w:afterAutospacing="1" w:line="360" w:lineRule="auto"/>
        <w:rPr>
          <w:rFonts w:ascii="Arial" w:hAnsi="Arial" w:cs="Arial"/>
          <w:kern w:val="0"/>
          <w14:ligatures w14:val="none"/>
        </w:rPr>
      </w:pPr>
      <w:r w:rsidRPr="00F26E98">
        <w:rPr>
          <w:rFonts w:ascii="Arial" w:hAnsi="Arial" w:cs="Arial"/>
          <w:kern w:val="0"/>
          <w14:ligatures w14:val="none"/>
        </w:rPr>
        <w:t>My principal professional learning is that effective strategic management requires balancing sustainability, commercial performance and stakeholder responsibilities.</w:t>
      </w:r>
      <w:r w:rsidR="00563BC7">
        <w:rPr>
          <w:rFonts w:ascii="Arial" w:hAnsi="Arial" w:cs="Arial"/>
          <w:kern w:val="0"/>
          <w14:ligatures w14:val="none"/>
        </w:rPr>
        <w:t xml:space="preserve"> </w:t>
      </w:r>
      <w:r w:rsidRPr="00F26E98">
        <w:rPr>
          <w:rFonts w:ascii="Arial" w:hAnsi="Arial" w:cs="Arial"/>
          <w:kern w:val="0"/>
          <w14:ligatures w14:val="none"/>
        </w:rPr>
        <w:t>In future professional practice, I intend to strengthen my analytical skills by using quantitative evidence, financial scenario analysis and independently verified information when developing strategic recommendations.</w:t>
      </w:r>
    </w:p>
    <w:p w14:paraId="734A461B" w14:textId="77777777" w:rsidR="00EA2AFD" w:rsidRDefault="00EA2AFD" w:rsidP="00D60FE4">
      <w:pPr>
        <w:spacing w:before="100" w:beforeAutospacing="1" w:after="100" w:afterAutospacing="1" w:line="360" w:lineRule="auto"/>
        <w:rPr>
          <w:rFonts w:ascii="Arial" w:hAnsi="Arial" w:cs="Arial"/>
          <w:kern w:val="0"/>
          <w14:ligatures w14:val="none"/>
        </w:rPr>
      </w:pPr>
    </w:p>
    <w:p w14:paraId="5B499805" w14:textId="6355F2A3" w:rsidR="00FE0935" w:rsidRPr="00EA2AFD" w:rsidRDefault="00FE0935" w:rsidP="00D60FE4">
      <w:pPr>
        <w:pStyle w:val="Heading1"/>
        <w:spacing w:line="360" w:lineRule="auto"/>
        <w:rPr>
          <w:rFonts w:ascii="Arial" w:hAnsi="Arial" w:cs="Arial"/>
          <w:kern w:val="0"/>
          <w14:ligatures w14:val="none"/>
        </w:rPr>
      </w:pPr>
      <w:bookmarkStart w:id="56" w:name="_Toc243240460"/>
      <w:bookmarkStart w:id="57" w:name="_Toc243341334"/>
      <w:r w:rsidRPr="00C9245B">
        <w:t>Conclusion</w:t>
      </w:r>
      <w:bookmarkEnd w:id="56"/>
      <w:bookmarkEnd w:id="57"/>
    </w:p>
    <w:p w14:paraId="49182E8C" w14:textId="3F0D296F" w:rsidR="004E3337" w:rsidRPr="00F47EF7" w:rsidRDefault="00FE0935" w:rsidP="00D60FE4">
      <w:pPr>
        <w:pStyle w:val="p1"/>
        <w:spacing w:line="360" w:lineRule="auto"/>
        <w:rPr>
          <w:rFonts w:ascii="Arial" w:hAnsi="Arial" w:cs="Arial"/>
        </w:rPr>
      </w:pPr>
      <w:r w:rsidRPr="00F26E98">
        <w:rPr>
          <w:rFonts w:ascii="Arial" w:hAnsi="Arial" w:cs="Arial"/>
        </w:rPr>
        <w:t xml:space="preserve">This report has critically examined the external marketing environment influencing BHP’s transition towards a lower-carbon business </w:t>
      </w:r>
      <w:r w:rsidR="009A7603" w:rsidRPr="00F26E98">
        <w:rPr>
          <w:rFonts w:ascii="Arial" w:hAnsi="Arial" w:cs="Arial"/>
        </w:rPr>
        <w:t>model.</w:t>
      </w:r>
      <w:r w:rsidR="009A7603" w:rsidRPr="004E3337">
        <w:t xml:space="preserve"> </w:t>
      </w:r>
      <w:r w:rsidR="004E3337" w:rsidRPr="00F47EF7">
        <w:rPr>
          <w:rFonts w:ascii="Arial" w:hAnsi="Arial" w:cs="Arial"/>
        </w:rPr>
        <w:t xml:space="preserve">The </w:t>
      </w:r>
      <w:r w:rsidR="004E3337" w:rsidRPr="0066089D">
        <w:rPr>
          <w:rFonts w:ascii="Arial" w:hAnsi="Arial" w:cs="Arial"/>
          <w:b/>
          <w:bCs/>
        </w:rPr>
        <w:t>natural environment</w:t>
      </w:r>
      <w:r w:rsidR="004E3337" w:rsidRPr="00F47EF7">
        <w:rPr>
          <w:rFonts w:ascii="Arial" w:hAnsi="Arial" w:cs="Arial"/>
        </w:rPr>
        <w:t xml:space="preserve">, </w:t>
      </w:r>
      <w:r w:rsidR="004E3337" w:rsidRPr="0066089D">
        <w:rPr>
          <w:rFonts w:ascii="Arial" w:hAnsi="Arial" w:cs="Arial"/>
          <w:b/>
          <w:bCs/>
        </w:rPr>
        <w:t>politica</w:t>
      </w:r>
      <w:r w:rsidR="00DC5987">
        <w:rPr>
          <w:rFonts w:ascii="Arial" w:hAnsi="Arial" w:cs="Arial"/>
          <w:b/>
          <w:bCs/>
        </w:rPr>
        <w:t>l,</w:t>
      </w:r>
      <w:r w:rsidR="004E3337" w:rsidRPr="00F47EF7">
        <w:rPr>
          <w:rFonts w:ascii="Arial" w:hAnsi="Arial" w:cs="Arial"/>
        </w:rPr>
        <w:t xml:space="preserve"> </w:t>
      </w:r>
      <w:r w:rsidR="004E3337" w:rsidRPr="0066089D">
        <w:rPr>
          <w:rFonts w:ascii="Arial" w:hAnsi="Arial" w:cs="Arial"/>
          <w:b/>
          <w:bCs/>
        </w:rPr>
        <w:t>legal environment</w:t>
      </w:r>
      <w:r w:rsidR="004E3337" w:rsidRPr="00F47EF7">
        <w:rPr>
          <w:rFonts w:ascii="Arial" w:hAnsi="Arial" w:cs="Arial"/>
        </w:rPr>
        <w:t xml:space="preserve">, and </w:t>
      </w:r>
      <w:r w:rsidR="004E3337" w:rsidRPr="00DC5987">
        <w:rPr>
          <w:rFonts w:ascii="Arial" w:hAnsi="Arial" w:cs="Arial"/>
          <w:b/>
          <w:bCs/>
        </w:rPr>
        <w:t>social environment</w:t>
      </w:r>
      <w:r w:rsidR="004E3337" w:rsidRPr="00F47EF7">
        <w:rPr>
          <w:rFonts w:ascii="Arial" w:hAnsi="Arial" w:cs="Arial"/>
        </w:rPr>
        <w:t xml:space="preserve"> were identified as three interconnected macroenvironmental factors influencing </w:t>
      </w:r>
      <w:r w:rsidR="004E3337" w:rsidRPr="00A90AE0">
        <w:rPr>
          <w:rFonts w:ascii="Arial" w:hAnsi="Arial" w:cs="Arial"/>
          <w:b/>
          <w:bCs/>
        </w:rPr>
        <w:t>BHP’s</w:t>
      </w:r>
      <w:r w:rsidR="004E3337" w:rsidRPr="00F47EF7">
        <w:rPr>
          <w:rFonts w:ascii="Arial" w:hAnsi="Arial" w:cs="Arial"/>
        </w:rPr>
        <w:t xml:space="preserve"> strategic decisions, sustainability performance and long-term competitiveness.</w:t>
      </w:r>
    </w:p>
    <w:p w14:paraId="053671DC" w14:textId="5FF60A9A" w:rsidR="00FE0935" w:rsidRPr="00F26E98" w:rsidRDefault="00FE0935" w:rsidP="00D60FE4">
      <w:pPr>
        <w:spacing w:before="100" w:beforeAutospacing="1" w:after="100" w:afterAutospacing="1" w:line="360" w:lineRule="auto"/>
        <w:rPr>
          <w:rFonts w:ascii="Arial" w:hAnsi="Arial" w:cs="Arial"/>
          <w:kern w:val="0"/>
          <w14:ligatures w14:val="none"/>
        </w:rPr>
      </w:pPr>
      <w:r w:rsidRPr="00F26E98">
        <w:rPr>
          <w:rFonts w:ascii="Arial" w:hAnsi="Arial" w:cs="Arial"/>
          <w:kern w:val="0"/>
          <w14:ligatures w14:val="none"/>
        </w:rPr>
        <w:t xml:space="preserve">Environmental challenges create substantial risks associated with greenhouse gas emissions, resource consumption and ecological impacts. However, they also present opportunities for innovation, customer collaboration and competitive </w:t>
      </w:r>
      <w:r w:rsidR="009A7603" w:rsidRPr="00F26E98">
        <w:rPr>
          <w:rFonts w:ascii="Arial" w:hAnsi="Arial" w:cs="Arial"/>
          <w:kern w:val="0"/>
          <w14:ligatures w14:val="none"/>
        </w:rPr>
        <w:t xml:space="preserve">differentiation. </w:t>
      </w:r>
      <w:r w:rsidR="009A7603" w:rsidRPr="00DC5987">
        <w:rPr>
          <w:rFonts w:ascii="Arial" w:hAnsi="Arial" w:cs="Arial"/>
          <w:b/>
          <w:bCs/>
          <w:kern w:val="0"/>
          <w14:ligatures w14:val="none"/>
        </w:rPr>
        <w:t>The</w:t>
      </w:r>
      <w:r w:rsidRPr="00F26E98">
        <w:rPr>
          <w:rFonts w:ascii="Arial" w:hAnsi="Arial" w:cs="Arial"/>
          <w:kern w:val="0"/>
          <w14:ligatures w14:val="none"/>
        </w:rPr>
        <w:t xml:space="preserve"> </w:t>
      </w:r>
      <w:r w:rsidRPr="00DC5987">
        <w:rPr>
          <w:rFonts w:ascii="Arial" w:hAnsi="Arial" w:cs="Arial"/>
          <w:b/>
          <w:bCs/>
          <w:kern w:val="0"/>
          <w14:ligatures w14:val="none"/>
        </w:rPr>
        <w:t>application of Ansoff’s Growth Matrix</w:t>
      </w:r>
      <w:r w:rsidRPr="00F26E98">
        <w:rPr>
          <w:rFonts w:ascii="Arial" w:hAnsi="Arial" w:cs="Arial"/>
          <w:kern w:val="0"/>
          <w14:ligatures w14:val="none"/>
        </w:rPr>
        <w:t xml:space="preserve"> supports market penetration combined with selective product development as an appropriate growth approach.</w:t>
      </w:r>
    </w:p>
    <w:p w14:paraId="7569801B" w14:textId="3FB5E762" w:rsidR="00FE0935" w:rsidRPr="00B1666F" w:rsidRDefault="00FE0935" w:rsidP="00D60FE4">
      <w:pPr>
        <w:spacing w:before="100" w:beforeAutospacing="1" w:after="100" w:afterAutospacing="1" w:line="360" w:lineRule="auto"/>
        <w:rPr>
          <w:rFonts w:ascii="Arial" w:hAnsi="Arial" w:cs="Arial"/>
          <w:kern w:val="0"/>
          <w14:ligatures w14:val="none"/>
        </w:rPr>
      </w:pPr>
      <w:r w:rsidRPr="00DC5987">
        <w:rPr>
          <w:rFonts w:ascii="Arial" w:hAnsi="Arial" w:cs="Arial"/>
          <w:b/>
          <w:bCs/>
          <w:kern w:val="0"/>
          <w14:ligatures w14:val="none"/>
        </w:rPr>
        <w:t>Porter’s differentiation strategy</w:t>
      </w:r>
      <w:r w:rsidRPr="00F26E98">
        <w:rPr>
          <w:rFonts w:ascii="Arial" w:hAnsi="Arial" w:cs="Arial"/>
          <w:kern w:val="0"/>
          <w14:ligatures w14:val="none"/>
        </w:rPr>
        <w:t xml:space="preserve"> further suggests that independently verified environmental performance, technical expertise and supply reliability could strengthen</w:t>
      </w:r>
      <w:r w:rsidRPr="00DB1CEA">
        <w:rPr>
          <w:rFonts w:ascii="Arial" w:hAnsi="Arial" w:cs="Arial"/>
          <w:b/>
          <w:bCs/>
          <w:kern w:val="0"/>
          <w14:ligatures w14:val="none"/>
        </w:rPr>
        <w:t xml:space="preserve"> BHP’s</w:t>
      </w:r>
      <w:r w:rsidRPr="00F26E98">
        <w:rPr>
          <w:rFonts w:ascii="Arial" w:hAnsi="Arial" w:cs="Arial"/>
          <w:kern w:val="0"/>
          <w14:ligatures w14:val="none"/>
        </w:rPr>
        <w:t xml:space="preserve"> competitive position.</w:t>
      </w:r>
      <w:r w:rsidR="00563BC7">
        <w:rPr>
          <w:rFonts w:ascii="Arial" w:hAnsi="Arial" w:cs="Arial"/>
          <w:kern w:val="0"/>
          <w14:ligatures w14:val="none"/>
        </w:rPr>
        <w:t xml:space="preserve"> </w:t>
      </w:r>
      <w:r w:rsidRPr="00B1666F">
        <w:rPr>
          <w:rFonts w:ascii="Arial" w:hAnsi="Arial" w:cs="Arial"/>
          <w:kern w:val="0"/>
          <w14:ligatures w14:val="none"/>
        </w:rPr>
        <w:t xml:space="preserve">Nevertheless, environmental investment does not automatically create competitive advantage. Success depends on customer demand, commercial feasibility, measurable environmental improvements and effective </w:t>
      </w:r>
      <w:r w:rsidR="00AF07AD" w:rsidRPr="00B1666F">
        <w:rPr>
          <w:rFonts w:ascii="Arial" w:hAnsi="Arial" w:cs="Arial"/>
          <w:kern w:val="0"/>
          <w14:ligatures w14:val="none"/>
        </w:rPr>
        <w:t>implementation.</w:t>
      </w:r>
      <w:r w:rsidR="00AF07AD" w:rsidRPr="00DB1CEA">
        <w:rPr>
          <w:rFonts w:ascii="Arial" w:hAnsi="Arial" w:cs="Arial"/>
          <w:b/>
          <w:bCs/>
          <w:kern w:val="0"/>
          <w14:ligatures w14:val="none"/>
        </w:rPr>
        <w:t xml:space="preserve"> BHP</w:t>
      </w:r>
      <w:r w:rsidRPr="00B1666F">
        <w:rPr>
          <w:rFonts w:ascii="Arial" w:hAnsi="Arial" w:cs="Arial"/>
          <w:kern w:val="0"/>
          <w14:ligatures w14:val="none"/>
        </w:rPr>
        <w:t xml:space="preserve"> should therefore pursue a phased, evidence-based strategy that integrates environmental responsibility into its commercial decision-making.</w:t>
      </w:r>
    </w:p>
    <w:p w14:paraId="7CB54798" w14:textId="77777777" w:rsidR="00C9245B" w:rsidRDefault="00C9245B" w:rsidP="00D60FE4">
      <w:pPr>
        <w:spacing w:before="100" w:beforeAutospacing="1" w:after="100" w:afterAutospacing="1" w:line="360" w:lineRule="auto"/>
        <w:outlineLvl w:val="0"/>
        <w:rPr>
          <w:rFonts w:ascii="Times New Roman" w:eastAsia="Times New Roman" w:hAnsi="Times New Roman" w:cs="Times New Roman"/>
          <w:b/>
          <w:bCs/>
          <w:kern w:val="36"/>
          <w:sz w:val="48"/>
          <w:szCs w:val="48"/>
          <w14:ligatures w14:val="none"/>
        </w:rPr>
      </w:pPr>
    </w:p>
    <w:p w14:paraId="0BA08415" w14:textId="77777777" w:rsidR="00B14EA0" w:rsidRDefault="00B14EA0" w:rsidP="00D60FE4">
      <w:pPr>
        <w:pStyle w:val="Heading1"/>
        <w:spacing w:line="360" w:lineRule="auto"/>
        <w:rPr>
          <w:rFonts w:ascii="Arial" w:eastAsia="Times New Roman" w:hAnsi="Arial" w:cs="Arial"/>
          <w:sz w:val="24"/>
          <w:szCs w:val="24"/>
        </w:rPr>
      </w:pPr>
    </w:p>
    <w:p w14:paraId="6AC33C9D" w14:textId="77777777" w:rsidR="00B14EA0" w:rsidRDefault="00B14EA0" w:rsidP="004913D4">
      <w:pPr>
        <w:pStyle w:val="Heading1"/>
        <w:spacing w:line="360" w:lineRule="auto"/>
        <w:rPr>
          <w:rFonts w:ascii="Arial" w:eastAsia="Times New Roman" w:hAnsi="Arial" w:cs="Arial"/>
          <w:sz w:val="24"/>
          <w:szCs w:val="24"/>
        </w:rPr>
      </w:pPr>
    </w:p>
    <w:p w14:paraId="5BDFE8E7" w14:textId="77777777" w:rsidR="001950C4" w:rsidRDefault="001950C4" w:rsidP="0051371B">
      <w:pPr>
        <w:pStyle w:val="Heading1"/>
        <w:rPr>
          <w:rFonts w:ascii="Arial" w:eastAsia="Times New Roman" w:hAnsi="Arial" w:cs="Arial"/>
          <w:sz w:val="24"/>
          <w:szCs w:val="24"/>
        </w:rPr>
      </w:pPr>
    </w:p>
    <w:p w14:paraId="136321E8" w14:textId="77777777" w:rsidR="001950C4" w:rsidRDefault="001950C4" w:rsidP="0051371B">
      <w:pPr>
        <w:pStyle w:val="Heading1"/>
        <w:rPr>
          <w:rFonts w:ascii="Arial" w:eastAsia="Times New Roman" w:hAnsi="Arial" w:cs="Arial"/>
          <w:sz w:val="24"/>
          <w:szCs w:val="24"/>
        </w:rPr>
      </w:pPr>
    </w:p>
    <w:p w14:paraId="0E8EC4CA" w14:textId="77777777" w:rsidR="001950C4" w:rsidRDefault="001950C4" w:rsidP="001950C4">
      <w:pPr>
        <w:rPr>
          <w:rFonts w:eastAsia="Times New Roman"/>
        </w:rPr>
      </w:pPr>
    </w:p>
    <w:p w14:paraId="6B6476F4" w14:textId="1620345B" w:rsidR="00FE0935" w:rsidRPr="00B30463" w:rsidRDefault="00FE0935" w:rsidP="00B30463">
      <w:pPr>
        <w:pStyle w:val="Heading1"/>
      </w:pPr>
      <w:bookmarkStart w:id="58" w:name="_Toc243240461"/>
      <w:bookmarkStart w:id="59" w:name="_Toc243341335"/>
      <w:r w:rsidRPr="00B30463">
        <w:t>References</w:t>
      </w:r>
      <w:bookmarkEnd w:id="58"/>
      <w:bookmarkEnd w:id="59"/>
    </w:p>
    <w:p w14:paraId="0834651B" w14:textId="77777777" w:rsidR="00FE0935" w:rsidRPr="00B30463" w:rsidRDefault="00FE0935" w:rsidP="00B30463">
      <w:pPr>
        <w:spacing w:before="100" w:beforeAutospacing="1" w:after="100" w:afterAutospacing="1" w:line="360" w:lineRule="auto"/>
        <w:rPr>
          <w:rFonts w:ascii="Arial" w:hAnsi="Arial" w:cs="Arial"/>
          <w:kern w:val="0"/>
          <w14:ligatures w14:val="none"/>
        </w:rPr>
      </w:pPr>
      <w:r w:rsidRPr="00B30463">
        <w:rPr>
          <w:rFonts w:ascii="Arial" w:hAnsi="Arial" w:cs="Arial"/>
          <w:kern w:val="0"/>
          <w14:ligatures w14:val="none"/>
        </w:rPr>
        <w:t xml:space="preserve">Ansoff, H.I. (1957) ‘Strategies for diversification’, </w:t>
      </w:r>
      <w:r w:rsidRPr="00B30463">
        <w:rPr>
          <w:rFonts w:ascii="Arial" w:hAnsi="Arial" w:cs="Arial"/>
          <w:i/>
          <w:iCs/>
          <w:kern w:val="0"/>
          <w14:ligatures w14:val="none"/>
        </w:rPr>
        <w:t>Harvard Business Review</w:t>
      </w:r>
      <w:r w:rsidRPr="00B30463">
        <w:rPr>
          <w:rFonts w:ascii="Arial" w:hAnsi="Arial" w:cs="Arial"/>
          <w:kern w:val="0"/>
          <w14:ligatures w14:val="none"/>
        </w:rPr>
        <w:t>, 35(5), pp. 113–124.</w:t>
      </w:r>
    </w:p>
    <w:p w14:paraId="5D177707" w14:textId="77777777" w:rsidR="00FE0935" w:rsidRPr="00B30463" w:rsidRDefault="00FE0935" w:rsidP="00B30463">
      <w:pPr>
        <w:spacing w:before="100" w:beforeAutospacing="1" w:after="100" w:afterAutospacing="1" w:line="360" w:lineRule="auto"/>
        <w:rPr>
          <w:rFonts w:ascii="Arial" w:hAnsi="Arial" w:cs="Arial"/>
          <w:kern w:val="0"/>
          <w14:ligatures w14:val="none"/>
        </w:rPr>
      </w:pPr>
      <w:r w:rsidRPr="00B30463">
        <w:rPr>
          <w:rFonts w:ascii="Arial" w:hAnsi="Arial" w:cs="Arial"/>
          <w:kern w:val="0"/>
          <w14:ligatures w14:val="none"/>
        </w:rPr>
        <w:t xml:space="preserve">Barney, J. (1991) ‘Firm resources and sustained competitive advantage’, </w:t>
      </w:r>
      <w:r w:rsidRPr="00B30463">
        <w:rPr>
          <w:rFonts w:ascii="Arial" w:hAnsi="Arial" w:cs="Arial"/>
          <w:i/>
          <w:iCs/>
          <w:kern w:val="0"/>
          <w14:ligatures w14:val="none"/>
        </w:rPr>
        <w:t>Journal of Management</w:t>
      </w:r>
      <w:r w:rsidRPr="00B30463">
        <w:rPr>
          <w:rFonts w:ascii="Arial" w:hAnsi="Arial" w:cs="Arial"/>
          <w:kern w:val="0"/>
          <w14:ligatures w14:val="none"/>
        </w:rPr>
        <w:t>, 17(1), pp. 99–120.</w:t>
      </w:r>
    </w:p>
    <w:p w14:paraId="683E268D" w14:textId="77777777" w:rsidR="00FE0935" w:rsidRPr="00B30463" w:rsidRDefault="00FE0935" w:rsidP="00B30463">
      <w:pPr>
        <w:spacing w:before="100" w:beforeAutospacing="1" w:after="100" w:afterAutospacing="1" w:line="360" w:lineRule="auto"/>
        <w:rPr>
          <w:rFonts w:ascii="Arial" w:hAnsi="Arial" w:cs="Arial"/>
          <w:kern w:val="0"/>
          <w14:ligatures w14:val="none"/>
        </w:rPr>
      </w:pPr>
      <w:r w:rsidRPr="00B30463">
        <w:rPr>
          <w:rFonts w:ascii="Arial" w:hAnsi="Arial" w:cs="Arial"/>
          <w:kern w:val="0"/>
          <w14:ligatures w14:val="none"/>
        </w:rPr>
        <w:t xml:space="preserve">BHP (2024) </w:t>
      </w:r>
      <w:r w:rsidRPr="00B30463">
        <w:rPr>
          <w:rFonts w:ascii="Arial" w:hAnsi="Arial" w:cs="Arial"/>
          <w:i/>
          <w:iCs/>
          <w:kern w:val="0"/>
          <w14:ligatures w14:val="none"/>
        </w:rPr>
        <w:t>Climate transition action plan 2024</w:t>
      </w:r>
      <w:r w:rsidRPr="00B30463">
        <w:rPr>
          <w:rFonts w:ascii="Arial" w:hAnsi="Arial" w:cs="Arial"/>
          <w:kern w:val="0"/>
          <w14:ligatures w14:val="none"/>
        </w:rPr>
        <w:t>. Melbourne: BHP Group Limited.</w:t>
      </w:r>
    </w:p>
    <w:p w14:paraId="3359D55A" w14:textId="77777777" w:rsidR="00FE0935" w:rsidRPr="00B30463" w:rsidRDefault="00FE0935" w:rsidP="00B30463">
      <w:pPr>
        <w:spacing w:before="100" w:beforeAutospacing="1" w:after="100" w:afterAutospacing="1" w:line="360" w:lineRule="auto"/>
        <w:rPr>
          <w:rFonts w:ascii="Arial" w:hAnsi="Arial" w:cs="Arial"/>
          <w:kern w:val="0"/>
          <w14:ligatures w14:val="none"/>
        </w:rPr>
      </w:pPr>
      <w:r w:rsidRPr="00B30463">
        <w:rPr>
          <w:rFonts w:ascii="Arial" w:hAnsi="Arial" w:cs="Arial"/>
          <w:kern w:val="0"/>
          <w14:ligatures w14:val="none"/>
        </w:rPr>
        <w:t xml:space="preserve">BHP (2025) </w:t>
      </w:r>
      <w:r w:rsidRPr="00B30463">
        <w:rPr>
          <w:rFonts w:ascii="Arial" w:hAnsi="Arial" w:cs="Arial"/>
          <w:i/>
          <w:iCs/>
          <w:kern w:val="0"/>
          <w14:ligatures w14:val="none"/>
        </w:rPr>
        <w:t>Annual report 2025</w:t>
      </w:r>
      <w:r w:rsidRPr="00B30463">
        <w:rPr>
          <w:rFonts w:ascii="Arial" w:hAnsi="Arial" w:cs="Arial"/>
          <w:kern w:val="0"/>
          <w14:ligatures w14:val="none"/>
        </w:rPr>
        <w:t>. Melbourne: BHP Group Limited.</w:t>
      </w:r>
    </w:p>
    <w:p w14:paraId="185AA747" w14:textId="77777777" w:rsidR="00FE0935" w:rsidRPr="00B30463" w:rsidRDefault="00FE0935" w:rsidP="00B30463">
      <w:pPr>
        <w:spacing w:before="100" w:beforeAutospacing="1" w:after="100" w:afterAutospacing="1" w:line="360" w:lineRule="auto"/>
        <w:rPr>
          <w:rFonts w:ascii="Arial" w:hAnsi="Arial" w:cs="Arial"/>
          <w:kern w:val="0"/>
          <w14:ligatures w14:val="none"/>
        </w:rPr>
      </w:pPr>
      <w:r w:rsidRPr="00B30463">
        <w:rPr>
          <w:rFonts w:ascii="Arial" w:hAnsi="Arial" w:cs="Arial"/>
          <w:kern w:val="0"/>
          <w14:ligatures w14:val="none"/>
        </w:rPr>
        <w:t xml:space="preserve">BHP (2026) </w:t>
      </w:r>
      <w:r w:rsidRPr="00B30463">
        <w:rPr>
          <w:rFonts w:ascii="Arial" w:hAnsi="Arial" w:cs="Arial"/>
          <w:i/>
          <w:iCs/>
          <w:kern w:val="0"/>
          <w14:ligatures w14:val="none"/>
        </w:rPr>
        <w:t>Annual report 2026</w:t>
      </w:r>
      <w:r w:rsidRPr="00B30463">
        <w:rPr>
          <w:rFonts w:ascii="Arial" w:hAnsi="Arial" w:cs="Arial"/>
          <w:kern w:val="0"/>
          <w14:ligatures w14:val="none"/>
        </w:rPr>
        <w:t>. Melbourne: BHP Group Limited.</w:t>
      </w:r>
    </w:p>
    <w:p w14:paraId="68D01081" w14:textId="77777777" w:rsidR="00FE0935" w:rsidRPr="00B30463" w:rsidRDefault="00FE0935" w:rsidP="00B30463">
      <w:pPr>
        <w:spacing w:before="100" w:beforeAutospacing="1" w:after="100" w:afterAutospacing="1" w:line="360" w:lineRule="auto"/>
        <w:rPr>
          <w:rFonts w:ascii="Arial" w:hAnsi="Arial" w:cs="Arial"/>
          <w:kern w:val="0"/>
          <w14:ligatures w14:val="none"/>
        </w:rPr>
      </w:pPr>
      <w:r w:rsidRPr="00B30463">
        <w:rPr>
          <w:rFonts w:ascii="Arial" w:hAnsi="Arial" w:cs="Arial"/>
          <w:kern w:val="0"/>
          <w14:ligatures w14:val="none"/>
        </w:rPr>
        <w:t xml:space="preserve">Dangelico, R.M. and Vocalelli, D. (2017) ‘“Green marketing”: An analysis of definitions, strategy steps, and tools through a systematic review of the literature’, </w:t>
      </w:r>
      <w:r w:rsidRPr="00B30463">
        <w:rPr>
          <w:rFonts w:ascii="Arial" w:hAnsi="Arial" w:cs="Arial"/>
          <w:i/>
          <w:iCs/>
          <w:kern w:val="0"/>
          <w14:ligatures w14:val="none"/>
        </w:rPr>
        <w:t>Journal of Cleaner Production</w:t>
      </w:r>
      <w:r w:rsidRPr="00B30463">
        <w:rPr>
          <w:rFonts w:ascii="Arial" w:hAnsi="Arial" w:cs="Arial"/>
          <w:kern w:val="0"/>
          <w14:ligatures w14:val="none"/>
        </w:rPr>
        <w:t>, 165, pp. 1263–1279.</w:t>
      </w:r>
    </w:p>
    <w:p w14:paraId="11160A2B" w14:textId="77777777" w:rsidR="00FE0935" w:rsidRPr="00B30463" w:rsidRDefault="00FE0935" w:rsidP="00B30463">
      <w:pPr>
        <w:spacing w:before="100" w:beforeAutospacing="1" w:after="100" w:afterAutospacing="1" w:line="360" w:lineRule="auto"/>
        <w:rPr>
          <w:rFonts w:ascii="Arial" w:hAnsi="Arial" w:cs="Arial"/>
          <w:kern w:val="0"/>
          <w14:ligatures w14:val="none"/>
        </w:rPr>
      </w:pPr>
      <w:r w:rsidRPr="00B30463">
        <w:rPr>
          <w:rFonts w:ascii="Arial" w:hAnsi="Arial" w:cs="Arial"/>
          <w:kern w:val="0"/>
          <w14:ligatures w14:val="none"/>
        </w:rPr>
        <w:t xml:space="preserve">Delmas, M.A. and Burbano, V.C. (2011) ‘The drivers of greenwashing’, </w:t>
      </w:r>
      <w:r w:rsidRPr="00B30463">
        <w:rPr>
          <w:rFonts w:ascii="Arial" w:hAnsi="Arial" w:cs="Arial"/>
          <w:i/>
          <w:iCs/>
          <w:kern w:val="0"/>
          <w14:ligatures w14:val="none"/>
        </w:rPr>
        <w:t>California Management Review</w:t>
      </w:r>
      <w:r w:rsidRPr="00B30463">
        <w:rPr>
          <w:rFonts w:ascii="Arial" w:hAnsi="Arial" w:cs="Arial"/>
          <w:kern w:val="0"/>
          <w14:ligatures w14:val="none"/>
        </w:rPr>
        <w:t>, 54(1), pp. 64–87.</w:t>
      </w:r>
    </w:p>
    <w:p w14:paraId="17F447FB" w14:textId="77777777" w:rsidR="001F79CE" w:rsidRPr="00B30463" w:rsidRDefault="001F79CE" w:rsidP="00B30463">
      <w:pPr>
        <w:pStyle w:val="p1"/>
        <w:spacing w:line="360" w:lineRule="auto"/>
        <w:rPr>
          <w:rStyle w:val="s1"/>
          <w:rFonts w:ascii="Arial" w:hAnsi="Arial" w:cs="Arial"/>
        </w:rPr>
      </w:pPr>
      <w:r w:rsidRPr="00B30463">
        <w:rPr>
          <w:rFonts w:ascii="Arial" w:hAnsi="Arial" w:cs="Arial"/>
        </w:rPr>
        <w:t xml:space="preserve">DiMaggio, P.J. and Powell, W.W. (1983) ‘The iron cage revisited: Institutional isomorphism and collective rationality in organizational fields’, </w:t>
      </w:r>
      <w:r w:rsidRPr="00B30463">
        <w:rPr>
          <w:rStyle w:val="s2"/>
          <w:rFonts w:ascii="Arial" w:hAnsi="Arial" w:cs="Arial"/>
          <w:i/>
          <w:iCs/>
        </w:rPr>
        <w:t>American Sociological Review</w:t>
      </w:r>
      <w:r w:rsidRPr="00B30463">
        <w:rPr>
          <w:rStyle w:val="s1"/>
          <w:rFonts w:ascii="Arial" w:hAnsi="Arial" w:cs="Arial"/>
        </w:rPr>
        <w:t>, 48(2), pp. 147–160.</w:t>
      </w:r>
    </w:p>
    <w:p w14:paraId="418640E3" w14:textId="77777777" w:rsidR="003F56A6" w:rsidRPr="00B30463" w:rsidRDefault="003F56A6" w:rsidP="00B30463">
      <w:pPr>
        <w:pStyle w:val="p1"/>
        <w:spacing w:line="360" w:lineRule="auto"/>
        <w:rPr>
          <w:rStyle w:val="s1"/>
          <w:rFonts w:ascii="Arial" w:hAnsi="Arial" w:cs="Arial"/>
        </w:rPr>
      </w:pPr>
      <w:r w:rsidRPr="00B30463">
        <w:rPr>
          <w:rFonts w:ascii="Arial" w:hAnsi="Arial" w:cs="Arial"/>
        </w:rPr>
        <w:t xml:space="preserve">Eisenhardt, K.M. and Martin, J.A. (2000) ‘Dynamic capabilities: What are they?’, </w:t>
      </w:r>
      <w:r w:rsidRPr="00B30463">
        <w:rPr>
          <w:rStyle w:val="s2"/>
          <w:rFonts w:ascii="Arial" w:hAnsi="Arial" w:cs="Arial"/>
          <w:i/>
          <w:iCs/>
        </w:rPr>
        <w:t>Strategic Management Journal</w:t>
      </w:r>
      <w:r w:rsidRPr="00B30463">
        <w:rPr>
          <w:rStyle w:val="s1"/>
          <w:rFonts w:ascii="Arial" w:hAnsi="Arial" w:cs="Arial"/>
        </w:rPr>
        <w:t>, 21(10–11), pp. 1105–1121.</w:t>
      </w:r>
    </w:p>
    <w:p w14:paraId="78513686" w14:textId="77777777" w:rsidR="0071243D" w:rsidRPr="00B30463" w:rsidRDefault="00FE0935" w:rsidP="00B30463">
      <w:pPr>
        <w:spacing w:before="100" w:beforeAutospacing="1" w:after="100" w:afterAutospacing="1" w:line="360" w:lineRule="auto"/>
        <w:rPr>
          <w:rFonts w:ascii="Arial" w:hAnsi="Arial" w:cs="Arial"/>
          <w:kern w:val="0"/>
          <w14:ligatures w14:val="none"/>
        </w:rPr>
      </w:pPr>
      <w:r w:rsidRPr="00B30463">
        <w:rPr>
          <w:rFonts w:ascii="Arial" w:hAnsi="Arial" w:cs="Arial"/>
          <w:kern w:val="0"/>
          <w14:ligatures w14:val="none"/>
        </w:rPr>
        <w:t xml:space="preserve">Elkington, J. (1997) </w:t>
      </w:r>
      <w:r w:rsidRPr="00B30463">
        <w:rPr>
          <w:rFonts w:ascii="Arial" w:hAnsi="Arial" w:cs="Arial"/>
          <w:i/>
          <w:iCs/>
          <w:kern w:val="0"/>
          <w14:ligatures w14:val="none"/>
        </w:rPr>
        <w:t>Cannibals with forks: The triple bottom line of 21st century business</w:t>
      </w:r>
      <w:r w:rsidRPr="00B30463">
        <w:rPr>
          <w:rFonts w:ascii="Arial" w:hAnsi="Arial" w:cs="Arial"/>
          <w:kern w:val="0"/>
          <w14:ligatures w14:val="none"/>
        </w:rPr>
        <w:t>. Oxford: Capstone.</w:t>
      </w:r>
      <w:r w:rsidR="0071243D" w:rsidRPr="00B30463">
        <w:rPr>
          <w:rFonts w:ascii="Arial" w:hAnsi="Arial" w:cs="Arial"/>
          <w:kern w:val="0"/>
          <w14:ligatures w14:val="none"/>
        </w:rPr>
        <w:t xml:space="preserve"> </w:t>
      </w:r>
    </w:p>
    <w:p w14:paraId="7185B579" w14:textId="4CF1EE56" w:rsidR="00FE0935" w:rsidRPr="00B30463" w:rsidRDefault="00FE0935" w:rsidP="00B30463">
      <w:pPr>
        <w:spacing w:before="100" w:beforeAutospacing="1" w:after="100" w:afterAutospacing="1" w:line="360" w:lineRule="auto"/>
        <w:rPr>
          <w:rFonts w:ascii="Arial" w:hAnsi="Arial" w:cs="Arial"/>
          <w:kern w:val="0"/>
          <w14:ligatures w14:val="none"/>
        </w:rPr>
      </w:pPr>
      <w:r w:rsidRPr="00B30463">
        <w:rPr>
          <w:rFonts w:ascii="Arial" w:hAnsi="Arial" w:cs="Arial"/>
          <w:kern w:val="0"/>
          <w14:ligatures w14:val="none"/>
        </w:rPr>
        <w:t xml:space="preserve">European Commission (2023) </w:t>
      </w:r>
      <w:r w:rsidRPr="00B30463">
        <w:rPr>
          <w:rFonts w:ascii="Arial" w:hAnsi="Arial" w:cs="Arial"/>
          <w:i/>
          <w:iCs/>
          <w:kern w:val="0"/>
          <w14:ligatures w14:val="none"/>
        </w:rPr>
        <w:t>Carbon Border Adjustment Mechanism</w:t>
      </w:r>
      <w:r w:rsidRPr="00B30463">
        <w:rPr>
          <w:rFonts w:ascii="Arial" w:hAnsi="Arial" w:cs="Arial"/>
          <w:kern w:val="0"/>
          <w14:ligatures w14:val="none"/>
        </w:rPr>
        <w:t>. Brussels: European Commission.</w:t>
      </w:r>
    </w:p>
    <w:p w14:paraId="2C2B2E8C" w14:textId="77777777" w:rsidR="008D7718" w:rsidRPr="00B30463" w:rsidRDefault="008D7718" w:rsidP="00B30463">
      <w:pPr>
        <w:pStyle w:val="p1"/>
        <w:spacing w:line="360" w:lineRule="auto"/>
        <w:rPr>
          <w:rStyle w:val="s1"/>
          <w:rFonts w:ascii="Arial" w:hAnsi="Arial" w:cs="Arial"/>
        </w:rPr>
      </w:pPr>
      <w:r w:rsidRPr="00B30463">
        <w:rPr>
          <w:rFonts w:ascii="Arial" w:hAnsi="Arial" w:cs="Arial"/>
        </w:rPr>
        <w:t xml:space="preserve">Freeman, R.E. (1984) </w:t>
      </w:r>
      <w:r w:rsidRPr="00B30463">
        <w:rPr>
          <w:rStyle w:val="s2"/>
          <w:rFonts w:ascii="Arial" w:hAnsi="Arial" w:cs="Arial"/>
          <w:i/>
          <w:iCs/>
        </w:rPr>
        <w:t>Strategic management: A stakeholder approach</w:t>
      </w:r>
      <w:r w:rsidRPr="00B30463">
        <w:rPr>
          <w:rStyle w:val="s1"/>
          <w:rFonts w:ascii="Arial" w:hAnsi="Arial" w:cs="Arial"/>
        </w:rPr>
        <w:t>. Boston, MA: Pitman.</w:t>
      </w:r>
    </w:p>
    <w:p w14:paraId="318FC424" w14:textId="77777777" w:rsidR="00FE0935" w:rsidRPr="00B30463" w:rsidRDefault="00FE0935" w:rsidP="00B30463">
      <w:pPr>
        <w:spacing w:before="100" w:beforeAutospacing="1" w:after="100" w:afterAutospacing="1" w:line="360" w:lineRule="auto"/>
        <w:rPr>
          <w:rFonts w:ascii="Arial" w:hAnsi="Arial" w:cs="Arial"/>
          <w:kern w:val="0"/>
          <w14:ligatures w14:val="none"/>
        </w:rPr>
      </w:pPr>
      <w:r w:rsidRPr="00B30463">
        <w:rPr>
          <w:rFonts w:ascii="Arial" w:hAnsi="Arial" w:cs="Arial"/>
          <w:kern w:val="0"/>
          <w14:ligatures w14:val="none"/>
        </w:rPr>
        <w:t xml:space="preserve">Hart, S.L. (1995) ‘A natural-resource-based view of the firm’, </w:t>
      </w:r>
      <w:r w:rsidRPr="00B30463">
        <w:rPr>
          <w:rFonts w:ascii="Arial" w:hAnsi="Arial" w:cs="Arial"/>
          <w:i/>
          <w:iCs/>
          <w:kern w:val="0"/>
          <w14:ligatures w14:val="none"/>
        </w:rPr>
        <w:t>Academy of Management Review</w:t>
      </w:r>
      <w:r w:rsidRPr="00B30463">
        <w:rPr>
          <w:rFonts w:ascii="Arial" w:hAnsi="Arial" w:cs="Arial"/>
          <w:kern w:val="0"/>
          <w14:ligatures w14:val="none"/>
        </w:rPr>
        <w:t xml:space="preserve">, 20(4), pp. </w:t>
      </w:r>
      <w:hyperlink r:id="rId17" w:history="1">
        <w:r w:rsidRPr="00B30463">
          <w:rPr>
            <w:rFonts w:ascii="Arial" w:hAnsi="Arial" w:cs="Arial"/>
            <w:color w:val="0000FF"/>
            <w:kern w:val="0"/>
            <w:u w:val="single"/>
            <w14:ligatures w14:val="none"/>
          </w:rPr>
          <w:t>986–1014</w:t>
        </w:r>
      </w:hyperlink>
      <w:r w:rsidRPr="00B30463">
        <w:rPr>
          <w:rFonts w:ascii="Arial" w:hAnsi="Arial" w:cs="Arial"/>
          <w:kern w:val="0"/>
          <w14:ligatures w14:val="none"/>
        </w:rPr>
        <w:t>.</w:t>
      </w:r>
    </w:p>
    <w:p w14:paraId="7364632E" w14:textId="77777777" w:rsidR="00FE0935" w:rsidRPr="00B30463" w:rsidRDefault="00FE0935" w:rsidP="00B30463">
      <w:pPr>
        <w:spacing w:before="100" w:beforeAutospacing="1" w:after="100" w:afterAutospacing="1" w:line="360" w:lineRule="auto"/>
        <w:rPr>
          <w:rFonts w:ascii="Arial" w:hAnsi="Arial" w:cs="Arial"/>
          <w:kern w:val="0"/>
          <w14:ligatures w14:val="none"/>
        </w:rPr>
      </w:pPr>
      <w:r w:rsidRPr="00B30463">
        <w:rPr>
          <w:rFonts w:ascii="Arial" w:hAnsi="Arial" w:cs="Arial"/>
          <w:kern w:val="0"/>
          <w14:ligatures w14:val="none"/>
        </w:rPr>
        <w:t xml:space="preserve">International Energy Agency (IEA) (2023) </w:t>
      </w:r>
      <w:r w:rsidRPr="00B30463">
        <w:rPr>
          <w:rFonts w:ascii="Arial" w:hAnsi="Arial" w:cs="Arial"/>
          <w:i/>
          <w:iCs/>
          <w:kern w:val="0"/>
          <w14:ligatures w14:val="none"/>
        </w:rPr>
        <w:t>Net zero roadmap: A global pathway to keep the 1.5 °C goal in reach. 2023 update</w:t>
      </w:r>
      <w:r w:rsidRPr="00B30463">
        <w:rPr>
          <w:rFonts w:ascii="Arial" w:hAnsi="Arial" w:cs="Arial"/>
          <w:kern w:val="0"/>
          <w14:ligatures w14:val="none"/>
        </w:rPr>
        <w:t>. Paris: IEA.</w:t>
      </w:r>
    </w:p>
    <w:p w14:paraId="6D3DCE33" w14:textId="77777777" w:rsidR="00FE0935" w:rsidRPr="00B30463" w:rsidRDefault="00FE0935" w:rsidP="00B30463">
      <w:pPr>
        <w:spacing w:before="100" w:beforeAutospacing="1" w:after="100" w:afterAutospacing="1" w:line="360" w:lineRule="auto"/>
        <w:rPr>
          <w:rFonts w:ascii="Arial" w:hAnsi="Arial" w:cs="Arial"/>
          <w:kern w:val="0"/>
          <w14:ligatures w14:val="none"/>
        </w:rPr>
      </w:pPr>
      <w:r w:rsidRPr="00B30463">
        <w:rPr>
          <w:rFonts w:ascii="Arial" w:hAnsi="Arial" w:cs="Arial"/>
          <w:kern w:val="0"/>
          <w14:ligatures w14:val="none"/>
        </w:rPr>
        <w:t xml:space="preserve">International Energy Agency (IEA) (2025) </w:t>
      </w:r>
      <w:r w:rsidRPr="00B30463">
        <w:rPr>
          <w:rFonts w:ascii="Arial" w:hAnsi="Arial" w:cs="Arial"/>
          <w:i/>
          <w:iCs/>
          <w:kern w:val="0"/>
          <w14:ligatures w14:val="none"/>
        </w:rPr>
        <w:t>Global critical minerals outlook 2025</w:t>
      </w:r>
      <w:r w:rsidRPr="00B30463">
        <w:rPr>
          <w:rFonts w:ascii="Arial" w:hAnsi="Arial" w:cs="Arial"/>
          <w:kern w:val="0"/>
          <w14:ligatures w14:val="none"/>
        </w:rPr>
        <w:t>. Paris: IEA.</w:t>
      </w:r>
    </w:p>
    <w:p w14:paraId="771C6958" w14:textId="77777777" w:rsidR="00FE0935" w:rsidRPr="00B30463" w:rsidRDefault="00FE0935" w:rsidP="00B30463">
      <w:pPr>
        <w:spacing w:before="100" w:beforeAutospacing="1" w:after="100" w:afterAutospacing="1" w:line="360" w:lineRule="auto"/>
        <w:rPr>
          <w:rFonts w:ascii="Arial" w:hAnsi="Arial" w:cs="Arial"/>
          <w:kern w:val="0"/>
          <w14:ligatures w14:val="none"/>
        </w:rPr>
      </w:pPr>
      <w:r w:rsidRPr="00B30463">
        <w:rPr>
          <w:rFonts w:ascii="Arial" w:hAnsi="Arial" w:cs="Arial"/>
          <w:kern w:val="0"/>
          <w14:ligatures w14:val="none"/>
        </w:rPr>
        <w:t xml:space="preserve">Intergovernmental Panel on Climate Change (IPCC) (2023) </w:t>
      </w:r>
      <w:r w:rsidRPr="00B30463">
        <w:rPr>
          <w:rFonts w:ascii="Arial" w:hAnsi="Arial" w:cs="Arial"/>
          <w:i/>
          <w:iCs/>
          <w:kern w:val="0"/>
          <w14:ligatures w14:val="none"/>
        </w:rPr>
        <w:t>Climate change 2023: Synthesis report</w:t>
      </w:r>
      <w:r w:rsidRPr="00B30463">
        <w:rPr>
          <w:rFonts w:ascii="Arial" w:hAnsi="Arial" w:cs="Arial"/>
          <w:kern w:val="0"/>
          <w14:ligatures w14:val="none"/>
        </w:rPr>
        <w:t>. Geneva: IPCC.</w:t>
      </w:r>
    </w:p>
    <w:p w14:paraId="5089E997" w14:textId="77777777" w:rsidR="00CA4BF7" w:rsidRPr="00B30463" w:rsidRDefault="00CA4BF7" w:rsidP="00B30463">
      <w:pPr>
        <w:pStyle w:val="p1"/>
        <w:spacing w:line="360" w:lineRule="auto"/>
        <w:rPr>
          <w:rStyle w:val="s1"/>
          <w:rFonts w:ascii="Arial" w:hAnsi="Arial" w:cs="Arial"/>
        </w:rPr>
      </w:pPr>
      <w:r w:rsidRPr="00B30463">
        <w:rPr>
          <w:rFonts w:ascii="Arial" w:hAnsi="Arial" w:cs="Arial"/>
        </w:rPr>
        <w:t xml:space="preserve">Leonidou, L.C., Katsikeas, C.S., Fotiadis, T.A. and Christodoulides, P. (2013) ‘Antecedents and consequences of an eco-friendly export marketing strategy: The moderating role of foreign public concern and competitive intensity’, </w:t>
      </w:r>
      <w:r w:rsidRPr="00B30463">
        <w:rPr>
          <w:rStyle w:val="s2"/>
          <w:rFonts w:ascii="Arial" w:hAnsi="Arial" w:cs="Arial"/>
          <w:i/>
          <w:iCs/>
        </w:rPr>
        <w:t>Journal of International Marketing</w:t>
      </w:r>
      <w:r w:rsidRPr="00B30463">
        <w:rPr>
          <w:rStyle w:val="s1"/>
          <w:rFonts w:ascii="Arial" w:hAnsi="Arial" w:cs="Arial"/>
        </w:rPr>
        <w:t>, 21(3), pp. 22–46.</w:t>
      </w:r>
    </w:p>
    <w:p w14:paraId="7B64CE02" w14:textId="77777777" w:rsidR="00D405D0" w:rsidRPr="00B30463" w:rsidRDefault="00D405D0" w:rsidP="00B30463">
      <w:pPr>
        <w:pStyle w:val="p1"/>
        <w:spacing w:line="360" w:lineRule="auto"/>
        <w:rPr>
          <w:rStyle w:val="s1"/>
          <w:rFonts w:ascii="Arial" w:hAnsi="Arial" w:cs="Arial"/>
        </w:rPr>
      </w:pPr>
      <w:r w:rsidRPr="00B30463">
        <w:rPr>
          <w:rFonts w:ascii="Arial" w:hAnsi="Arial" w:cs="Arial"/>
        </w:rPr>
        <w:t xml:space="preserve">Menon, A. and Menon, A. (1997) ‘Enviropreneurial marketing strategy: The emergence of corporate environmentalism as market strategy’, </w:t>
      </w:r>
      <w:r w:rsidRPr="00B30463">
        <w:rPr>
          <w:rStyle w:val="s2"/>
          <w:rFonts w:ascii="Arial" w:hAnsi="Arial" w:cs="Arial"/>
          <w:i/>
          <w:iCs/>
        </w:rPr>
        <w:t>Journal of Marketing</w:t>
      </w:r>
      <w:r w:rsidRPr="00B30463">
        <w:rPr>
          <w:rStyle w:val="s1"/>
          <w:rFonts w:ascii="Arial" w:hAnsi="Arial" w:cs="Arial"/>
        </w:rPr>
        <w:t>, 61(1), pp. 51–67.</w:t>
      </w:r>
    </w:p>
    <w:p w14:paraId="180247B0" w14:textId="77777777" w:rsidR="00FE0935" w:rsidRPr="00B30463" w:rsidRDefault="00FE0935" w:rsidP="00B30463">
      <w:pPr>
        <w:spacing w:before="100" w:beforeAutospacing="1" w:after="100" w:afterAutospacing="1" w:line="360" w:lineRule="auto"/>
        <w:rPr>
          <w:rFonts w:ascii="Arial" w:hAnsi="Arial" w:cs="Arial"/>
          <w:kern w:val="0"/>
          <w14:ligatures w14:val="none"/>
        </w:rPr>
      </w:pPr>
      <w:r w:rsidRPr="00B30463">
        <w:rPr>
          <w:rFonts w:ascii="Arial" w:hAnsi="Arial" w:cs="Arial"/>
          <w:kern w:val="0"/>
          <w14:ligatures w14:val="none"/>
        </w:rPr>
        <w:t xml:space="preserve">Kotler, P., Armstrong, G., Harris, L.C. and He, H. (2024) </w:t>
      </w:r>
      <w:r w:rsidRPr="00B30463">
        <w:rPr>
          <w:rFonts w:ascii="Arial" w:hAnsi="Arial" w:cs="Arial"/>
          <w:i/>
          <w:iCs/>
          <w:kern w:val="0"/>
          <w14:ligatures w14:val="none"/>
        </w:rPr>
        <w:t>Principles of marketing</w:t>
      </w:r>
      <w:r w:rsidRPr="00B30463">
        <w:rPr>
          <w:rFonts w:ascii="Arial" w:hAnsi="Arial" w:cs="Arial"/>
          <w:kern w:val="0"/>
          <w14:ligatures w14:val="none"/>
        </w:rPr>
        <w:t>. 19th edn. Harlow: Pearson.</w:t>
      </w:r>
    </w:p>
    <w:p w14:paraId="2A84E203" w14:textId="77777777" w:rsidR="00FE0935" w:rsidRPr="00B30463" w:rsidRDefault="00FE0935" w:rsidP="00B30463">
      <w:pPr>
        <w:spacing w:before="100" w:beforeAutospacing="1" w:after="100" w:afterAutospacing="1" w:line="360" w:lineRule="auto"/>
        <w:rPr>
          <w:rFonts w:ascii="Arial" w:hAnsi="Arial" w:cs="Arial"/>
          <w:kern w:val="0"/>
          <w14:ligatures w14:val="none"/>
        </w:rPr>
      </w:pPr>
      <w:r w:rsidRPr="00B30463">
        <w:rPr>
          <w:rFonts w:ascii="Arial" w:hAnsi="Arial" w:cs="Arial"/>
          <w:kern w:val="0"/>
          <w14:ligatures w14:val="none"/>
        </w:rPr>
        <w:t xml:space="preserve">Peattie, K. and Belz, F.M. (2010) </w:t>
      </w:r>
      <w:r w:rsidRPr="00B30463">
        <w:rPr>
          <w:rFonts w:ascii="Arial" w:hAnsi="Arial" w:cs="Arial"/>
          <w:i/>
          <w:iCs/>
          <w:kern w:val="0"/>
          <w14:ligatures w14:val="none"/>
        </w:rPr>
        <w:t>Sustainability marketing: An innovative conception of marketing</w:t>
      </w:r>
      <w:r w:rsidRPr="00B30463">
        <w:rPr>
          <w:rFonts w:ascii="Arial" w:hAnsi="Arial" w:cs="Arial"/>
          <w:kern w:val="0"/>
          <w14:ligatures w14:val="none"/>
        </w:rPr>
        <w:t>. Munich: Technische Universität München.</w:t>
      </w:r>
    </w:p>
    <w:p w14:paraId="46DF53F9" w14:textId="77777777" w:rsidR="00FE0935" w:rsidRPr="00B30463" w:rsidRDefault="00FE0935" w:rsidP="00B30463">
      <w:pPr>
        <w:spacing w:before="100" w:beforeAutospacing="1" w:after="100" w:afterAutospacing="1" w:line="360" w:lineRule="auto"/>
        <w:rPr>
          <w:rFonts w:ascii="Arial" w:hAnsi="Arial" w:cs="Arial"/>
          <w:kern w:val="0"/>
          <w14:ligatures w14:val="none"/>
        </w:rPr>
      </w:pPr>
      <w:r w:rsidRPr="00B30463">
        <w:rPr>
          <w:rFonts w:ascii="Arial" w:hAnsi="Arial" w:cs="Arial"/>
          <w:kern w:val="0"/>
          <w14:ligatures w14:val="none"/>
        </w:rPr>
        <w:t xml:space="preserve">Porter, M.E. (1985) </w:t>
      </w:r>
      <w:r w:rsidRPr="00B30463">
        <w:rPr>
          <w:rFonts w:ascii="Arial" w:hAnsi="Arial" w:cs="Arial"/>
          <w:i/>
          <w:iCs/>
          <w:kern w:val="0"/>
          <w14:ligatures w14:val="none"/>
        </w:rPr>
        <w:t>Competitive advantage: Creating and sustaining superior performance</w:t>
      </w:r>
      <w:r w:rsidRPr="00B30463">
        <w:rPr>
          <w:rFonts w:ascii="Arial" w:hAnsi="Arial" w:cs="Arial"/>
          <w:kern w:val="0"/>
          <w14:ligatures w14:val="none"/>
        </w:rPr>
        <w:t>. New York: Free Press.</w:t>
      </w:r>
    </w:p>
    <w:p w14:paraId="00A54ADB" w14:textId="77777777" w:rsidR="00FE0935" w:rsidRPr="00B30463" w:rsidRDefault="00FE0935" w:rsidP="00B30463">
      <w:pPr>
        <w:spacing w:before="100" w:beforeAutospacing="1" w:after="100" w:afterAutospacing="1" w:line="360" w:lineRule="auto"/>
        <w:rPr>
          <w:rFonts w:ascii="Arial" w:hAnsi="Arial" w:cs="Arial"/>
          <w:kern w:val="0"/>
          <w14:ligatures w14:val="none"/>
        </w:rPr>
      </w:pPr>
      <w:r w:rsidRPr="00B30463">
        <w:rPr>
          <w:rFonts w:ascii="Arial" w:hAnsi="Arial" w:cs="Arial"/>
          <w:kern w:val="0"/>
          <w14:ligatures w14:val="none"/>
        </w:rPr>
        <w:t xml:space="preserve">Porter, M.E. and Kramer, M.R. (2011) ‘Creating shared value’, </w:t>
      </w:r>
      <w:r w:rsidRPr="00B30463">
        <w:rPr>
          <w:rFonts w:ascii="Arial" w:hAnsi="Arial" w:cs="Arial"/>
          <w:i/>
          <w:iCs/>
          <w:kern w:val="0"/>
          <w14:ligatures w14:val="none"/>
        </w:rPr>
        <w:t>Harvard Business Review</w:t>
      </w:r>
      <w:r w:rsidRPr="00B30463">
        <w:rPr>
          <w:rFonts w:ascii="Arial" w:hAnsi="Arial" w:cs="Arial"/>
          <w:kern w:val="0"/>
          <w14:ligatures w14:val="none"/>
        </w:rPr>
        <w:t>, 89(1/2), pp. 62–77.</w:t>
      </w:r>
    </w:p>
    <w:p w14:paraId="60356D67" w14:textId="77777777" w:rsidR="00FE0935" w:rsidRPr="00B30463" w:rsidRDefault="00FE0935" w:rsidP="00B30463">
      <w:pPr>
        <w:spacing w:before="100" w:beforeAutospacing="1" w:after="100" w:afterAutospacing="1" w:line="360" w:lineRule="auto"/>
        <w:rPr>
          <w:rFonts w:ascii="Arial" w:hAnsi="Arial" w:cs="Arial"/>
          <w:kern w:val="0"/>
          <w14:ligatures w14:val="none"/>
        </w:rPr>
      </w:pPr>
      <w:r w:rsidRPr="00B30463">
        <w:rPr>
          <w:rFonts w:ascii="Arial" w:hAnsi="Arial" w:cs="Arial"/>
          <w:kern w:val="0"/>
          <w14:ligatures w14:val="none"/>
        </w:rPr>
        <w:t xml:space="preserve">Porter, M.E. and van der Linde, C. (1995) ‘Toward a new conception of the environment-competitiveness relationship’, </w:t>
      </w:r>
      <w:r w:rsidRPr="00B30463">
        <w:rPr>
          <w:rFonts w:ascii="Arial" w:hAnsi="Arial" w:cs="Arial"/>
          <w:i/>
          <w:iCs/>
          <w:kern w:val="0"/>
          <w14:ligatures w14:val="none"/>
        </w:rPr>
        <w:t>Journal of Economic Perspectives</w:t>
      </w:r>
      <w:r w:rsidRPr="00B30463">
        <w:rPr>
          <w:rFonts w:ascii="Arial" w:hAnsi="Arial" w:cs="Arial"/>
          <w:kern w:val="0"/>
          <w14:ligatures w14:val="none"/>
        </w:rPr>
        <w:t>, 9(4), pp. 97–118.</w:t>
      </w:r>
    </w:p>
    <w:p w14:paraId="5B4A47AB" w14:textId="77777777" w:rsidR="00E933F0" w:rsidRPr="00480034" w:rsidRDefault="00E933F0" w:rsidP="00B30463">
      <w:pPr>
        <w:pStyle w:val="p1"/>
        <w:spacing w:line="360" w:lineRule="auto"/>
        <w:rPr>
          <w:rStyle w:val="s1"/>
          <w:rFonts w:ascii="Arial" w:hAnsi="Arial" w:cs="Arial"/>
        </w:rPr>
      </w:pPr>
      <w:r w:rsidRPr="00480034">
        <w:rPr>
          <w:rFonts w:ascii="Arial" w:hAnsi="Arial" w:cs="Arial"/>
        </w:rPr>
        <w:t xml:space="preserve">Teece, D.J., Pisano, G. and Shuen, A. (1997) ‘Dynamic capabilities and strategic management’, </w:t>
      </w:r>
      <w:r w:rsidRPr="00480034">
        <w:rPr>
          <w:rStyle w:val="s2"/>
          <w:rFonts w:ascii="Arial" w:hAnsi="Arial" w:cs="Arial"/>
          <w:i/>
          <w:iCs/>
        </w:rPr>
        <w:t>Strategic Management Journal</w:t>
      </w:r>
      <w:r w:rsidRPr="00480034">
        <w:rPr>
          <w:rStyle w:val="s1"/>
          <w:rFonts w:ascii="Arial" w:hAnsi="Arial" w:cs="Arial"/>
        </w:rPr>
        <w:t>, 18(7), pp. 509–533.</w:t>
      </w:r>
    </w:p>
    <w:p w14:paraId="7CB2EAF2" w14:textId="3BAFCC78" w:rsidR="00FE0935" w:rsidRPr="00B1666F" w:rsidRDefault="00FE0935" w:rsidP="00B30463">
      <w:pPr>
        <w:spacing w:before="100" w:beforeAutospacing="1" w:after="100" w:afterAutospacing="1" w:line="360" w:lineRule="auto"/>
        <w:rPr>
          <w:rFonts w:ascii="Arial" w:hAnsi="Arial" w:cs="Arial"/>
          <w:kern w:val="0"/>
          <w14:ligatures w14:val="none"/>
        </w:rPr>
      </w:pPr>
      <w:r w:rsidRPr="00B1666F">
        <w:rPr>
          <w:rFonts w:ascii="Arial" w:hAnsi="Arial" w:cs="Arial"/>
          <w:kern w:val="0"/>
          <w14:ligatures w14:val="none"/>
        </w:rPr>
        <w:t xml:space="preserve">United Nations Environment Programme (UNEP) (2023) </w:t>
      </w:r>
      <w:r w:rsidRPr="00B1666F">
        <w:rPr>
          <w:rFonts w:ascii="Arial" w:hAnsi="Arial" w:cs="Arial"/>
          <w:i/>
          <w:iCs/>
          <w:kern w:val="0"/>
          <w14:ligatures w14:val="none"/>
        </w:rPr>
        <w:t>Emissions gap report 2023: Broken record – Temperatures hit new highs, yet world fails to cut emissions (again)</w:t>
      </w:r>
      <w:r w:rsidRPr="00B1666F">
        <w:rPr>
          <w:rFonts w:ascii="Arial" w:hAnsi="Arial" w:cs="Arial"/>
          <w:kern w:val="0"/>
          <w14:ligatures w14:val="none"/>
        </w:rPr>
        <w:t>. Nairobi: UNEP.</w:t>
      </w:r>
    </w:p>
    <w:p w14:paraId="76EC4C1C" w14:textId="77777777" w:rsidR="00FE0935" w:rsidRPr="00B1666F" w:rsidRDefault="00FE0935" w:rsidP="00B30463">
      <w:pPr>
        <w:spacing w:before="100" w:beforeAutospacing="1" w:after="100" w:afterAutospacing="1" w:line="360" w:lineRule="auto"/>
        <w:rPr>
          <w:rFonts w:ascii="Arial" w:hAnsi="Arial" w:cs="Arial"/>
          <w:kern w:val="0"/>
          <w14:ligatures w14:val="none"/>
        </w:rPr>
      </w:pPr>
      <w:r w:rsidRPr="00B1666F">
        <w:rPr>
          <w:rFonts w:ascii="Arial" w:hAnsi="Arial" w:cs="Arial"/>
          <w:kern w:val="0"/>
          <w14:ligatures w14:val="none"/>
        </w:rPr>
        <w:t xml:space="preserve">United Nations Environment Programme (UNEP) (2024) </w:t>
      </w:r>
      <w:r w:rsidRPr="00B1666F">
        <w:rPr>
          <w:rFonts w:ascii="Arial" w:hAnsi="Arial" w:cs="Arial"/>
          <w:i/>
          <w:iCs/>
          <w:kern w:val="0"/>
          <w14:ligatures w14:val="none"/>
        </w:rPr>
        <w:t>Global resources outlook 2024: Bend the trend – Pathways to a liveable planet as resource use spikes</w:t>
      </w:r>
      <w:r w:rsidRPr="00B1666F">
        <w:rPr>
          <w:rFonts w:ascii="Arial" w:hAnsi="Arial" w:cs="Arial"/>
          <w:kern w:val="0"/>
          <w14:ligatures w14:val="none"/>
        </w:rPr>
        <w:t>. Nairobi: UNEP.</w:t>
      </w:r>
    </w:p>
    <w:p w14:paraId="6230B44C" w14:textId="77777777" w:rsidR="00FE0935" w:rsidRPr="00B1666F" w:rsidRDefault="00FE0935" w:rsidP="00B30463">
      <w:pPr>
        <w:spacing w:before="100" w:beforeAutospacing="1" w:after="100" w:afterAutospacing="1" w:line="360" w:lineRule="auto"/>
        <w:rPr>
          <w:rFonts w:ascii="Arial" w:hAnsi="Arial" w:cs="Arial"/>
          <w:kern w:val="0"/>
          <w14:ligatures w14:val="none"/>
        </w:rPr>
      </w:pPr>
      <w:r w:rsidRPr="00B1666F">
        <w:rPr>
          <w:rFonts w:ascii="Arial" w:hAnsi="Arial" w:cs="Arial"/>
          <w:kern w:val="0"/>
          <w14:ligatures w14:val="none"/>
        </w:rPr>
        <w:t xml:space="preserve">World Bank (2020) </w:t>
      </w:r>
      <w:r w:rsidRPr="00B1666F">
        <w:rPr>
          <w:rFonts w:ascii="Arial" w:hAnsi="Arial" w:cs="Arial"/>
          <w:i/>
          <w:iCs/>
          <w:kern w:val="0"/>
          <w14:ligatures w14:val="none"/>
        </w:rPr>
        <w:t>Minerals for climate action: The mineral intensity of the clean energy transition</w:t>
      </w:r>
      <w:r w:rsidRPr="00B1666F">
        <w:rPr>
          <w:rFonts w:ascii="Arial" w:hAnsi="Arial" w:cs="Arial"/>
          <w:kern w:val="0"/>
          <w14:ligatures w14:val="none"/>
        </w:rPr>
        <w:t>. Washington, DC: World Bank.</w:t>
      </w:r>
    </w:p>
    <w:p w14:paraId="0181B7A2" w14:textId="77777777" w:rsidR="00FE0935" w:rsidRPr="00B1666F" w:rsidRDefault="00FE0935" w:rsidP="00B30463">
      <w:pPr>
        <w:spacing w:before="100" w:beforeAutospacing="1" w:after="100" w:afterAutospacing="1" w:line="360" w:lineRule="auto"/>
        <w:rPr>
          <w:rFonts w:ascii="Arial" w:hAnsi="Arial" w:cs="Arial"/>
          <w:kern w:val="0"/>
          <w14:ligatures w14:val="none"/>
        </w:rPr>
      </w:pPr>
      <w:r w:rsidRPr="00B1666F">
        <w:rPr>
          <w:rFonts w:ascii="Arial" w:hAnsi="Arial" w:cs="Arial"/>
          <w:kern w:val="0"/>
          <w14:ligatures w14:val="none"/>
        </w:rPr>
        <w:t xml:space="preserve">World Economic Forum (2022) </w:t>
      </w:r>
      <w:r w:rsidRPr="00B1666F">
        <w:rPr>
          <w:rFonts w:ascii="Arial" w:hAnsi="Arial" w:cs="Arial"/>
          <w:i/>
          <w:iCs/>
          <w:kern w:val="0"/>
          <w14:ligatures w14:val="none"/>
        </w:rPr>
        <w:t>The net-zero industry tracker: An interactive guide for executives</w:t>
      </w:r>
      <w:r w:rsidRPr="00B1666F">
        <w:rPr>
          <w:rFonts w:ascii="Arial" w:hAnsi="Arial" w:cs="Arial"/>
          <w:kern w:val="0"/>
          <w14:ligatures w14:val="none"/>
        </w:rPr>
        <w:t>. Geneva: World Economic Forum.</w:t>
      </w:r>
    </w:p>
    <w:p w14:paraId="4C8A8AFD" w14:textId="77777777" w:rsidR="003C309C" w:rsidRDefault="003C309C" w:rsidP="00B30463">
      <w:pPr>
        <w:spacing w:line="360" w:lineRule="auto"/>
      </w:pPr>
    </w:p>
    <w:sectPr w:rsidR="003C309C">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90A016" w14:textId="77777777" w:rsidR="00B40A3B" w:rsidRDefault="00B40A3B" w:rsidP="008B64F7">
      <w:pPr>
        <w:spacing w:after="0" w:line="240" w:lineRule="auto"/>
      </w:pPr>
      <w:r>
        <w:separator/>
      </w:r>
    </w:p>
  </w:endnote>
  <w:endnote w:type="continuationSeparator" w:id="0">
    <w:p w14:paraId="3F5BDA69" w14:textId="77777777" w:rsidR="00B40A3B" w:rsidRDefault="00B40A3B" w:rsidP="008B64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2614898"/>
      <w:docPartObj>
        <w:docPartGallery w:val="Page Numbers (Bottom of Page)"/>
        <w:docPartUnique/>
      </w:docPartObj>
    </w:sdtPr>
    <w:sdtEndPr>
      <w:rPr>
        <w:noProof/>
      </w:rPr>
    </w:sdtEndPr>
    <w:sdtContent>
      <w:p w14:paraId="68E2FDD9" w14:textId="6ABF4A53" w:rsidR="008B64F7" w:rsidRDefault="008B64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672E65" w14:textId="77777777" w:rsidR="008B64F7" w:rsidRDefault="008B64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24E0E5" w14:textId="77777777" w:rsidR="00B40A3B" w:rsidRDefault="00B40A3B" w:rsidP="008B64F7">
      <w:pPr>
        <w:spacing w:after="0" w:line="240" w:lineRule="auto"/>
      </w:pPr>
      <w:r>
        <w:separator/>
      </w:r>
    </w:p>
  </w:footnote>
  <w:footnote w:type="continuationSeparator" w:id="0">
    <w:p w14:paraId="0EFAF9B2" w14:textId="77777777" w:rsidR="00B40A3B" w:rsidRDefault="00B40A3B" w:rsidP="008B64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535"/>
    <w:rsid w:val="000035EF"/>
    <w:rsid w:val="00004690"/>
    <w:rsid w:val="0000709E"/>
    <w:rsid w:val="00007590"/>
    <w:rsid w:val="00010718"/>
    <w:rsid w:val="000112CA"/>
    <w:rsid w:val="000122D7"/>
    <w:rsid w:val="000128AD"/>
    <w:rsid w:val="00012A4C"/>
    <w:rsid w:val="000131F8"/>
    <w:rsid w:val="000161B4"/>
    <w:rsid w:val="00016B93"/>
    <w:rsid w:val="00020DAB"/>
    <w:rsid w:val="00021838"/>
    <w:rsid w:val="00022A90"/>
    <w:rsid w:val="000239AF"/>
    <w:rsid w:val="00023D4B"/>
    <w:rsid w:val="000270C2"/>
    <w:rsid w:val="000278B4"/>
    <w:rsid w:val="000316B3"/>
    <w:rsid w:val="000318AC"/>
    <w:rsid w:val="00033534"/>
    <w:rsid w:val="000352DD"/>
    <w:rsid w:val="00036135"/>
    <w:rsid w:val="00036232"/>
    <w:rsid w:val="000379FC"/>
    <w:rsid w:val="00037DBA"/>
    <w:rsid w:val="00040408"/>
    <w:rsid w:val="000407DC"/>
    <w:rsid w:val="000408CA"/>
    <w:rsid w:val="00050B2A"/>
    <w:rsid w:val="00050D70"/>
    <w:rsid w:val="00050F2A"/>
    <w:rsid w:val="0005184E"/>
    <w:rsid w:val="000521D0"/>
    <w:rsid w:val="00054BD8"/>
    <w:rsid w:val="00055736"/>
    <w:rsid w:val="000560F5"/>
    <w:rsid w:val="00056252"/>
    <w:rsid w:val="000608D9"/>
    <w:rsid w:val="00060EA9"/>
    <w:rsid w:val="0006164B"/>
    <w:rsid w:val="00061ECA"/>
    <w:rsid w:val="00062CAE"/>
    <w:rsid w:val="0006643A"/>
    <w:rsid w:val="00071CBA"/>
    <w:rsid w:val="00074821"/>
    <w:rsid w:val="0007647F"/>
    <w:rsid w:val="00076AB8"/>
    <w:rsid w:val="00084685"/>
    <w:rsid w:val="000867F6"/>
    <w:rsid w:val="00090392"/>
    <w:rsid w:val="00090AA1"/>
    <w:rsid w:val="00093513"/>
    <w:rsid w:val="00094D9C"/>
    <w:rsid w:val="000A1896"/>
    <w:rsid w:val="000A6D37"/>
    <w:rsid w:val="000A73F7"/>
    <w:rsid w:val="000B2F29"/>
    <w:rsid w:val="000B3853"/>
    <w:rsid w:val="000B48B1"/>
    <w:rsid w:val="000B4C81"/>
    <w:rsid w:val="000B63E4"/>
    <w:rsid w:val="000B73BE"/>
    <w:rsid w:val="000C34AD"/>
    <w:rsid w:val="000C38EC"/>
    <w:rsid w:val="000C5674"/>
    <w:rsid w:val="000C5BBE"/>
    <w:rsid w:val="000C5FB0"/>
    <w:rsid w:val="000C66DC"/>
    <w:rsid w:val="000D1399"/>
    <w:rsid w:val="000D33FC"/>
    <w:rsid w:val="000D42BC"/>
    <w:rsid w:val="000D437A"/>
    <w:rsid w:val="000D4B45"/>
    <w:rsid w:val="000D65CF"/>
    <w:rsid w:val="000D70C1"/>
    <w:rsid w:val="000D7698"/>
    <w:rsid w:val="000E073F"/>
    <w:rsid w:val="000E2CAB"/>
    <w:rsid w:val="000E3AB3"/>
    <w:rsid w:val="000E45CC"/>
    <w:rsid w:val="000E7BB9"/>
    <w:rsid w:val="000E7E94"/>
    <w:rsid w:val="000F12E0"/>
    <w:rsid w:val="000F18E2"/>
    <w:rsid w:val="000F32EA"/>
    <w:rsid w:val="000F3851"/>
    <w:rsid w:val="000F511C"/>
    <w:rsid w:val="001012EE"/>
    <w:rsid w:val="001030F3"/>
    <w:rsid w:val="00103EC6"/>
    <w:rsid w:val="00106722"/>
    <w:rsid w:val="00110AC9"/>
    <w:rsid w:val="0011383E"/>
    <w:rsid w:val="001148B5"/>
    <w:rsid w:val="0011575F"/>
    <w:rsid w:val="001202D2"/>
    <w:rsid w:val="001215CE"/>
    <w:rsid w:val="00122F6C"/>
    <w:rsid w:val="00123591"/>
    <w:rsid w:val="00123A61"/>
    <w:rsid w:val="001241AA"/>
    <w:rsid w:val="00124E7D"/>
    <w:rsid w:val="0012591C"/>
    <w:rsid w:val="001259ED"/>
    <w:rsid w:val="00126D8C"/>
    <w:rsid w:val="001275BD"/>
    <w:rsid w:val="00127A77"/>
    <w:rsid w:val="0013079B"/>
    <w:rsid w:val="001323B5"/>
    <w:rsid w:val="00135CB3"/>
    <w:rsid w:val="001364D9"/>
    <w:rsid w:val="00136BB6"/>
    <w:rsid w:val="0014001F"/>
    <w:rsid w:val="001402AB"/>
    <w:rsid w:val="00143BB3"/>
    <w:rsid w:val="00146532"/>
    <w:rsid w:val="00147504"/>
    <w:rsid w:val="001477B9"/>
    <w:rsid w:val="00150442"/>
    <w:rsid w:val="00152222"/>
    <w:rsid w:val="001549FD"/>
    <w:rsid w:val="0015637C"/>
    <w:rsid w:val="001577D5"/>
    <w:rsid w:val="00163F7F"/>
    <w:rsid w:val="00165368"/>
    <w:rsid w:val="0016700E"/>
    <w:rsid w:val="0017171C"/>
    <w:rsid w:val="00171978"/>
    <w:rsid w:val="00173031"/>
    <w:rsid w:val="00173D8A"/>
    <w:rsid w:val="00174231"/>
    <w:rsid w:val="00177058"/>
    <w:rsid w:val="00177BD3"/>
    <w:rsid w:val="0018083A"/>
    <w:rsid w:val="00181934"/>
    <w:rsid w:val="00182AF5"/>
    <w:rsid w:val="00182BBB"/>
    <w:rsid w:val="00182F37"/>
    <w:rsid w:val="00183901"/>
    <w:rsid w:val="0018399D"/>
    <w:rsid w:val="001844B3"/>
    <w:rsid w:val="001911F4"/>
    <w:rsid w:val="0019216F"/>
    <w:rsid w:val="001928A0"/>
    <w:rsid w:val="00194254"/>
    <w:rsid w:val="001950C4"/>
    <w:rsid w:val="00197870"/>
    <w:rsid w:val="00197DBA"/>
    <w:rsid w:val="001A0C33"/>
    <w:rsid w:val="001A1F41"/>
    <w:rsid w:val="001A3364"/>
    <w:rsid w:val="001A35B6"/>
    <w:rsid w:val="001A3E9E"/>
    <w:rsid w:val="001A5338"/>
    <w:rsid w:val="001A6959"/>
    <w:rsid w:val="001A6CA0"/>
    <w:rsid w:val="001A7C4D"/>
    <w:rsid w:val="001B00FA"/>
    <w:rsid w:val="001B3658"/>
    <w:rsid w:val="001B4E0A"/>
    <w:rsid w:val="001B71A8"/>
    <w:rsid w:val="001B7EAC"/>
    <w:rsid w:val="001B7F0F"/>
    <w:rsid w:val="001C1F3C"/>
    <w:rsid w:val="001C55BB"/>
    <w:rsid w:val="001C580F"/>
    <w:rsid w:val="001C6967"/>
    <w:rsid w:val="001C7489"/>
    <w:rsid w:val="001D0AB5"/>
    <w:rsid w:val="001D1BEE"/>
    <w:rsid w:val="001D446F"/>
    <w:rsid w:val="001D457A"/>
    <w:rsid w:val="001D609F"/>
    <w:rsid w:val="001E4B7B"/>
    <w:rsid w:val="001F03E1"/>
    <w:rsid w:val="001F1762"/>
    <w:rsid w:val="001F32C5"/>
    <w:rsid w:val="001F335D"/>
    <w:rsid w:val="001F3417"/>
    <w:rsid w:val="001F3E25"/>
    <w:rsid w:val="001F6113"/>
    <w:rsid w:val="001F613E"/>
    <w:rsid w:val="001F6B61"/>
    <w:rsid w:val="001F79CE"/>
    <w:rsid w:val="001F7BC6"/>
    <w:rsid w:val="002001AD"/>
    <w:rsid w:val="00203C7C"/>
    <w:rsid w:val="0020415C"/>
    <w:rsid w:val="00204B23"/>
    <w:rsid w:val="002058C6"/>
    <w:rsid w:val="00211943"/>
    <w:rsid w:val="00222531"/>
    <w:rsid w:val="002229F9"/>
    <w:rsid w:val="00224CF7"/>
    <w:rsid w:val="00232239"/>
    <w:rsid w:val="00232890"/>
    <w:rsid w:val="00237999"/>
    <w:rsid w:val="00240074"/>
    <w:rsid w:val="002405C9"/>
    <w:rsid w:val="00240A42"/>
    <w:rsid w:val="0024122D"/>
    <w:rsid w:val="00241BB6"/>
    <w:rsid w:val="00244EAE"/>
    <w:rsid w:val="00246D2B"/>
    <w:rsid w:val="0025082C"/>
    <w:rsid w:val="00250CE9"/>
    <w:rsid w:val="0025133A"/>
    <w:rsid w:val="002524D5"/>
    <w:rsid w:val="00252C5D"/>
    <w:rsid w:val="002532D2"/>
    <w:rsid w:val="00253EAC"/>
    <w:rsid w:val="0025477C"/>
    <w:rsid w:val="00254A8F"/>
    <w:rsid w:val="0025733E"/>
    <w:rsid w:val="00257451"/>
    <w:rsid w:val="00261448"/>
    <w:rsid w:val="00263DC4"/>
    <w:rsid w:val="00264925"/>
    <w:rsid w:val="00264FB4"/>
    <w:rsid w:val="00271457"/>
    <w:rsid w:val="00272F9B"/>
    <w:rsid w:val="00273BC0"/>
    <w:rsid w:val="00274A88"/>
    <w:rsid w:val="00275760"/>
    <w:rsid w:val="002757CE"/>
    <w:rsid w:val="0028008A"/>
    <w:rsid w:val="00281665"/>
    <w:rsid w:val="00281907"/>
    <w:rsid w:val="00282A39"/>
    <w:rsid w:val="002877B7"/>
    <w:rsid w:val="00287B5D"/>
    <w:rsid w:val="002926B8"/>
    <w:rsid w:val="00292E28"/>
    <w:rsid w:val="002933CC"/>
    <w:rsid w:val="002934FB"/>
    <w:rsid w:val="00295A30"/>
    <w:rsid w:val="00296D09"/>
    <w:rsid w:val="00296F25"/>
    <w:rsid w:val="002A17CD"/>
    <w:rsid w:val="002A2535"/>
    <w:rsid w:val="002A3549"/>
    <w:rsid w:val="002A4B4C"/>
    <w:rsid w:val="002A4E26"/>
    <w:rsid w:val="002A51D7"/>
    <w:rsid w:val="002A69D2"/>
    <w:rsid w:val="002B0D84"/>
    <w:rsid w:val="002B19E3"/>
    <w:rsid w:val="002B261D"/>
    <w:rsid w:val="002B6677"/>
    <w:rsid w:val="002B75C2"/>
    <w:rsid w:val="002C2C07"/>
    <w:rsid w:val="002C3495"/>
    <w:rsid w:val="002C397F"/>
    <w:rsid w:val="002C5CB2"/>
    <w:rsid w:val="002C7E85"/>
    <w:rsid w:val="002D1B31"/>
    <w:rsid w:val="002D38C4"/>
    <w:rsid w:val="002D3D6D"/>
    <w:rsid w:val="002D56F5"/>
    <w:rsid w:val="002D6137"/>
    <w:rsid w:val="002D67EF"/>
    <w:rsid w:val="002D6BC7"/>
    <w:rsid w:val="002D7E0A"/>
    <w:rsid w:val="002E258E"/>
    <w:rsid w:val="002E2B59"/>
    <w:rsid w:val="002E2FDE"/>
    <w:rsid w:val="002E463D"/>
    <w:rsid w:val="002E544E"/>
    <w:rsid w:val="002E560A"/>
    <w:rsid w:val="002E6836"/>
    <w:rsid w:val="002E6AF6"/>
    <w:rsid w:val="002E6C52"/>
    <w:rsid w:val="002F098B"/>
    <w:rsid w:val="002F35FB"/>
    <w:rsid w:val="002F4BF2"/>
    <w:rsid w:val="00300A61"/>
    <w:rsid w:val="0030285A"/>
    <w:rsid w:val="003030F8"/>
    <w:rsid w:val="00303F32"/>
    <w:rsid w:val="00304DFF"/>
    <w:rsid w:val="00307019"/>
    <w:rsid w:val="00307A7D"/>
    <w:rsid w:val="00311513"/>
    <w:rsid w:val="00311BC1"/>
    <w:rsid w:val="003130C0"/>
    <w:rsid w:val="00314855"/>
    <w:rsid w:val="00315262"/>
    <w:rsid w:val="003157D9"/>
    <w:rsid w:val="00317BD0"/>
    <w:rsid w:val="0032014C"/>
    <w:rsid w:val="003204BA"/>
    <w:rsid w:val="00320AF3"/>
    <w:rsid w:val="00320D54"/>
    <w:rsid w:val="00321C98"/>
    <w:rsid w:val="00321FB2"/>
    <w:rsid w:val="0032302B"/>
    <w:rsid w:val="003257E6"/>
    <w:rsid w:val="0032587D"/>
    <w:rsid w:val="003304F5"/>
    <w:rsid w:val="00330E85"/>
    <w:rsid w:val="00331067"/>
    <w:rsid w:val="00331A81"/>
    <w:rsid w:val="0033202F"/>
    <w:rsid w:val="00332DD5"/>
    <w:rsid w:val="00334AD5"/>
    <w:rsid w:val="00342674"/>
    <w:rsid w:val="0034356B"/>
    <w:rsid w:val="00343889"/>
    <w:rsid w:val="00343D58"/>
    <w:rsid w:val="00347D16"/>
    <w:rsid w:val="0035118D"/>
    <w:rsid w:val="00351871"/>
    <w:rsid w:val="0035235E"/>
    <w:rsid w:val="003577C8"/>
    <w:rsid w:val="00365CEE"/>
    <w:rsid w:val="00370ED7"/>
    <w:rsid w:val="00374F4F"/>
    <w:rsid w:val="00375217"/>
    <w:rsid w:val="003763F7"/>
    <w:rsid w:val="00377997"/>
    <w:rsid w:val="00380EE3"/>
    <w:rsid w:val="00382401"/>
    <w:rsid w:val="003825D9"/>
    <w:rsid w:val="00382674"/>
    <w:rsid w:val="003826A0"/>
    <w:rsid w:val="003826D5"/>
    <w:rsid w:val="0038295E"/>
    <w:rsid w:val="0038586C"/>
    <w:rsid w:val="0038705A"/>
    <w:rsid w:val="003906E0"/>
    <w:rsid w:val="0039132E"/>
    <w:rsid w:val="00392557"/>
    <w:rsid w:val="00396908"/>
    <w:rsid w:val="003A110D"/>
    <w:rsid w:val="003A272E"/>
    <w:rsid w:val="003A299F"/>
    <w:rsid w:val="003A2FD1"/>
    <w:rsid w:val="003A3742"/>
    <w:rsid w:val="003A6D85"/>
    <w:rsid w:val="003B1106"/>
    <w:rsid w:val="003B15F7"/>
    <w:rsid w:val="003B4E6E"/>
    <w:rsid w:val="003B5620"/>
    <w:rsid w:val="003B6A34"/>
    <w:rsid w:val="003C1B94"/>
    <w:rsid w:val="003C2F92"/>
    <w:rsid w:val="003C309C"/>
    <w:rsid w:val="003C43DD"/>
    <w:rsid w:val="003C5B5B"/>
    <w:rsid w:val="003C68D7"/>
    <w:rsid w:val="003D09A1"/>
    <w:rsid w:val="003D33B2"/>
    <w:rsid w:val="003D3488"/>
    <w:rsid w:val="003D3DBD"/>
    <w:rsid w:val="003D4756"/>
    <w:rsid w:val="003D570E"/>
    <w:rsid w:val="003D6C47"/>
    <w:rsid w:val="003E3789"/>
    <w:rsid w:val="003E5862"/>
    <w:rsid w:val="003E78BE"/>
    <w:rsid w:val="003F008F"/>
    <w:rsid w:val="003F2140"/>
    <w:rsid w:val="003F267B"/>
    <w:rsid w:val="003F488C"/>
    <w:rsid w:val="003F56A6"/>
    <w:rsid w:val="003F599C"/>
    <w:rsid w:val="003F5D68"/>
    <w:rsid w:val="004010DC"/>
    <w:rsid w:val="00401761"/>
    <w:rsid w:val="004028B8"/>
    <w:rsid w:val="00412324"/>
    <w:rsid w:val="004123D1"/>
    <w:rsid w:val="004151B8"/>
    <w:rsid w:val="00416E05"/>
    <w:rsid w:val="00423807"/>
    <w:rsid w:val="004279F2"/>
    <w:rsid w:val="00427ED3"/>
    <w:rsid w:val="00430511"/>
    <w:rsid w:val="0043103C"/>
    <w:rsid w:val="004339DD"/>
    <w:rsid w:val="00433A02"/>
    <w:rsid w:val="00434A06"/>
    <w:rsid w:val="00436FE8"/>
    <w:rsid w:val="00437DBA"/>
    <w:rsid w:val="0044222E"/>
    <w:rsid w:val="00443740"/>
    <w:rsid w:val="0044640D"/>
    <w:rsid w:val="00447D74"/>
    <w:rsid w:val="004521DD"/>
    <w:rsid w:val="00453628"/>
    <w:rsid w:val="00454180"/>
    <w:rsid w:val="00454574"/>
    <w:rsid w:val="00456907"/>
    <w:rsid w:val="004603E9"/>
    <w:rsid w:val="0046213D"/>
    <w:rsid w:val="00462933"/>
    <w:rsid w:val="00462F47"/>
    <w:rsid w:val="00465B9D"/>
    <w:rsid w:val="0046761B"/>
    <w:rsid w:val="00472B8C"/>
    <w:rsid w:val="00475A47"/>
    <w:rsid w:val="00475C98"/>
    <w:rsid w:val="004763C6"/>
    <w:rsid w:val="00480034"/>
    <w:rsid w:val="00483DCD"/>
    <w:rsid w:val="00484183"/>
    <w:rsid w:val="00484A02"/>
    <w:rsid w:val="00484C79"/>
    <w:rsid w:val="00485ABA"/>
    <w:rsid w:val="00485AF1"/>
    <w:rsid w:val="00487E80"/>
    <w:rsid w:val="00490A97"/>
    <w:rsid w:val="004913D4"/>
    <w:rsid w:val="004917B9"/>
    <w:rsid w:val="004938A5"/>
    <w:rsid w:val="00494F45"/>
    <w:rsid w:val="00495A8A"/>
    <w:rsid w:val="0049681D"/>
    <w:rsid w:val="004A1B67"/>
    <w:rsid w:val="004A64D2"/>
    <w:rsid w:val="004A76B5"/>
    <w:rsid w:val="004B2819"/>
    <w:rsid w:val="004B3C42"/>
    <w:rsid w:val="004B45D4"/>
    <w:rsid w:val="004B54A9"/>
    <w:rsid w:val="004B641D"/>
    <w:rsid w:val="004B6A3F"/>
    <w:rsid w:val="004B7076"/>
    <w:rsid w:val="004C327F"/>
    <w:rsid w:val="004C565D"/>
    <w:rsid w:val="004C5E0E"/>
    <w:rsid w:val="004C61CA"/>
    <w:rsid w:val="004C790A"/>
    <w:rsid w:val="004C7D33"/>
    <w:rsid w:val="004D3353"/>
    <w:rsid w:val="004D3D29"/>
    <w:rsid w:val="004D68AA"/>
    <w:rsid w:val="004E161D"/>
    <w:rsid w:val="004E3337"/>
    <w:rsid w:val="004E3AAF"/>
    <w:rsid w:val="004E47C3"/>
    <w:rsid w:val="004E7FA8"/>
    <w:rsid w:val="004F057B"/>
    <w:rsid w:val="004F11D7"/>
    <w:rsid w:val="004F1D4B"/>
    <w:rsid w:val="004F4756"/>
    <w:rsid w:val="004F4D2D"/>
    <w:rsid w:val="004F5DCF"/>
    <w:rsid w:val="004F662B"/>
    <w:rsid w:val="004F6F33"/>
    <w:rsid w:val="004F7D1D"/>
    <w:rsid w:val="00500590"/>
    <w:rsid w:val="0050204F"/>
    <w:rsid w:val="00506A0E"/>
    <w:rsid w:val="00511E27"/>
    <w:rsid w:val="00512955"/>
    <w:rsid w:val="0051371B"/>
    <w:rsid w:val="005140EF"/>
    <w:rsid w:val="00514760"/>
    <w:rsid w:val="0051481E"/>
    <w:rsid w:val="00514C05"/>
    <w:rsid w:val="00515E95"/>
    <w:rsid w:val="00517E3C"/>
    <w:rsid w:val="00523162"/>
    <w:rsid w:val="00524A7D"/>
    <w:rsid w:val="00526566"/>
    <w:rsid w:val="005269EB"/>
    <w:rsid w:val="00533D85"/>
    <w:rsid w:val="00535E4B"/>
    <w:rsid w:val="005423C2"/>
    <w:rsid w:val="00542856"/>
    <w:rsid w:val="00543B40"/>
    <w:rsid w:val="00545FD1"/>
    <w:rsid w:val="0054654C"/>
    <w:rsid w:val="00546C3E"/>
    <w:rsid w:val="00551844"/>
    <w:rsid w:val="005522A0"/>
    <w:rsid w:val="005545F9"/>
    <w:rsid w:val="0055483F"/>
    <w:rsid w:val="00555ACA"/>
    <w:rsid w:val="00556641"/>
    <w:rsid w:val="0055666B"/>
    <w:rsid w:val="00556C5A"/>
    <w:rsid w:val="005625BA"/>
    <w:rsid w:val="005631F3"/>
    <w:rsid w:val="00563BC7"/>
    <w:rsid w:val="00563D87"/>
    <w:rsid w:val="0056409A"/>
    <w:rsid w:val="00564B3C"/>
    <w:rsid w:val="00566980"/>
    <w:rsid w:val="00567AC3"/>
    <w:rsid w:val="00567BF2"/>
    <w:rsid w:val="00571DAF"/>
    <w:rsid w:val="00572EB5"/>
    <w:rsid w:val="0057311F"/>
    <w:rsid w:val="00573888"/>
    <w:rsid w:val="0057467B"/>
    <w:rsid w:val="00574C2E"/>
    <w:rsid w:val="00575396"/>
    <w:rsid w:val="005756A0"/>
    <w:rsid w:val="00575EC0"/>
    <w:rsid w:val="0058003F"/>
    <w:rsid w:val="005805EE"/>
    <w:rsid w:val="00586135"/>
    <w:rsid w:val="00586188"/>
    <w:rsid w:val="005863AA"/>
    <w:rsid w:val="0058642F"/>
    <w:rsid w:val="005872E2"/>
    <w:rsid w:val="0059024C"/>
    <w:rsid w:val="00590E4F"/>
    <w:rsid w:val="005930CD"/>
    <w:rsid w:val="00594B47"/>
    <w:rsid w:val="00596665"/>
    <w:rsid w:val="00596E9E"/>
    <w:rsid w:val="005A0ED5"/>
    <w:rsid w:val="005A20C8"/>
    <w:rsid w:val="005A62E6"/>
    <w:rsid w:val="005B0472"/>
    <w:rsid w:val="005B07D4"/>
    <w:rsid w:val="005B10C3"/>
    <w:rsid w:val="005B5A7C"/>
    <w:rsid w:val="005C1673"/>
    <w:rsid w:val="005C4356"/>
    <w:rsid w:val="005C56B7"/>
    <w:rsid w:val="005D394E"/>
    <w:rsid w:val="005D5A7A"/>
    <w:rsid w:val="005D5E2B"/>
    <w:rsid w:val="005D67F1"/>
    <w:rsid w:val="005E00C3"/>
    <w:rsid w:val="005E1678"/>
    <w:rsid w:val="005E27DC"/>
    <w:rsid w:val="005E3BB3"/>
    <w:rsid w:val="005E4EE1"/>
    <w:rsid w:val="005E733E"/>
    <w:rsid w:val="005E76F8"/>
    <w:rsid w:val="005F1B29"/>
    <w:rsid w:val="005F1EF7"/>
    <w:rsid w:val="005F493D"/>
    <w:rsid w:val="005F71D8"/>
    <w:rsid w:val="006035C3"/>
    <w:rsid w:val="00604D8C"/>
    <w:rsid w:val="00604EB1"/>
    <w:rsid w:val="00606AAB"/>
    <w:rsid w:val="00606CB2"/>
    <w:rsid w:val="00607697"/>
    <w:rsid w:val="00611192"/>
    <w:rsid w:val="00611215"/>
    <w:rsid w:val="006115BD"/>
    <w:rsid w:val="006132E6"/>
    <w:rsid w:val="00613A06"/>
    <w:rsid w:val="0061461C"/>
    <w:rsid w:val="00614739"/>
    <w:rsid w:val="00616BEC"/>
    <w:rsid w:val="00616F6F"/>
    <w:rsid w:val="00621F34"/>
    <w:rsid w:val="00621F51"/>
    <w:rsid w:val="00624C64"/>
    <w:rsid w:val="0062625A"/>
    <w:rsid w:val="0062651F"/>
    <w:rsid w:val="00626826"/>
    <w:rsid w:val="00627CE3"/>
    <w:rsid w:val="00630720"/>
    <w:rsid w:val="00630A9F"/>
    <w:rsid w:val="00632F60"/>
    <w:rsid w:val="00633F8B"/>
    <w:rsid w:val="00634B02"/>
    <w:rsid w:val="006354C7"/>
    <w:rsid w:val="0063608C"/>
    <w:rsid w:val="00636A4D"/>
    <w:rsid w:val="00646293"/>
    <w:rsid w:val="0064688C"/>
    <w:rsid w:val="006526DE"/>
    <w:rsid w:val="0065364A"/>
    <w:rsid w:val="00657D8C"/>
    <w:rsid w:val="00657F49"/>
    <w:rsid w:val="006603C6"/>
    <w:rsid w:val="0066089D"/>
    <w:rsid w:val="006619B6"/>
    <w:rsid w:val="006637D0"/>
    <w:rsid w:val="00665991"/>
    <w:rsid w:val="0067039E"/>
    <w:rsid w:val="00670E8C"/>
    <w:rsid w:val="006737C8"/>
    <w:rsid w:val="00680941"/>
    <w:rsid w:val="00681217"/>
    <w:rsid w:val="0068142B"/>
    <w:rsid w:val="006848AF"/>
    <w:rsid w:val="00686FB8"/>
    <w:rsid w:val="00690107"/>
    <w:rsid w:val="00690EA1"/>
    <w:rsid w:val="006918E9"/>
    <w:rsid w:val="0069193F"/>
    <w:rsid w:val="00692265"/>
    <w:rsid w:val="00693CD6"/>
    <w:rsid w:val="006951B4"/>
    <w:rsid w:val="00695475"/>
    <w:rsid w:val="00697C96"/>
    <w:rsid w:val="006A06DE"/>
    <w:rsid w:val="006A0C89"/>
    <w:rsid w:val="006A7952"/>
    <w:rsid w:val="006B3511"/>
    <w:rsid w:val="006B51D5"/>
    <w:rsid w:val="006B5280"/>
    <w:rsid w:val="006B555D"/>
    <w:rsid w:val="006C6369"/>
    <w:rsid w:val="006D2095"/>
    <w:rsid w:val="006D2D24"/>
    <w:rsid w:val="006D2EE7"/>
    <w:rsid w:val="006D3B8E"/>
    <w:rsid w:val="006D467F"/>
    <w:rsid w:val="006D72C2"/>
    <w:rsid w:val="006D7BA6"/>
    <w:rsid w:val="006E41E6"/>
    <w:rsid w:val="006E4EC5"/>
    <w:rsid w:val="006E55BB"/>
    <w:rsid w:val="006E6486"/>
    <w:rsid w:val="006E6580"/>
    <w:rsid w:val="006E6D34"/>
    <w:rsid w:val="006F214E"/>
    <w:rsid w:val="006F214F"/>
    <w:rsid w:val="006F239A"/>
    <w:rsid w:val="006F2B39"/>
    <w:rsid w:val="006F3E33"/>
    <w:rsid w:val="006F4F3F"/>
    <w:rsid w:val="006F5550"/>
    <w:rsid w:val="006F5BDC"/>
    <w:rsid w:val="00703454"/>
    <w:rsid w:val="00704ACF"/>
    <w:rsid w:val="00710E6E"/>
    <w:rsid w:val="0071243D"/>
    <w:rsid w:val="007145ED"/>
    <w:rsid w:val="00715056"/>
    <w:rsid w:val="00716134"/>
    <w:rsid w:val="0071787D"/>
    <w:rsid w:val="00720F86"/>
    <w:rsid w:val="00722EFD"/>
    <w:rsid w:val="007253AD"/>
    <w:rsid w:val="00725E9F"/>
    <w:rsid w:val="00730668"/>
    <w:rsid w:val="007323E9"/>
    <w:rsid w:val="00735F1D"/>
    <w:rsid w:val="00740B9D"/>
    <w:rsid w:val="0074131D"/>
    <w:rsid w:val="00741D11"/>
    <w:rsid w:val="007446D9"/>
    <w:rsid w:val="007448B9"/>
    <w:rsid w:val="00744C81"/>
    <w:rsid w:val="0074568C"/>
    <w:rsid w:val="007459C2"/>
    <w:rsid w:val="00747504"/>
    <w:rsid w:val="007510E1"/>
    <w:rsid w:val="0075245B"/>
    <w:rsid w:val="00752D9B"/>
    <w:rsid w:val="0075361C"/>
    <w:rsid w:val="00755207"/>
    <w:rsid w:val="0075537E"/>
    <w:rsid w:val="007554B5"/>
    <w:rsid w:val="00756D8A"/>
    <w:rsid w:val="00760034"/>
    <w:rsid w:val="0076081C"/>
    <w:rsid w:val="00764230"/>
    <w:rsid w:val="007648C9"/>
    <w:rsid w:val="00765185"/>
    <w:rsid w:val="00765B88"/>
    <w:rsid w:val="007660A3"/>
    <w:rsid w:val="0076657B"/>
    <w:rsid w:val="00767CFA"/>
    <w:rsid w:val="00770F98"/>
    <w:rsid w:val="00771F2F"/>
    <w:rsid w:val="007743C0"/>
    <w:rsid w:val="00775C95"/>
    <w:rsid w:val="007766B7"/>
    <w:rsid w:val="007766DC"/>
    <w:rsid w:val="0078023E"/>
    <w:rsid w:val="00780580"/>
    <w:rsid w:val="00781D94"/>
    <w:rsid w:val="00781D9A"/>
    <w:rsid w:val="00781DB5"/>
    <w:rsid w:val="00783880"/>
    <w:rsid w:val="00784652"/>
    <w:rsid w:val="00784732"/>
    <w:rsid w:val="00785192"/>
    <w:rsid w:val="00786D59"/>
    <w:rsid w:val="0079312D"/>
    <w:rsid w:val="0079487E"/>
    <w:rsid w:val="00794E7B"/>
    <w:rsid w:val="00796699"/>
    <w:rsid w:val="00796871"/>
    <w:rsid w:val="007A2145"/>
    <w:rsid w:val="007A21D6"/>
    <w:rsid w:val="007A360D"/>
    <w:rsid w:val="007A3C52"/>
    <w:rsid w:val="007A5064"/>
    <w:rsid w:val="007A5529"/>
    <w:rsid w:val="007B3E0B"/>
    <w:rsid w:val="007B3F66"/>
    <w:rsid w:val="007B455F"/>
    <w:rsid w:val="007B5774"/>
    <w:rsid w:val="007B5795"/>
    <w:rsid w:val="007C1700"/>
    <w:rsid w:val="007C281C"/>
    <w:rsid w:val="007C3237"/>
    <w:rsid w:val="007C344E"/>
    <w:rsid w:val="007C3CFD"/>
    <w:rsid w:val="007C3EDD"/>
    <w:rsid w:val="007C4433"/>
    <w:rsid w:val="007C48C4"/>
    <w:rsid w:val="007C6EFF"/>
    <w:rsid w:val="007C7214"/>
    <w:rsid w:val="007D095F"/>
    <w:rsid w:val="007D3BC1"/>
    <w:rsid w:val="007D4192"/>
    <w:rsid w:val="007D5AF5"/>
    <w:rsid w:val="007D6353"/>
    <w:rsid w:val="007D66C7"/>
    <w:rsid w:val="007E06FF"/>
    <w:rsid w:val="007E121E"/>
    <w:rsid w:val="007E1323"/>
    <w:rsid w:val="007E1AD2"/>
    <w:rsid w:val="007E1CD3"/>
    <w:rsid w:val="007E3ED2"/>
    <w:rsid w:val="007E52A4"/>
    <w:rsid w:val="007E5B93"/>
    <w:rsid w:val="007E632E"/>
    <w:rsid w:val="007E6507"/>
    <w:rsid w:val="007E6AAF"/>
    <w:rsid w:val="007E7A5E"/>
    <w:rsid w:val="007F23C6"/>
    <w:rsid w:val="00804B71"/>
    <w:rsid w:val="00806583"/>
    <w:rsid w:val="0081027B"/>
    <w:rsid w:val="00812D4E"/>
    <w:rsid w:val="008148F7"/>
    <w:rsid w:val="008157FC"/>
    <w:rsid w:val="00817624"/>
    <w:rsid w:val="008251AB"/>
    <w:rsid w:val="00827590"/>
    <w:rsid w:val="0082776F"/>
    <w:rsid w:val="00827CD0"/>
    <w:rsid w:val="00833D51"/>
    <w:rsid w:val="008353DA"/>
    <w:rsid w:val="008401F1"/>
    <w:rsid w:val="0084282B"/>
    <w:rsid w:val="00844308"/>
    <w:rsid w:val="00851C38"/>
    <w:rsid w:val="00852DD3"/>
    <w:rsid w:val="00857BBA"/>
    <w:rsid w:val="0086035D"/>
    <w:rsid w:val="008609FB"/>
    <w:rsid w:val="00862389"/>
    <w:rsid w:val="0086285F"/>
    <w:rsid w:val="00867732"/>
    <w:rsid w:val="00867BC0"/>
    <w:rsid w:val="00874FD2"/>
    <w:rsid w:val="008767D7"/>
    <w:rsid w:val="00881633"/>
    <w:rsid w:val="00883C8E"/>
    <w:rsid w:val="00884721"/>
    <w:rsid w:val="00885DED"/>
    <w:rsid w:val="008869AE"/>
    <w:rsid w:val="00886B44"/>
    <w:rsid w:val="0088759D"/>
    <w:rsid w:val="00890E79"/>
    <w:rsid w:val="008914C8"/>
    <w:rsid w:val="00892A00"/>
    <w:rsid w:val="008932B0"/>
    <w:rsid w:val="00893F84"/>
    <w:rsid w:val="00895014"/>
    <w:rsid w:val="00895395"/>
    <w:rsid w:val="00896617"/>
    <w:rsid w:val="00896F4D"/>
    <w:rsid w:val="008976EA"/>
    <w:rsid w:val="008A06BC"/>
    <w:rsid w:val="008A1222"/>
    <w:rsid w:val="008A166C"/>
    <w:rsid w:val="008A561D"/>
    <w:rsid w:val="008B0050"/>
    <w:rsid w:val="008B1132"/>
    <w:rsid w:val="008B175B"/>
    <w:rsid w:val="008B2B98"/>
    <w:rsid w:val="008B2CF9"/>
    <w:rsid w:val="008B38B8"/>
    <w:rsid w:val="008B5BD7"/>
    <w:rsid w:val="008B64F7"/>
    <w:rsid w:val="008B6CBA"/>
    <w:rsid w:val="008B7F10"/>
    <w:rsid w:val="008C0459"/>
    <w:rsid w:val="008C231E"/>
    <w:rsid w:val="008C24B5"/>
    <w:rsid w:val="008C4040"/>
    <w:rsid w:val="008C446E"/>
    <w:rsid w:val="008D0D1A"/>
    <w:rsid w:val="008D110E"/>
    <w:rsid w:val="008D1EC2"/>
    <w:rsid w:val="008D2492"/>
    <w:rsid w:val="008D3096"/>
    <w:rsid w:val="008D481B"/>
    <w:rsid w:val="008D4FCE"/>
    <w:rsid w:val="008D51FA"/>
    <w:rsid w:val="008D7718"/>
    <w:rsid w:val="008E3885"/>
    <w:rsid w:val="008E41AA"/>
    <w:rsid w:val="008E46C9"/>
    <w:rsid w:val="008E541B"/>
    <w:rsid w:val="008E63A6"/>
    <w:rsid w:val="008E681E"/>
    <w:rsid w:val="008E6A3D"/>
    <w:rsid w:val="008F5374"/>
    <w:rsid w:val="0090007F"/>
    <w:rsid w:val="00900B87"/>
    <w:rsid w:val="009052E3"/>
    <w:rsid w:val="00911078"/>
    <w:rsid w:val="00912314"/>
    <w:rsid w:val="009153DA"/>
    <w:rsid w:val="00916A35"/>
    <w:rsid w:val="00916BBD"/>
    <w:rsid w:val="009200B0"/>
    <w:rsid w:val="00920F9A"/>
    <w:rsid w:val="0092195F"/>
    <w:rsid w:val="00922B8E"/>
    <w:rsid w:val="00923B52"/>
    <w:rsid w:val="00925C41"/>
    <w:rsid w:val="0092706D"/>
    <w:rsid w:val="00930832"/>
    <w:rsid w:val="00932596"/>
    <w:rsid w:val="00933744"/>
    <w:rsid w:val="009337B9"/>
    <w:rsid w:val="00933CAA"/>
    <w:rsid w:val="00934734"/>
    <w:rsid w:val="00936123"/>
    <w:rsid w:val="0093626A"/>
    <w:rsid w:val="00940B4B"/>
    <w:rsid w:val="00940C31"/>
    <w:rsid w:val="00942597"/>
    <w:rsid w:val="00943013"/>
    <w:rsid w:val="0094425C"/>
    <w:rsid w:val="00945495"/>
    <w:rsid w:val="00946F24"/>
    <w:rsid w:val="0094742A"/>
    <w:rsid w:val="00947A43"/>
    <w:rsid w:val="009515BE"/>
    <w:rsid w:val="00951E71"/>
    <w:rsid w:val="0095355A"/>
    <w:rsid w:val="009542E6"/>
    <w:rsid w:val="009543F9"/>
    <w:rsid w:val="00960315"/>
    <w:rsid w:val="00961A11"/>
    <w:rsid w:val="009630B1"/>
    <w:rsid w:val="00963491"/>
    <w:rsid w:val="00963946"/>
    <w:rsid w:val="009640DF"/>
    <w:rsid w:val="00964BF2"/>
    <w:rsid w:val="00965A5E"/>
    <w:rsid w:val="0097023E"/>
    <w:rsid w:val="00970312"/>
    <w:rsid w:val="00972566"/>
    <w:rsid w:val="009727B9"/>
    <w:rsid w:val="00973FF7"/>
    <w:rsid w:val="00974326"/>
    <w:rsid w:val="0097491B"/>
    <w:rsid w:val="00976BED"/>
    <w:rsid w:val="00977A53"/>
    <w:rsid w:val="00980B82"/>
    <w:rsid w:val="00981A24"/>
    <w:rsid w:val="009820DF"/>
    <w:rsid w:val="009839CF"/>
    <w:rsid w:val="00984FE7"/>
    <w:rsid w:val="00985E22"/>
    <w:rsid w:val="009869FA"/>
    <w:rsid w:val="00986BBA"/>
    <w:rsid w:val="009938B6"/>
    <w:rsid w:val="0099414B"/>
    <w:rsid w:val="00996599"/>
    <w:rsid w:val="00996A51"/>
    <w:rsid w:val="009A18F2"/>
    <w:rsid w:val="009A3556"/>
    <w:rsid w:val="009A3DCC"/>
    <w:rsid w:val="009A5D49"/>
    <w:rsid w:val="009A6749"/>
    <w:rsid w:val="009A7603"/>
    <w:rsid w:val="009A7795"/>
    <w:rsid w:val="009B0012"/>
    <w:rsid w:val="009B3717"/>
    <w:rsid w:val="009B57C0"/>
    <w:rsid w:val="009B57D1"/>
    <w:rsid w:val="009B717A"/>
    <w:rsid w:val="009C106B"/>
    <w:rsid w:val="009C45E1"/>
    <w:rsid w:val="009C4CE3"/>
    <w:rsid w:val="009C60F2"/>
    <w:rsid w:val="009D255C"/>
    <w:rsid w:val="009D2F9C"/>
    <w:rsid w:val="009D7796"/>
    <w:rsid w:val="009D7E7A"/>
    <w:rsid w:val="009E0DE5"/>
    <w:rsid w:val="009E22EA"/>
    <w:rsid w:val="009E2B89"/>
    <w:rsid w:val="009E368F"/>
    <w:rsid w:val="009E37CD"/>
    <w:rsid w:val="009E3E95"/>
    <w:rsid w:val="009E690C"/>
    <w:rsid w:val="009E705F"/>
    <w:rsid w:val="009E71F1"/>
    <w:rsid w:val="009E7218"/>
    <w:rsid w:val="009F0DB4"/>
    <w:rsid w:val="009F1EDD"/>
    <w:rsid w:val="009F2757"/>
    <w:rsid w:val="009F30F2"/>
    <w:rsid w:val="009F3D74"/>
    <w:rsid w:val="009F598A"/>
    <w:rsid w:val="009F5A6F"/>
    <w:rsid w:val="009F6B01"/>
    <w:rsid w:val="009F76A3"/>
    <w:rsid w:val="00A01D26"/>
    <w:rsid w:val="00A03FFC"/>
    <w:rsid w:val="00A04626"/>
    <w:rsid w:val="00A05909"/>
    <w:rsid w:val="00A06506"/>
    <w:rsid w:val="00A0798B"/>
    <w:rsid w:val="00A1184A"/>
    <w:rsid w:val="00A12E70"/>
    <w:rsid w:val="00A1411F"/>
    <w:rsid w:val="00A21117"/>
    <w:rsid w:val="00A2142F"/>
    <w:rsid w:val="00A2161A"/>
    <w:rsid w:val="00A21743"/>
    <w:rsid w:val="00A2217B"/>
    <w:rsid w:val="00A221DD"/>
    <w:rsid w:val="00A23FF7"/>
    <w:rsid w:val="00A24145"/>
    <w:rsid w:val="00A25641"/>
    <w:rsid w:val="00A25718"/>
    <w:rsid w:val="00A26E05"/>
    <w:rsid w:val="00A2771C"/>
    <w:rsid w:val="00A31FCE"/>
    <w:rsid w:val="00A32211"/>
    <w:rsid w:val="00A334E8"/>
    <w:rsid w:val="00A33712"/>
    <w:rsid w:val="00A33C78"/>
    <w:rsid w:val="00A35BD6"/>
    <w:rsid w:val="00A36EC1"/>
    <w:rsid w:val="00A376BD"/>
    <w:rsid w:val="00A42176"/>
    <w:rsid w:val="00A43840"/>
    <w:rsid w:val="00A43C26"/>
    <w:rsid w:val="00A45666"/>
    <w:rsid w:val="00A471CD"/>
    <w:rsid w:val="00A477DF"/>
    <w:rsid w:val="00A518B2"/>
    <w:rsid w:val="00A51F98"/>
    <w:rsid w:val="00A53FBD"/>
    <w:rsid w:val="00A560B9"/>
    <w:rsid w:val="00A578A7"/>
    <w:rsid w:val="00A601D7"/>
    <w:rsid w:val="00A6022C"/>
    <w:rsid w:val="00A6155E"/>
    <w:rsid w:val="00A62E9B"/>
    <w:rsid w:val="00A64225"/>
    <w:rsid w:val="00A6546C"/>
    <w:rsid w:val="00A715B6"/>
    <w:rsid w:val="00A7232F"/>
    <w:rsid w:val="00A723F5"/>
    <w:rsid w:val="00A75B6E"/>
    <w:rsid w:val="00A7684D"/>
    <w:rsid w:val="00A774E8"/>
    <w:rsid w:val="00A80101"/>
    <w:rsid w:val="00A806E2"/>
    <w:rsid w:val="00A80851"/>
    <w:rsid w:val="00A90AE0"/>
    <w:rsid w:val="00A90EA3"/>
    <w:rsid w:val="00AB1705"/>
    <w:rsid w:val="00AB2283"/>
    <w:rsid w:val="00AB4ECC"/>
    <w:rsid w:val="00AB7884"/>
    <w:rsid w:val="00AB7DA2"/>
    <w:rsid w:val="00AC29AC"/>
    <w:rsid w:val="00AC4588"/>
    <w:rsid w:val="00AC52E8"/>
    <w:rsid w:val="00AC62C7"/>
    <w:rsid w:val="00AD1FAC"/>
    <w:rsid w:val="00AD2EF9"/>
    <w:rsid w:val="00AD32BD"/>
    <w:rsid w:val="00AD36A9"/>
    <w:rsid w:val="00AD6983"/>
    <w:rsid w:val="00AD7C4E"/>
    <w:rsid w:val="00AD7DCE"/>
    <w:rsid w:val="00AE16C5"/>
    <w:rsid w:val="00AE27D2"/>
    <w:rsid w:val="00AE2B33"/>
    <w:rsid w:val="00AE2BAD"/>
    <w:rsid w:val="00AE6D2D"/>
    <w:rsid w:val="00AF07AD"/>
    <w:rsid w:val="00AF276E"/>
    <w:rsid w:val="00AF3027"/>
    <w:rsid w:val="00AF3C44"/>
    <w:rsid w:val="00AF457E"/>
    <w:rsid w:val="00AF5487"/>
    <w:rsid w:val="00B000FB"/>
    <w:rsid w:val="00B01CEB"/>
    <w:rsid w:val="00B02309"/>
    <w:rsid w:val="00B035D1"/>
    <w:rsid w:val="00B03AD7"/>
    <w:rsid w:val="00B03DD6"/>
    <w:rsid w:val="00B03F3B"/>
    <w:rsid w:val="00B0449E"/>
    <w:rsid w:val="00B048E5"/>
    <w:rsid w:val="00B05F1C"/>
    <w:rsid w:val="00B064F7"/>
    <w:rsid w:val="00B07058"/>
    <w:rsid w:val="00B07D5D"/>
    <w:rsid w:val="00B128AE"/>
    <w:rsid w:val="00B1322C"/>
    <w:rsid w:val="00B133A7"/>
    <w:rsid w:val="00B138C6"/>
    <w:rsid w:val="00B14EA0"/>
    <w:rsid w:val="00B151CA"/>
    <w:rsid w:val="00B156B7"/>
    <w:rsid w:val="00B1666F"/>
    <w:rsid w:val="00B16834"/>
    <w:rsid w:val="00B1688C"/>
    <w:rsid w:val="00B21010"/>
    <w:rsid w:val="00B24B27"/>
    <w:rsid w:val="00B257F4"/>
    <w:rsid w:val="00B25C54"/>
    <w:rsid w:val="00B262CD"/>
    <w:rsid w:val="00B30463"/>
    <w:rsid w:val="00B323BC"/>
    <w:rsid w:val="00B3581E"/>
    <w:rsid w:val="00B36411"/>
    <w:rsid w:val="00B36A1C"/>
    <w:rsid w:val="00B36B35"/>
    <w:rsid w:val="00B36B89"/>
    <w:rsid w:val="00B40A3B"/>
    <w:rsid w:val="00B41342"/>
    <w:rsid w:val="00B419E6"/>
    <w:rsid w:val="00B423EA"/>
    <w:rsid w:val="00B45716"/>
    <w:rsid w:val="00B45C12"/>
    <w:rsid w:val="00B46766"/>
    <w:rsid w:val="00B47DC1"/>
    <w:rsid w:val="00B52A1A"/>
    <w:rsid w:val="00B532DC"/>
    <w:rsid w:val="00B5674F"/>
    <w:rsid w:val="00B60614"/>
    <w:rsid w:val="00B6283B"/>
    <w:rsid w:val="00B62ED4"/>
    <w:rsid w:val="00B65FF2"/>
    <w:rsid w:val="00B66CA1"/>
    <w:rsid w:val="00B7027A"/>
    <w:rsid w:val="00B710C6"/>
    <w:rsid w:val="00B715E3"/>
    <w:rsid w:val="00B77AF8"/>
    <w:rsid w:val="00B80AEC"/>
    <w:rsid w:val="00B81D98"/>
    <w:rsid w:val="00B824BC"/>
    <w:rsid w:val="00B82625"/>
    <w:rsid w:val="00B848D6"/>
    <w:rsid w:val="00B85AEE"/>
    <w:rsid w:val="00B86CB8"/>
    <w:rsid w:val="00B87AA5"/>
    <w:rsid w:val="00BA01E8"/>
    <w:rsid w:val="00BA0B59"/>
    <w:rsid w:val="00BA157D"/>
    <w:rsid w:val="00BA2ACB"/>
    <w:rsid w:val="00BA5339"/>
    <w:rsid w:val="00BA7E41"/>
    <w:rsid w:val="00BB100F"/>
    <w:rsid w:val="00BB30EA"/>
    <w:rsid w:val="00BB4B5B"/>
    <w:rsid w:val="00BB524E"/>
    <w:rsid w:val="00BB7C02"/>
    <w:rsid w:val="00BC07BE"/>
    <w:rsid w:val="00BC0E0E"/>
    <w:rsid w:val="00BC14E7"/>
    <w:rsid w:val="00BC1C48"/>
    <w:rsid w:val="00BC1C63"/>
    <w:rsid w:val="00BC2E4A"/>
    <w:rsid w:val="00BC2EB3"/>
    <w:rsid w:val="00BC7B11"/>
    <w:rsid w:val="00BC7C42"/>
    <w:rsid w:val="00BD0D98"/>
    <w:rsid w:val="00BD30D1"/>
    <w:rsid w:val="00BD4002"/>
    <w:rsid w:val="00BD4628"/>
    <w:rsid w:val="00BD4774"/>
    <w:rsid w:val="00BD5D09"/>
    <w:rsid w:val="00BD6D8B"/>
    <w:rsid w:val="00BD70FA"/>
    <w:rsid w:val="00BE0C86"/>
    <w:rsid w:val="00BE27B1"/>
    <w:rsid w:val="00BE64D5"/>
    <w:rsid w:val="00BE6537"/>
    <w:rsid w:val="00BE6F57"/>
    <w:rsid w:val="00BE745F"/>
    <w:rsid w:val="00BF1DB8"/>
    <w:rsid w:val="00BF3131"/>
    <w:rsid w:val="00BF375F"/>
    <w:rsid w:val="00BF3DCC"/>
    <w:rsid w:val="00BF43B9"/>
    <w:rsid w:val="00C016A1"/>
    <w:rsid w:val="00C03AFD"/>
    <w:rsid w:val="00C04E03"/>
    <w:rsid w:val="00C056D0"/>
    <w:rsid w:val="00C05EB1"/>
    <w:rsid w:val="00C07341"/>
    <w:rsid w:val="00C10339"/>
    <w:rsid w:val="00C10646"/>
    <w:rsid w:val="00C108CC"/>
    <w:rsid w:val="00C1317F"/>
    <w:rsid w:val="00C148FD"/>
    <w:rsid w:val="00C1699C"/>
    <w:rsid w:val="00C178D6"/>
    <w:rsid w:val="00C2131C"/>
    <w:rsid w:val="00C21C1F"/>
    <w:rsid w:val="00C21FED"/>
    <w:rsid w:val="00C233F7"/>
    <w:rsid w:val="00C2576D"/>
    <w:rsid w:val="00C27CDD"/>
    <w:rsid w:val="00C30456"/>
    <w:rsid w:val="00C304E3"/>
    <w:rsid w:val="00C33307"/>
    <w:rsid w:val="00C37779"/>
    <w:rsid w:val="00C40032"/>
    <w:rsid w:val="00C42DEC"/>
    <w:rsid w:val="00C43958"/>
    <w:rsid w:val="00C4765F"/>
    <w:rsid w:val="00C50B79"/>
    <w:rsid w:val="00C522B1"/>
    <w:rsid w:val="00C53301"/>
    <w:rsid w:val="00C53B93"/>
    <w:rsid w:val="00C61E39"/>
    <w:rsid w:val="00C62915"/>
    <w:rsid w:val="00C63718"/>
    <w:rsid w:val="00C64EF7"/>
    <w:rsid w:val="00C66857"/>
    <w:rsid w:val="00C708E3"/>
    <w:rsid w:val="00C74CDC"/>
    <w:rsid w:val="00C75D95"/>
    <w:rsid w:val="00C76491"/>
    <w:rsid w:val="00C7758D"/>
    <w:rsid w:val="00C77FE7"/>
    <w:rsid w:val="00C823FF"/>
    <w:rsid w:val="00C850BA"/>
    <w:rsid w:val="00C9245B"/>
    <w:rsid w:val="00C9298A"/>
    <w:rsid w:val="00C92EB3"/>
    <w:rsid w:val="00C9330E"/>
    <w:rsid w:val="00C93BFF"/>
    <w:rsid w:val="00C9650F"/>
    <w:rsid w:val="00CA0D12"/>
    <w:rsid w:val="00CA17C0"/>
    <w:rsid w:val="00CA2788"/>
    <w:rsid w:val="00CA4BF7"/>
    <w:rsid w:val="00CA5369"/>
    <w:rsid w:val="00CA624E"/>
    <w:rsid w:val="00CA6E46"/>
    <w:rsid w:val="00CA712B"/>
    <w:rsid w:val="00CB32E4"/>
    <w:rsid w:val="00CB3775"/>
    <w:rsid w:val="00CB6974"/>
    <w:rsid w:val="00CB6DDB"/>
    <w:rsid w:val="00CC2154"/>
    <w:rsid w:val="00CC56B5"/>
    <w:rsid w:val="00CC6641"/>
    <w:rsid w:val="00CC7219"/>
    <w:rsid w:val="00CC7F12"/>
    <w:rsid w:val="00CD13BB"/>
    <w:rsid w:val="00CD15DA"/>
    <w:rsid w:val="00CD3570"/>
    <w:rsid w:val="00CD445A"/>
    <w:rsid w:val="00CD5268"/>
    <w:rsid w:val="00CD64AA"/>
    <w:rsid w:val="00CE2BAF"/>
    <w:rsid w:val="00CE62B9"/>
    <w:rsid w:val="00CE635B"/>
    <w:rsid w:val="00CE7570"/>
    <w:rsid w:val="00CF22AF"/>
    <w:rsid w:val="00CF2D7E"/>
    <w:rsid w:val="00CF3837"/>
    <w:rsid w:val="00CF3BAB"/>
    <w:rsid w:val="00CF3F9E"/>
    <w:rsid w:val="00CF4469"/>
    <w:rsid w:val="00CF537C"/>
    <w:rsid w:val="00CF7714"/>
    <w:rsid w:val="00CF7830"/>
    <w:rsid w:val="00D00F81"/>
    <w:rsid w:val="00D011DD"/>
    <w:rsid w:val="00D04587"/>
    <w:rsid w:val="00D06D97"/>
    <w:rsid w:val="00D071A1"/>
    <w:rsid w:val="00D07C66"/>
    <w:rsid w:val="00D107AD"/>
    <w:rsid w:val="00D1160A"/>
    <w:rsid w:val="00D13022"/>
    <w:rsid w:val="00D157DB"/>
    <w:rsid w:val="00D20E52"/>
    <w:rsid w:val="00D22F8D"/>
    <w:rsid w:val="00D265E3"/>
    <w:rsid w:val="00D273D8"/>
    <w:rsid w:val="00D30950"/>
    <w:rsid w:val="00D31EB2"/>
    <w:rsid w:val="00D32637"/>
    <w:rsid w:val="00D33D79"/>
    <w:rsid w:val="00D34FA9"/>
    <w:rsid w:val="00D35097"/>
    <w:rsid w:val="00D37225"/>
    <w:rsid w:val="00D3789E"/>
    <w:rsid w:val="00D405D0"/>
    <w:rsid w:val="00D427BA"/>
    <w:rsid w:val="00D437CE"/>
    <w:rsid w:val="00D43C81"/>
    <w:rsid w:val="00D4459D"/>
    <w:rsid w:val="00D455D0"/>
    <w:rsid w:val="00D45FBB"/>
    <w:rsid w:val="00D46134"/>
    <w:rsid w:val="00D47104"/>
    <w:rsid w:val="00D4728A"/>
    <w:rsid w:val="00D51C9B"/>
    <w:rsid w:val="00D52DBD"/>
    <w:rsid w:val="00D5508F"/>
    <w:rsid w:val="00D5607D"/>
    <w:rsid w:val="00D561BB"/>
    <w:rsid w:val="00D578EA"/>
    <w:rsid w:val="00D60119"/>
    <w:rsid w:val="00D60FE4"/>
    <w:rsid w:val="00D6148D"/>
    <w:rsid w:val="00D646EB"/>
    <w:rsid w:val="00D65DC3"/>
    <w:rsid w:val="00D70863"/>
    <w:rsid w:val="00D71778"/>
    <w:rsid w:val="00D72C7C"/>
    <w:rsid w:val="00D73D23"/>
    <w:rsid w:val="00D8103D"/>
    <w:rsid w:val="00D81BE9"/>
    <w:rsid w:val="00D8221E"/>
    <w:rsid w:val="00D83E12"/>
    <w:rsid w:val="00D85D77"/>
    <w:rsid w:val="00D86046"/>
    <w:rsid w:val="00D87146"/>
    <w:rsid w:val="00D8756B"/>
    <w:rsid w:val="00D91250"/>
    <w:rsid w:val="00D94EB9"/>
    <w:rsid w:val="00DA40BD"/>
    <w:rsid w:val="00DA4184"/>
    <w:rsid w:val="00DA5324"/>
    <w:rsid w:val="00DA7606"/>
    <w:rsid w:val="00DB0285"/>
    <w:rsid w:val="00DB1CEA"/>
    <w:rsid w:val="00DB2D67"/>
    <w:rsid w:val="00DB2E6C"/>
    <w:rsid w:val="00DB48B4"/>
    <w:rsid w:val="00DB5644"/>
    <w:rsid w:val="00DB57A4"/>
    <w:rsid w:val="00DC1574"/>
    <w:rsid w:val="00DC19DF"/>
    <w:rsid w:val="00DC1C12"/>
    <w:rsid w:val="00DC34A2"/>
    <w:rsid w:val="00DC482C"/>
    <w:rsid w:val="00DC5987"/>
    <w:rsid w:val="00DC6FA5"/>
    <w:rsid w:val="00DC7137"/>
    <w:rsid w:val="00DC7774"/>
    <w:rsid w:val="00DD07A2"/>
    <w:rsid w:val="00DD198F"/>
    <w:rsid w:val="00DD206F"/>
    <w:rsid w:val="00DD308A"/>
    <w:rsid w:val="00DD359A"/>
    <w:rsid w:val="00DD71BD"/>
    <w:rsid w:val="00DD7A22"/>
    <w:rsid w:val="00DE03D6"/>
    <w:rsid w:val="00DE0A3B"/>
    <w:rsid w:val="00DE1A77"/>
    <w:rsid w:val="00DE4BE9"/>
    <w:rsid w:val="00DE5A19"/>
    <w:rsid w:val="00DF267B"/>
    <w:rsid w:val="00DF3353"/>
    <w:rsid w:val="00DF3CD0"/>
    <w:rsid w:val="00DF475D"/>
    <w:rsid w:val="00DF586D"/>
    <w:rsid w:val="00E00CF5"/>
    <w:rsid w:val="00E023A4"/>
    <w:rsid w:val="00E0605C"/>
    <w:rsid w:val="00E06614"/>
    <w:rsid w:val="00E11CDE"/>
    <w:rsid w:val="00E12048"/>
    <w:rsid w:val="00E13757"/>
    <w:rsid w:val="00E13A47"/>
    <w:rsid w:val="00E1560D"/>
    <w:rsid w:val="00E15DB7"/>
    <w:rsid w:val="00E203B9"/>
    <w:rsid w:val="00E20661"/>
    <w:rsid w:val="00E211CE"/>
    <w:rsid w:val="00E22307"/>
    <w:rsid w:val="00E22617"/>
    <w:rsid w:val="00E237A2"/>
    <w:rsid w:val="00E237BC"/>
    <w:rsid w:val="00E23A5A"/>
    <w:rsid w:val="00E23D9D"/>
    <w:rsid w:val="00E23FD8"/>
    <w:rsid w:val="00E26DA4"/>
    <w:rsid w:val="00E27BAB"/>
    <w:rsid w:val="00E300BD"/>
    <w:rsid w:val="00E31A9E"/>
    <w:rsid w:val="00E3383C"/>
    <w:rsid w:val="00E36968"/>
    <w:rsid w:val="00E40EA4"/>
    <w:rsid w:val="00E41118"/>
    <w:rsid w:val="00E42ADF"/>
    <w:rsid w:val="00E42D77"/>
    <w:rsid w:val="00E468FA"/>
    <w:rsid w:val="00E47D54"/>
    <w:rsid w:val="00E513B5"/>
    <w:rsid w:val="00E516C4"/>
    <w:rsid w:val="00E5179D"/>
    <w:rsid w:val="00E53A0A"/>
    <w:rsid w:val="00E549AA"/>
    <w:rsid w:val="00E61FC3"/>
    <w:rsid w:val="00E67486"/>
    <w:rsid w:val="00E679D2"/>
    <w:rsid w:val="00E731D7"/>
    <w:rsid w:val="00E7495C"/>
    <w:rsid w:val="00E75816"/>
    <w:rsid w:val="00E7720A"/>
    <w:rsid w:val="00E77D80"/>
    <w:rsid w:val="00E81BEC"/>
    <w:rsid w:val="00E82ECF"/>
    <w:rsid w:val="00E87223"/>
    <w:rsid w:val="00E91F34"/>
    <w:rsid w:val="00E933F0"/>
    <w:rsid w:val="00E94C7B"/>
    <w:rsid w:val="00E9526B"/>
    <w:rsid w:val="00E96DB0"/>
    <w:rsid w:val="00EA0359"/>
    <w:rsid w:val="00EA2AFD"/>
    <w:rsid w:val="00EA4E81"/>
    <w:rsid w:val="00EA61C4"/>
    <w:rsid w:val="00EA68C7"/>
    <w:rsid w:val="00EB25F8"/>
    <w:rsid w:val="00EB2B66"/>
    <w:rsid w:val="00EB2EBD"/>
    <w:rsid w:val="00EB2F05"/>
    <w:rsid w:val="00EB3B67"/>
    <w:rsid w:val="00EB5320"/>
    <w:rsid w:val="00EC263C"/>
    <w:rsid w:val="00EC331F"/>
    <w:rsid w:val="00EC3C01"/>
    <w:rsid w:val="00EC7412"/>
    <w:rsid w:val="00EC7BBC"/>
    <w:rsid w:val="00ED0A7A"/>
    <w:rsid w:val="00ED69CA"/>
    <w:rsid w:val="00EE3939"/>
    <w:rsid w:val="00EE3AAF"/>
    <w:rsid w:val="00EE5128"/>
    <w:rsid w:val="00EE68E0"/>
    <w:rsid w:val="00EE75B9"/>
    <w:rsid w:val="00EF2D66"/>
    <w:rsid w:val="00EF2F5A"/>
    <w:rsid w:val="00EF5281"/>
    <w:rsid w:val="00EF6F92"/>
    <w:rsid w:val="00EF70CF"/>
    <w:rsid w:val="00EF7A21"/>
    <w:rsid w:val="00F00110"/>
    <w:rsid w:val="00F01658"/>
    <w:rsid w:val="00F04186"/>
    <w:rsid w:val="00F11490"/>
    <w:rsid w:val="00F128F4"/>
    <w:rsid w:val="00F13857"/>
    <w:rsid w:val="00F203E2"/>
    <w:rsid w:val="00F20DD4"/>
    <w:rsid w:val="00F21564"/>
    <w:rsid w:val="00F22210"/>
    <w:rsid w:val="00F230F4"/>
    <w:rsid w:val="00F26E98"/>
    <w:rsid w:val="00F3323A"/>
    <w:rsid w:val="00F36938"/>
    <w:rsid w:val="00F37279"/>
    <w:rsid w:val="00F37523"/>
    <w:rsid w:val="00F4183A"/>
    <w:rsid w:val="00F41C13"/>
    <w:rsid w:val="00F4218B"/>
    <w:rsid w:val="00F42D8A"/>
    <w:rsid w:val="00F43275"/>
    <w:rsid w:val="00F44B89"/>
    <w:rsid w:val="00F47216"/>
    <w:rsid w:val="00F47AE4"/>
    <w:rsid w:val="00F47EF7"/>
    <w:rsid w:val="00F5015B"/>
    <w:rsid w:val="00F56980"/>
    <w:rsid w:val="00F56AA8"/>
    <w:rsid w:val="00F56E0D"/>
    <w:rsid w:val="00F5799F"/>
    <w:rsid w:val="00F6077E"/>
    <w:rsid w:val="00F61BF8"/>
    <w:rsid w:val="00F626B3"/>
    <w:rsid w:val="00F6531A"/>
    <w:rsid w:val="00F66340"/>
    <w:rsid w:val="00F66463"/>
    <w:rsid w:val="00F67DE4"/>
    <w:rsid w:val="00F704EA"/>
    <w:rsid w:val="00F71657"/>
    <w:rsid w:val="00F72824"/>
    <w:rsid w:val="00F73365"/>
    <w:rsid w:val="00F7524B"/>
    <w:rsid w:val="00F75C25"/>
    <w:rsid w:val="00F8043A"/>
    <w:rsid w:val="00F82821"/>
    <w:rsid w:val="00F84699"/>
    <w:rsid w:val="00F852CA"/>
    <w:rsid w:val="00F8553C"/>
    <w:rsid w:val="00F85D2F"/>
    <w:rsid w:val="00F85F26"/>
    <w:rsid w:val="00F8622C"/>
    <w:rsid w:val="00F86B3E"/>
    <w:rsid w:val="00F9004B"/>
    <w:rsid w:val="00F93122"/>
    <w:rsid w:val="00F93626"/>
    <w:rsid w:val="00F93A3D"/>
    <w:rsid w:val="00F93B46"/>
    <w:rsid w:val="00F945FE"/>
    <w:rsid w:val="00FA6AAC"/>
    <w:rsid w:val="00FB4BF9"/>
    <w:rsid w:val="00FB735B"/>
    <w:rsid w:val="00FC0869"/>
    <w:rsid w:val="00FC0CFF"/>
    <w:rsid w:val="00FC0DD4"/>
    <w:rsid w:val="00FC2579"/>
    <w:rsid w:val="00FC2D52"/>
    <w:rsid w:val="00FC38A9"/>
    <w:rsid w:val="00FC5115"/>
    <w:rsid w:val="00FC70D8"/>
    <w:rsid w:val="00FC7303"/>
    <w:rsid w:val="00FD1271"/>
    <w:rsid w:val="00FD27A7"/>
    <w:rsid w:val="00FD4852"/>
    <w:rsid w:val="00FD55BE"/>
    <w:rsid w:val="00FD6361"/>
    <w:rsid w:val="00FD7092"/>
    <w:rsid w:val="00FE0580"/>
    <w:rsid w:val="00FE065A"/>
    <w:rsid w:val="00FE0935"/>
    <w:rsid w:val="00FE1CB7"/>
    <w:rsid w:val="00FE27D7"/>
    <w:rsid w:val="00FE27F6"/>
    <w:rsid w:val="00FE3BE0"/>
    <w:rsid w:val="00FE6290"/>
    <w:rsid w:val="00FF2C84"/>
    <w:rsid w:val="00FF455E"/>
    <w:rsid w:val="00FF5D3A"/>
    <w:rsid w:val="00FF7082"/>
    <w:rsid w:val="00FF70AE"/>
    <w:rsid w:val="00FF7A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5D1BA"/>
  <w15:chartTrackingRefBased/>
  <w15:docId w15:val="{8E9AEECE-9A7A-4492-8AB2-F248C55A6A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25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A25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A25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25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25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25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25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25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25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25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25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25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25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25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25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25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25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2535"/>
    <w:rPr>
      <w:rFonts w:eastAsiaTheme="majorEastAsia" w:cstheme="majorBidi"/>
      <w:color w:val="272727" w:themeColor="text1" w:themeTint="D8"/>
    </w:rPr>
  </w:style>
  <w:style w:type="paragraph" w:styleId="Title">
    <w:name w:val="Title"/>
    <w:basedOn w:val="Normal"/>
    <w:next w:val="Normal"/>
    <w:link w:val="TitleChar"/>
    <w:uiPriority w:val="10"/>
    <w:qFormat/>
    <w:rsid w:val="002A25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25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25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25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2535"/>
    <w:pPr>
      <w:spacing w:before="160"/>
      <w:jc w:val="center"/>
    </w:pPr>
    <w:rPr>
      <w:i/>
      <w:iCs/>
      <w:color w:val="404040" w:themeColor="text1" w:themeTint="BF"/>
    </w:rPr>
  </w:style>
  <w:style w:type="character" w:customStyle="1" w:styleId="QuoteChar">
    <w:name w:val="Quote Char"/>
    <w:basedOn w:val="DefaultParagraphFont"/>
    <w:link w:val="Quote"/>
    <w:uiPriority w:val="29"/>
    <w:rsid w:val="002A2535"/>
    <w:rPr>
      <w:i/>
      <w:iCs/>
      <w:color w:val="404040" w:themeColor="text1" w:themeTint="BF"/>
    </w:rPr>
  </w:style>
  <w:style w:type="paragraph" w:styleId="ListParagraph">
    <w:name w:val="List Paragraph"/>
    <w:basedOn w:val="Normal"/>
    <w:uiPriority w:val="34"/>
    <w:qFormat/>
    <w:rsid w:val="002A2535"/>
    <w:pPr>
      <w:ind w:left="720"/>
      <w:contextualSpacing/>
    </w:pPr>
  </w:style>
  <w:style w:type="character" w:styleId="IntenseEmphasis">
    <w:name w:val="Intense Emphasis"/>
    <w:basedOn w:val="DefaultParagraphFont"/>
    <w:uiPriority w:val="21"/>
    <w:qFormat/>
    <w:rsid w:val="002A2535"/>
    <w:rPr>
      <w:i/>
      <w:iCs/>
      <w:color w:val="0F4761" w:themeColor="accent1" w:themeShade="BF"/>
    </w:rPr>
  </w:style>
  <w:style w:type="paragraph" w:styleId="IntenseQuote">
    <w:name w:val="Intense Quote"/>
    <w:basedOn w:val="Normal"/>
    <w:next w:val="Normal"/>
    <w:link w:val="IntenseQuoteChar"/>
    <w:uiPriority w:val="30"/>
    <w:qFormat/>
    <w:rsid w:val="002A25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2535"/>
    <w:rPr>
      <w:i/>
      <w:iCs/>
      <w:color w:val="0F4761" w:themeColor="accent1" w:themeShade="BF"/>
    </w:rPr>
  </w:style>
  <w:style w:type="character" w:styleId="IntenseReference">
    <w:name w:val="Intense Reference"/>
    <w:basedOn w:val="DefaultParagraphFont"/>
    <w:uiPriority w:val="32"/>
    <w:qFormat/>
    <w:rsid w:val="002A2535"/>
    <w:rPr>
      <w:b/>
      <w:bCs/>
      <w:smallCaps/>
      <w:color w:val="0F4761" w:themeColor="accent1" w:themeShade="BF"/>
      <w:spacing w:val="5"/>
    </w:rPr>
  </w:style>
  <w:style w:type="character" w:customStyle="1" w:styleId="s1">
    <w:name w:val="s1"/>
    <w:basedOn w:val="DefaultParagraphFont"/>
    <w:rsid w:val="002A2535"/>
  </w:style>
  <w:style w:type="paragraph" w:customStyle="1" w:styleId="p2">
    <w:name w:val="p2"/>
    <w:basedOn w:val="Normal"/>
    <w:rsid w:val="002A2535"/>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2A2535"/>
  </w:style>
  <w:style w:type="paragraph" w:customStyle="1" w:styleId="p3">
    <w:name w:val="p3"/>
    <w:basedOn w:val="Normal"/>
    <w:rsid w:val="00437DBA"/>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F22210"/>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036232"/>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FE0935"/>
    <w:rPr>
      <w:color w:val="0000FF"/>
      <w:u w:val="single"/>
    </w:rPr>
  </w:style>
  <w:style w:type="paragraph" w:customStyle="1" w:styleId="p5">
    <w:name w:val="p5"/>
    <w:basedOn w:val="Normal"/>
    <w:rsid w:val="00FE0935"/>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8B7F10"/>
  </w:style>
  <w:style w:type="paragraph" w:styleId="Header">
    <w:name w:val="header"/>
    <w:basedOn w:val="Normal"/>
    <w:link w:val="HeaderChar"/>
    <w:uiPriority w:val="99"/>
    <w:unhideWhenUsed/>
    <w:rsid w:val="008B64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64F7"/>
  </w:style>
  <w:style w:type="paragraph" w:styleId="Footer">
    <w:name w:val="footer"/>
    <w:basedOn w:val="Normal"/>
    <w:link w:val="FooterChar"/>
    <w:uiPriority w:val="99"/>
    <w:unhideWhenUsed/>
    <w:rsid w:val="008B64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64F7"/>
  </w:style>
  <w:style w:type="character" w:styleId="CommentReference">
    <w:name w:val="annotation reference"/>
    <w:basedOn w:val="DefaultParagraphFont"/>
    <w:uiPriority w:val="99"/>
    <w:semiHidden/>
    <w:unhideWhenUsed/>
    <w:rsid w:val="00BD70FA"/>
    <w:rPr>
      <w:sz w:val="16"/>
      <w:szCs w:val="16"/>
    </w:rPr>
  </w:style>
  <w:style w:type="paragraph" w:styleId="CommentText">
    <w:name w:val="annotation text"/>
    <w:basedOn w:val="Normal"/>
    <w:link w:val="CommentTextChar"/>
    <w:uiPriority w:val="99"/>
    <w:unhideWhenUsed/>
    <w:rsid w:val="00BD70FA"/>
    <w:pPr>
      <w:spacing w:line="240" w:lineRule="auto"/>
    </w:pPr>
    <w:rPr>
      <w:sz w:val="20"/>
      <w:szCs w:val="20"/>
    </w:rPr>
  </w:style>
  <w:style w:type="character" w:customStyle="1" w:styleId="CommentTextChar">
    <w:name w:val="Comment Text Char"/>
    <w:basedOn w:val="DefaultParagraphFont"/>
    <w:link w:val="CommentText"/>
    <w:uiPriority w:val="99"/>
    <w:rsid w:val="00BD70FA"/>
    <w:rPr>
      <w:sz w:val="20"/>
      <w:szCs w:val="20"/>
    </w:rPr>
  </w:style>
  <w:style w:type="paragraph" w:styleId="CommentSubject">
    <w:name w:val="annotation subject"/>
    <w:basedOn w:val="CommentText"/>
    <w:next w:val="CommentText"/>
    <w:link w:val="CommentSubjectChar"/>
    <w:uiPriority w:val="99"/>
    <w:semiHidden/>
    <w:unhideWhenUsed/>
    <w:rsid w:val="00BD70FA"/>
    <w:rPr>
      <w:b/>
      <w:bCs/>
    </w:rPr>
  </w:style>
  <w:style w:type="character" w:customStyle="1" w:styleId="CommentSubjectChar">
    <w:name w:val="Comment Subject Char"/>
    <w:basedOn w:val="CommentTextChar"/>
    <w:link w:val="CommentSubject"/>
    <w:uiPriority w:val="99"/>
    <w:semiHidden/>
    <w:rsid w:val="00BD70FA"/>
    <w:rPr>
      <w:b/>
      <w:bCs/>
      <w:sz w:val="20"/>
      <w:szCs w:val="20"/>
    </w:rPr>
  </w:style>
  <w:style w:type="paragraph" w:styleId="TOCHeading">
    <w:name w:val="TOC Heading"/>
    <w:basedOn w:val="Heading1"/>
    <w:next w:val="Normal"/>
    <w:uiPriority w:val="39"/>
    <w:unhideWhenUsed/>
    <w:qFormat/>
    <w:rsid w:val="007E5B93"/>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9A3556"/>
    <w:pPr>
      <w:tabs>
        <w:tab w:val="right" w:leader="dot" w:pos="9016"/>
      </w:tabs>
      <w:spacing w:after="100"/>
    </w:pPr>
    <w:rPr>
      <w:rFonts w:ascii="Arial" w:eastAsia="Times New Roman" w:hAnsi="Arial" w:cs="Arial"/>
      <w:b/>
      <w:bCs/>
      <w:noProof/>
      <w:sz w:val="22"/>
      <w:szCs w:val="22"/>
    </w:rPr>
  </w:style>
  <w:style w:type="paragraph" w:styleId="TOC2">
    <w:name w:val="toc 2"/>
    <w:basedOn w:val="Normal"/>
    <w:next w:val="Normal"/>
    <w:autoRedefine/>
    <w:uiPriority w:val="39"/>
    <w:unhideWhenUsed/>
    <w:rsid w:val="009A3556"/>
    <w:pPr>
      <w:tabs>
        <w:tab w:val="right" w:leader="dot" w:pos="9016"/>
      </w:tabs>
      <w:spacing w:after="100"/>
      <w:ind w:left="240"/>
    </w:pPr>
    <w:rPr>
      <w:rFonts w:ascii="Arial" w:eastAsia="Times New Roman" w:hAnsi="Arial" w:cs="Arial"/>
      <w:b/>
      <w:bCs/>
      <w:noProof/>
      <w:sz w:val="22"/>
      <w:szCs w:val="22"/>
    </w:rPr>
  </w:style>
  <w:style w:type="paragraph" w:styleId="TOC3">
    <w:name w:val="toc 3"/>
    <w:basedOn w:val="Normal"/>
    <w:next w:val="Normal"/>
    <w:autoRedefine/>
    <w:uiPriority w:val="39"/>
    <w:unhideWhenUsed/>
    <w:rsid w:val="006E4EC5"/>
    <w:pPr>
      <w:tabs>
        <w:tab w:val="right" w:leader="dot" w:pos="9016"/>
      </w:tabs>
      <w:spacing w:after="100"/>
    </w:pPr>
    <w:rPr>
      <w:rFonts w:ascii="Arial" w:eastAsia="Times New Roman" w:hAnsi="Arial" w:cs="Arial"/>
      <w:b/>
      <w:bCs/>
      <w:noProof/>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tel:986-1014"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D1B006-47C0-4E2C-B0EC-728D28098D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180</TotalTime>
  <Pages>1</Pages>
  <Words>4458</Words>
  <Characters>25411</Characters>
  <Application>Microsoft Office Word</Application>
  <DocSecurity>4</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29810</CharactersWithSpaces>
  <SharedDoc>false</SharedDoc>
  <HLinks>
    <vt:vector size="168" baseType="variant">
      <vt:variant>
        <vt:i4>5111831</vt:i4>
      </vt:variant>
      <vt:variant>
        <vt:i4>165</vt:i4>
      </vt:variant>
      <vt:variant>
        <vt:i4>0</vt:i4>
      </vt:variant>
      <vt:variant>
        <vt:i4>5</vt:i4>
      </vt:variant>
      <vt:variant>
        <vt:lpwstr>tel:986-1014</vt:lpwstr>
      </vt:variant>
      <vt:variant>
        <vt:lpwstr/>
      </vt:variant>
      <vt:variant>
        <vt:i4>1179702</vt:i4>
      </vt:variant>
      <vt:variant>
        <vt:i4>158</vt:i4>
      </vt:variant>
      <vt:variant>
        <vt:i4>0</vt:i4>
      </vt:variant>
      <vt:variant>
        <vt:i4>5</vt:i4>
      </vt:variant>
      <vt:variant>
        <vt:lpwstr/>
      </vt:variant>
      <vt:variant>
        <vt:lpwstr>_Toc243341335</vt:lpwstr>
      </vt:variant>
      <vt:variant>
        <vt:i4>1179702</vt:i4>
      </vt:variant>
      <vt:variant>
        <vt:i4>152</vt:i4>
      </vt:variant>
      <vt:variant>
        <vt:i4>0</vt:i4>
      </vt:variant>
      <vt:variant>
        <vt:i4>5</vt:i4>
      </vt:variant>
      <vt:variant>
        <vt:lpwstr/>
      </vt:variant>
      <vt:variant>
        <vt:lpwstr>_Toc243341334</vt:lpwstr>
      </vt:variant>
      <vt:variant>
        <vt:i4>1179702</vt:i4>
      </vt:variant>
      <vt:variant>
        <vt:i4>146</vt:i4>
      </vt:variant>
      <vt:variant>
        <vt:i4>0</vt:i4>
      </vt:variant>
      <vt:variant>
        <vt:i4>5</vt:i4>
      </vt:variant>
      <vt:variant>
        <vt:lpwstr/>
      </vt:variant>
      <vt:variant>
        <vt:lpwstr>_Toc243341333</vt:lpwstr>
      </vt:variant>
      <vt:variant>
        <vt:i4>1179702</vt:i4>
      </vt:variant>
      <vt:variant>
        <vt:i4>140</vt:i4>
      </vt:variant>
      <vt:variant>
        <vt:i4>0</vt:i4>
      </vt:variant>
      <vt:variant>
        <vt:i4>5</vt:i4>
      </vt:variant>
      <vt:variant>
        <vt:lpwstr/>
      </vt:variant>
      <vt:variant>
        <vt:lpwstr>_Toc243341332</vt:lpwstr>
      </vt:variant>
      <vt:variant>
        <vt:i4>1179702</vt:i4>
      </vt:variant>
      <vt:variant>
        <vt:i4>134</vt:i4>
      </vt:variant>
      <vt:variant>
        <vt:i4>0</vt:i4>
      </vt:variant>
      <vt:variant>
        <vt:i4>5</vt:i4>
      </vt:variant>
      <vt:variant>
        <vt:lpwstr/>
      </vt:variant>
      <vt:variant>
        <vt:lpwstr>_Toc243341331</vt:lpwstr>
      </vt:variant>
      <vt:variant>
        <vt:i4>1179702</vt:i4>
      </vt:variant>
      <vt:variant>
        <vt:i4>128</vt:i4>
      </vt:variant>
      <vt:variant>
        <vt:i4>0</vt:i4>
      </vt:variant>
      <vt:variant>
        <vt:i4>5</vt:i4>
      </vt:variant>
      <vt:variant>
        <vt:lpwstr/>
      </vt:variant>
      <vt:variant>
        <vt:lpwstr>_Toc243341330</vt:lpwstr>
      </vt:variant>
      <vt:variant>
        <vt:i4>1245238</vt:i4>
      </vt:variant>
      <vt:variant>
        <vt:i4>122</vt:i4>
      </vt:variant>
      <vt:variant>
        <vt:i4>0</vt:i4>
      </vt:variant>
      <vt:variant>
        <vt:i4>5</vt:i4>
      </vt:variant>
      <vt:variant>
        <vt:lpwstr/>
      </vt:variant>
      <vt:variant>
        <vt:lpwstr>_Toc243341329</vt:lpwstr>
      </vt:variant>
      <vt:variant>
        <vt:i4>1245238</vt:i4>
      </vt:variant>
      <vt:variant>
        <vt:i4>116</vt:i4>
      </vt:variant>
      <vt:variant>
        <vt:i4>0</vt:i4>
      </vt:variant>
      <vt:variant>
        <vt:i4>5</vt:i4>
      </vt:variant>
      <vt:variant>
        <vt:lpwstr/>
      </vt:variant>
      <vt:variant>
        <vt:lpwstr>_Toc243341328</vt:lpwstr>
      </vt:variant>
      <vt:variant>
        <vt:i4>1245238</vt:i4>
      </vt:variant>
      <vt:variant>
        <vt:i4>110</vt:i4>
      </vt:variant>
      <vt:variant>
        <vt:i4>0</vt:i4>
      </vt:variant>
      <vt:variant>
        <vt:i4>5</vt:i4>
      </vt:variant>
      <vt:variant>
        <vt:lpwstr/>
      </vt:variant>
      <vt:variant>
        <vt:lpwstr>_Toc243341327</vt:lpwstr>
      </vt:variant>
      <vt:variant>
        <vt:i4>1245238</vt:i4>
      </vt:variant>
      <vt:variant>
        <vt:i4>104</vt:i4>
      </vt:variant>
      <vt:variant>
        <vt:i4>0</vt:i4>
      </vt:variant>
      <vt:variant>
        <vt:i4>5</vt:i4>
      </vt:variant>
      <vt:variant>
        <vt:lpwstr/>
      </vt:variant>
      <vt:variant>
        <vt:lpwstr>_Toc243341326</vt:lpwstr>
      </vt:variant>
      <vt:variant>
        <vt:i4>1245238</vt:i4>
      </vt:variant>
      <vt:variant>
        <vt:i4>98</vt:i4>
      </vt:variant>
      <vt:variant>
        <vt:i4>0</vt:i4>
      </vt:variant>
      <vt:variant>
        <vt:i4>5</vt:i4>
      </vt:variant>
      <vt:variant>
        <vt:lpwstr/>
      </vt:variant>
      <vt:variant>
        <vt:lpwstr>_Toc243341325</vt:lpwstr>
      </vt:variant>
      <vt:variant>
        <vt:i4>1245238</vt:i4>
      </vt:variant>
      <vt:variant>
        <vt:i4>92</vt:i4>
      </vt:variant>
      <vt:variant>
        <vt:i4>0</vt:i4>
      </vt:variant>
      <vt:variant>
        <vt:i4>5</vt:i4>
      </vt:variant>
      <vt:variant>
        <vt:lpwstr/>
      </vt:variant>
      <vt:variant>
        <vt:lpwstr>_Toc243341322</vt:lpwstr>
      </vt:variant>
      <vt:variant>
        <vt:i4>1245238</vt:i4>
      </vt:variant>
      <vt:variant>
        <vt:i4>86</vt:i4>
      </vt:variant>
      <vt:variant>
        <vt:i4>0</vt:i4>
      </vt:variant>
      <vt:variant>
        <vt:i4>5</vt:i4>
      </vt:variant>
      <vt:variant>
        <vt:lpwstr/>
      </vt:variant>
      <vt:variant>
        <vt:lpwstr>_Toc243341321</vt:lpwstr>
      </vt:variant>
      <vt:variant>
        <vt:i4>1245238</vt:i4>
      </vt:variant>
      <vt:variant>
        <vt:i4>80</vt:i4>
      </vt:variant>
      <vt:variant>
        <vt:i4>0</vt:i4>
      </vt:variant>
      <vt:variant>
        <vt:i4>5</vt:i4>
      </vt:variant>
      <vt:variant>
        <vt:lpwstr/>
      </vt:variant>
      <vt:variant>
        <vt:lpwstr>_Toc243341320</vt:lpwstr>
      </vt:variant>
      <vt:variant>
        <vt:i4>1048630</vt:i4>
      </vt:variant>
      <vt:variant>
        <vt:i4>74</vt:i4>
      </vt:variant>
      <vt:variant>
        <vt:i4>0</vt:i4>
      </vt:variant>
      <vt:variant>
        <vt:i4>5</vt:i4>
      </vt:variant>
      <vt:variant>
        <vt:lpwstr/>
      </vt:variant>
      <vt:variant>
        <vt:lpwstr>_Toc243341319</vt:lpwstr>
      </vt:variant>
      <vt:variant>
        <vt:i4>1048630</vt:i4>
      </vt:variant>
      <vt:variant>
        <vt:i4>68</vt:i4>
      </vt:variant>
      <vt:variant>
        <vt:i4>0</vt:i4>
      </vt:variant>
      <vt:variant>
        <vt:i4>5</vt:i4>
      </vt:variant>
      <vt:variant>
        <vt:lpwstr/>
      </vt:variant>
      <vt:variant>
        <vt:lpwstr>_Toc243341318</vt:lpwstr>
      </vt:variant>
      <vt:variant>
        <vt:i4>1048630</vt:i4>
      </vt:variant>
      <vt:variant>
        <vt:i4>62</vt:i4>
      </vt:variant>
      <vt:variant>
        <vt:i4>0</vt:i4>
      </vt:variant>
      <vt:variant>
        <vt:i4>5</vt:i4>
      </vt:variant>
      <vt:variant>
        <vt:lpwstr/>
      </vt:variant>
      <vt:variant>
        <vt:lpwstr>_Toc243341317</vt:lpwstr>
      </vt:variant>
      <vt:variant>
        <vt:i4>1048630</vt:i4>
      </vt:variant>
      <vt:variant>
        <vt:i4>56</vt:i4>
      </vt:variant>
      <vt:variant>
        <vt:i4>0</vt:i4>
      </vt:variant>
      <vt:variant>
        <vt:i4>5</vt:i4>
      </vt:variant>
      <vt:variant>
        <vt:lpwstr/>
      </vt:variant>
      <vt:variant>
        <vt:lpwstr>_Toc243341316</vt:lpwstr>
      </vt:variant>
      <vt:variant>
        <vt:i4>1048630</vt:i4>
      </vt:variant>
      <vt:variant>
        <vt:i4>50</vt:i4>
      </vt:variant>
      <vt:variant>
        <vt:i4>0</vt:i4>
      </vt:variant>
      <vt:variant>
        <vt:i4>5</vt:i4>
      </vt:variant>
      <vt:variant>
        <vt:lpwstr/>
      </vt:variant>
      <vt:variant>
        <vt:lpwstr>_Toc243341314</vt:lpwstr>
      </vt:variant>
      <vt:variant>
        <vt:i4>1048630</vt:i4>
      </vt:variant>
      <vt:variant>
        <vt:i4>44</vt:i4>
      </vt:variant>
      <vt:variant>
        <vt:i4>0</vt:i4>
      </vt:variant>
      <vt:variant>
        <vt:i4>5</vt:i4>
      </vt:variant>
      <vt:variant>
        <vt:lpwstr/>
      </vt:variant>
      <vt:variant>
        <vt:lpwstr>_Toc243341313</vt:lpwstr>
      </vt:variant>
      <vt:variant>
        <vt:i4>1048630</vt:i4>
      </vt:variant>
      <vt:variant>
        <vt:i4>38</vt:i4>
      </vt:variant>
      <vt:variant>
        <vt:i4>0</vt:i4>
      </vt:variant>
      <vt:variant>
        <vt:i4>5</vt:i4>
      </vt:variant>
      <vt:variant>
        <vt:lpwstr/>
      </vt:variant>
      <vt:variant>
        <vt:lpwstr>_Toc243341312</vt:lpwstr>
      </vt:variant>
      <vt:variant>
        <vt:i4>1048630</vt:i4>
      </vt:variant>
      <vt:variant>
        <vt:i4>32</vt:i4>
      </vt:variant>
      <vt:variant>
        <vt:i4>0</vt:i4>
      </vt:variant>
      <vt:variant>
        <vt:i4>5</vt:i4>
      </vt:variant>
      <vt:variant>
        <vt:lpwstr/>
      </vt:variant>
      <vt:variant>
        <vt:lpwstr>_Toc243341311</vt:lpwstr>
      </vt:variant>
      <vt:variant>
        <vt:i4>1048630</vt:i4>
      </vt:variant>
      <vt:variant>
        <vt:i4>26</vt:i4>
      </vt:variant>
      <vt:variant>
        <vt:i4>0</vt:i4>
      </vt:variant>
      <vt:variant>
        <vt:i4>5</vt:i4>
      </vt:variant>
      <vt:variant>
        <vt:lpwstr/>
      </vt:variant>
      <vt:variant>
        <vt:lpwstr>_Toc243341310</vt:lpwstr>
      </vt:variant>
      <vt:variant>
        <vt:i4>1114166</vt:i4>
      </vt:variant>
      <vt:variant>
        <vt:i4>20</vt:i4>
      </vt:variant>
      <vt:variant>
        <vt:i4>0</vt:i4>
      </vt:variant>
      <vt:variant>
        <vt:i4>5</vt:i4>
      </vt:variant>
      <vt:variant>
        <vt:lpwstr/>
      </vt:variant>
      <vt:variant>
        <vt:lpwstr>_Toc243341309</vt:lpwstr>
      </vt:variant>
      <vt:variant>
        <vt:i4>1114166</vt:i4>
      </vt:variant>
      <vt:variant>
        <vt:i4>14</vt:i4>
      </vt:variant>
      <vt:variant>
        <vt:i4>0</vt:i4>
      </vt:variant>
      <vt:variant>
        <vt:i4>5</vt:i4>
      </vt:variant>
      <vt:variant>
        <vt:lpwstr/>
      </vt:variant>
      <vt:variant>
        <vt:lpwstr>_Toc243341308</vt:lpwstr>
      </vt:variant>
      <vt:variant>
        <vt:i4>1114166</vt:i4>
      </vt:variant>
      <vt:variant>
        <vt:i4>8</vt:i4>
      </vt:variant>
      <vt:variant>
        <vt:i4>0</vt:i4>
      </vt:variant>
      <vt:variant>
        <vt:i4>5</vt:i4>
      </vt:variant>
      <vt:variant>
        <vt:lpwstr/>
      </vt:variant>
      <vt:variant>
        <vt:lpwstr>_Toc243341307</vt:lpwstr>
      </vt:variant>
      <vt:variant>
        <vt:i4>1114166</vt:i4>
      </vt:variant>
      <vt:variant>
        <vt:i4>2</vt:i4>
      </vt:variant>
      <vt:variant>
        <vt:i4>0</vt:i4>
      </vt:variant>
      <vt:variant>
        <vt:i4>5</vt:i4>
      </vt:variant>
      <vt:variant>
        <vt:lpwstr/>
      </vt:variant>
      <vt:variant>
        <vt:lpwstr>_Toc243341306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Imran (2311530)</dc:creator>
  <cp:keywords/>
  <dc:description/>
  <cp:lastModifiedBy>Muhammad Imran (2311530)</cp:lastModifiedBy>
  <cp:revision>218</cp:revision>
  <dcterms:created xsi:type="dcterms:W3CDTF">2026-10-19T10:54:00Z</dcterms:created>
  <dcterms:modified xsi:type="dcterms:W3CDTF">2026-10-19T21:47:00Z</dcterms:modified>
</cp:coreProperties>
</file>